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160020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4240" w:right="2260" w:hanging="3881"/>
        <w:spacing w:after="0" w:line="498" w:lineRule="auto"/>
        <w:tabs>
          <w:tab w:leader="none" w:pos="8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2018</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3600" w:right="1940" w:hanging="3241"/>
        <w:spacing w:after="0" w:line="501" w:lineRule="auto"/>
        <w:tabs>
          <w:tab w:leader="none" w:pos="83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2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00" w:type="dxa"/>
            <w:vAlign w:val="bottom"/>
            <w:gridSpan w:val="3"/>
          </w:tcPr>
          <w:p>
            <w:pPr>
              <w:jc w:val="center"/>
              <w:ind w:left="1430"/>
              <w:spacing w:after="0"/>
              <w:rPr>
                <w:sz w:val="20"/>
                <w:szCs w:val="20"/>
                <w:color w:val="auto"/>
              </w:rPr>
            </w:pPr>
            <w:r>
              <w:rPr>
                <w:rFonts w:ascii="Arial" w:cs="Arial" w:eastAsia="Arial" w:hAnsi="Arial"/>
                <w:sz w:val="18"/>
                <w:szCs w:val="18"/>
                <w:color w:val="auto"/>
                <w:w w:val="88"/>
              </w:rPr>
              <w:t>Name of each exchange on</w:t>
            </w:r>
          </w:p>
        </w:tc>
      </w:tr>
      <w:tr>
        <w:trPr>
          <w:trHeight w:val="190"/>
        </w:trPr>
        <w:tc>
          <w:tcPr>
            <w:tcW w:w="10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Title of each class</w:t>
            </w:r>
          </w:p>
        </w:tc>
        <w:tc>
          <w:tcPr>
            <w:tcW w:w="2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80" w:type="dxa"/>
            <w:vAlign w:val="bottom"/>
            <w:gridSpan w:val="2"/>
          </w:tcPr>
          <w:p>
            <w:pPr>
              <w:jc w:val="center"/>
              <w:ind w:right="400"/>
              <w:spacing w:after="0" w:line="190" w:lineRule="exact"/>
              <w:rPr>
                <w:sz w:val="20"/>
                <w:szCs w:val="20"/>
                <w:color w:val="auto"/>
              </w:rPr>
            </w:pPr>
            <w:r>
              <w:rPr>
                <w:rFonts w:ascii="Arial" w:cs="Arial" w:eastAsia="Arial" w:hAnsi="Arial"/>
                <w:sz w:val="18"/>
                <w:szCs w:val="18"/>
                <w:color w:val="auto"/>
                <w:w w:val="90"/>
              </w:rPr>
              <w:t>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84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50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26" w:right="239" w:bottom="0"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9" w:lineRule="exact"/>
        <w:rPr>
          <w:sz w:val="24"/>
          <w:szCs w:val="24"/>
          <w:color w:val="auto"/>
        </w:rPr>
      </w:pPr>
    </w:p>
    <w:p>
      <w:pPr>
        <w:sectPr>
          <w:pgSz w:w="11900" w:h="16838" w:orient="portrait"/>
          <w:cols w:equalWidth="0" w:num="2">
            <w:col w:w="5120" w:space="600"/>
            <w:col w:w="5700"/>
          </w:cols>
          <w:pgMar w:left="240" w:top="526" w:right="239" w:bottom="0" w:gutter="0" w:footer="0" w:header="0"/>
          <w:type w:val="continuous"/>
        </w:sectPr>
      </w:pPr>
    </w:p>
    <w:p>
      <w:pPr>
        <w:spacing w:after="0" w:line="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5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2017 - $45,800,000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26, 2018 – 8,729,682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tcPr>
          <w:p>
            <w:pPr>
              <w:jc w:val="center"/>
              <w:ind w:right="3090"/>
              <w:spacing w:after="0"/>
              <w:rPr>
                <w:sz w:val="20"/>
                <w:szCs w:val="20"/>
                <w:color w:val="auto"/>
              </w:rPr>
            </w:pPr>
            <w:r>
              <w:rPr>
                <w:rFonts w:ascii="Arial" w:cs="Arial" w:eastAsia="Arial" w:hAnsi="Arial"/>
                <w:sz w:val="18"/>
                <w:szCs w:val="18"/>
                <w:b w:val="1"/>
                <w:bCs w:val="1"/>
                <w:color w:val="auto"/>
                <w:w w:val="99"/>
              </w:rPr>
              <w:t>FREQUENCY ELECTRONICS, INC. and SUBSIDIARIES</w:t>
            </w: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Pr>
          <w:p>
            <w:pPr>
              <w:jc w:val="center"/>
              <w:ind w:right="3070"/>
              <w:spacing w:after="0"/>
              <w:rPr>
                <w:sz w:val="20"/>
                <w:szCs w:val="20"/>
                <w:color w:val="auto"/>
              </w:rPr>
            </w:pPr>
            <w:r>
              <w:rPr>
                <w:rFonts w:ascii="Arial" w:cs="Arial" w:eastAsia="Arial" w:hAnsi="Arial"/>
                <w:sz w:val="18"/>
                <w:szCs w:val="18"/>
                <w:b w:val="1"/>
                <w:bCs w:val="1"/>
                <w:color w:val="auto"/>
                <w:w w:val="98"/>
              </w:rPr>
              <w:t>TABLE OF CONTENTS</w:t>
            </w: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Pr>
          <w:p>
            <w:pPr>
              <w:jc w:val="center"/>
              <w:ind w:right="3090"/>
              <w:spacing w:after="0"/>
              <w:rPr>
                <w:sz w:val="20"/>
                <w:szCs w:val="20"/>
                <w:color w:val="auto"/>
              </w:rPr>
            </w:pPr>
            <w:r>
              <w:rPr>
                <w:rFonts w:ascii="Arial" w:cs="Arial" w:eastAsia="Arial" w:hAnsi="Arial"/>
                <w:sz w:val="18"/>
                <w:szCs w:val="18"/>
                <w:b w:val="1"/>
                <w:bCs w:val="1"/>
                <w:color w:val="auto"/>
                <w:w w:val="98"/>
              </w:rPr>
              <w:t>PART I</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4"/>
              </w:rPr>
              <w:t>Business</w:t>
            </w:r>
          </w:p>
        </w:tc>
        <w:tc>
          <w:tcPr>
            <w:tcW w:w="1620" w:type="dxa"/>
            <w:vAlign w:val="bottom"/>
            <w:gridSpan w:val="6"/>
          </w:tcPr>
          <w:p>
            <w:pPr>
              <w:spacing w:after="0"/>
              <w:rPr>
                <w:sz w:val="24"/>
                <w:szCs w:val="24"/>
                <w:color w:val="auto"/>
              </w:rPr>
            </w:pPr>
          </w:p>
        </w:tc>
        <w:tc>
          <w:tcPr>
            <w:tcW w:w="8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Risk Factors</w:t>
            </w:r>
          </w:p>
        </w:tc>
        <w:tc>
          <w:tcPr>
            <w:tcW w:w="1360" w:type="dxa"/>
            <w:vAlign w:val="bottom"/>
            <w:gridSpan w:val="4"/>
          </w:tcPr>
          <w:p>
            <w:pPr>
              <w:spacing w:after="0"/>
              <w:rPr>
                <w:sz w:val="17"/>
                <w:szCs w:val="17"/>
                <w:color w:val="auto"/>
              </w:rPr>
            </w:pPr>
          </w:p>
        </w:tc>
        <w:tc>
          <w:tcPr>
            <w:tcW w:w="8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Unresolved Staff Comments</w:t>
            </w:r>
          </w:p>
        </w:tc>
        <w:tc>
          <w:tcPr>
            <w:tcW w:w="220" w:type="dxa"/>
            <w:vAlign w:val="bottom"/>
          </w:tcPr>
          <w:p>
            <w:pPr>
              <w:spacing w:after="0"/>
              <w:rPr>
                <w:sz w:val="17"/>
                <w:szCs w:val="17"/>
                <w:color w:val="auto"/>
              </w:rPr>
            </w:pPr>
          </w:p>
        </w:tc>
        <w:tc>
          <w:tcPr>
            <w:tcW w:w="8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0000EE"/>
              </w:rPr>
              <w:t>Properties</w:t>
            </w:r>
          </w:p>
        </w:tc>
        <w:tc>
          <w:tcPr>
            <w:tcW w:w="8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0000EE"/>
              </w:rPr>
              <w:t>Legal Proceedings</w:t>
            </w:r>
          </w:p>
        </w:tc>
        <w:tc>
          <w:tcPr>
            <w:tcW w:w="8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gridSpan w:val="7"/>
          </w:tcPr>
          <w:p>
            <w:pPr>
              <w:spacing w:after="0" w:line="196" w:lineRule="exact"/>
              <w:rPr>
                <w:sz w:val="20"/>
                <w:szCs w:val="20"/>
                <w:color w:val="auto"/>
              </w:rPr>
            </w:pPr>
            <w:r>
              <w:rPr>
                <w:rFonts w:ascii="Arial" w:cs="Arial" w:eastAsia="Arial" w:hAnsi="Arial"/>
                <w:sz w:val="18"/>
                <w:szCs w:val="18"/>
                <w:color w:val="0000EE"/>
              </w:rPr>
              <w:t>Mine Safety Disclosures</w:t>
            </w:r>
          </w:p>
        </w:tc>
        <w:tc>
          <w:tcPr>
            <w:tcW w:w="8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4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rPr>
              <w:t>PART II</w:t>
            </w:r>
          </w:p>
        </w:tc>
        <w:tc>
          <w:tcPr>
            <w:tcW w:w="130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17"/>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Selected Financial Data</w:t>
            </w:r>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84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200" w:type="dxa"/>
            <w:vAlign w:val="bottom"/>
            <w:gridSpan w:val="17"/>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72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200" w:type="dxa"/>
            <w:vAlign w:val="bottom"/>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Other Information</w:t>
            </w:r>
          </w:p>
        </w:tc>
        <w:tc>
          <w:tcPr>
            <w:tcW w:w="7440" w:type="dxa"/>
            <w:vAlign w:val="bottom"/>
            <w:gridSpan w:val="1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53"/>
        </w:trPr>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40" w:type="dxa"/>
            <w:vAlign w:val="bottom"/>
            <w:gridSpan w:val="6"/>
          </w:tcPr>
          <w:p>
            <w:pPr>
              <w:jc w:val="center"/>
              <w:ind w:right="3960"/>
              <w:spacing w:after="0"/>
              <w:rPr>
                <w:sz w:val="20"/>
                <w:szCs w:val="20"/>
                <w:color w:val="auto"/>
              </w:rPr>
            </w:pPr>
            <w:r>
              <w:rPr>
                <w:rFonts w:ascii="Arial" w:cs="Arial" w:eastAsia="Arial" w:hAnsi="Arial"/>
                <w:sz w:val="18"/>
                <w:szCs w:val="18"/>
                <w:b w:val="1"/>
                <w:bCs w:val="1"/>
                <w:color w:val="auto"/>
              </w:rPr>
              <w:t>PART III</w:t>
            </w:r>
          </w:p>
        </w:tc>
        <w:tc>
          <w:tcPr>
            <w:tcW w:w="130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17"/>
          </w:tcPr>
          <w:p>
            <w:pPr>
              <w:spacing w:after="0"/>
              <w:rPr>
                <w:sz w:val="20"/>
                <w:szCs w:val="20"/>
                <w:color w:val="auto"/>
              </w:rPr>
            </w:pPr>
            <w:r>
              <w:rPr>
                <w:rFonts w:ascii="Arial" w:cs="Arial" w:eastAsia="Arial" w:hAnsi="Arial"/>
                <w:sz w:val="18"/>
                <w:szCs w:val="18"/>
                <w:color w:val="0000EE"/>
              </w:rPr>
              <w:t>Directors and Executive Officers of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Executive Compensation</w:t>
            </w:r>
          </w:p>
        </w:tc>
        <w:tc>
          <w:tcPr>
            <w:tcW w:w="1760" w:type="dxa"/>
            <w:vAlign w:val="bottom"/>
            <w:tcBorders>
              <w:top w:val="single" w:sz="8" w:color="0000EE"/>
            </w:tcBorders>
            <w:gridSpan w:val="4"/>
          </w:tcPr>
          <w:p>
            <w:pPr>
              <w:spacing w:after="0"/>
              <w:rPr>
                <w:sz w:val="17"/>
                <w:szCs w:val="17"/>
                <w:color w:val="auto"/>
              </w:rPr>
            </w:pPr>
          </w:p>
        </w:tc>
        <w:tc>
          <w:tcPr>
            <w:tcW w:w="564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200" w:type="dxa"/>
            <w:vAlign w:val="bottom"/>
            <w:gridSpan w:val="17"/>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92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376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453"/>
        </w:trPr>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40" w:type="dxa"/>
            <w:vAlign w:val="bottom"/>
            <w:gridSpan w:val="6"/>
          </w:tcPr>
          <w:p>
            <w:pPr>
              <w:jc w:val="center"/>
              <w:ind w:right="3960"/>
              <w:spacing w:after="0"/>
              <w:rPr>
                <w:sz w:val="20"/>
                <w:szCs w:val="20"/>
                <w:color w:val="auto"/>
              </w:rPr>
            </w:pPr>
            <w:r>
              <w:rPr>
                <w:rFonts w:ascii="Arial" w:cs="Arial" w:eastAsia="Arial" w:hAnsi="Arial"/>
                <w:sz w:val="18"/>
                <w:szCs w:val="18"/>
                <w:b w:val="1"/>
                <w:bCs w:val="1"/>
                <w:color w:val="auto"/>
              </w:rPr>
              <w:t>PART IV</w:t>
            </w:r>
          </w:p>
        </w:tc>
        <w:tc>
          <w:tcPr>
            <w:tcW w:w="130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Exhibits and Financial Statement Schedules</w:t>
            </w:r>
          </w:p>
        </w:tc>
        <w:tc>
          <w:tcPr>
            <w:tcW w:w="604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200" w:type="dxa"/>
            <w:vAlign w:val="bottom"/>
            <w:gridSpan w:val="17"/>
          </w:tcPr>
          <w:p>
            <w:pPr>
              <w:spacing w:after="0" w:line="196" w:lineRule="exact"/>
              <w:rPr>
                <w:sz w:val="20"/>
                <w:szCs w:val="20"/>
                <w:color w:val="auto"/>
              </w:rPr>
            </w:pPr>
            <w:r>
              <w:rPr>
                <w:rFonts w:ascii="Arial" w:cs="Arial" w:eastAsia="Arial" w:hAnsi="Arial"/>
                <w:sz w:val="18"/>
                <w:szCs w:val="18"/>
                <w:color w:val="0000EE"/>
              </w:rPr>
              <w:t>Form 10-K Summary</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012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635"/>
        </w:trPr>
        <w:tc>
          <w:tcPr>
            <w:tcW w:w="9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Frequency Electronics, Inc. (sometimes referred to as “Registrant”, “Frequency Electronics” or the “Company”) is a world leader in precision time and frequency generation technology, which is employed in commercial and Government Satellite Payload systems, Secure Communications, Command, Control, Communication, Computer, Intelligence, Security and Reconnaissance (“C4ISR”), and Electronic Warfare (“EW”) systems. Its technology is used for a wide range of space and non-space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dominant end markets are satellite payloads and precision time for terrestrial secure communications and command and control.</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satellite market, the Company has a unique legacy of providing master timing systems, power converters, and frequency generation, synthesis and distribution systems. It is currently addressing new opportunities for next-generation atomic clocks and low G-sensitive oscillators for both space and terrestrial applications representing a potential for a significant increase in revenue for FEI products. These products are applicable for both commercial and U.S. Government end-use. Currently, approximately one thousand satellites with varying remaining useful life are operating in High/Geostationary, Medium and Low Earth Orbits. The number of operational satellites with emphasis on high-throughput is expected to continue to grow over the next ten years as new satellites are added and older ones are replaced. Furthermore, the U.S. Government is expected to issue a contract for additional satellites for the GPS III Follow-on program, and the Company is well positioned to compete for the onboard clock ensemble with its high-precision digital atomic frequency standard.</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terrestrial secure communications and command and control market, the Company’s products support multiple C4ISR counter measures and EW applications for the U.S. Government on land, sea and air-borne platforms. Recently identified threats to the communication capabilities of U.S. Government facilities through jamming, multi-path or “spoofing” global positioning systems (“GPS”) signals may be mitigated by the Company’s technologies. In addition, similar types of threats to the public and enterprise networks have been identified by the Department of Homeland Security. The Company’s high precision, ruggedized clocks combined with specialized software are essential for communication and operational security.</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Frequency Electronics, Inc. Asia (“FEI-Asia”) and FEI-Elcom Tech, Inc. (“FEI-Elcom”) and (2) FEI-Zyfer, Inc. (“FEI-Zyfer”).</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Frequency Electronics has made a strategic decision to focus on, satellite payloads, C4ISR and electronic warfare market segments, because these business areas represent significant opportunities for revenue growth. Accordingly, the Company has divested its Gillam-FEI s.a. (“Gillam”) Belgium subsidiary, and is in the process of evaluating its options regarding FEI-Asia.</w:t>
      </w:r>
    </w:p>
    <w:p>
      <w:pPr>
        <w:spacing w:after="0" w:line="181" w:lineRule="exact"/>
        <w:rPr>
          <w:sz w:val="20"/>
          <w:szCs w:val="20"/>
          <w:color w:val="auto"/>
        </w:rPr>
      </w:pPr>
    </w:p>
    <w:p>
      <w:pPr>
        <w:jc w:val="both"/>
        <w:ind w:left="140" w:right="140" w:firstLine="646"/>
        <w:spacing w:after="0" w:line="255" w:lineRule="auto"/>
        <w:rPr>
          <w:sz w:val="20"/>
          <w:szCs w:val="20"/>
          <w:color w:val="auto"/>
        </w:rPr>
      </w:pPr>
      <w:r>
        <w:rPr>
          <w:rFonts w:ascii="Arial" w:cs="Arial" w:eastAsia="Arial" w:hAnsi="Arial"/>
          <w:sz w:val="18"/>
          <w:szCs w:val="18"/>
          <w:color w:val="auto"/>
        </w:rPr>
        <w:t>The Company determined that the assets and liabilities of the Gillam reportable segment met the discontinued operations criteria set forth in accounting principles generally accepted in the United States (“U.S. GAAP”) in the quarter ended April 30, 2017. As such Gillam’s results have been classified as discontinued operations in the accompanying Consolidated Statements of Operations and Comprehensive Loss. On April 26, 2018, the Company sold Gillam to a European entity, in a stock purchase agreement, for $1 million in cash and a note receivable payable in three years for $1 million. The loss recorded due to the sale of Gillam was approximately $359,000. For additional details see Note 2 to the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8"/>
        <w:spacing w:after="0" w:line="289"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FEI-NY</w:t>
      </w:r>
      <w:r>
        <w:rPr>
          <w:rFonts w:ascii="Arial" w:cs="Arial" w:eastAsia="Arial" w:hAnsi="Arial"/>
          <w:sz w:val="17"/>
          <w:szCs w:val="17"/>
          <w:b w:val="1"/>
          <w:bCs w:val="1"/>
          <w:color w:val="auto"/>
        </w:rPr>
        <w:t xml:space="preserve"> </w:t>
      </w:r>
      <w:r>
        <w:rPr>
          <w:rFonts w:ascii="Arial" w:cs="Arial" w:eastAsia="Arial" w:hAnsi="Arial"/>
          <w:sz w:val="17"/>
          <w:szCs w:val="17"/>
          <w:color w:val="auto"/>
        </w:rPr>
        <w:t>- The Company’s satellite payload products for U.S. Government and commercial satellite programs are designed, developed and manufactured</w:t>
      </w:r>
      <w:r>
        <w:rPr>
          <w:rFonts w:ascii="Arial" w:cs="Arial" w:eastAsia="Arial" w:hAnsi="Arial"/>
          <w:sz w:val="17"/>
          <w:szCs w:val="17"/>
          <w:b w:val="1"/>
          <w:bCs w:val="1"/>
          <w:color w:val="auto"/>
        </w:rPr>
        <w:t xml:space="preserve"> </w:t>
      </w:r>
      <w:r>
        <w:rPr>
          <w:rFonts w:ascii="Arial" w:cs="Arial" w:eastAsia="Arial" w:hAnsi="Arial"/>
          <w:sz w:val="17"/>
          <w:szCs w:val="17"/>
          <w:color w:val="auto"/>
        </w:rPr>
        <w:t>at its Long Island, New York facility. At this location, the Company also applies its technology and know-how to products for the U.S. military and other U.S. Government agencies, as well as products for certain terrestrial commercial communications and other industrial applications.</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FEI-Asia was established in fiscal year 2002 as a wholly-owned subsidiary of the Company, to be the Company’s Asia-based low-cost manufacturer of certain commercial communications products used primarily in the wireless and wireline markets as well as power grids. FEI-Asia is located in the Free-Trade Zone in Tianjin, China.</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FEI-Elcom designs and manufactures Radio Frequency (“RF”) microwave modules, devices and subsystems up to 46 GHz including fast switching, ultra-low phase noise synthesizers, up-down converters, receivers, tuners, ceramic resonant oscillators and dielectric resonant oscillators. These instruments and components are mission critical for multiple applications in the EW market, including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We have taken steps to right-size the FEI-NY segment in response to the end market weakness while at the same time best positioning FEI to capture the eventual recovery in business. These actions include headcount reductions; however, we are ensuring that these reductions will have no effect on the Company’s ability to provide on time delivery for present contractual obligations and to fully achieve its internal research and development objectives. We are also implementing a variety of operational improvements that are expected to improve efficiency and result in improved margins, including faster inventory turns and better cash flow. We have consolidated FEI-Elcom’s manufacturing capabilities with other FEI-NY operations in an effort to reduce costs and improve margin. This should have the collateral benefit of improving engineering efficiencies and more effective customer coverage.</w:t>
      </w:r>
    </w:p>
    <w:p>
      <w:pPr>
        <w:spacing w:after="0" w:line="179" w:lineRule="exact"/>
        <w:rPr>
          <w:sz w:val="20"/>
          <w:szCs w:val="20"/>
          <w:color w:val="auto"/>
        </w:rPr>
      </w:pPr>
    </w:p>
    <w:p>
      <w:pPr>
        <w:jc w:val="both"/>
        <w:ind w:firstLine="8"/>
        <w:spacing w:after="0" w:line="314" w:lineRule="auto"/>
        <w:tabs>
          <w:tab w:leader="none" w:pos="428"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FEI-Zyfer</w:t>
      </w:r>
      <w:r>
        <w:rPr>
          <w:rFonts w:ascii="Arial" w:cs="Arial" w:eastAsia="Arial" w:hAnsi="Arial"/>
          <w:sz w:val="16"/>
          <w:szCs w:val="16"/>
          <w:b w:val="1"/>
          <w:bCs w:val="1"/>
          <w:color w:val="auto"/>
        </w:rPr>
        <w:t xml:space="preserve"> </w:t>
      </w:r>
      <w:r>
        <w:rPr>
          <w:rFonts w:ascii="Arial" w:cs="Arial" w:eastAsia="Arial" w:hAnsi="Arial"/>
          <w:sz w:val="16"/>
          <w:szCs w:val="16"/>
          <w:color w:val="auto"/>
        </w:rPr>
        <w:t>- Precision time references for terrestrial secure communications and command and control, and frequency products that incorporate GPS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(“SAASM”) applications.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these reportable segments, see Item 1. Business – Reportable Segments and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10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FEI-Zyfer with historically minimal sales to outside customers.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programs and to wireless communications networks. The FEI-Zyfer segment, which operates out of California, designs and manufactures products which incorporate GPS technologies and rugged high-precision-clocks designed and manufactured at FEI-NY. FEI-Zyfer sells its products to both commercial and U.S. Government customers and collaborates with FEI-NY on joint product development activities.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years 2018 and 2017, approximately 68% and 78%, respectively, of the Company’s consolidated revenues were from products sold by the FEI-NY segment. In fiscal years 2018 and 2017, sales for the FEI-Zyfer segment were 39% and 30% of consolidated revenues, respectively. (The sum of annual sales percentages exceeds 100% due to intersegment sales.)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U.S., primarily in Europe and China. During fiscal years 2018 and 2017, foreign sales comprised 6% and 9%, respectively, of consolidated revenues. For segment information, see Note 14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network infrastructure sales has declined relatively. The Company expects to continue to generate substantial revenues from deployment of new and replacement satellites and other U.S. Government/DOD applications including sales of ruggedized subsystems for moving platforms of the U.S. military.</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Constellation, Intelsat EPIC, O3B, WAAS, MexSat, MSV, ICO, TerreStar, EchoStar, Inmarsat and others. The Company is also positioned to potentially provide products for the large satellite constellations being planned for the very near future that will operate in low- or mid-earth orbits.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years ahead, the Company expects that the DOD will require more secure communication capabilities, more assets in space and greater bandwidth. The Global Positioning Satellite System (GPS), the MILSTAR Satellite System and the AEHF Satellite System are examples of the programs in which the Company has participated or will participate - programs which management believes are important to the success of the U.S. Government’s communication, intelligence and Precision Navigation and Timing (PNT) needs.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 In April 2018, the Company was selected by the Air Force Research Laboratory to develop an Advanced Rubidium Atomic Frequency Standard. FEI believes this technology will become the next generation atomic clock for space and terrestrial applications.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w:t>
      </w:r>
      <w:r>
        <w:rPr>
          <w:rFonts w:ascii="Arial" w:cs="Arial" w:eastAsia="Arial" w:hAnsi="Arial"/>
          <w:sz w:val="12"/>
          <w:szCs w:val="12"/>
          <w:b w:val="1"/>
          <w:bCs w:val="1"/>
          <w:color w:val="auto"/>
        </w:rPr>
        <w:t>OVERNMENT</w:t>
      </w:r>
      <w:r>
        <w:rPr>
          <w:rFonts w:ascii="Arial" w:cs="Arial" w:eastAsia="Arial" w:hAnsi="Arial"/>
          <w:sz w:val="18"/>
          <w:szCs w:val="18"/>
          <w:b w:val="1"/>
          <w:bCs w:val="1"/>
          <w:color w:val="auto"/>
        </w:rPr>
        <w:t>- N</w:t>
      </w:r>
      <w:r>
        <w:rPr>
          <w:rFonts w:ascii="Arial" w:cs="Arial" w:eastAsia="Arial" w:hAnsi="Arial"/>
          <w:sz w:val="12"/>
          <w:szCs w:val="12"/>
          <w:b w:val="1"/>
          <w:bCs w:val="1"/>
          <w:color w:val="auto"/>
        </w:rPr>
        <w:t>ON</w:t>
      </w:r>
      <w:r>
        <w:rPr>
          <w:rFonts w:ascii="Arial" w:cs="Arial" w:eastAsia="Arial" w:hAnsi="Arial"/>
          <w:sz w:val="18"/>
          <w:szCs w:val="18"/>
          <w:b w:val="1"/>
          <w:bCs w:val="1"/>
          <w:color w:val="auto"/>
        </w:rPr>
        <w:t>-</w:t>
      </w:r>
      <w:r>
        <w:rPr>
          <w:rFonts w:ascii="Arial" w:cs="Arial" w:eastAsia="Arial" w:hAnsi="Arial"/>
          <w:sz w:val="12"/>
          <w:szCs w:val="12"/>
          <w:b w:val="1"/>
          <w:bCs w:val="1"/>
          <w:color w:val="auto"/>
        </w:rPr>
        <w:t>SPACE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and electronic countermeasures and timing systems. The Company has developed and patented a low g-sensitivity (gravity) technology which offers a 100 times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FEI-Elcom addresses RF microwave modules and subsystems up to 46 GHz including fast switching, ultra-low phase noise synthesizers, up-down converters, receivers, tuners, ceramic resonant oscillators and dielectric resonant oscillators. These instruments and components are mission critical for many applications in the EW market, including SATCOM communication, surveillance, intelligence collection (SIGINT, COMINT, MASINT, and ELINT), threat simulation, EA and EP systems.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due to periodic U.S. Government appropriations cycles.</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Air Force Research Laboratory contract awarded in April of 2018 is a cost-plus-fixed-fee contract (“CPFF”). The Company also has other CPFF contracts. Under these contracts, the Company is able to recover all of its direct and indirect costs related to the programs plus a pre-determined fee.</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Contracts Audit Agency (“DCAA”). Frequency’s last full incurred cost audit was performed in 2008. The Company is required to submit for subsequent review an incurred cost report by October 31, for each year then ended. All such required reports have been filed with no adverse comment to date.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a large CPFF contract, the DCAA initiated an Accounting System Audit which was successfully completed, allowing Frequency to enter into contracts directly with U.S. Government agencies that require government certified accounting systems, which further enables the Company to take advantage of future opportunities.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Government end-use contracts are subject to termination by the purchaser for convenience or default, as well as various other Federal Acquisition Regulations (“FAR”) provisions. In the event of a termination, the Company is entitled to receive compensation as provided under the specific terms of such contracts. There were no end-use contracts terminated for the year ended April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85% of FEI-Zyfer’s revenues are derived from sales where the end user is the U.S. Government. FEI-Zyfer’s products are an important extension of FEI’s core product line, specifically in the area of GPS capabilities and precision time for terrestrial secure communications and command and control. Recently identified threats to the communication capabilities of U.S. Government facilities and to the public and enterprise networks through jamming, multi-path or “spoofing” GPS signals may be mitigated by FEI-Zyfer’s technologies and products. High precision, ruggedized clocks combined with specialized software are essential for communication and operational security.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April 30, 2018, the Company’s consolidated backlog amounted to approximately $30 million compared to approximately $28 million at the end of the prior fiscal year. Approximately 37% of the current backlog is expected to be filled during the Company’s fiscal year ending April 30, 2019. As of April 30, 2018, there are no amounts included in backlog under CPFF contracts that have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markets its products both directly and through independent sales representative organizations located in the U.S.,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to non-U.S. end-users, totaled approximately 6% and 9%of net revenues in fiscal years 2018 and 2017, respectively.</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2018 and 2017, approximately 74% and 59%, respectively, of the Company’s sales were made under contracts to the U.S. Government or subcontracts for U.S. Government end-use.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fiscal year 2018, Lockheed Martin Corporation (“Lockheed Martin”), Northrop Grumman Corporation (“Northrop Grumman”), and Thales Alenia Space (“Thales”), each accounted for more than 10% of FEI-NY segment revenues; additionally, Lockheed Martin accounted for more than 10% of the Company’s consolidated revenues. During fiscal year 2017, Lockheed Martin, Northrop Grumman and Thales each accounted for more than 10% of FEI-NY segment revenues; additionally, Lockheed Martin and Northrop Grumman also each accounted for more than 10% of the Company’s consolidated revenues.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2018, Raytheon Company (“Raytheon”) and Naval Supply Systems Command Fleet Logistics Center Norfolk Contracting Philadelphia Office (“NAVSUP”) each accounted for more than 10% of FEI-Zyfer segment revenues; additionally, Raytheon also accounted for more than 10% of the Company’s consolidated revenues. During fiscal year 2017, Raytheon accounted for more than 10% of FEI-Zyfer’s revenues; additionally, Raytheon also accounted for more than 10% of the Company’s consolidated revenues.</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81" w:lineRule="exact"/>
        <w:rPr>
          <w:sz w:val="20"/>
          <w:szCs w:val="20"/>
          <w:color w:val="auto"/>
        </w:rPr>
      </w:pPr>
    </w:p>
    <w:p>
      <w:pPr>
        <w:jc w:val="both"/>
        <w:ind w:left="20" w:right="20" w:firstLine="648"/>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technological leadership continues to be an essential factor to support future growth in revenues and earnings. The Company has focused its internal R&amp;D efforts on improving the core physics and electronic packages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2018 and 2017, the Company expended $7.0 million and $6.9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During fiscal years 2018 and 2017, some of the Company’s development resources were applied to certain CPFF contracts and the design-stage of fixed-price satellite payload programs. For fiscal year 2019 the resources to be allocated to R&amp;D will depend on market conditions and identification of new opportunities, as was the case in fiscal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principal competition for space products is the in-house capability of its major customers such as Boeing,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the previous Microsemi Corporation (now a part of Microchip Technology Inc.) and Mercury Systems.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previously outsourced certain manufacturing processes to third parties and to its wholly-owned subsidiary, FEI-Asia in Tianjin, China and to Russia-based Morion, in which the Company is a minority shareholder.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employs approximately 300 full-time persons worldwide. No employees are represented by labor unions.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 No unusual working capital requirements exist. Our U.S. Government contracts are subject to Federal Acquisition Regulations (“FARS”). The FARS impose various requirements and failure to comply could potentially have consequences.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names of all executive officers of the Company and all positions and offices with the Company which they presently hold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Stanton D. Sloane</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President and Chief Executive Officer</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Martin B. Bloch</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Chief Scientist and Executive Chairman of the Board</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Markus Hechler</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Executive Vice President, President of FEI Government Systems, Inc. and Secretary and Treasurer</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Oleandro Mancini</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Senior Vice President, Business Development</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Steven Strang</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220" w:type="dxa"/>
            <w:vAlign w:val="bottom"/>
          </w:tcPr>
          <w:p>
            <w:pPr>
              <w:ind w:left="100"/>
              <w:spacing w:after="0"/>
              <w:rPr>
                <w:sz w:val="20"/>
                <w:szCs w:val="20"/>
                <w:color w:val="auto"/>
              </w:rPr>
            </w:pPr>
            <w:r>
              <w:rPr>
                <w:rFonts w:ascii="Arial" w:cs="Arial" w:eastAsia="Arial" w:hAnsi="Arial"/>
                <w:sz w:val="18"/>
                <w:szCs w:val="18"/>
                <w:color w:val="auto"/>
              </w:rPr>
              <w:t>President, FEI-Zyfer</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James Davis</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220" w:type="dxa"/>
            <w:vAlign w:val="bottom"/>
          </w:tcPr>
          <w:p>
            <w:pPr>
              <w:ind w:left="100"/>
              <w:spacing w:after="0"/>
              <w:rPr>
                <w:sz w:val="20"/>
                <w:szCs w:val="20"/>
                <w:color w:val="auto"/>
              </w:rPr>
            </w:pPr>
            <w:r>
              <w:rPr>
                <w:rFonts w:ascii="Arial" w:cs="Arial" w:eastAsia="Arial" w:hAnsi="Arial"/>
                <w:sz w:val="18"/>
                <w:szCs w:val="18"/>
                <w:color w:val="auto"/>
              </w:rPr>
              <w:t>President, FEI-Elcom</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Thomas McClelland</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Vice President, Advanced Development</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Adrian Lalicata</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   Vice President, RF &amp; Microwave Systems</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Steven L. Bernstein</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2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555"/>
        </w:trPr>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right"/>
              <w:ind w:right="5594"/>
              <w:spacing w:after="0"/>
              <w:rPr>
                <w:sz w:val="20"/>
                <w:szCs w:val="20"/>
                <w:color w:val="auto"/>
              </w:rPr>
            </w:pPr>
            <w:r>
              <w:rPr>
                <w:rFonts w:ascii="Arial" w:cs="Arial" w:eastAsia="Arial" w:hAnsi="Arial"/>
                <w:sz w:val="14"/>
                <w:szCs w:val="14"/>
                <w:color w:val="auto"/>
              </w:rPr>
              <w:t>8</w:t>
            </w:r>
          </w:p>
        </w:tc>
      </w:tr>
      <w:tr>
        <w:trPr>
          <w:trHeight w:val="46"/>
        </w:trPr>
        <w:tc>
          <w:tcPr>
            <w:tcW w:w="17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0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Stanton D. Sloane, age 67, was elected President and Chief Executive Officer effective, May 1, 2018. Since September 2017, Dr. Sloane has served as the Chief Operating Officer of the Company and as a Director of the Company since August 2016. Dr. Sloane was President and Chief Executive Officer of Comtech Telecommunications Corp. (Nasdaq: CMTL) from January 2015 until September 2016 and a director of Comtech from January 2012 until September 2016. Prior to joining Comtech, Dr. Sloane was President and CEO and a Director of Decision Sciences International Corporation, a privately-held advanced security and detection systems company, from August 2011 through January 2015. Prior to that, he served as President and CEO and a Director of SRA International, Inc. (“SRA”), a publicly traded information solutions company. He served as President and CEO of SRA from April 2007 through July 2011, during which time he helped lead the sale of SRA to a private equity firm. Prior to joining SRA, he was Executive Vice President of Lockheed Martin’s Integrated Systems &amp; Solutions from June 2004 until April 2007. He began his business career with General Electric Aerospace in 1984 and progressed through engineering, program management, and business development assignments in a variety of General Electric Aerospace and subsequently Lockheed Martin businesses. He also served as an officer in the U.S. Navy from 1976 until 1981. Dr. Sloane holds a bachelor’s degree in Professional Studies (Aeronautics) from Barry University, a master’s degree in Human Resources Management from Pepperdine University, and a Doctor of Management degree from the Weatherhead Business School at Case Western Reserve University.</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Martin B. Bloch, age 82, has been a Director of the Company and of its predecessor since 1961. Effective May 1, 2018, Mr. Bloch was elected Executive Chairman of the Board of Directors and will continue to serve the Company in his position of Chief Scientist. Mr. Bloch previously held the positions of President and Chief Executive Officer and has held such positions since inception of the Company, except for the period from December 1993 through October 1998 when General Joseph Franklin (ret) held the CEO position. Previous to forming the Company, Mr. Bloch served as chief electronics engineer of the Electronics Division of Bulova Watch Company.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Markus Hechler, age 72,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 and in April 2016 was appointed Secretary and Treasurer.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69,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54, was named President of FEI-Zyfer, Inc., effective May 1, 2005. Previously, Mr. Strang was Executive Vice President of this subsidiary and its predecessor companies where he has served for 20 years in various technical and management positions.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James Davis, age 65, is the President of FEI-Elcom Tech, Inc. which the Company acquired in February 2012. Mr. Davis was named an officer of the Company in October 2013. Mr. Davis became the president of Elcom Technologies, Inc., the pre-acquisition company, on September 20, 2007. Prior to joining FEI-Elcom, Mr. Davis held leadership positions at other technology companies including General Manager of Hewlett Packard’s (Agilent) Semiconductor Systems Center, Vice President and General Manager of Schlumberger Technologies N.A. and Vice President and General Manager of Gretag Macbeth LLC. Mr. Davis also held the rank of Captain as a U.S. Army Special Forces Team Commander.</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Thomas McClelland, age 63,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71,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Steven L. Bernstein, age 53, joined the Company in April 2010 as its Controller and was appointed to the position of Chief Financial Officer in April 2016. Prior to joining the Company, Mr. Bernstein worked in the North America accounting group of Arrow Electronics, a Fortune 500 electronics distributor.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Size (sq. ft.)</w:t>
            </w:r>
          </w:p>
        </w:tc>
        <w:tc>
          <w:tcPr>
            <w:tcW w:w="10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 or Lease</w:t>
            </w:r>
          </w:p>
        </w:tc>
      </w:tr>
      <w:tr>
        <w:trPr>
          <w:trHeight w:val="210"/>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Long Island, NY</w:t>
            </w:r>
          </w:p>
        </w:tc>
        <w:tc>
          <w:tcPr>
            <w:tcW w:w="2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93,000</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80" w:type="dxa"/>
            <w:vAlign w:val="bottom"/>
          </w:tcPr>
          <w:p>
            <w:pPr>
              <w:jc w:val="center"/>
              <w:spacing w:after="0"/>
              <w:rPr>
                <w:sz w:val="20"/>
                <w:szCs w:val="20"/>
                <w:color w:val="auto"/>
              </w:rPr>
            </w:pPr>
            <w:r>
              <w:rPr>
                <w:rFonts w:ascii="Arial" w:cs="Arial" w:eastAsia="Arial" w:hAnsi="Arial"/>
                <w:sz w:val="18"/>
                <w:szCs w:val="18"/>
                <w:color w:val="auto"/>
                <w:w w:val="92"/>
              </w:rPr>
              <w:t>Garden Grove, CA</w:t>
            </w:r>
          </w:p>
        </w:tc>
        <w:tc>
          <w:tcPr>
            <w:tcW w:w="2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27,850</w:t>
            </w:r>
          </w:p>
        </w:tc>
        <w:tc>
          <w:tcPr>
            <w:tcW w:w="1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Tianjin, China</w:t>
            </w:r>
          </w:p>
        </w:tc>
        <w:tc>
          <w:tcPr>
            <w:tcW w:w="2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28,000</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30"/>
        </w:trPr>
        <w:tc>
          <w:tcPr>
            <w:tcW w:w="2780" w:type="dxa"/>
            <w:vAlign w:val="bottom"/>
          </w:tcPr>
          <w:p>
            <w:pPr>
              <w:jc w:val="center"/>
              <w:spacing w:after="0"/>
              <w:rPr>
                <w:sz w:val="20"/>
                <w:szCs w:val="20"/>
                <w:color w:val="auto"/>
              </w:rPr>
            </w:pPr>
            <w:r>
              <w:rPr>
                <w:rFonts w:ascii="Arial" w:cs="Arial" w:eastAsia="Arial" w:hAnsi="Arial"/>
                <w:sz w:val="18"/>
                <w:szCs w:val="18"/>
                <w:color w:val="auto"/>
                <w:w w:val="93"/>
              </w:rPr>
              <w:t>Northvale, NJ</w:t>
            </w:r>
          </w:p>
        </w:tc>
        <w:tc>
          <w:tcPr>
            <w:tcW w:w="2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9,000</w:t>
            </w:r>
          </w:p>
        </w:tc>
        <w:tc>
          <w:tcPr>
            <w:tcW w:w="1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187" w:lineRule="exact"/>
        <w:rPr>
          <w:sz w:val="20"/>
          <w:szCs w:val="20"/>
          <w:color w:val="auto"/>
        </w:rPr>
      </w:pPr>
    </w:p>
    <w:p>
      <w:pPr>
        <w:jc w:val="both"/>
        <w:ind w:right="40" w:firstLine="646"/>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was scheduled to end in January 2019. On July 25, 2018, the Company signed an amendment to the lease with RA 55 CLB LLC (as successor-in-interest to Reckson) which extends the current lease terms ten years and eight months through September 30, 2029. Pursuant to the amendment to the lease agreement, the Company shall pay a gradually increasing annual rent of $1,046,810 in 2019 to $1,276,056 in 2029. The leased space is adequate to meet the Company’s domestic operational needs which encompass the principal operations of the FEI-NY segment and also serves as the Company’s world-wide corporate headquarters.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Garden Grove, California facility is leased by the Company’s subsidiary, FEI-Zyfer. The facility consists of a combination office and manufacturing space. The Company has signed a second amendment to the lease, which extends the lease an additional 88 months, beginning October 1, 2017 and expiring January 31, 2025. The average annual rent over the period of the amendment is approximately $312,000.</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The subsidiary’s office and manufacturing facility is located in the Tianjin Free-Trade Zone. The lease is renewable bi-annually with monthly rent of $1,000 through August 2018. The facility is adequate for the near-term manufacturing expectations for the Company.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FEI-Elcom entered into a new lease agreement on February 1, 2018 in Northvale, New Jersey. The facility consists of a combination office and manufacturing space. The lease, which expires in January 31, 2021, requires monthly payments of $9,673.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become a defendant in litigation arising out of the ordinary course of business. As of July 30, 2018, the Company is not a party to any material legal proceeding.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FISCAL QUARTER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HIGH SALE</w:t>
            </w: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LOW SALE</w:t>
            </w:r>
          </w:p>
        </w:tc>
      </w:tr>
      <w:tr>
        <w:trPr>
          <w:trHeight w:val="210"/>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FIRST QUARTER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5300" w:type="dxa"/>
            <w:vAlign w:val="bottom"/>
          </w:tcPr>
          <w:p>
            <w:pPr>
              <w:ind w:left="6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r>
        <w:trPr>
          <w:trHeight w:val="216"/>
        </w:trPr>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r>
      <w:tr>
        <w:trPr>
          <w:trHeight w:val="202"/>
        </w:trPr>
        <w:tc>
          <w:tcPr>
            <w:tcW w:w="5300" w:type="dxa"/>
            <w:vAlign w:val="bottom"/>
          </w:tcPr>
          <w:p>
            <w:pPr>
              <w:ind w:left="640"/>
              <w:spacing w:after="0" w:line="201" w:lineRule="exact"/>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10.59</w:t>
            </w:r>
          </w:p>
        </w:tc>
        <w:tc>
          <w:tcPr>
            <w:tcW w:w="140" w:type="dxa"/>
            <w:vAlign w:val="bottom"/>
          </w:tcPr>
          <w:p>
            <w:pPr>
              <w:spacing w:after="0"/>
              <w:rPr>
                <w:sz w:val="17"/>
                <w:szCs w:val="17"/>
                <w:color w:val="auto"/>
              </w:rPr>
            </w:pPr>
          </w:p>
        </w:tc>
        <w:tc>
          <w:tcPr>
            <w:tcW w:w="13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8.55</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2017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FIRST QUARTER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5300" w:type="dxa"/>
            <w:vAlign w:val="bottom"/>
          </w:tcPr>
          <w:p>
            <w:pPr>
              <w:ind w:left="6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16"/>
        </w:trPr>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30"/>
        </w:trPr>
        <w:tc>
          <w:tcPr>
            <w:tcW w:w="5300" w:type="dxa"/>
            <w:vAlign w:val="bottom"/>
          </w:tcPr>
          <w:p>
            <w:pPr>
              <w:ind w:left="6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r>
    </w:tbl>
    <w:p>
      <w:pPr>
        <w:spacing w:after="0" w:line="187"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8"/>
          <w:szCs w:val="18"/>
          <w:color w:val="auto"/>
        </w:rPr>
        <w:t>As of July 26, 2018, the approximate number of holders of record of common stock was 655. The closing share price of the Company’s stock on April 30, 2018 was $8.81. The closing share price of the Company’s stock on July 26, 2018 was $7.90.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reviews the Company’s dividend policy at each regular meeting. No dividends were declared or paid during fiscal years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2018 or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8"/>
                <w:szCs w:val="18"/>
                <w:color w:val="auto"/>
              </w:rPr>
              <w:t>EQUITY COMPENSATION PLAN INFORMATION</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392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securities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be issued upon</w:t>
            </w:r>
          </w:p>
        </w:tc>
        <w:tc>
          <w:tcPr>
            <w:tcW w:w="1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options,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warrants and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34"/>
        </w:trPr>
        <w:tc>
          <w:tcPr>
            <w:tcW w:w="6280" w:type="dxa"/>
            <w:vAlign w:val="bottom"/>
            <w:gridSpan w:val="2"/>
          </w:tcPr>
          <w:p>
            <w:pPr>
              <w:ind w:left="260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rights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28"/>
        </w:trPr>
        <w:tc>
          <w:tcPr>
            <w:tcW w:w="62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Equity Compensation Plans</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 (1)</w:t>
            </w: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164,827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equity compensation plans are described in Note 12 to the Consolidated Financial Statements.</w:t>
      </w:r>
    </w:p>
    <w:p>
      <w:pPr>
        <w:sectPr>
          <w:pgSz w:w="11900" w:h="16838" w:orient="portrait"/>
          <w:cols w:equalWidth="0" w:num="1">
            <w:col w:w="11420"/>
          </w:cols>
          <w:pgMar w:left="240" w:top="30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profit percentage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write-downs are based upon management’s experience and expectations for future business. Any changes arising from revised expectations are reflected in cost of sales in the period the revision is made. The Company has implemented additional policies to better manage inventory going forward, and feels it is better positioned for the future after these events.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income tax expense, deferred tax asset and liabilities, and liabilities for unrecognized tax benefits reflect management’s best estimate of current and future taxes to be paid. We are subject to tax in the U. S. and foreign jurisdictions. Significant judgments and estimates are required in the determination of the consolidated income tax expense.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2018, we have a full valuation allowance against our U.S. net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income taxes are recorded as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Presentation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results of Gillam for fiscal years ended April 30, 2018 and 2017 are presented as discontinued operations in our Consolidated Statements of Operations and Comprehensive Loss. Unless otherwise stated, financial results discussed herein refer to continuing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fiscal years ended April 30, 2018 and 2017, the percentage of consolidated net sales represented by certain items in the Company’s consolidated statements of operations: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FEI-NY</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FEI-Zyfer</w:t>
            </w:r>
          </w:p>
        </w:tc>
        <w:tc>
          <w:tcPr>
            <w:tcW w:w="148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intersegment revenues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(57.0)</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 on sale of discontinued operations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Revenues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39,486</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(2,801)</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39,407</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50,351</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(10,944)</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Fiscal year 2018 compared to fiscal year 2017:</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Fiscal 2018 revenues from satellite programs, the Company’s largest business area in fiscal 2017, decreased by $8.3 million, or 37%, compared to the prior fiscal year. This decrease is in resulted from the protracted slowdown in commercial communications satellite procurement and reflects reductions in orders received from satellite service providers by the Company’s major customers. Revenues on satellite program contracts are recorded in the FEI-NY segment and are recognized primarily under the percentage of completion method. Sales revenues from non-space U.S. Government/DOD customers decreased by approximately $1.7 million or 9% compared to prior fiscal year. These revenues are recorded in both the FEI-NY and FEI-Zyfer segments and accounted for approximately 45% and 38% of consolidated revenues for fiscal years 2018 and 2017, respectively. For the year ended April 30, 2018, other commercial and industrial sales accounted for approximately 19% of consolidated revenues compared to approximately 17% for fiscal year 2017. Sales in this business area were $7.6 million for the year ended April 30, 2018 compared to $8.6 million for the preceding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w w:val="89"/>
              </w:rPr>
              <w:t>Fiscal years ended April 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7"/>
              </w:rPr>
              <w:t>(in thousands)</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80" w:type="dxa"/>
            <w:vAlign w:val="bottom"/>
            <w:gridSpan w:val="2"/>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5,163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20"/>
                <w:szCs w:val="20"/>
                <w:color w:val="auto"/>
              </w:rPr>
            </w:pPr>
          </w:p>
        </w:tc>
        <w:tc>
          <w:tcPr>
            <w:tcW w:w="4080" w:type="dxa"/>
            <w:vAlign w:val="bottom"/>
            <w:gridSpan w:val="2"/>
          </w:tcPr>
          <w:p>
            <w:pPr>
              <w:jc w:val="right"/>
              <w:ind w:right="2290"/>
              <w:spacing w:after="0"/>
              <w:rPr>
                <w:sz w:val="20"/>
                <w:szCs w:val="20"/>
                <w:color w:val="auto"/>
              </w:rPr>
            </w:pPr>
            <w:r>
              <w:rPr>
                <w:rFonts w:ascii="Arial" w:cs="Arial" w:eastAsia="Arial" w:hAnsi="Arial"/>
                <w:sz w:val="18"/>
                <w:szCs w:val="18"/>
                <w:color w:val="auto"/>
                <w:w w:val="87"/>
              </w:rPr>
              <w:t>Gross Profit Percentage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year ended April 30, 2018, the gross profit and gross profit percentage both decreased compared to the prior year. The lower gross profit and gross profit percentage is the result of lower revenues, increased repair costs, unabsorbed manufacturing overhead costs and $5.6 million of inventory adjustments.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fiscal years ended April 30, 2018 and 2017, selling and administrative costs (“SG&amp;A”) were 27% and 24%, respectively, of consolidated revenues. SG&amp;A increased as a percentage of consolidated revenues due to the magnitude of the decrease in revenues as compared to the decrease in SG&amp;A. The percentage decrease of SG&amp;A was impacted by the year over year decline in revenues. A reduction in other SG&amp;A consisted primarily of a reduction in deferred compensation expense of $1.1 million and in professional fees of $238,000. Stock compensation expenses which are included in total SG&amp;A were $275,000 and $424,000 in 2018 and 2017, respectively.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jc w:val="right"/>
              <w:ind w:right="123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9"/>
              </w:rPr>
              <w:t>74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2018, the Company continued its accelerated R&amp;D activity. As a percentage of consolidated revenue, R&amp;D spending for the years ended April 30, 2018 and 2017 was approximately 18% and 14%, respectively. These R&amp;D efforts address large business opportunities in secure communications command and control, and satellite systems that require advanced technologies and capabilities going forward. The Company believes it enjoys a competitive edge and has a head start in the development of these technologies.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also engages in customer-funded R&amp;D activity. The funds received in connection therewith appear in revenues and the associated expenses are included in Costs of revenues and are not included in the table above. Although funding is obtained from customers, the Company retains the rights to any products developed. The Company believes that internally generated cash and cash reserves are adequate to fund its R&amp;D activity.</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w:t>
            </w: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fiscal year ended April 30, 2018, the Company recorded an operating loss of 32% of revenues compared to an operating loss of 15% of revenues for fiscal 2017. The operating loss included approximately $5.6 million inventory adjustment, approximately $3.0 of unabsorbed manufacturing overhead costs and additional effects of declining sales.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20" w:type="dxa"/>
            <w:vAlign w:val="bottom"/>
            <w:shd w:val="clear" w:color="auto" w:fill="CCEEFF"/>
          </w:tcPr>
          <w:p>
            <w:pPr>
              <w:jc w:val="right"/>
              <w:ind w:right="69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20" w:type="dxa"/>
            <w:vAlign w:val="bottom"/>
          </w:tcPr>
          <w:p>
            <w:pPr>
              <w:spacing w:after="0" w:line="20" w:lineRule="exact"/>
              <w:rPr>
                <w:sz w:val="1"/>
                <w:szCs w:val="1"/>
                <w:color w:val="auto"/>
              </w:rPr>
            </w:pPr>
          </w:p>
        </w:tc>
        <w:tc>
          <w:tcPr>
            <w:tcW w:w="33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20" w:type="dxa"/>
            <w:vAlign w:val="bottom"/>
          </w:tcPr>
          <w:p>
            <w:pPr>
              <w:jc w:val="right"/>
              <w:ind w:right="69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1,120</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2018, investment income included gains on the sale or redemption of marketable securities of approximately $1,047,000 compared to a loss of approximately $28,000 during fiscal year 2017. In fiscal year 2018, the Company received approximately $220,000 in interest and dividends compared to $575,000 in the prior year. In the fiscal 2018 year the Company received dividends of approximately $85,000 compared to approximately $250,000 in the prior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Provision (Benefit)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on pre-tax book income:</w:t>
      </w:r>
    </w:p>
    <w:p>
      <w:pPr>
        <w:spacing w:after="0" w:line="225" w:lineRule="exact"/>
        <w:rPr>
          <w:sz w:val="20"/>
          <w:szCs w:val="20"/>
          <w:color w:val="auto"/>
        </w:rPr>
      </w:pPr>
    </w:p>
    <w:p>
      <w:pPr>
        <w:ind w:left="2560"/>
        <w:spacing w:after="0"/>
        <w:tabs>
          <w:tab w:leader="none" w:pos="5120" w:val="left"/>
        </w:tabs>
        <w:rPr>
          <w:sz w:val="20"/>
          <w:szCs w:val="20"/>
          <w:color w:val="auto"/>
        </w:rPr>
      </w:pPr>
      <w:r>
        <w:rPr>
          <w:rFonts w:ascii="Arial" w:cs="Arial" w:eastAsia="Arial" w:hAnsi="Arial"/>
          <w:sz w:val="18"/>
          <w:szCs w:val="18"/>
          <w:color w:val="auto"/>
        </w:rPr>
        <w:t>(99.12%)</w:t>
      </w:r>
      <w:r>
        <w:rPr>
          <w:sz w:val="20"/>
          <w:szCs w:val="20"/>
          <w:color w:val="auto"/>
        </w:rPr>
        <w:tab/>
      </w:r>
      <w:r>
        <w:rPr>
          <w:rFonts w:ascii="Arial" w:cs="Arial" w:eastAsia="Arial" w:hAnsi="Arial"/>
          <w:sz w:val="16"/>
          <w:szCs w:val="16"/>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630"/>
        <w:spacing w:after="0" w:line="272" w:lineRule="auto"/>
        <w:rPr>
          <w:sz w:val="20"/>
          <w:szCs w:val="20"/>
          <w:color w:val="auto"/>
        </w:rPr>
      </w:pPr>
      <w:r>
        <w:rPr>
          <w:rFonts w:ascii="Arial" w:cs="Arial" w:eastAsia="Arial" w:hAnsi="Arial"/>
          <w:sz w:val="17"/>
          <w:szCs w:val="17"/>
          <w:color w:val="auto"/>
        </w:rPr>
        <w:t>On December 22, 2017 the legislation commonly known as the Tax Cuts and Jobs Act (the “TCJA” or the “Act”) was enacted into law. The Act makes comprehensive changes to the U.S. tax code, including, but not limited to: (1) reducing the U.S. federal corporate tax rate from 35% to 21%; (2) changing rules related to uses and limitations of net operating loss carry-forwards created in tax years beginning after December 31, 2017, as well as the repeal of the current carryback provisions for net operating losses arising in tax years ending after December 31, 2017; (3) immediate full expensing of certain qualified property; (4) creating a new limitation on deductible interest expense; (5) eliminating the corporate alternative minimum tax; (6) repeal of the deduction for income attributable to domestic production activities; and (7) changes in the manner in which international operations are taxed in the U.S. including a mandatory one-time transition tax on the accumulated untaxed earnings of foreign subsidiaries of U.S. shareholders.</w:t>
      </w:r>
    </w:p>
    <w:p>
      <w:pPr>
        <w:spacing w:after="0" w:line="178" w:lineRule="exact"/>
        <w:rPr>
          <w:sz w:val="20"/>
          <w:szCs w:val="20"/>
          <w:color w:val="auto"/>
        </w:rPr>
      </w:pPr>
    </w:p>
    <w:p>
      <w:pPr>
        <w:jc w:val="both"/>
        <w:ind w:left="20" w:firstLine="644"/>
        <w:spacing w:after="0" w:line="273" w:lineRule="auto"/>
        <w:rPr>
          <w:sz w:val="20"/>
          <w:szCs w:val="20"/>
          <w:color w:val="auto"/>
        </w:rPr>
      </w:pPr>
      <w:r>
        <w:rPr>
          <w:rFonts w:ascii="Arial" w:cs="Arial" w:eastAsia="Arial" w:hAnsi="Arial"/>
          <w:sz w:val="17"/>
          <w:szCs w:val="17"/>
          <w:color w:val="auto"/>
        </w:rPr>
        <w:t>In response to the TCJA, the U.S. Securities and Exchange Commission (“SEC”) staff issued Staff Accounting Bulletin No. 118 (“SAB 118”), which provides guidance on accounting for the tax effects of TCJA. The purpose of SAB 118 was to address any uncertainty or diversity of view in applying ASC Topic 740, Income Taxes in the reporting period in which the TCJA was enacted. SAB 118 addresses situations where the accounting is incomplete for certain income tax effects of the TJCA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left="20" w:firstLine="644"/>
        <w:spacing w:after="0" w:line="255" w:lineRule="auto"/>
        <w:rPr>
          <w:sz w:val="20"/>
          <w:szCs w:val="20"/>
          <w:color w:val="auto"/>
        </w:rPr>
      </w:pPr>
      <w:r>
        <w:rPr>
          <w:rFonts w:ascii="Arial" w:cs="Arial" w:eastAsia="Arial" w:hAnsi="Arial"/>
          <w:sz w:val="18"/>
          <w:szCs w:val="18"/>
          <w:color w:val="auto"/>
        </w:rPr>
        <w:t>Although the majority of the changes resulting from the Act are effective for tax years beginning in 2018, U.S. GAAP requires that certain impacts of the Act be recognized in the income tax provision in the period of enactment. During the three months ended January 31, 2018, we revalued our deferred tax assets at the lower federal corporate tax rate of 21%, which resulted in a provisional non-cash charge to income tax expense of approximately $5.3 million. For fiscal taxpayers, the rate change is administratively effective at the beginning of the Company’s fiscal year, using a blended rate for the annual period. As such, the Company’s blended U.S. statutory tax rate for fiscal 2018 is 29.73%. Our deferred tax assets, inclusive of the fiscal 2018 tax loss, would be realized in future years at the lower corporate tax rate of 21%. As of April 30, 2018, the Company has a full valuation allowance against its net U.S. deferred tax assets.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jc w:val="both"/>
        <w:ind w:left="20" w:firstLine="644"/>
        <w:spacing w:after="0" w:line="279" w:lineRule="auto"/>
        <w:rPr>
          <w:sz w:val="20"/>
          <w:szCs w:val="20"/>
          <w:color w:val="auto"/>
        </w:rPr>
      </w:pPr>
      <w:r>
        <w:rPr>
          <w:rFonts w:ascii="Arial" w:cs="Arial" w:eastAsia="Arial" w:hAnsi="Arial"/>
          <w:sz w:val="17"/>
          <w:szCs w:val="17"/>
          <w:color w:val="auto"/>
        </w:rPr>
        <w:t>The TCJA introduced a mandatory deemed repatriation tax on the earnings of foreign corporations that were not previously subject to U.S. income tax. In accordance with the guidelines provided by the Act, we aggregated untaxed earnings and profits and calculated a provisional one-time transition income tax liability of $0. With the sale of Gillam and the election to treat FEI-Asia as a disregarded entity for U.S. tax purposes, the Company is not subject to the Global Intangible Low Tax Income (“GILTI”) provision provided for by the Act in tax years beginning after December 31, 2017.</w:t>
      </w:r>
    </w:p>
    <w:p>
      <w:pPr>
        <w:spacing w:after="0" w:line="171" w:lineRule="exact"/>
        <w:rPr>
          <w:sz w:val="20"/>
          <w:szCs w:val="20"/>
          <w:color w:val="auto"/>
        </w:rPr>
      </w:pPr>
    </w:p>
    <w:p>
      <w:pPr>
        <w:jc w:val="both"/>
        <w:ind w:left="20" w:firstLine="644"/>
        <w:spacing w:after="0" w:line="257" w:lineRule="auto"/>
        <w:rPr>
          <w:sz w:val="20"/>
          <w:szCs w:val="20"/>
          <w:color w:val="auto"/>
        </w:rPr>
      </w:pPr>
      <w:r>
        <w:rPr>
          <w:rFonts w:ascii="Arial" w:cs="Arial" w:eastAsia="Arial" w:hAnsi="Arial"/>
          <w:sz w:val="18"/>
          <w:szCs w:val="18"/>
          <w:color w:val="auto"/>
        </w:rPr>
        <w:t>While the Company is able to make a reasonable estimate of the impact of the reduction in the corporate rate and transition tax, the provisional amounts may change due to a variety of factors, including, among other things, (i) anticipated guidance from the U.S. Department of Treasury about implementing the TCJA, (ii) potential additional guidance from the SEC or the Financial Accounting Standards Board (“FASB”) related to the TCJA, and (iii) the Company’s further assessment of the TCJA and related regulatory guidance. The Company is not complete in its assessment of the impact of the TCJA on its income tax accounts and financial statements.</w:t>
      </w:r>
    </w:p>
    <w:p>
      <w:pPr>
        <w:spacing w:after="0" w:line="188" w:lineRule="exact"/>
        <w:rPr>
          <w:sz w:val="20"/>
          <w:szCs w:val="20"/>
          <w:color w:val="auto"/>
        </w:rPr>
      </w:pPr>
    </w:p>
    <w:p>
      <w:pPr>
        <w:jc w:val="both"/>
        <w:ind w:left="20" w:firstLine="644"/>
        <w:spacing w:after="0" w:line="257" w:lineRule="auto"/>
        <w:rPr>
          <w:sz w:val="20"/>
          <w:szCs w:val="20"/>
          <w:color w:val="auto"/>
        </w:rPr>
      </w:pPr>
      <w:r>
        <w:rPr>
          <w:rFonts w:ascii="Arial" w:cs="Arial" w:eastAsia="Arial" w:hAnsi="Arial"/>
          <w:sz w:val="18"/>
          <w:szCs w:val="18"/>
          <w:color w:val="auto"/>
        </w:rPr>
        <w:t>For the year ended April 30, 2018, the Company recognized an income tax provision of $11.2 million related to a current year domestic pretax loss compared to an income tax benefit of $2.1 million in the prior year related to a domestic pretax loss. The Company intends to carry back a portion of the fiscal 2018 capital loss for a refund of taxes paid in prior years. Due to the repeal of the current carry back provisions for U.S. federal net operating losses arising in tax years ending after December 31, 2017, the application for a claim of refund is limited to a carryback of state net operating losses for a refund of state taxes paid in prior years.</w:t>
      </w:r>
    </w:p>
    <w:p>
      <w:pPr>
        <w:spacing w:after="0" w:line="188" w:lineRule="exact"/>
        <w:rPr>
          <w:sz w:val="20"/>
          <w:szCs w:val="20"/>
          <w:color w:val="auto"/>
        </w:rPr>
      </w:pPr>
    </w:p>
    <w:p>
      <w:pPr>
        <w:jc w:val="both"/>
        <w:ind w:left="20" w:firstLine="644"/>
        <w:spacing w:after="0" w:line="279" w:lineRule="auto"/>
        <w:rPr>
          <w:sz w:val="20"/>
          <w:szCs w:val="20"/>
          <w:color w:val="auto"/>
        </w:rPr>
      </w:pPr>
      <w:r>
        <w:rPr>
          <w:rFonts w:ascii="Arial" w:cs="Arial" w:eastAsia="Arial" w:hAnsi="Arial"/>
          <w:sz w:val="17"/>
          <w:szCs w:val="17"/>
          <w:color w:val="auto"/>
        </w:rPr>
        <w:t>The Company’s effective tax rate of (99.12%) differs from the U.S. federal blended statutory rate of 29.73% primarily due to the impact of TCJA and the establishment of a full valuation allowance against its U.S. net deferred tax assets, partially offset by a reduction of unrecognized tax benefits under ASC 740. (See Note 12 to the Consolidated Financial Statements for a reconciliation of the actual tax benefit to the expected tax provision at the federal statutory rate, the components of deferred taxes and a tabular roll-forward of unrecognized tax benefits.)</w:t>
      </w:r>
    </w:p>
    <w:p>
      <w:pPr>
        <w:spacing w:after="0" w:line="171" w:lineRule="exact"/>
        <w:rPr>
          <w:sz w:val="20"/>
          <w:szCs w:val="20"/>
          <w:color w:val="auto"/>
        </w:rPr>
      </w:pPr>
    </w:p>
    <w:p>
      <w:pPr>
        <w:jc w:val="both"/>
        <w:ind w:left="20" w:firstLine="644"/>
        <w:spacing w:after="0" w:line="270" w:lineRule="auto"/>
        <w:rPr>
          <w:sz w:val="20"/>
          <w:szCs w:val="20"/>
          <w:color w:val="auto"/>
        </w:rPr>
      </w:pPr>
      <w:r>
        <w:rPr>
          <w:rFonts w:ascii="Arial" w:cs="Arial" w:eastAsia="Arial" w:hAnsi="Arial"/>
          <w:sz w:val="17"/>
          <w:szCs w:val="17"/>
          <w:color w:val="auto"/>
        </w:rPr>
        <w:t>As of April 30, 2018, we are in a three-year cumulative loss position which is considered to be a significant piece of negative evidence that is objectively verifiable. We also considered and weighed positive evidence including our existing backlog and how the backlog might enhance future earnings. However, because the accounting guidance for income taxes considers a projection of future earnings inherently subjective, it does not carry significant weight to overcome the objectively verifiable evidence of cumulative losses in recent years. Based on the weighting of all available evidence, both positive and negative evidence, most notably the three-year cumulative loss and declining sales during the fourth quarter which led to the recognition of a $5.6 million inventory impairment charge and additional losses, we determined that it was appropriate to establish a full valuation allowance against our U.S. net deferred tax assets during the quarter ended April 30, 2018. Although recognition of the valuation allowance for our net deferred tax assets is a non-cash charge to income tax expense of approximately $9.6 million, it did have a negative impact on net loss for the quarter and fiscal year ended April 30, 2018.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78" w:lineRule="exact"/>
        <w:rPr>
          <w:sz w:val="20"/>
          <w:szCs w:val="20"/>
          <w:color w:val="auto"/>
        </w:rPr>
      </w:pPr>
    </w:p>
    <w:p>
      <w:pPr>
        <w:jc w:val="both"/>
        <w:ind w:left="20" w:firstLine="644"/>
        <w:spacing w:after="0" w:line="259" w:lineRule="auto"/>
        <w:rPr>
          <w:sz w:val="20"/>
          <w:szCs w:val="20"/>
          <w:color w:val="auto"/>
        </w:rPr>
      </w:pPr>
      <w:r>
        <w:rPr>
          <w:rFonts w:ascii="Arial" w:cs="Arial" w:eastAsia="Arial" w:hAnsi="Arial"/>
          <w:sz w:val="18"/>
          <w:szCs w:val="18"/>
          <w:color w:val="auto"/>
        </w:rPr>
        <w:t>For the year ended April 30, 2018, the valuation allowance increased by approximately $9.4 million. The valuation allowance increased by $9.6 million for the establishment of a full valuation allowance against our U.S. net deferred tax assets, adjusted by the U.S. federal corporate rate reduction for the enactment of the Act, and current year U.S. losses not benefited offset by a release of a $0.2 million valuation allowance recorded against Asia net operating loss carry-forwards.</w:t>
      </w:r>
    </w:p>
    <w:p>
      <w:pPr>
        <w:spacing w:after="0" w:line="187" w:lineRule="exact"/>
        <w:rPr>
          <w:sz w:val="20"/>
          <w:szCs w:val="20"/>
          <w:color w:val="auto"/>
        </w:rPr>
      </w:pPr>
    </w:p>
    <w:p>
      <w:pPr>
        <w:jc w:val="both"/>
        <w:ind w:left="20" w:firstLine="644"/>
        <w:spacing w:after="0" w:line="257" w:lineRule="auto"/>
        <w:rPr>
          <w:sz w:val="20"/>
          <w:szCs w:val="20"/>
          <w:color w:val="auto"/>
        </w:rPr>
      </w:pPr>
      <w:r>
        <w:rPr>
          <w:rFonts w:ascii="Arial" w:cs="Arial" w:eastAsia="Arial" w:hAnsi="Arial"/>
          <w:sz w:val="18"/>
          <w:szCs w:val="18"/>
          <w:color w:val="auto"/>
        </w:rPr>
        <w:t>As of April 30, 2018, the Company has U.S. federal net operating losses of $24.5 million of which $4.4 million begins to expire in Fiscal 2023 through 2031, if not utilized, and are subject to annual limitation under IRC Section 382. The remaining U.S. federal net operating losses of $20.1 million have an indefinite carry-forward period. The Company’s Asia subsidiary has available net operating loss carry-forwards of $2.0 million which begin to expire in 2019 through 2023. The U.S. federal capital loss carry-forward of $9.2 million expires in 2023. The Company also has state net operating loss carry-forwards, R&amp;D tax credits, and state tax credits that expire in various years and amounts.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58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1"/>
        </w:trPr>
        <w:tc>
          <w:tcPr>
            <w:tcW w:w="2580" w:type="dxa"/>
            <w:vAlign w:val="bottom"/>
            <w:gridSpan w:val="4"/>
          </w:tcPr>
          <w:p>
            <w:pPr>
              <w:ind w:left="660"/>
              <w:spacing w:after="0"/>
              <w:rPr>
                <w:sz w:val="20"/>
                <w:szCs w:val="20"/>
                <w:color w:val="auto"/>
              </w:rPr>
            </w:pPr>
            <w:r>
              <w:rPr>
                <w:rFonts w:ascii="Arial" w:cs="Arial" w:eastAsia="Arial" w:hAnsi="Arial"/>
                <w:sz w:val="18"/>
                <w:szCs w:val="18"/>
                <w:b w:val="1"/>
                <w:bCs w:val="1"/>
                <w:color w:val="auto"/>
                <w:w w:val="88"/>
              </w:rPr>
              <w:t>Discontinued Operations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4"/>
        </w:trPr>
        <w:tc>
          <w:tcPr>
            <w:tcW w:w="6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0"/>
              </w:rPr>
              <w:t>Fiscal years ended April 30,</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(in thousands)</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Income (Loss)</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above table represents the net income (loss) for the Gillam segment accounted for as discontinued operations as presented in Note 2 to the Consolidated Financial Statements. Revenues for 2018 decreased by approximately $1.3 million compared to the prior fiscal year. The gross profit decreased approximately $200,000 and gross profit percentage increased in fiscal 2018. Combined SG&amp;A and R&amp;D expenses for fiscal 2018 increased approximately 10% compared to fiscal 2017, resulting in an operating loss of $958,000 compared $544,000 in fiscal 2017. In fiscal 2017 the Company recognized a deferred tax asset, net of valuation allowance, of $650,000 for its excess outside tax basis in the common shares of Gillam. The corresponding tax benefit was allocated to discontinued operations for that period.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26, 2018, the Company sold Gillam to a European entity in a stock purchase agreement, for $1 million in cash and a note receivable payable in three years for $1 million. The loss recorded due to the sale of Gillam was approximately $359,000. As such, Gillam’s results have been classified as discontinued operations in the accompanying Consolidated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positive cash flow from operations was $3.3 million in fiscal 2018 and $3.5 million in fiscal 2017. The Company generated positive cash flow from operations despite the reported operating loss for both fiscal years. The Company’s balance sheet continues to reflect a highly liquid position with working capital of $46.8 million at April 30, 2018. Included in working capital at April 30, 2018 is approximately $14.0 million consisting of cash, cash equivalents and short-term investments. The Company’s current ratio at April 30, 2018 is 9.9 to 1 compared to 8.6 to 1 at the end of the prior fiscal year.</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fiscal years 2018 and 2017, the Company incurred $18.4 million and $11.3 million, respectively, in non-cash charges to earnings, including adjustments relating to the sale of Gillam, depreciation and amortization expense, inventory adjustments, warranty and accounts receivable reserves and certain employee benefit plan expenses, including accounting for stock-based compensation. During fiscal year 2018, operating cash was increased by decreases in inventory, accounts payable, and accounts receivable. During fiscal year 2017, operating cash was increased by decreases in inventory, accounts payable, and accrued liabilities.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investing activities for the fiscal year ended April 30, 2018 was $286,000 compared to $1.4 million used in fiscal year 2017. In fiscal year 2018, investing activities included net proceeds from the sale of Gillam of approximately $188,000, net proceeds from the redemption, sale or purchase of marketable securities for approximately $1.5 million and uses of cash for the acquisitions of capital equipment and other long-term assets for approximately $1.4 million. In fiscal year 2017, investing activities included net proceeds from the redemption, sale or purchase of marketable securities for approximately $3.8 million and uses of acquisitions of capital equipment and other long-term assets for approximately $5.2 million. The Company may continue to invest cash equivalents as dictated by its investment and acquisition strategies.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provided by financing activities for the current year was $0 compared to $6.7 million used in the prior year consisting of the net principal balance repayment of $6 million to JPMorgan Chase Bank, N.A (“JP Morgan”) and the tax effect arising from the exercise of stock-based awards. On January 30, 2017, the Company repaid the principal balance due on its credit facility, dated June 6, 2013, with JPMorgan. Subsequently, the Company voluntarily terminated this credit facility with JPMorgan to reduce the fees and expenses associated with maintaining that facility. The Company did not incur any early termination fees associated with its voluntary termination of this credit facility. As of April 30, 2018, the Company had available credit at variable terms based on its securities holdings under an advisory arrangement, under which no borrowings have been made.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2018, the Company secured partial customer funding for a portion of its R&amp;D efforts. The customer funds received in connection therewith appear in revenues and are not included in R&amp;D expenses. For fiscal year 2019, the Company anticipates securing additional customer funding for a portion of its R&amp;D activities and will allocate internal funds depending on market conditions and identification of new opportunities as in fiscal 2018.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international business may be subject to changes where contracts are delineated in other than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April 30, 2018, the Company’s consolidated backlog amounted to approximately $30 million as compared to approximately $28 million at the beginning of the fiscal year. See Item 1. Business – Backlog. Approximately 37% of this backlog is expected to be filled during the Company’s fiscal year ending April 30, 2019.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July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 – Goodwill and Other (Topic 350):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Test for Goodwill Impairment</w:t>
      </w:r>
      <w:r>
        <w:rPr>
          <w:rFonts w:ascii="Arial" w:cs="Arial" w:eastAsia="Arial" w:hAnsi="Arial"/>
          <w:sz w:val="18"/>
          <w:szCs w:val="18"/>
          <w:color w:val="auto"/>
        </w:rPr>
        <w:t>, which simplifies how an entity is required to test goodwill for impairment by eliminating Step 2 from the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early adopting and is in the process of determining the effect that ASU 2017-04 may have, however, the Company expects the new standard to have an immaterial effect on its financial statements.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clarifies how certain cash receipts and payments should be presented in the statement of cash flows. The guidance is effective for fiscal years beginning after December 15, 2017 and early adoption is permitted. The update is not expected to have a material impact on the financial statements when it becomes effective in the first quarter of fiscal year 2019.</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generally accepted accounting principles (“GAAP”)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methodology 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2016, the FASB amended the existing accounting standards for stock-based compensation,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in the next fiscal year. The Company has not determined the full impact of implementation of this standard, however the Company is determining if the stock options offered would require any type of transition under the new pronouncement and expects that, when adopted beginning in fiscal 2019, the new standard will have an immaterial effect on the Company’s financials.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does not intend to adopt this update early and is currently re-evaluating the impact of this standard on our consolidated financial statements, due to the new lease amendment dated July 25, 2018, for our company headquarters in New York, when adopted beginning in fiscal 2020.</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adopted this standard May 1, 2017 with no impact on the reported amounts of assets, liabilities or net loss.</w:t>
      </w:r>
    </w:p>
    <w:p>
      <w:pPr>
        <w:spacing w:after="0" w:line="173" w:lineRule="exact"/>
        <w:rPr>
          <w:sz w:val="20"/>
          <w:szCs w:val="20"/>
          <w:color w:val="auto"/>
        </w:rPr>
      </w:pPr>
    </w:p>
    <w:p>
      <w:pPr>
        <w:jc w:val="both"/>
        <w:ind w:left="20" w:firstLine="648"/>
        <w:spacing w:after="0" w:line="269"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ASU 2014-09. This ASU is effective for public companies for annual reporting periods beginning on or after December 15, 2017. On May 1, 2018 the first quarter of fiscal 2019, the Company is required to adopt ASU 2014-19. The Company has decided it will adopt it using the modified-retrospective method, which will result in a cumulative-effect adjustment as of the date of adoption, to accumulated deficit. A significant portion of our business that is not being accounted for presently as percentage of completion is from contracts where the end customer is the U.S. Government. For these production-type order contracts under which revenue recognition is currently as units are delivered, revenue will be recognized over time from the inception of the contract as part of the adoption of this ASU. As a result, the Company will begin recognizing revenue earlier under these contracts. The Company estimates that there will be an increase of approximately $800,000 as an opening adjustment to Accumulated Deficit and costs and estimated earning in excess of billings on uncompleted contracts upon adoption of this pronouncement.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year 2018, as in fiscal year 2017, the impact of inflation on the Company’s business has not been materially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00" w:lineRule="exact"/>
        <w:rPr>
          <w:sz w:val="20"/>
          <w:szCs w:val="20"/>
          <w:color w:val="auto"/>
        </w:rPr>
      </w:pPr>
    </w:p>
    <w:p>
      <w:pPr>
        <w:spacing w:after="0" w:line="237" w:lineRule="exact"/>
        <w:rPr>
          <w:sz w:val="20"/>
          <w:szCs w:val="20"/>
          <w:color w:val="auto"/>
        </w:rPr>
      </w:pPr>
    </w:p>
    <w:p>
      <w:pPr>
        <w:ind w:right="5240"/>
        <w:spacing w:after="0" w:line="2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Frequency Electronics,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Frequency Electronics, Inc. and Subsidiaries (the “Company”) as of April 30, 2018 and 2017, and the related consolidated statements of operations, comprehensive loss, cash flows, and changes in stockholders’ equity for each of the years then ended, and the related notes (collectively referred to as the “financial statements”). In our opinion, the financial statements present fairly, in all material respects, the consolidated financial position of the Company as of April 30, 2018 and 2017, and the consolidated results of their operations and their cash flows for each of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 of allowance for doubtful accounts of $181 in 2018 and $187 in 2017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Costs and estimated earnings in excess of billings,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Prepaid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83,584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Preferred stock, $1.00 par value authorized 600 shares, no shares issued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Common stock, $1.00 par value; authorized 20,000 shares, 9,164 shares issued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8,867 outstanding in 2018; 8,817 outstanding in 2017</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 Retained earnings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reacquired and held in treasury - at cost (297 shares in 2018 and 347 shares in 2017)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83,584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7"/>
          </w:tcPr>
          <w:p>
            <w:pPr>
              <w:jc w:val="right"/>
              <w:ind w:right="380"/>
              <w:spacing w:after="0"/>
              <w:rPr>
                <w:sz w:val="20"/>
                <w:szCs w:val="20"/>
                <w:color w:val="auto"/>
              </w:rPr>
            </w:pPr>
            <w:r>
              <w:rPr>
                <w:rFonts w:ascii="Arial" w:cs="Arial" w:eastAsia="Arial" w:hAnsi="Arial"/>
                <w:sz w:val="18"/>
                <w:szCs w:val="18"/>
                <w:color w:val="auto"/>
                <w:w w:val="96"/>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39,407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34,244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10,608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(benefit) for income taxes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discontinued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Total (loss) income from discontinued operations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(23,777)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and diluted loss from continuing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Basic and diluted (loss) earnings from discontinued operations</w:t>
            </w:r>
          </w:p>
        </w:tc>
        <w:tc>
          <w:tcPr>
            <w:tcW w:w="16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and diluted loss per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Statements of Comprehensive Loss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(23,777)</w:t>
            </w:r>
          </w:p>
        </w:tc>
        <w:tc>
          <w:tcPr>
            <w:tcW w:w="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2"/>
              </w:rPr>
              <w:t>Change in market value of marketable securities before reclassification, net of tax of $(360) and ($182),</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Reclassification adjustment for realized gains included in net income, net of tax of $262 and $57,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Total unrealized (loss) gain on marketable securities, net of tax</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Total other comprehensive (loss) income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(26,973)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92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from continuing operations</w:t>
            </w:r>
          </w:p>
        </w:tc>
        <w:tc>
          <w:tcPr>
            <w:tcW w:w="21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(22,451)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Net (loss) income from discontinued operations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(23,777)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Deferred lease obligation and other liabilities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losses on accounts receivable, inventories and warranty reserve</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(Gains) losses on marketable securities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fixed and other assets, net</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Employee benefit plans expense</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Tax effect from exercise of stock-based compensation</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sale of Gillam</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Accounts payable - trade</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Income taxes refundable (payable)</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provided by operating activities – continuing operations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Gillam</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Purchase of marketable securities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or redemption of marketable securities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investing activities – continuing operations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provided by (used in) investing activities – discontinued operations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from credit line borrowing</w:t>
            </w:r>
          </w:p>
        </w:tc>
        <w:tc>
          <w:tcPr>
            <w:tcW w:w="17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Tax effect from exercise of stock-based compensation</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in financing activities – continuing operations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Cash used in financing activities – discontinued operations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 before effect of exchange rate changes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year</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Less cash and equivalents of discontinued operations at end of year</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7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7,869</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paid during the year for:</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Interest</w:t>
            </w:r>
          </w:p>
        </w:tc>
        <w:tc>
          <w:tcPr>
            <w:tcW w:w="17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325</w:t>
            </w:r>
          </w:p>
        </w:tc>
        <w:tc>
          <w:tcPr>
            <w:tcW w:w="6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13"/>
          </w:tcPr>
          <w:p>
            <w:pPr>
              <w:jc w:val="center"/>
              <w:spacing w:after="0"/>
              <w:rPr>
                <w:sz w:val="20"/>
                <w:szCs w:val="20"/>
                <w:color w:val="auto"/>
              </w:rPr>
            </w:pPr>
            <w:r>
              <w:rPr>
                <w:rFonts w:ascii="Arial" w:cs="Arial" w:eastAsia="Arial" w:hAnsi="Arial"/>
                <w:sz w:val="18"/>
                <w:szCs w:val="18"/>
                <w:color w:val="auto"/>
                <w:w w:val="90"/>
              </w:rPr>
              <w:t>Consolidated Statements of Changes in Stockholders’ Equity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gridSpan w:val="12"/>
          </w:tcPr>
          <w:p>
            <w:pPr>
              <w:jc w:val="center"/>
              <w:ind w:right="800"/>
              <w:spacing w:after="0"/>
              <w:rPr>
                <w:sz w:val="20"/>
                <w:szCs w:val="20"/>
                <w:color w:val="auto"/>
              </w:rPr>
            </w:pPr>
            <w:r>
              <w:rPr>
                <w:rFonts w:ascii="Arial" w:cs="Arial" w:eastAsia="Arial" w:hAnsi="Arial"/>
                <w:sz w:val="18"/>
                <w:szCs w:val="18"/>
                <w:color w:val="auto"/>
                <w:w w:val="89"/>
              </w:rPr>
              <w:t>Years ended April 30, 2018 and 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7"/>
          </w:tcPr>
          <w:p>
            <w:pPr>
              <w:jc w:val="center"/>
              <w:ind w:right="40"/>
              <w:spacing w:after="0"/>
              <w:rPr>
                <w:sz w:val="20"/>
                <w:szCs w:val="20"/>
                <w:color w:val="auto"/>
              </w:rPr>
            </w:pPr>
            <w:r>
              <w:rPr>
                <w:rFonts w:ascii="Arial" w:cs="Arial" w:eastAsia="Arial" w:hAnsi="Arial"/>
                <w:sz w:val="18"/>
                <w:szCs w:val="18"/>
                <w:color w:val="auto"/>
                <w:w w:val="87"/>
              </w:rPr>
              <w:t>(In thousands, except share data)</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1"/>
        </w:trPr>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18"/>
                <w:szCs w:val="18"/>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8"/>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gridSpan w:val="4"/>
          </w:tcPr>
          <w:p>
            <w:pPr>
              <w:ind w:lef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20"/>
                <w:szCs w:val="20"/>
                <w:color w:val="auto"/>
              </w:rPr>
            </w:pPr>
          </w:p>
        </w:tc>
        <w:tc>
          <w:tcPr>
            <w:tcW w:w="18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(at cost)</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earnings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6"/>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Income (loss)</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2016</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411,384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93,352</w:t>
            </w:r>
          </w:p>
        </w:tc>
        <w:tc>
          <w:tcPr>
            <w:tcW w:w="100" w:type="dxa"/>
            <w:vAlign w:val="bottom"/>
            <w:shd w:val="clear" w:color="auto" w:fill="CCEEFF"/>
          </w:tcPr>
          <w:p>
            <w:pPr>
              <w:spacing w:after="0"/>
              <w:rPr>
                <w:sz w:val="18"/>
                <w:szCs w:val="18"/>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(47,839)</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Change in excess tax</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benefits from stock-based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(671)</w:t>
            </w: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(15,273)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Change in unrealized gains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securities, net of taxes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Foreign currency translation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(4,821)</w:t>
            </w: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347,422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89,332</w:t>
            </w:r>
          </w:p>
        </w:tc>
        <w:tc>
          <w:tcPr>
            <w:tcW w:w="100" w:type="dxa"/>
            <w:vAlign w:val="bottom"/>
            <w:shd w:val="clear" w:color="auto" w:fill="CCEEFF"/>
          </w:tcPr>
          <w:p>
            <w:pPr>
              <w:spacing w:after="0"/>
              <w:rPr>
                <w:sz w:val="18"/>
                <w:szCs w:val="18"/>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(46,628)</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gains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losses on marketable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net of taxes</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w:t>
            </w: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98"/>
              </w:rPr>
              <w:t>Foreign currency translation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(23,777)</w:t>
            </w:r>
          </w:p>
        </w:tc>
      </w:tr>
      <w:tr>
        <w:trPr>
          <w:trHeight w:val="20"/>
        </w:trPr>
        <w:tc>
          <w:tcPr>
            <w:tcW w:w="1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220" w:type="dxa"/>
            <w:vAlign w:val="bottom"/>
            <w:gridSpan w:val="2"/>
          </w:tcPr>
          <w:p>
            <w:pPr>
              <w:spacing w:after="0"/>
              <w:rPr>
                <w:sz w:val="20"/>
                <w:szCs w:val="20"/>
                <w:color w:val="auto"/>
              </w:rPr>
            </w:pPr>
            <w:r>
              <w:rPr>
                <w:rFonts w:ascii="Arial" w:cs="Arial" w:eastAsia="Arial" w:hAnsi="Arial"/>
                <w:sz w:val="18"/>
                <w:szCs w:val="18"/>
                <w:color w:val="auto"/>
              </w:rPr>
              <w:t>Balance at April 30, 2018</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9,163,940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56,439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297,083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(1,361)</w:t>
            </w:r>
          </w:p>
        </w:tc>
        <w:tc>
          <w:tcPr>
            <w:tcW w:w="30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r>
      <w:tr>
        <w:trPr>
          <w:trHeight w:val="20"/>
        </w:trPr>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280" w:hanging="270"/>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14 for information regarding the Company’s business segments: (1) FEI-NY (which includes the subsidiaries FEI Government Systems, Inc., FEI Communications, Inc., Frequency Electronics, Inc. Asia (“FEI-Asia”) and FEI-Elcom Tech, Inc. (“FEI-Elcom”)), and (2) FEI-Zyfer, Inc. (“FEI-Zyfer”). Intercompany accounts and significant intercompany transactions are eliminated in consolidation.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(“SIPC”) insurance limits. No losses have been experienced on such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Marketable securities consist of investments in common stocks, including exchange-traded funds, corporate debt securities and debt securities of U.S. Government agencies. All marketable securities were held in the custody of two financial institutions at April 30, 2018 and April 30, 2017.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66" w:lineRule="exact"/>
        <w:rPr>
          <w:sz w:val="20"/>
          <w:szCs w:val="20"/>
          <w:color w:val="auto"/>
        </w:rPr>
      </w:pPr>
    </w:p>
    <w:p>
      <w:pPr>
        <w:jc w:val="both"/>
        <w:ind w:left="20" w:right="20" w:firstLine="648"/>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Intangible assets consist of the ISO 9000 certification arising from the acquisition of FEI-Elcom in the assignment of fair value to its acquired assets including intangibles. The certification is valued at fair value and was amortized over the estimated useful life of 3 years from the date of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is not impaired as of April 30, 2018 and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Changes in job performance on long-term and production-type orders may result in revisions to costs and revenue and are recognized in the period in which revisions are determined to be required. Provisions for the full amount of anticipated losses are made in the period in which they become determinable.</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left="20" w:firstLine="648"/>
        <w:spacing w:after="0" w:line="264"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Comprehensive loss consists of net income and other comprehensive loss. Other comprehensive loss includes changes in unrealized gains or losses, net of tax, on securities available for sale during the year and the effects of foreign currency translation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engages in research and development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Costs of revenues and are not included in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Diluted earnings per share are not computed where the if-converted effect of such items would be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and cash equivalents, short-term credit obligations, long term debt and cash surrender value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The Company is unable to reasonably estimate a fair value for this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maintains manufacturing operations in the People’s Republic of China. The Company is vulnerable to currency risks in this country. The local currency is the functional currency of FEI-Asia. No foreign currency gains or losses are recorded on intercompany transactions since they are affected at current rates of exchange. The results of operations of FEI-Asia, when translated into U.S. dollars, reflect the average rates of exchange for the periods presented. The balance sheet of FEI-Asia, except for equity accounts which are translated at historical rates, are translated into U.S. dollars at the rate of exchange in effect on the date of the balance sheet. As a result, similar results in local currency can vary upon translation into U.S. dollars if exchange rates fluctuate significantly from one period to the next.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 average fair value of each option or stock appreciation right (“SAR”) has been estimated on the date of grant using the Black-Scholes option pricing model with the following range of weighted average assumptions used for grants: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54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Years ended April 30</w:t>
            </w:r>
          </w:p>
        </w:tc>
      </w:tr>
      <w:tr>
        <w:trPr>
          <w:trHeight w:val="223"/>
        </w:trPr>
        <w:tc>
          <w:tcPr>
            <w:tcW w:w="56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Dividend yield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 and 1.14%</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lives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5.0 years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5.0 years</w:t>
            </w:r>
          </w:p>
        </w:tc>
      </w:tr>
    </w:tbl>
    <w:p>
      <w:pPr>
        <w:spacing w:after="0" w:line="200" w:lineRule="exact"/>
        <w:rPr>
          <w:sz w:val="20"/>
          <w:szCs w:val="20"/>
          <w:color w:val="auto"/>
        </w:rPr>
      </w:pPr>
    </w:p>
    <w:p>
      <w:pPr>
        <w:spacing w:after="0" w:line="2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as well as the term of recent SAR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 S. The Company routinely addresses the financial strength of its customers and, as a consequence, believes that its receivable credit risk exposure is limited. The Company does not require customers to post collateral.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(the “FASB”) issued Accounting Standards Update (“ASU”)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which clarifies how certain cash receipts and payments should be presented in the statement of cash flows. The guidance is effective for fiscal years beginning after December 15, 2017 and early adoption is permitted. The update is not expected to have a material impact on the financial statements when it becomes effective in the first quarter of fiscal year 2019.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replaces the incurred loss impairment methodology in current generally accepted accounting principles U.S. GAAP with a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2016, the FASB amended the existing accounting standards for stock-based compensation,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in the next fiscal year. The Company has not determined the full impact of implementation of this standard, however the Company is determining if the stock options offered would require any type of transition under the new pronouncement and expects that, when adopted beginning in fiscal 2019, the new standard will have an immaterial effect on the Company’s financials.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The Company does not intend to adopt this update early and is currently re-evaluating the impact of this standard on our consolidated financial statements, due to the new lease amendment dated July 25, 2018, for our company headquarters in New York, when adopted beginning in fiscal 2020.</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adopted this standard May 1, 2017 with no impact on the reported amounts of assets, liabilities or net loss.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ASU 2014-09. This ASU is effective for public companies for annual reporting periods beginning on or after December 15, 2017. On May 1, 2018 the first quarter of fiscal 2019, the Company is required to adopt ASU 2014-19. The Company has decided it will adopt it using the modified-retrospective method, which will result in a cumulative-effect adjustment as of the date of adoption, to accumulated deficit. A significant portion of our business that is not being accounted for presently as percentage of completion is from contracts where the end customer is the U.S. Government. For these production-type order contracts under which revenue recognition is currently as units are delivered, revenue will be recognized over time from the inception of the contract as part of the adoption of this ASU. As a result, the Company will begin recognizing revenue earlier under these contracts. The Company estimates that there will be an increase of approximately $800,000 as an opening adjustment to Accumulated Deficit and costs and estimated earning in excess of billings on uncompleted contracts upon adoption of this pronouncement.</w:t>
      </w:r>
    </w:p>
    <w:p>
      <w:pPr>
        <w:spacing w:after="0" w:line="18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2016, the Company entered into a contingent share purchase agreement with certain foreign parties with respect to a potential sale of Gillam, the Company’s Belgian subsidiary. However, these parties did not perform their obligations under that agreement, and the Company continued to negotiate with others with respect to a potential sale. Subsequently, in April 2017, the Company decided to sell its Gillam business in any event as soon as practicable. Accordingly, the Company determined that the assets and liabilities of this reportable segment met the discontinued operations criteria in U.S. GAAP in the quarter ended April 30, 2017. On April 26, 2018, the Company sold Gillam to a European entity, in a stock purchase agreement, for $1 million in cash received on April 27, 2018, and a note receivable payable in three years for $1 million. The loss recorded due to the sale of Gillam was approximately $359,000. The calculation of the loss was the carrying amount of the investment on FEI-NY’s books less the retained earnings and remaining equity amounts of Gillam reduced by the cash and note received. As such Gillam’s results have been classified as discontinued operations in the accompanying Consolidated Statements of Operations and Comprehensive Loss.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Summarized operating results for the Gillam discontinued operations for the years ended April 30, 2018 and 2017, respectively, were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April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10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Investment loss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0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(loss) income</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sale of discontinued operations</w:t>
            </w: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Total net (loss) income from discontinued operations</w:t>
            </w:r>
          </w:p>
        </w:tc>
        <w:tc>
          <w:tcPr>
            <w:tcW w:w="100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(1,326)</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carrying amounts of assets and liabilities for the Gillam discontinued operations for the years ended April 30, 2018 and 2017,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April 30,</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 of discontinued operations</w:t>
            </w:r>
          </w:p>
        </w:tc>
        <w:tc>
          <w:tcPr>
            <w:tcW w:w="11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95"/>
        </w:trPr>
        <w:tc>
          <w:tcPr>
            <w:tcW w:w="1160" w:type="dxa"/>
            <w:vAlign w:val="bottom"/>
          </w:tcPr>
          <w:p>
            <w:pPr>
              <w:spacing w:after="0"/>
              <w:rPr>
                <w:sz w:val="16"/>
                <w:szCs w:val="16"/>
                <w:color w:val="auto"/>
              </w:rPr>
            </w:pPr>
          </w:p>
        </w:tc>
        <w:tc>
          <w:tcPr>
            <w:tcW w:w="5700" w:type="dxa"/>
            <w:vAlign w:val="bottom"/>
            <w:tcBorders>
              <w:top w:val="single" w:sz="8" w:color="CCEEFF"/>
            </w:tcBorders>
          </w:tcPr>
          <w:p>
            <w:pPr>
              <w:ind w:left="220"/>
              <w:spacing w:after="0" w:line="195" w:lineRule="exact"/>
              <w:rPr>
                <w:sz w:val="20"/>
                <w:szCs w:val="20"/>
                <w:color w:val="auto"/>
              </w:rPr>
            </w:pPr>
            <w:r>
              <w:rPr>
                <w:rFonts w:ascii="Arial" w:cs="Arial" w:eastAsia="Arial" w:hAnsi="Arial"/>
                <w:sz w:val="18"/>
                <w:szCs w:val="18"/>
                <w:color w:val="auto"/>
                <w:w w:val="90"/>
              </w:rPr>
              <w:t>Property, plant and equipment, at cost, net of accumulated depreciation and</w:t>
            </w:r>
          </w:p>
        </w:tc>
        <w:tc>
          <w:tcPr>
            <w:tcW w:w="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6860" w:type="dxa"/>
            <w:vAlign w:val="bottom"/>
            <w:gridSpan w:val="2"/>
          </w:tcPr>
          <w:p>
            <w:pPr>
              <w:ind w:left="1140"/>
              <w:spacing w:after="0"/>
              <w:rPr>
                <w:sz w:val="20"/>
                <w:szCs w:val="20"/>
                <w:color w:val="auto"/>
              </w:rPr>
            </w:pPr>
            <w:r>
              <w:rPr>
                <w:rFonts w:ascii="Arial" w:cs="Arial" w:eastAsia="Arial" w:hAnsi="Arial"/>
                <w:sz w:val="18"/>
                <w:szCs w:val="18"/>
                <w:color w:val="auto"/>
              </w:rPr>
              <w:t>amortization</w:t>
            </w:r>
          </w:p>
        </w:tc>
        <w:tc>
          <w:tcPr>
            <w:tcW w:w="11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Deferred taxes – non-current</w:t>
            </w:r>
          </w:p>
        </w:tc>
        <w:tc>
          <w:tcPr>
            <w:tcW w:w="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assets of discontinued operations</w:t>
            </w:r>
          </w:p>
        </w:tc>
        <w:tc>
          <w:tcPr>
            <w:tcW w:w="11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 trade</w:t>
            </w:r>
          </w:p>
        </w:tc>
        <w:tc>
          <w:tcPr>
            <w:tcW w:w="11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 of discontinued operations</w:t>
            </w:r>
          </w:p>
        </w:tc>
        <w:tc>
          <w:tcPr>
            <w:tcW w:w="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Deferred rent and other liabilities</w:t>
            </w:r>
          </w:p>
        </w:tc>
        <w:tc>
          <w:tcPr>
            <w:tcW w:w="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liabilities of discontinued operations</w:t>
            </w:r>
          </w:p>
        </w:tc>
        <w:tc>
          <w:tcPr>
            <w:tcW w:w="11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549"/>
        </w:trPr>
        <w:tc>
          <w:tcPr>
            <w:tcW w:w="1160" w:type="dxa"/>
            <w:vAlign w:val="bottom"/>
          </w:tcPr>
          <w:p>
            <w:pPr>
              <w:spacing w:after="0"/>
              <w:rPr>
                <w:sz w:val="24"/>
                <w:szCs w:val="24"/>
                <w:color w:val="auto"/>
              </w:rPr>
            </w:pPr>
          </w:p>
        </w:tc>
        <w:tc>
          <w:tcPr>
            <w:tcW w:w="5700" w:type="dxa"/>
            <w:vAlign w:val="bottom"/>
            <w:tcBorders>
              <w:top w:val="single" w:sz="8" w:color="CCEEFF"/>
            </w:tcBorders>
          </w:tcPr>
          <w:p>
            <w:pPr>
              <w:ind w:left="4480"/>
              <w:spacing w:after="0"/>
              <w:rPr>
                <w:sz w:val="20"/>
                <w:szCs w:val="20"/>
                <w:color w:val="auto"/>
              </w:rPr>
            </w:pPr>
            <w:r>
              <w:rPr>
                <w:rFonts w:ascii="Arial" w:cs="Arial" w:eastAsia="Arial" w:hAnsi="Arial"/>
                <w:sz w:val="14"/>
                <w:szCs w:val="14"/>
                <w:color w:val="auto"/>
              </w:rPr>
              <w:t>32</w:t>
            </w:r>
          </w:p>
        </w:tc>
        <w:tc>
          <w:tcPr>
            <w:tcW w:w="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0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Reconciliations of the weighted average shares outstanding for basic and diluted Earnings Per Share for the years ended April 30, 2018 and 2017, respectively, were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ind w:left="800"/>
              <w:spacing w:after="0"/>
              <w:rPr>
                <w:sz w:val="20"/>
                <w:szCs w:val="20"/>
                <w:color w:val="auto"/>
              </w:rPr>
            </w:pPr>
            <w:r>
              <w:rPr>
                <w:rFonts w:ascii="Arial" w:cs="Arial" w:eastAsia="Arial" w:hAnsi="Arial"/>
                <w:sz w:val="18"/>
                <w:szCs w:val="18"/>
                <w:b w:val="1"/>
                <w:bCs w:val="1"/>
                <w:color w:val="auto"/>
              </w:rPr>
              <w:t>Years ended April 30,</w:t>
            </w: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EPS Shares outstanding (weighted average)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8,841,166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8,787,082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8,841,166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8,787,082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56"/>
        <w:spacing w:after="0" w:line="264" w:lineRule="auto"/>
        <w:tabs>
          <w:tab w:leader="none" w:pos="881"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the years ended April 30, 2018 and 2017, dilutive securities are excluded since the inclusion of such shares would be antidilutive due to the net loss for the period. The exercisable shares excluded for 2018 and 2017 are 1,259,500 and 1,280,625, respectively. The effect of dilutive securities for 2018 and 2017 would have been 127,536 and 192,523, respectively.</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30, 2018 and 2017,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gridSpan w:val="3"/>
          </w:tcPr>
          <w:p>
            <w:pPr>
              <w:jc w:val="right"/>
              <w:ind w:right="25"/>
              <w:spacing w:after="0"/>
              <w:rPr>
                <w:sz w:val="20"/>
                <w:szCs w:val="20"/>
                <w:color w:val="auto"/>
              </w:rPr>
            </w:pPr>
            <w:r>
              <w:rPr>
                <w:rFonts w:ascii="Arial" w:cs="Arial" w:eastAsia="Arial" w:hAnsi="Arial"/>
                <w:sz w:val="18"/>
                <w:szCs w:val="18"/>
                <w:color w:val="auto"/>
                <w:w w:val="94"/>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2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2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2018 and 2017, revenue recognized under percentage of completion contracts was approximately $16.7 million and $26.4 million, respectively. If contract losses are anticipated, costs and estimated earnings in excess of billings are reduced for the full amount of such losses when they are determinable. There were no contract losses for the fiscal year ended April 30, 2018. Total contract losses at April 30, 2017 were approximately $300,000.</w:t>
      </w:r>
    </w:p>
    <w:p>
      <w:pPr>
        <w:spacing w:after="0" w:line="18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April 30, 2018 and 2017, respectively,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16,206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Work in Progress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26,186</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29,051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April 30, 2018, and 2017, approximately $25.2 million and $28.2 million, respectively, of total inventory was located in the U.S. and $1.0 million and $0.8 million, respectively, was located in China. For the year ended April 30, 2018, the Company recorded a non-cash write-down of approximately $5.6 million of inventory. Inventory write-down resulted from two principal factors; (1) adoption by satellite manufacturers of policies precluding the use of parts and components over ten years old. This policy was unanticipated and resulted in reduced likelihood of FEI being able to use inventory that exceeds that threshold, and (2) changing technology associated with the advanced analog-to-digital converters which enables direct synthesis of certain frequencies for which FEI previously provided frequency conversion technology, reducing the likelihood that some parts and components associated with frequency conversion will be usable. For the year ended April 30, 2017, the Company recorded a non-cash write-down of approximately $5 million of inventory relating to wire-line copper-based synchronization products in the FEI-Zyfer segment. Additionally, in fiscal 2017 the Company recorded $2 million of inventory adjustments in the FEI-NY segment.</w:t>
      </w:r>
    </w:p>
    <w:p>
      <w:pPr>
        <w:sectPr>
          <w:pgSz w:w="11900" w:h="16838" w:orient="portrait"/>
          <w:cols w:equalWidth="0" w:num="1">
            <w:col w:w="11420"/>
          </w:cols>
          <w:pgMar w:left="240" w:top="30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and Leases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plant and equipment at April 30, 2018 and 2017,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(46,166)</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(44,268)</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for the years ended April 30, 2018 and 2017 was $2,466,000 and $2,610,000,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and repairs charged to operations for the years ended April 30, 2018 and 2017 was approximately $466,000 and $675,000, respectively.</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its Long Island, New York headquarters building at an annual rent of $800,000 following the Company’s exercise of its option to renew the lease for a second 5-year period. The lease will end in January 2019. On July 25, 2018, the Company signed an amendment to the lease which extends the current lease terms ten years and eight months through September 30, 2029. Under the terms of the lease, the Company is required to pay its proportionate share of real estate taxes, insurance and other charges.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Company’s subsidiaries in New Jersey, China, and California lease their office and manufacturing facilities. On February 1, 2018, FEI-Elcom entered into a new lease agreement in New Jersey for office and manufacturing space encompassing approximately 9,000 square feet. The monthly rent is $9,673 through the end of the lease which expires in January 31, 2021. The lease for the FEI-Asia facility in China is for a six-month term with monthly rent of $1,000 through August 2018. FEI-Zyfer has signed a second amendment to its lease in California, which extends the lease an additional 88 months, beginning October 1, 2017 and expiring January 31, 2025. The average annual rent over the period of the amendment is approximately $312,000. FEI-Zyfer leases office and manufacturing space encompassing 27,850 square feet.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Rent expense under operating leases for the years ended April 30, 2018 and 2017 was approximately $1.7 million and $1.6 million, respectively. The Company records rent expense on its New York building and FEI-Zyfer facility on the straight-line method over the lives of the respective leases. As a result, as of April 30, 2018 and 2017, the Company’s balance sheet included deferred rent payable of approximately $110,000 and $99,000, respectively, which will be recognized over the respective rental periods.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non-cancelable minimum lease payments required by the operating leases for the years ended April 30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2760" w:type="dxa"/>
            <w:vAlign w:val="bottom"/>
          </w:tcPr>
          <w:p>
            <w:pPr>
              <w:ind w:left="1320"/>
              <w:spacing w:after="0"/>
              <w:rPr>
                <w:sz w:val="20"/>
                <w:szCs w:val="20"/>
                <w:color w:val="auto"/>
              </w:rPr>
            </w:pPr>
            <w:r>
              <w:rPr>
                <w:rFonts w:ascii="Arial" w:cs="Arial" w:eastAsia="Arial" w:hAnsi="Arial"/>
                <w:sz w:val="18"/>
                <w:szCs w:val="18"/>
                <w:b w:val="1"/>
                <w:bCs w:val="1"/>
                <w:color w:val="auto"/>
              </w:rPr>
              <w:t>Years ending</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Operating Leases</w:t>
            </w:r>
          </w:p>
        </w:tc>
        <w:tc>
          <w:tcPr>
            <w:tcW w:w="120" w:type="dxa"/>
            <w:vAlign w:val="bottom"/>
            <w:vMerge w:val="restart"/>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60" w:type="dxa"/>
            <w:vAlign w:val="bottom"/>
          </w:tcPr>
          <w:p>
            <w:pPr>
              <w:spacing w:after="0"/>
              <w:rPr>
                <w:sz w:val="19"/>
                <w:szCs w:val="19"/>
                <w:color w:val="auto"/>
              </w:rPr>
            </w:pPr>
          </w:p>
        </w:tc>
        <w:tc>
          <w:tcPr>
            <w:tcW w:w="2760" w:type="dxa"/>
            <w:vAlign w:val="bottom"/>
          </w:tcPr>
          <w:p>
            <w:pPr>
              <w:ind w:left="1480"/>
              <w:spacing w:after="0"/>
              <w:rPr>
                <w:sz w:val="20"/>
                <w:szCs w:val="20"/>
                <w:color w:val="auto"/>
              </w:rPr>
            </w:pPr>
            <w:r>
              <w:rPr>
                <w:rFonts w:ascii="Arial" w:cs="Arial" w:eastAsia="Arial" w:hAnsi="Arial"/>
                <w:sz w:val="18"/>
                <w:szCs w:val="18"/>
                <w:b w:val="1"/>
                <w:bCs w:val="1"/>
                <w:color w:val="auto"/>
              </w:rPr>
              <w:t>April 30,</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2020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1,490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1,436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future minimum lease payments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15,522</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6"/>
        </w:trPr>
        <w:tc>
          <w:tcPr>
            <w:tcW w:w="2860" w:type="dxa"/>
            <w:vAlign w:val="bottom"/>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716"/>
              <w:spacing w:after="0"/>
              <w:rPr>
                <w:sz w:val="20"/>
                <w:szCs w:val="20"/>
                <w:color w:val="auto"/>
              </w:rPr>
            </w:pPr>
            <w:r>
              <w:rPr>
                <w:rFonts w:ascii="Arial" w:cs="Arial" w:eastAsia="Arial" w:hAnsi="Arial"/>
                <w:sz w:val="14"/>
                <w:szCs w:val="14"/>
                <w:color w:val="auto"/>
                <w:w w:val="89"/>
              </w:rPr>
              <w:t>34</w:t>
            </w:r>
          </w:p>
        </w:tc>
        <w:tc>
          <w:tcPr>
            <w:tcW w:w="1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86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0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2018 and 2017,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April 30, 2018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3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6,274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securities</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6,274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April 30, 2017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3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securities</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r>
      <w:tr>
        <w:trPr>
          <w:trHeight w:val="20"/>
        </w:trPr>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6,746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7,815</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April 30, 2018</w:t>
            </w:r>
          </w:p>
        </w:tc>
        <w:tc>
          <w:tcPr>
            <w:tcW w:w="14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top w:val="single" w:sz="8" w:color="CCEEFF"/>
              <w:bottom w:val="single" w:sz="8" w:color="auto"/>
            </w:tcBorders>
          </w:tcPr>
          <w:p>
            <w:pPr>
              <w:ind w:left="1040"/>
              <w:spacing w:after="0" w:line="196" w:lineRule="exact"/>
              <w:rPr>
                <w:sz w:val="20"/>
                <w:szCs w:val="20"/>
                <w:color w:val="auto"/>
              </w:rPr>
            </w:pPr>
            <w:r>
              <w:rPr>
                <w:rFonts w:ascii="Arial" w:cs="Arial" w:eastAsia="Arial" w:hAnsi="Arial"/>
                <w:sz w:val="18"/>
                <w:szCs w:val="18"/>
                <w:b w:val="1"/>
                <w:bCs w:val="1"/>
                <w:color w:val="auto"/>
              </w:rPr>
              <w:t>April 30, 2017</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2018 were other-than-temporary due to market volatility of the security’s fair value, analysts’ expectations and the Company’s ability to hold the securities for a period of time sufficient to allow for any anticipated recoveries in market value.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loss for the years ended April 30, 2018 and 2017, respectively, were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For the years ended April 30,</w:t>
            </w: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40" w:type="dxa"/>
            <w:vAlign w:val="bottom"/>
            <w:gridSpan w:val="2"/>
          </w:tcPr>
          <w:p>
            <w:pPr>
              <w:spacing w:after="0" w:line="196" w:lineRule="exact"/>
              <w:rPr>
                <w:sz w:val="20"/>
                <w:szCs w:val="20"/>
                <w:color w:val="auto"/>
              </w:rPr>
            </w:pPr>
            <w:r>
              <w:rPr>
                <w:rFonts w:ascii="Arial" w:cs="Arial" w:eastAsia="Arial" w:hAnsi="Arial"/>
                <w:sz w:val="18"/>
                <w:szCs w:val="18"/>
                <w:color w:val="auto"/>
              </w:rPr>
              <w:t>Gross realized gains</w:t>
            </w:r>
          </w:p>
        </w:tc>
        <w:tc>
          <w:tcPr>
            <w:tcW w:w="24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1,317</w:t>
            </w:r>
          </w:p>
        </w:tc>
        <w:tc>
          <w:tcPr>
            <w:tcW w:w="18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realized losses</w:t>
            </w:r>
          </w:p>
        </w:tc>
        <w:tc>
          <w:tcPr>
            <w:tcW w:w="2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(184)</w:t>
            </w: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April 30, 2018 were as follows (at cost,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225" w:lineRule="exact"/>
        <w:rPr>
          <w:sz w:val="20"/>
          <w:szCs w:val="20"/>
          <w:color w:val="auto"/>
        </w:rPr>
      </w:pPr>
    </w:p>
    <w:p>
      <w:pPr>
        <w:ind w:left="840" w:hanging="661"/>
        <w:spacing w:after="0" w:line="277"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2  Inputs to the valuation methodology include:</w:t>
      </w:r>
    </w:p>
    <w:p>
      <w:pPr>
        <w:spacing w:after="0" w:line="225" w:lineRule="exact"/>
        <w:rPr>
          <w:sz w:val="20"/>
          <w:szCs w:val="20"/>
          <w:color w:val="auto"/>
        </w:rPr>
      </w:pPr>
    </w:p>
    <w:p>
      <w:pPr>
        <w:ind w:left="1400" w:hanging="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400" w:hanging="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400" w:hanging="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400" w:hanging="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3  Inputs to the valuation methodology are unobservable and significant to the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81"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of April 30, 2018, the Company had available credit at variable terms based on its securities holdings under an advisory arrangement, under which no borrowings have been made.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at April 30, 2018 and 2017, respectively,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Vacation and other compensation</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Incentive compensation</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Commissions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3,416</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Investment in Morion,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an investment in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fiscal years ended April 30, 2018 and 2017, the Company acquired product from Morion in the aggregate amount of approximately $446,000 and $317,000, respectively, and the Company sold product to Morion in the aggregate amount of approximately $203,000 and $10,000, respectively. At April 30, 2018, there was no accounts receivable balance due from Morion and $85,000 was payable to Morion. During the fiscal years 2018 and 2017, the Company received dividends from Morion of approximately $85,000 and $249,000, respectively.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29, 2016, the Company renegotiated the $1 million amendment under the original agreement dated October 22, 2012 to $602,000 due to the U.S. Government easing of export regulations. Of this amount $392,500 was billed and paid during FY 2016 and the balance of $210,000 was billed during FY 2017 and was subsequently collected. During the fiscal year ended April 30, 2018 and 2017, sales to Morion include $203,000 and $10,000, respectively, under this agreement.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U.S. Department of Treasury’s prohibition against U.S. persons from providing it with new financing.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2018 and 2017, the Company contributed 46,628 and 47,839 shares of common stock, respectively. The approximate value of these shares at the date of contribution was $433,000 in fiscal year 2018 and $493,000 in fiscal year 2017. Contributed shares are drawn from the Company’s common stock held in treasury and are removed at the Company’s original cost of acquisition of such shares on a specific identification basis. In addition to changes in the treasury stock accounts, during fiscal years 2018 and 2017, such transactions increased additional paid in capital by $219,000 and $274,000, respectively. As of April 30, 2018, the plan held a total of 665,656 shares, which are allocated to the accounts of the individual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approximately $0 and $272,000 to selling and administrative expenses for the fiscal years ended April 30,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SARS. Under these plans, options or SARS are granted at the discretion of the Stock Option Committee at an exercise price not less than the fair market value of the Company’s common stock on the date of grant.</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Typically, options and SARS vest over a four-year period from the date of grant. The options and SARS generally expire ten years after the date of grant (the most recent SAR award expires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April 30, 2018, eligible employees and directors have been granted SARS representing approximately 2,222,000 shares of Company stock, of which approximately 1,488,000 shares are outstanding and approximately 1,260,000 shares with a weighted average exercise price of $8.55 are exercisable. As of April 30, 2017, eligible employees and directors have been granted SARS representing approximately 2,197,000 shares of Company stock, of which approximately 1,635,000 shares are outstanding and approximately 1,281,000 shares with a weighted average exercise price of $8.35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2018, employees exercised SARS representing 3,500 shares of Company stock and received 861 shares of Company stock. The 2,639 share difference was returned to the pool of available shares and may be used for future grants. During the year ended April 30, 2017, employees exercised SARS representing 35,500 shares of Company stock and received 15,273 shares of Company stock. The 20,227 share difference was returned to the pool of available shares and may be used for future grants.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SARs activity for the years ended April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Stock Options and Stock Appreciation Rights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620" w:type="dxa"/>
            <w:vAlign w:val="bottom"/>
          </w:tcPr>
          <w:p>
            <w:pPr>
              <w:spacing w:after="0"/>
              <w:rPr>
                <w:sz w:val="20"/>
                <w:szCs w:val="20"/>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1,652,625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(157,000)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1,635,125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 years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 or Canceled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(168,625)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 years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1,462,713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5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1,259,500</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8.55</w:t>
            </w:r>
          </w:p>
        </w:tc>
        <w:tc>
          <w:tcPr>
            <w:tcW w:w="1780" w:type="dxa"/>
            <w:vAlign w:val="bottom"/>
          </w:tcPr>
          <w:p>
            <w:pPr>
              <w:jc w:val="center"/>
              <w:spacing w:after="0" w:line="196" w:lineRule="exact"/>
              <w:rPr>
                <w:sz w:val="20"/>
                <w:szCs w:val="20"/>
                <w:color w:val="auto"/>
              </w:rPr>
            </w:pPr>
            <w:r>
              <w:rPr>
                <w:rFonts w:ascii="Arial" w:cs="Arial" w:eastAsia="Arial" w:hAnsi="Arial"/>
                <w:sz w:val="18"/>
                <w:szCs w:val="18"/>
                <w:color w:val="auto"/>
                <w:w w:val="89"/>
              </w:rPr>
              <w:t>3.7 years</w:t>
            </w: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1,443,963</w:t>
            </w:r>
          </w:p>
        </w:tc>
      </w:tr>
      <w:tr>
        <w:trPr>
          <w:trHeight w:val="20"/>
        </w:trPr>
        <w:tc>
          <w:tcPr>
            <w:tcW w:w="4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Available for future grants</w:t>
            </w:r>
          </w:p>
        </w:tc>
        <w:tc>
          <w:tcPr>
            <w:tcW w:w="15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164,827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April 30, 2018, total unrecognized compensation cost related to non-vested options and SARs under the plans was approximately $642,000.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 average period of 2.0 years.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April 30, 2018 and 2017, 151,000 and 159,500 shares, respectively, vested, the fair value of which was approximately $628,000 and $694,000, respectively. The weighted average grant date fair value of SARs granted during the years ended April 30, 2018 and 2017, were approximately $2.71 and $3.48,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percentage of completion method were approximately $168,000 and $229,000 for the years ended April 30, 2018 and 2017, respectively. Selling and administrative expenses included stock-based compensation expense of approximately $275,000 and $424,000 for the years ended April 30, 2018 and 2017, respectively.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classifies cash flows resulting from the tax benefits from tax deductions recognized upon the exercise of stock options or SARS (tax benefits) as financing cash flows. The Company did not recognize any tax benefits from the exercise of stock options and SARS for the fiscal year 2018. For the year ended April 30, 2017, the Company realized $26,000 of tax benefits from the exercise of stock options and SARS.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2018, and 2017, grants for 7,500 shares are available to be purchased at a price of $4.00 per share.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years ended April 30, 2018 and 2017 the Company issued 2,850 shares and 850 shares, respectively, to select employees for milestone years of service to the Company. These shares are for common stock and are fully vested at time of issuance.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2018 and 2017 was approximately $909,000 and $2,029,000,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5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left="20" w:firstLine="644"/>
        <w:spacing w:after="0" w:line="272" w:lineRule="auto"/>
        <w:rPr>
          <w:sz w:val="20"/>
          <w:szCs w:val="20"/>
          <w:color w:val="auto"/>
        </w:rPr>
      </w:pPr>
      <w:r>
        <w:rPr>
          <w:rFonts w:ascii="Arial" w:cs="Arial" w:eastAsia="Arial" w:hAnsi="Arial"/>
          <w:sz w:val="17"/>
          <w:szCs w:val="17"/>
          <w:color w:val="auto"/>
        </w:rPr>
        <w:t>On December 22, 2017, the legislation commonly known as the Tax Cuts and Jobs Act (the “TCJA” or the “Act”) was enacted into law. The Act makes comprehensive changes to the U.S. tax code, including, but not limited to: (1) reducing the U.S. federal corporate tax rate from 35% to 21%; (2) changing rules related to uses and limitations of net operating loss carry-forwards created in tax years beginning after December 31, 2017 as well as the repeal of the current carryback provisions for net operating losses arising in tax years ending after December 31, 2017; (3) immediate full expensing of certain qualified property; (4) creating a new limitation on deductible interest expense; (5) eliminating the corporate alternative minimum tax; (6) repeal of the deduction for income attributable to domestic production activities; and (7) changes in the manner in which international operations are taxed in the U.S. including a mandatory one-time transition tax on the accumulated untaxed earnings of foreign subsidiaries of U.S. shareholders.</w:t>
      </w:r>
    </w:p>
    <w:p>
      <w:pPr>
        <w:spacing w:after="0" w:line="178" w:lineRule="exact"/>
        <w:rPr>
          <w:sz w:val="20"/>
          <w:szCs w:val="20"/>
          <w:color w:val="auto"/>
        </w:rPr>
      </w:pPr>
    </w:p>
    <w:p>
      <w:pPr>
        <w:jc w:val="both"/>
        <w:ind w:left="20" w:firstLine="644"/>
        <w:spacing w:after="0" w:line="273" w:lineRule="auto"/>
        <w:rPr>
          <w:sz w:val="20"/>
          <w:szCs w:val="20"/>
          <w:color w:val="auto"/>
        </w:rPr>
      </w:pPr>
      <w:r>
        <w:rPr>
          <w:rFonts w:ascii="Arial" w:cs="Arial" w:eastAsia="Arial" w:hAnsi="Arial"/>
          <w:sz w:val="17"/>
          <w:szCs w:val="17"/>
          <w:color w:val="auto"/>
        </w:rPr>
        <w:t>In response to the TCJA, the U.S. Securities and Exchange Commission (“SEC”) staff issued Staff Accounting Bulletin No. 118 (“SAB 118”), which provides guidance on accounting for the tax effects of TCJA. The purpose of SAB 118 was to address any uncertainty or diversity of view in applying ASC Topic 740, Income Taxes in the reporting period in which the TCJA was enacted. SAB 118 addresses situations where the accounting is incomplete for certain income tax effects of the TJCA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left="20" w:firstLine="644"/>
        <w:spacing w:after="0" w:line="293" w:lineRule="auto"/>
        <w:rPr>
          <w:sz w:val="20"/>
          <w:szCs w:val="20"/>
          <w:color w:val="auto"/>
        </w:rPr>
      </w:pPr>
      <w:r>
        <w:rPr>
          <w:rFonts w:ascii="Arial" w:cs="Arial" w:eastAsia="Arial" w:hAnsi="Arial"/>
          <w:sz w:val="16"/>
          <w:szCs w:val="16"/>
          <w:color w:val="auto"/>
        </w:rPr>
        <w:t>Although the majority of the changes resulting from the Act are effective for tax years beginning in 2018, U.S. GAAP requires that certain impacts of the Act be recognized in the income tax provision in the period of enactment. During the three months ended January 31, 2018, we revalued our deferred tax assets at the lower federal corporate tax rate of 21%, which resulted in a provisional noncash charge to income tax expense. of approximately $5.3 million. For fiscal taxpayers, the rate change is administratively effective at the beginning of the Company’s fiscal year, using a blended rate for the annual period. As such, the Company’s blended U.S. statutory tax rate for fiscal 2018 is 29.73%. Our deferred tax assets, inclusive of the fiscal 2018 tax loss, would be realized in future years at the lower corporate tax rate of 21%. As of April 30, 2018, we have a full valuation allowance against our net U.S. deferred tax assets.</w:t>
      </w:r>
    </w:p>
    <w:p>
      <w:pPr>
        <w:spacing w:after="0" w:line="165" w:lineRule="exact"/>
        <w:rPr>
          <w:sz w:val="20"/>
          <w:szCs w:val="20"/>
          <w:color w:val="auto"/>
        </w:rPr>
      </w:pPr>
    </w:p>
    <w:p>
      <w:pPr>
        <w:jc w:val="both"/>
        <w:ind w:left="20" w:firstLine="644"/>
        <w:spacing w:after="0" w:line="279" w:lineRule="auto"/>
        <w:rPr>
          <w:sz w:val="20"/>
          <w:szCs w:val="20"/>
          <w:color w:val="auto"/>
        </w:rPr>
      </w:pPr>
      <w:r>
        <w:rPr>
          <w:rFonts w:ascii="Arial" w:cs="Arial" w:eastAsia="Arial" w:hAnsi="Arial"/>
          <w:sz w:val="17"/>
          <w:szCs w:val="17"/>
          <w:color w:val="auto"/>
        </w:rPr>
        <w:t>The TCJA introduced a mandatory deemed repatriation tax on the earnings of foreign corporations that were not previously subject to U.S. income tax. In accordance with the guidelines provided by the Act, we aggregated untaxed earnings and profits and calculated a provisional one-time transition income tax liability of $0. With the sale of Gillam and the election to treat FEI-Asia as a disregarded entity for U.S. tax purposes, the Company is not subject to the Global Intangible Low Tax Income (“GILTI”) provision provided for by the Act in tax years beginning after December 31,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left="20" w:firstLine="644"/>
        <w:spacing w:after="0" w:line="286" w:lineRule="auto"/>
        <w:rPr>
          <w:sz w:val="20"/>
          <w:szCs w:val="20"/>
          <w:color w:val="auto"/>
        </w:rPr>
      </w:pPr>
      <w:r>
        <w:rPr>
          <w:rFonts w:ascii="Arial" w:cs="Arial" w:eastAsia="Arial" w:hAnsi="Arial"/>
          <w:sz w:val="16"/>
          <w:szCs w:val="16"/>
          <w:color w:val="auto"/>
        </w:rPr>
        <w:t>While the Company is able to make a reasonable estimate of the impact of the reduction in the corporate rate and transition tax, the provisional amounts may change due to a variety of factors, including, among other things, (i) anticipated guidance from the U.S. Department of Treasury about implementing the TCJA, (ii) potential additional guidance from the SEC or the FASB related to the TCJA, and (iii) the Company’s further assessment of the TCJA and related regulatory guidance. The Company is not complete in its assessment of the impact of the TCJA on its income tax accounts and financial</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80" w:type="dxa"/>
            <w:vAlign w:val="bottom"/>
            <w:gridSpan w:val="2"/>
          </w:tcPr>
          <w:p>
            <w:pPr>
              <w:ind w:left="640"/>
              <w:spacing w:after="0"/>
              <w:rPr>
                <w:sz w:val="20"/>
                <w:szCs w:val="20"/>
                <w:color w:val="auto"/>
              </w:rPr>
            </w:pPr>
            <w:r>
              <w:rPr>
                <w:rFonts w:ascii="Arial" w:cs="Arial" w:eastAsia="Arial" w:hAnsi="Arial"/>
                <w:sz w:val="18"/>
                <w:szCs w:val="18"/>
                <w:color w:val="auto"/>
                <w:w w:val="92"/>
              </w:rPr>
              <w:t>The income before provision (benefit) for income taxes consisted of (in thousands):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Year Ended April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(10,785)</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0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(11,275)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(7,039)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12"/>
        </w:trPr>
        <w:tc>
          <w:tcPr>
            <w:tcW w:w="6780" w:type="dxa"/>
            <w:vAlign w:val="bottom"/>
            <w:gridSpan w:val="2"/>
          </w:tcPr>
          <w:p>
            <w:pPr>
              <w:ind w:left="640"/>
              <w:spacing w:after="0"/>
              <w:rPr>
                <w:sz w:val="20"/>
                <w:szCs w:val="20"/>
                <w:color w:val="auto"/>
              </w:rPr>
            </w:pPr>
            <w:r>
              <w:rPr>
                <w:rFonts w:ascii="Arial" w:cs="Arial" w:eastAsia="Arial" w:hAnsi="Arial"/>
                <w:sz w:val="18"/>
                <w:szCs w:val="18"/>
                <w:color w:val="auto"/>
                <w:w w:val="96"/>
              </w:rPr>
              <w:t>The provision (benefit) for income taxes consists of the following (in thousands):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2"/>
            <w:vMerge w:val="restart"/>
          </w:tcPr>
          <w:p>
            <w:pPr>
              <w:ind w:left="1120"/>
              <w:spacing w:after="0"/>
              <w:rPr>
                <w:sz w:val="20"/>
                <w:szCs w:val="20"/>
                <w:color w:val="auto"/>
              </w:rPr>
            </w:pPr>
            <w:r>
              <w:rPr>
                <w:rFonts w:ascii="Arial" w:cs="Arial" w:eastAsia="Arial" w:hAnsi="Arial"/>
                <w:sz w:val="18"/>
                <w:szCs w:val="18"/>
                <w:color w:val="auto"/>
              </w:rPr>
              <w:t>Current:</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1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Current provision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(benefit)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1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provision (benefit)</w:t>
            </w:r>
          </w:p>
        </w:tc>
        <w:tc>
          <w:tcPr>
            <w:tcW w:w="11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18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reported income tax expense (benefit) with the amount computed using the federal statutory income tax rate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State and local tax</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on deferred tax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Worthless securities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(1,543)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Nontaxable life insurance cash value increase</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Tax credits</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11,176</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(2,115)</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0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60" w:type="dxa"/>
            <w:vAlign w:val="bottom"/>
            <w:gridSpan w:val="2"/>
            <w:vMerge w:val="restart"/>
          </w:tcPr>
          <w:p>
            <w:pPr>
              <w:ind w:left="480"/>
              <w:spacing w:after="0"/>
              <w:rPr>
                <w:sz w:val="20"/>
                <w:szCs w:val="20"/>
                <w:color w:val="auto"/>
              </w:rPr>
            </w:pPr>
            <w:r>
              <w:rPr>
                <w:rFonts w:ascii="Arial" w:cs="Arial" w:eastAsia="Arial" w:hAnsi="Arial"/>
                <w:sz w:val="18"/>
                <w:szCs w:val="18"/>
                <w:color w:val="auto"/>
              </w:rPr>
              <w:t>Deferred tax assets: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benefits</w:t>
            </w: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Tax credits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subsidiary – outside basis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Capital Loss carry-forward</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Net operating loss carry-forwards</w:t>
            </w:r>
          </w:p>
        </w:tc>
        <w:tc>
          <w:tcPr>
            <w:tcW w:w="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deferred tax asset</w:t>
            </w: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Marketable securities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Deferred state income tax</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deferred tax asset</w:t>
            </w:r>
          </w:p>
        </w:tc>
        <w:tc>
          <w:tcPr>
            <w:tcW w:w="5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(12,688)</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deferred tax (liability) asset</w:t>
            </w: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2"/>
          </w:tcPr>
          <w:p>
            <w:pPr>
              <w:spacing w:after="0"/>
              <w:rPr>
                <w:sz w:val="20"/>
                <w:szCs w:val="20"/>
                <w:color w:val="auto"/>
              </w:rPr>
            </w:pPr>
            <w:r>
              <w:rPr>
                <w:rFonts w:ascii="Arial" w:cs="Arial" w:eastAsia="Arial" w:hAnsi="Arial"/>
                <w:sz w:val="18"/>
                <w:szCs w:val="18"/>
                <w:color w:val="auto"/>
                <w:w w:val="98"/>
              </w:rPr>
              <w:t>The components of the deferred tax asset were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deferred assets</w:t>
            </w:r>
          </w:p>
        </w:tc>
        <w:tc>
          <w:tcPr>
            <w:tcW w:w="26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(12,688)</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(3,294)</w:t>
            </w:r>
          </w:p>
        </w:tc>
      </w:tr>
      <w:tr>
        <w:trPr>
          <w:trHeight w:val="20"/>
        </w:trPr>
        <w:tc>
          <w:tcPr>
            <w:tcW w:w="4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(liability) asset</w:t>
            </w:r>
          </w:p>
        </w:tc>
        <w:tc>
          <w:tcPr>
            <w:tcW w:w="26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80" w:type="dxa"/>
            <w:vAlign w:val="bottom"/>
            <w:shd w:val="clear" w:color="auto" w:fill="CCEEFF"/>
          </w:tcPr>
          <w:p>
            <w:pPr>
              <w:spacing w:after="0"/>
              <w:rPr>
                <w:sz w:val="19"/>
                <w:szCs w:val="19"/>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April 30, 2018, the net deferred tax liability of $267 is included in other liabilities in the consolidated balance sheet.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assessing the realizability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April 30, 2018, we are in a three-year cumulative loss position which is considered to be a significant piece of negative evidence that is objectively verifiable. We also considered and weighed positive evidence including our existing backlog and how the backlog might enhance future earnings. However, because the accounting guidance for income taxes considers a projection of future earnings inherently subjective, it does not carry significant weight to overcome the objectively verifiable evidence of cumulative losses in recent years. Based on the weighting of all available evidence, both positive and negative evidence, most notably the three-year cumulative loss and declining sales during the fourth quarter which led to the recognition of a $5.6 million inventory impairment charge and additional losses, we determined that it was appropriate to establish a full valuation allowance against our U.S. net deferred tax assets during the quarter ended April 30, 2018. Although recognition of the valuation allowance for our net deferred tax assets is a non-cash charge to income tax expense of approximately $9.6 million, it did have a negative impact on net loss for the quarter and fiscal year ended April 30, 2018.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April 30, 2018, the valuation allowance increased by approximately $9.4 million. The valuation allowance increased by $9.6 million for the establishment of a full valuation allowance against our U.S. net deferred tax assets, adjusted by the U.S. federal corporate rate reduction for the enactment of the Act, and current year U.S. losses not benefited offset by a release of a $0.2 million valuation allowance recorded against Asia net operating loss carry-forward.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30, 2018, the Company had U.S. federal net operating losses of $24.5 million of which $4.4 million begins to expire in Fiscal 2023 through 2031, if not utilized, and are subject to annual limitation under IRC Section 382. The remaining U.S. federal net operating losses of $20.1 million have an indefinite carry-forward period. As of April 30, 2018, FEI-Asia had available net operating loss carry-forwards of $2.0 million which begin to expire in 2018 through 2023. The U.S. federal capital loss carry-forward of $9.2 million expires in 2023. The Company also has state net operating loss carry-forward, R&amp;D tax credits, and state tax credits that expire in various years and amounts.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fiscal year</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based on positions taken in the current year</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positions taken in prior years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Decreases based on positions taken in prior years</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Lapse in statute of limitations</w:t>
            </w:r>
          </w:p>
        </w:tc>
        <w:tc>
          <w:tcPr>
            <w:tcW w:w="10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Balance at the end of the fiscal year</w:t>
            </w: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entire amount reflected in the table above at April 30, 2018, if recognized, would reduce our effective tax rate. As of April 30, 2018, and 2017, the Company had $10,201 and $21,404, respectively, accrued for the payment of interest and penalties. For the fiscal years ended April 30, 2018 and 2017, the Company recognized interest and penalties of $3,039 and $21,404, respectively. Although it is difficult to predict or estimate the change in the Company’s unrecognized tax benefits over the next twelve months, the Company believes that it is reasonably possible that decreases in unrecognized tax benefits of up to $0.1 million may be recognized during the next twelve months.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subject to taxation in the U.S. federal, various state and local jurisdictions, and foreign jurisdictions. The Company is no longer subject to examination of its federal income tax returns by the Internal Revenue Service for fiscal years 2016 and 2014 and prior. During fiscal 2018, the Company closed an Internal Revenue Service examination of its fiscal 2016 tax return with no change to the tax liability reported. The Company is no longer subject to examination by the taxing authorities in its foreign jurisdictions for fiscal 2014 and prior. Net operating losses and tax attributes generated by domestic and foreign entities in closed years and utilized in open years are subject to adjustment by the tax authorities.</w:t>
      </w:r>
    </w:p>
    <w:p>
      <w:pPr>
        <w:spacing w:after="0" w:line="17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50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 S. market.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accounting policies of the two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table below presents information about reported segments for each of the years ended April 30, 2018 and 2017, respectively, with reconciliation of segment amounts to consolidated amounts as reported in the statement of operations or the balance sheet for each of the years (in thousands):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15,272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revenues</w:t>
            </w: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revenues</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39,407</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profit (loss):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(15,097)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operating loss</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(12,395)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FEI-NY  (approximately  $1.7  in  China  in  2018  and  2017,</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1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receivables</w:t>
            </w: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(11,888)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83,584</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tcPr>
          <w:p>
            <w:pPr>
              <w:spacing w:after="0"/>
              <w:rPr>
                <w:sz w:val="20"/>
                <w:szCs w:val="20"/>
                <w:color w:val="auto"/>
              </w:rPr>
            </w:pPr>
            <w:r>
              <w:rPr>
                <w:rFonts w:ascii="Arial" w:cs="Arial" w:eastAsia="Arial" w:hAnsi="Arial"/>
                <w:sz w:val="18"/>
                <w:szCs w:val="18"/>
                <w:color w:val="auto"/>
              </w:rPr>
              <w:t>Depreciation and amortization (allocated):</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Consolidated depreciation and amortization expense</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2,484</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2018 and 2017, approximately 74% and 59% respectively, of the Company’s sales were made under contracts to the U.S. Government or subcontracts for U.S. Government end-use.</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fiscal year 2018, sales to three customers of the FEI-NY segment accounted for more than 10% of that segment’s sales. One of these customers also exceeded 10% of the Company’s consolidated revenues. In the FEI-Zyfer segment, two customers accounted for more than 10% of that segment’s sales.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fiscal year 2017, sales to three customers of the FEI-NY segment accounted for more than 10% of that segment’s sales. Two of these customers also exceeded 10% of the Company’s consolidated revenues. In the FEI-Zyfer segment, one customer accounted for more than 10% of that segment’s sales and also exceeded 10% of the Company’s consolidated revenues.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customers to be mutually satisfactory. Sales to the major customers referenced above can include commercial and governmental end users.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40" w:type="dxa"/>
            <w:vAlign w:val="bottom"/>
            <w:vMerge w:val="restart"/>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(in thousands)</w:t>
            </w:r>
          </w:p>
        </w:tc>
        <w:tc>
          <w:tcPr>
            <w:tcW w:w="1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34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France</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Israel</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Germany</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South Korea</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2018, and 2017, respectively, changes in the carrying amount of accrued product warranty costs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Year Ended April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accrual</w:t>
            </w:r>
          </w:p>
        </w:tc>
        <w:tc>
          <w:tcPr>
            <w:tcW w:w="24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Balance at end of year</w:t>
            </w:r>
          </w:p>
        </w:tc>
        <w:tc>
          <w:tcPr>
            <w:tcW w:w="36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1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80" w:type="dxa"/>
            <w:vAlign w:val="bottom"/>
            <w:vMerge w:val="restart"/>
          </w:tcPr>
          <w:p>
            <w:pPr>
              <w:jc w:val="right"/>
              <w:ind w:right="1056"/>
              <w:spacing w:after="0"/>
              <w:rPr>
                <w:sz w:val="20"/>
                <w:szCs w:val="20"/>
                <w:color w:val="auto"/>
              </w:rPr>
            </w:pPr>
            <w:r>
              <w:rPr>
                <w:rFonts w:ascii="Arial" w:cs="Arial" w:eastAsia="Arial" w:hAnsi="Arial"/>
                <w:sz w:val="14"/>
                <w:szCs w:val="14"/>
                <w:color w:val="auto"/>
              </w:rPr>
              <w:t>45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0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2018 and 2017</w:t>
      </w:r>
    </w:p>
    <w:p>
      <w:pPr>
        <w:spacing w:after="0" w:line="211"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Changes in Accumulated Other Comprehensive Income (Loss) (“AOCI”) by component and reclassifications from AOCI to Other income (expense), net, for the years ended April 30, 2018 and 2017,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Change in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5"/>
              </w:rPr>
              <w:t>Market Value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of Marketable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Securities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2016, net of taxes</w:t>
            </w:r>
          </w:p>
        </w:tc>
        <w:tc>
          <w:tcPr>
            <w:tcW w:w="1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before reclassification, pretax</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before reclassification, net of taxes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Tax effect</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April 30, 2017, net of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pretax</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Tax effect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Items of other comprehensive income (loss)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before reclassification, net of taxes</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(1,047)</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comprehensive income (loss), net of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2018, net of taxes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reclassification adjustments represent net realized gains on the sale or redemption of available-for-sale marketable securities that were reclassified from AOCI to Other income (expense), net.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left="20" w:firstLine="648"/>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April 30, 2018, the Company’s disclosure controls and procedures were effective.</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2018.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was effective as of April 30,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25"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As of result of a provision of the Dodd-Frank Wall Street Reform and Consumer Protection Act of 2010, which, among other things, permanently exempted non-accelerated filers, such as us, from complying with the requirements of Section 404(b) of the Sarbanes-Oxley Act of 2002, which requires an issuer to include an attestation report from an issuer’s independent registered public accounting firm on the issuer’s internal control over financial reporting, this annual report on Form 10-K does not include an attestation report of our registered public accounting firm regarding our internal control over financial reporting.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year ended April 30, 2018 to which this report relates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was scheduled to end in January 2019. On July 25, 2018, the Company signed an amendment to the lease lease with RA 55 CLB LLC (as successor-in-interest to Reckson) which extends the current lease terms ten years and eight months through September 30, 2029. Pursuant to the terms of the amendment to the lease, the Company shall pay a gradually increasing annual rent of $1,014,810 in 2019 to $1,276,056 in 2029. The foregoing description of the amendment to the lease does not purport to be complete and is qualified in its entirety by reference to the full text of the amendment to the lease, which attached hereto as Exhibit 10.13 and incorporated herein by reference. The leased space is adequate to meet the Company’s domestic operational needs which encompass the principal operations of the FEI-NY segment and also serves as the Company’s world-wide corporate headquarters.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required to be furnished pursuant to this item with respect to Directors of the Company, in compliance with Section 16(a) of the Exchange Act and the Company’s code of ethics is incorporated herein by reference from the Company’s definitive proxy statement to be filed no later than 120 days after April 30, 2018, for the annual meeting of stockholders to be held on or about November 1, 2018 (the “2018 Proxy Statement”). The information required to be furnished pursuant to this item with respect to Executive Officers is set forth, pursuant to General Instruction G(3) of Form 10-K, under Part I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2018 Proxy Statement under “Election of Directors” and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2018 Proxy Statement under “Stock Ownership of Certain Beneficial Owners and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incorporated herein by reference from the Company’s 2018 Proxy Statement under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2018 Proxy Statement under “Appointment of Independent Auditors” and “Report of the Audit Committee.”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25"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Included in Part II of this report:</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April 30, 2018 and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years ended April 30, 2018 and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years ended April 30, 2018 and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3" w:lineRule="exact"/>
        <w:rPr>
          <w:sz w:val="20"/>
          <w:szCs w:val="20"/>
          <w:color w:val="auto"/>
        </w:rPr>
      </w:pPr>
    </w:p>
    <w:p>
      <w:pPr>
        <w:ind w:left="660" w:right="5800" w:hanging="4"/>
        <w:spacing w:after="0" w:line="554" w:lineRule="auto"/>
        <w:tabs>
          <w:tab w:leader="none" w:pos="767"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years ended April 30, 2018 and 2017 Notes to Consolidated Financial Statements</w:t>
      </w:r>
    </w:p>
    <w:p>
      <w:pPr>
        <w:ind w:left="660"/>
        <w:spacing w:after="0"/>
        <w:rPr>
          <w:rFonts w:ascii="Arial" w:cs="Arial" w:eastAsia="Arial" w:hAnsi="Arial"/>
          <w:sz w:val="16"/>
          <w:szCs w:val="16"/>
          <w:color w:val="auto"/>
        </w:rPr>
      </w:pPr>
      <w:r>
        <w:rPr>
          <w:rFonts w:ascii="Arial" w:cs="Arial" w:eastAsia="Arial" w:hAnsi="Arial"/>
          <w:sz w:val="18"/>
          <w:szCs w:val="18"/>
          <w:color w:val="auto"/>
        </w:rPr>
        <w:t>(2)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34"/>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Description of Exhibit</w:t>
            </w:r>
          </w:p>
        </w:tc>
      </w:tr>
      <w:tr>
        <w:trPr>
          <w:trHeight w:val="385"/>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7240" w:type="dxa"/>
            <w:vAlign w:val="bottom"/>
            <w:tcBorders>
              <w:bottom w:val="single" w:sz="8" w:color="0000EE"/>
            </w:tcBorders>
            <w:gridSpan w:val="2"/>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Stock Purchase Agreement, dated as of February 21, 2012, by and among the Registrant, Elcom</w:t>
              </w:r>
            </w:hyperlink>
          </w:p>
        </w:tc>
      </w:tr>
      <w:tr>
        <w:trPr>
          <w:trHeight w:val="196"/>
        </w:trPr>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Technologies Inc. and the stockholders of Elcom Technologies Inc. identified on the signature pages</w:t>
              </w:r>
            </w:hyperlink>
          </w:p>
        </w:tc>
      </w:tr>
      <w:tr>
        <w:trPr>
          <w:trHeight w:val="196"/>
        </w:trPr>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40" w:type="dxa"/>
            <w:vAlign w:val="bottom"/>
            <w:gridSpan w:val="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thereto</w:t>
              </w:r>
            </w:hyperlink>
          </w:p>
        </w:tc>
      </w:tr>
      <w:tr>
        <w:trPr>
          <w:trHeight w:val="20"/>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453"/>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Copy of Certificate of Incorporation of the Registrant filed with the Secretary of State of Delaware</w:t>
            </w:r>
          </w:p>
        </w:tc>
      </w:tr>
      <w:tr>
        <w:trPr>
          <w:trHeight w:val="418"/>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Delaware on March 27, 1981</w:t>
            </w:r>
          </w:p>
        </w:tc>
      </w:tr>
      <w:tr>
        <w:trPr>
          <w:trHeight w:val="418"/>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Amendment to Certificate of Incorporation of the Registrant filed with Secretary of State of</w:t>
            </w: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Delaware on October 26, 1984</w:t>
            </w:r>
          </w:p>
        </w:tc>
      </w:tr>
      <w:tr>
        <w:trPr>
          <w:trHeight w:val="418"/>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Delaware on October 22, 1986</w:t>
            </w:r>
          </w:p>
        </w:tc>
      </w:tr>
      <w:tr>
        <w:trPr>
          <w:trHeight w:val="418"/>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Amended and Restated Certificate of Incorporation of the Registrant filed with the Secretary of</w:t>
            </w: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State of Delaware on October 26, 1987</w:t>
            </w:r>
          </w:p>
        </w:tc>
      </w:tr>
      <w:tr>
        <w:trPr>
          <w:trHeight w:val="418"/>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2"/>
              </w:rPr>
              <w:t>Amended Certificate of Incorporation of the Company filed with the Secretary of State of Delaware</w:t>
            </w: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on November 2, 1989</w:t>
            </w:r>
          </w:p>
        </w:tc>
      </w:tr>
      <w:tr>
        <w:trPr>
          <w:trHeight w:val="432"/>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Copy of By-Laws of the Registrant, as amended</w:t>
            </w:r>
          </w:p>
        </w:tc>
      </w:tr>
      <w:tr>
        <w:trPr>
          <w:trHeight w:val="432"/>
        </w:trPr>
        <w:tc>
          <w:tcPr>
            <w:tcW w:w="2080" w:type="dxa"/>
            <w:vAlign w:val="bottom"/>
          </w:tcPr>
          <w:p>
            <w:pPr>
              <w:jc w:val="right"/>
              <w:ind w:right="83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-130810</wp:posOffset>
            </wp:positionV>
            <wp:extent cx="1209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24-25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24765</wp:posOffset>
            </wp:positionV>
            <wp:extent cx="1080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w:t>
      </w:r>
    </w:p>
    <w:p>
      <w:pPr>
        <w:spacing w:after="0" w:line="223" w:lineRule="exact"/>
        <w:rPr>
          <w:sz w:val="20"/>
          <w:szCs w:val="20"/>
          <w:color w:val="auto"/>
        </w:rPr>
      </w:pPr>
    </w:p>
    <w:p>
      <w:pPr>
        <w:sectPr>
          <w:pgSz w:w="11900" w:h="16838" w:orient="portrait"/>
          <w:cols w:equalWidth="0" w:num="2">
            <w:col w:w="9600" w:space="720"/>
            <w:col w:w="1100"/>
          </w:cols>
          <w:pgMar w:left="240" w:top="30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Exhibit No. in</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1"/>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this Form 10-K</w:t>
            </w:r>
          </w:p>
        </w:tc>
        <w:tc>
          <w:tcPr>
            <w:tcW w:w="200" w:type="dxa"/>
            <w:vAlign w:val="bottom"/>
          </w:tcPr>
          <w:p>
            <w:pPr>
              <w:spacing w:after="0"/>
              <w:rPr>
                <w:sz w:val="20"/>
                <w:szCs w:val="20"/>
                <w:color w:val="auto"/>
              </w:rPr>
            </w:pPr>
          </w:p>
        </w:tc>
        <w:tc>
          <w:tcPr>
            <w:tcW w:w="7220" w:type="dxa"/>
            <w:vAlign w:val="bottom"/>
            <w:tcBorders>
              <w:bottom w:val="single" w:sz="8" w:color="auto"/>
            </w:tcBorders>
            <w:gridSpan w:val="4"/>
          </w:tcPr>
          <w:p>
            <w:pPr>
              <w:ind w:left="2760"/>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91"/>
              </w:rPr>
              <w:t>10.1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80" w:type="dxa"/>
            <w:vAlign w:val="bottom"/>
            <w:tcBorders>
              <w:bottom w:val="single" w:sz="8" w:color="0000EE"/>
            </w:tcBorders>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Registrant’s 1997 Independent Contractor Stock Option Plan</w:t>
              </w:r>
            </w:hyperlink>
          </w:p>
        </w:tc>
        <w:tc>
          <w:tcPr>
            <w:tcW w:w="2840" w:type="dxa"/>
            <w:vAlign w:val="bottom"/>
            <w:gridSpan w:val="3"/>
          </w:tcPr>
          <w:p>
            <w:pPr>
              <w:spacing w:after="0"/>
              <w:rPr>
                <w:sz w:val="24"/>
                <w:szCs w:val="24"/>
                <w:color w:val="auto"/>
              </w:rPr>
            </w:pPr>
          </w:p>
        </w:tc>
      </w:tr>
      <w:tr>
        <w:trPr>
          <w:trHeight w:val="41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91"/>
              </w:rPr>
              <w:t>10.1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tcBorders>
              <w:bottom w:val="single" w:sz="8" w:color="0000EE"/>
            </w:tcBorders>
            <w:gridSpan w:val="3"/>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Employment agreement, dated as of March 17, 2008, between Registrant and Martin Bloch</w:t>
              </w:r>
            </w:hyperlink>
          </w:p>
        </w:tc>
        <w:tc>
          <w:tcPr>
            <w:tcW w:w="640" w:type="dxa"/>
            <w:vAlign w:val="bottom"/>
          </w:tcPr>
          <w:p>
            <w:pPr>
              <w:spacing w:after="0"/>
              <w:rPr>
                <w:sz w:val="24"/>
                <w:szCs w:val="24"/>
                <w:color w:val="auto"/>
              </w:rPr>
            </w:pPr>
          </w:p>
        </w:tc>
      </w:tr>
      <w:tr>
        <w:trPr>
          <w:trHeight w:val="453"/>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91"/>
              </w:rPr>
              <w:t>10.8</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1"/>
              </w:rPr>
              <w:t>Employment agreement, dated as of September 21, 2010, between Registrant and Harry Newman</w:t>
            </w:r>
          </w:p>
        </w:tc>
      </w:tr>
      <w:tr>
        <w:trPr>
          <w:trHeight w:val="39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10.13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First Amendment to Lease Amendment between Registrant and RA 55 CLB LLC (as successor-in-</w:t>
              </w:r>
            </w:hyperlink>
          </w:p>
        </w:tc>
      </w:tr>
      <w:tr>
        <w:trPr>
          <w:trHeight w:val="196"/>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interest to Reckson Operating Partnership, L.P.) dated July 25, 2018</w:t>
              </w:r>
            </w:hyperlink>
          </w:p>
        </w:tc>
        <w:tc>
          <w:tcPr>
            <w:tcW w:w="2320" w:type="dxa"/>
            <w:vAlign w:val="bottom"/>
            <w:gridSpan w:val="2"/>
          </w:tcPr>
          <w:p>
            <w:pPr>
              <w:spacing w:after="0"/>
              <w:rPr>
                <w:sz w:val="17"/>
                <w:szCs w:val="17"/>
                <w:color w:val="auto"/>
              </w:rPr>
            </w:pPr>
          </w:p>
        </w:tc>
      </w:tr>
      <w:tr>
        <w:trPr>
          <w:trHeight w:val="438"/>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10.16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2"/>
              </w:rPr>
              <w:t>Registrant’s Cash or Deferral Profit Sharing Plan and Trust under Internal Revenue Code Section</w:t>
            </w:r>
          </w:p>
        </w:tc>
      </w:tr>
      <w:tr>
        <w:trPr>
          <w:trHeight w:val="230"/>
        </w:trPr>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401, dated April 1, 1985</w:t>
            </w:r>
          </w:p>
        </w:tc>
      </w:tr>
      <w:tr>
        <w:trPr>
          <w:trHeight w:val="43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10.21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Form of Agreement concerning Executive Compensation</w:t>
            </w:r>
          </w:p>
        </w:tc>
      </w:tr>
      <w:tr>
        <w:trPr>
          <w:trHeight w:val="43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10.23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Registrant’s Senior Executive Stock Option Plan</w:t>
            </w:r>
          </w:p>
        </w:tc>
      </w:tr>
      <w:tr>
        <w:trPr>
          <w:trHeight w:val="418"/>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10.24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89"/>
              </w:rPr>
              <w:t>Amendment dated Jan. 1, 1988 to Registrant’s Cash or Deferred Profit Sharing Plan and Trust under</w:t>
            </w:r>
          </w:p>
        </w:tc>
      </w:tr>
      <w:tr>
        <w:trPr>
          <w:trHeight w:val="230"/>
        </w:trPr>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Section 401 of Internal Revenue Code</w:t>
            </w:r>
          </w:p>
        </w:tc>
      </w:tr>
      <w:tr>
        <w:trPr>
          <w:trHeight w:val="432"/>
        </w:trPr>
        <w:tc>
          <w:tcPr>
            <w:tcW w:w="1280" w:type="dxa"/>
            <w:vAlign w:val="bottom"/>
          </w:tcPr>
          <w:p>
            <w:pPr>
              <w:jc w:val="center"/>
              <w:ind w:left="710"/>
              <w:spacing w:after="0"/>
              <w:rPr>
                <w:sz w:val="20"/>
                <w:szCs w:val="20"/>
                <w:color w:val="auto"/>
              </w:rPr>
            </w:pPr>
            <w:r>
              <w:rPr>
                <w:rFonts w:ascii="Arial" w:cs="Arial" w:eastAsia="Arial" w:hAnsi="Arial"/>
                <w:sz w:val="18"/>
                <w:szCs w:val="18"/>
                <w:color w:val="auto"/>
                <w:w w:val="88"/>
              </w:rPr>
              <w:t>10.25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Executive Incentive Compensation Plan between Registrant and various employees</w:t>
            </w:r>
          </w:p>
        </w:tc>
      </w:tr>
    </w:tbl>
    <w:p>
      <w:pPr>
        <w:spacing w:after="0" w:line="202" w:lineRule="exact"/>
        <w:rPr>
          <w:sz w:val="20"/>
          <w:szCs w:val="20"/>
          <w:color w:val="auto"/>
        </w:rPr>
      </w:pPr>
    </w:p>
    <w:p>
      <w:pPr>
        <w:ind w:left="2280" w:hanging="1329"/>
        <w:spacing w:after="0"/>
        <w:tabs>
          <w:tab w:leader="none" w:pos="2280" w:val="left"/>
        </w:tabs>
        <w:numPr>
          <w:ilvl w:val="0"/>
          <w:numId w:val="24"/>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List of Subsidiaries of Registrant</w:t>
        </w:r>
      </w:hyperlink>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23.1</w:t>
            </w:r>
          </w:p>
        </w:tc>
        <w:tc>
          <w:tcPr>
            <w:tcW w:w="722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Consent of Independent Registered Public Accounting</w:t>
              </w:r>
            </w:hyperlink>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12"/>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31.1</w:t>
            </w:r>
          </w:p>
        </w:tc>
        <w:tc>
          <w:tcPr>
            <w:tcW w:w="722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Certification of the Chief Executive Officer pursuant to Section 302 of the Sarbanes-Oxley Act of</w:t>
              </w:r>
            </w:hyperlink>
          </w:p>
        </w:tc>
      </w:tr>
      <w:tr>
        <w:trPr>
          <w:trHeight w:val="196"/>
        </w:trPr>
        <w:tc>
          <w:tcPr>
            <w:tcW w:w="14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2002</w:t>
              </w:r>
            </w:hyperlink>
          </w:p>
        </w:tc>
        <w:tc>
          <w:tcPr>
            <w:tcW w:w="356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12"/>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31.2</w:t>
            </w:r>
          </w:p>
        </w:tc>
        <w:tc>
          <w:tcPr>
            <w:tcW w:w="72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Certification of the Chief Financial Officer pursuant to Section 302 of the Sarbanes-Oxley Act of</w:t>
              </w:r>
            </w:hyperlink>
          </w:p>
        </w:tc>
      </w:tr>
      <w:tr>
        <w:trPr>
          <w:trHeight w:val="196"/>
        </w:trPr>
        <w:tc>
          <w:tcPr>
            <w:tcW w:w="14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2002</w:t>
              </w:r>
            </w:hyperlink>
          </w:p>
        </w:tc>
        <w:tc>
          <w:tcPr>
            <w:tcW w:w="3560" w:type="dxa"/>
            <w:vAlign w:val="bottom"/>
          </w:tcPr>
          <w:p>
            <w:pPr>
              <w:spacing w:after="0"/>
              <w:rPr>
                <w:sz w:val="17"/>
                <w:szCs w:val="17"/>
                <w:color w:val="auto"/>
              </w:rPr>
            </w:pPr>
          </w:p>
        </w:tc>
        <w:tc>
          <w:tcPr>
            <w:tcW w:w="3300" w:type="dxa"/>
            <w:vAlign w:val="bottom"/>
          </w:tcPr>
          <w:p>
            <w:pPr>
              <w:spacing w:after="0"/>
              <w:rPr>
                <w:sz w:val="17"/>
                <w:szCs w:val="17"/>
                <w:color w:val="auto"/>
              </w:rPr>
            </w:pPr>
          </w:p>
        </w:tc>
      </w:tr>
    </w:tbl>
    <w:p>
      <w:pPr>
        <w:spacing w:after="0" w:line="229" w:lineRule="exact"/>
        <w:rPr>
          <w:sz w:val="20"/>
          <w:szCs w:val="20"/>
          <w:color w:val="auto"/>
        </w:rPr>
      </w:pPr>
    </w:p>
    <w:p>
      <w:pPr>
        <w:ind w:left="2280" w:hanging="1329"/>
        <w:spacing w:after="0" w:line="277" w:lineRule="auto"/>
        <w:tabs>
          <w:tab w:leader="none" w:pos="2280" w:val="left"/>
        </w:tabs>
        <w:numPr>
          <w:ilvl w:val="0"/>
          <w:numId w:val="25"/>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Certifications of the Chief Executive Officer and Chief Financial Officer pursuant to Section 906 of</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the Sarbanes-Oxley Act of 2002</w:t>
        </w:r>
      </w:hyperlink>
    </w:p>
    <w:p>
      <w:pPr>
        <w:spacing w:after="0" w:line="170" w:lineRule="exact"/>
        <w:rPr>
          <w:rFonts w:ascii="Arial" w:cs="Arial" w:eastAsia="Arial" w:hAnsi="Arial"/>
          <w:sz w:val="18"/>
          <w:szCs w:val="18"/>
          <w:color w:val="auto"/>
        </w:rPr>
      </w:pPr>
    </w:p>
    <w:p>
      <w:pPr>
        <w:jc w:val="both"/>
        <w:ind w:left="2280" w:hanging="1374"/>
        <w:spacing w:after="0" w:line="288" w:lineRule="auto"/>
        <w:tabs>
          <w:tab w:leader="none" w:pos="2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materials from the Frequency Electronics, Inc. Annual Report on Form 10-K for the fiscal year ended April 30, 2018 formatted in eXtensible Business Reporting Language (XBRL): (i) Consolidated Balance Sheets, (ii) Consolidated Statements of Operations and Comprehensive Loss,</w:t>
      </w:r>
    </w:p>
    <w:p>
      <w:pPr>
        <w:ind w:left="2280" w:hanging="3"/>
        <w:spacing w:after="0" w:line="261" w:lineRule="auto"/>
        <w:tabs>
          <w:tab w:leader="none" w:pos="2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Consolidated Statements of Cash Flows, (iv) Consolidated Statements of Changes in Stockholders’ Equity and (v) Notes to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640"/>
        <w:spacing w:after="0"/>
        <w:rPr>
          <w:sz w:val="20"/>
          <w:szCs w:val="20"/>
          <w:color w:val="auto"/>
        </w:rPr>
      </w:pPr>
      <w:r>
        <w:rPr>
          <w:rFonts w:ascii="Arial" w:cs="Arial" w:eastAsia="Arial" w:hAnsi="Arial"/>
          <w:sz w:val="14"/>
          <w:szCs w:val="14"/>
          <w:color w:val="auto"/>
        </w:rPr>
        <w:t>50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NOTE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-203835</wp:posOffset>
            </wp:positionH>
            <wp:positionV relativeFrom="paragraph">
              <wp:posOffset>17145</wp:posOffset>
            </wp:positionV>
            <wp:extent cx="10807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236" w:lineRule="exact"/>
        <w:rPr>
          <w:rFonts w:ascii="Arial" w:cs="Arial" w:eastAsia="Arial" w:hAnsi="Arial"/>
          <w:sz w:val="18"/>
          <w:szCs w:val="18"/>
          <w:color w:val="auto"/>
        </w:rPr>
      </w:pPr>
    </w:p>
    <w:p>
      <w:pPr>
        <w:ind w:left="380"/>
        <w:spacing w:after="0"/>
        <w:rPr>
          <w:sz w:val="20"/>
          <w:szCs w:val="20"/>
          <w:color w:val="auto"/>
        </w:rPr>
      </w:pPr>
      <w:r>
        <w:rPr>
          <w:rFonts w:ascii="Arial" w:cs="Arial" w:eastAsia="Arial" w:hAnsi="Arial"/>
          <w:sz w:val="18"/>
          <w:szCs w:val="18"/>
          <w:color w:val="auto"/>
        </w:rPr>
        <w:t>(10)</w:t>
      </w:r>
    </w:p>
    <w:p>
      <w:pPr>
        <w:spacing w:after="0" w:line="225"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(4)</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(6)</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(2)</w:t>
      </w:r>
    </w:p>
    <w:p>
      <w:pPr>
        <w:spacing w:after="0" w:line="225"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(8)</w:t>
      </w:r>
    </w:p>
    <w:p>
      <w:pPr>
        <w:spacing w:after="0" w:line="225"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(8)</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3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3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ectPr>
          <w:pgSz w:w="11900" w:h="16838" w:orient="portrait"/>
          <w:cols w:equalWidth="0" w:num="2">
            <w:col w:w="9500" w:space="540"/>
            <w:col w:w="1060"/>
          </w:cols>
          <w:pgMar w:left="240" w:top="284" w:right="5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ind w:left="840" w:right="2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8-K, File No. 1-08061, on May 4, 2018,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840" w:hanging="481"/>
        <w:spacing w:after="0" w:line="250"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on December 15, 1997 as an exhibit, numbered as indicated above, to the registration statement of Registrant on Form S-8, File No. 333-42233, which exhibit is incorporated herein by reference.</w:t>
      </w:r>
    </w:p>
    <w:p>
      <w:pPr>
        <w:ind w:left="840" w:hanging="481"/>
        <w:spacing w:after="0" w:line="261"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current report of Registrant on Form 8-K, File No. 1-8061, on February 27, 2012, which exhibit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Stanton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Stanton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2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Steven L. Bernstein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4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20"/>
                <w:szCs w:val="20"/>
                <w:color w:val="auto"/>
              </w:rPr>
            </w:pPr>
          </w:p>
        </w:tc>
        <w:tc>
          <w:tcPr>
            <w:tcW w:w="18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Date</w:t>
            </w:r>
          </w:p>
        </w:tc>
      </w:tr>
      <w:tr>
        <w:trPr>
          <w:trHeight w:val="426"/>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Joel Girsky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Chairman of the Audit Committee</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Joel Girsky</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Brolin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S. Robert Foley</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Schwartz</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Richard Schwartz</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Stanton D. Sloane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President and CEO</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Stanton D. Sloane</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Russell M. Sarachek</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Russell M. Sarachek</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General Lance W. Lord</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General Lance W. Lord</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 Bloch</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Executive Chairman</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Martin B. Bloch</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L. Bernstein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gridSpan w:val="2"/>
          </w:tcPr>
          <w:p>
            <w:pPr>
              <w:jc w:val="right"/>
              <w:ind w:right="1190"/>
              <w:spacing w:after="0"/>
              <w:rPr>
                <w:sz w:val="20"/>
                <w:szCs w:val="20"/>
                <w:color w:val="auto"/>
              </w:rPr>
            </w:pPr>
            <w:r>
              <w:rPr>
                <w:rFonts w:ascii="Arial" w:cs="Arial" w:eastAsia="Arial" w:hAnsi="Arial"/>
                <w:sz w:val="18"/>
                <w:szCs w:val="18"/>
                <w:color w:val="auto"/>
              </w:rPr>
              <w:t>7/30/18</w:t>
            </w:r>
          </w:p>
        </w:tc>
      </w:tr>
      <w:tr>
        <w:trPr>
          <w:trHeight w:val="224"/>
        </w:trPr>
        <w:tc>
          <w:tcPr>
            <w:tcW w:w="3440" w:type="dxa"/>
            <w:vAlign w:val="bottom"/>
          </w:tcPr>
          <w:p>
            <w:pPr>
              <w:ind w:left="660"/>
              <w:spacing w:after="0"/>
              <w:rPr>
                <w:sz w:val="20"/>
                <w:szCs w:val="20"/>
                <w:color w:val="auto"/>
              </w:rPr>
            </w:pPr>
            <w:r>
              <w:rPr>
                <w:rFonts w:ascii="Arial" w:cs="Arial" w:eastAsia="Arial" w:hAnsi="Arial"/>
                <w:sz w:val="18"/>
                <w:szCs w:val="18"/>
                <w:color w:val="auto"/>
              </w:rPr>
              <w:t>Steven L. Bernstein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35"/>
        </w:trPr>
        <w:tc>
          <w:tcPr>
            <w:tcW w:w="3440" w:type="dxa"/>
            <w:vAlign w:val="bottom"/>
          </w:tcPr>
          <w:p>
            <w:pPr>
              <w:spacing w:after="0"/>
              <w:rPr>
                <w:sz w:val="24"/>
                <w:szCs w:val="24"/>
                <w:color w:val="auto"/>
              </w:rPr>
            </w:pPr>
          </w:p>
        </w:tc>
        <w:tc>
          <w:tcPr>
            <w:tcW w:w="5820" w:type="dxa"/>
            <w:vAlign w:val="bottom"/>
            <w:gridSpan w:val="2"/>
          </w:tcPr>
          <w:p>
            <w:pPr>
              <w:jc w:val="right"/>
              <w:ind w:right="3390"/>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30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LEASE</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as of the 25th day of July,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RA 55</w:t>
      </w:r>
      <w:r>
        <w:rPr>
          <w:rFonts w:ascii="Arial" w:cs="Arial" w:eastAsia="Arial" w:hAnsi="Arial"/>
          <w:sz w:val="18"/>
          <w:szCs w:val="18"/>
          <w:color w:val="auto"/>
        </w:rPr>
        <w:t xml:space="preserve"> </w:t>
      </w:r>
      <w:r>
        <w:rPr>
          <w:rFonts w:ascii="Arial" w:cs="Arial" w:eastAsia="Arial" w:hAnsi="Arial"/>
          <w:sz w:val="18"/>
          <w:szCs w:val="18"/>
          <w:b w:val="1"/>
          <w:bCs w:val="1"/>
          <w:color w:val="auto"/>
        </w:rPr>
        <w:t>CLB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having its principal office c/o RXR Realty LLC, 625 RXR Plaza, Uniondale,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11556, and </w:t>
      </w:r>
      <w:r>
        <w:rPr>
          <w:rFonts w:ascii="Arial" w:cs="Arial" w:eastAsia="Arial" w:hAnsi="Arial"/>
          <w:sz w:val="18"/>
          <w:szCs w:val="18"/>
          <w:b w:val="1"/>
          <w:bCs w:val="1"/>
          <w:color w:val="auto"/>
        </w:rPr>
        <w:t>FREQUENCY ELECTRONICS,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having its principal business address at 55 Charles Lindbergh Boulevard, Uniondale, New York 11553.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Reckson Operating Partnership, L.P. (“Prior Landlord”) and Tenant entered into an Agreement of Lease, made as of December 2, 1997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modified and amended by letter agreement dated January 6, 1998 (the “1998 Letter Agreement” and, together with the Original Lease, sometimes hereinafter collectively referred to as the “</w:t>
      </w:r>
      <w:r>
        <w:rPr>
          <w:rFonts w:ascii="Arial" w:cs="Arial" w:eastAsia="Arial" w:hAnsi="Arial"/>
          <w:sz w:val="17"/>
          <w:szCs w:val="17"/>
          <w:u w:val="single" w:color="auto"/>
          <w:color w:val="auto"/>
        </w:rPr>
        <w:t>Existing Lease</w:t>
      </w:r>
      <w:r>
        <w:rPr>
          <w:rFonts w:ascii="Arial" w:cs="Arial" w:eastAsia="Arial" w:hAnsi="Arial"/>
          <w:sz w:val="17"/>
          <w:szCs w:val="17"/>
          <w:color w:val="auto"/>
        </w:rPr>
        <w:t>”), for the lease of a certain 91,027 rentable square feet of space (collectively, the “</w:t>
      </w:r>
      <w:r>
        <w:rPr>
          <w:rFonts w:ascii="Arial" w:cs="Arial" w:eastAsia="Arial" w:hAnsi="Arial"/>
          <w:sz w:val="17"/>
          <w:szCs w:val="17"/>
          <w:u w:val="single" w:color="auto"/>
          <w:color w:val="auto"/>
        </w:rPr>
        <w:t>Demised Premises</w:t>
      </w:r>
      <w:r>
        <w:rPr>
          <w:rFonts w:ascii="Arial" w:cs="Arial" w:eastAsia="Arial" w:hAnsi="Arial"/>
          <w:sz w:val="17"/>
          <w:szCs w:val="17"/>
          <w:color w:val="auto"/>
        </w:rPr>
        <w:t>”) in the building located at 55 Charles Lindbergh Boulevard, Uniondale, New York (the “</w:t>
      </w:r>
      <w:r>
        <w:rPr>
          <w:rFonts w:ascii="Arial" w:cs="Arial" w:eastAsia="Arial" w:hAnsi="Arial"/>
          <w:sz w:val="17"/>
          <w:szCs w:val="17"/>
          <w:u w:val="single" w:color="auto"/>
          <w:color w:val="auto"/>
        </w:rPr>
        <w:t>Building</w:t>
      </w:r>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Tenant has heretofore exercised both renewal options set forth in Article 39 of the Original Lease and, as such, the Term of the Existing Lease is currently scheduled to expire on January 31, 2019; and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Landlord (as successor-in-interest to Prior Landlord) and Tenant desire to amend the Existing Lease so as to, among other things, provide for an extension of the Term thereof for a period of ten (10) years and eight (8) months, to and including September 30, 2029; subject to and in accordance with the terms and conditions of this Agreement.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being hereby acknowledged, the parties agree as follows:</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2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recitals are specifically incorporated into the body of this Agreement and shall be binding upon the parties hereto.</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 Unless expressly set forth to the contrary and except as modified by this Agreement, all defined terms shall have the meanings as ascribed to them in the Existing Lease.</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1.3 As used herein and, from and after the Effective Date, in the Existing Lease, the term “</w:t>
      </w:r>
      <w:r>
        <w:rPr>
          <w:rFonts w:ascii="Arial" w:cs="Arial" w:eastAsia="Arial" w:hAnsi="Arial"/>
          <w:sz w:val="18"/>
          <w:szCs w:val="18"/>
          <w:u w:val="single" w:color="auto"/>
          <w:color w:val="auto"/>
        </w:rPr>
        <w:t>Lease</w:t>
      </w:r>
      <w:r>
        <w:rPr>
          <w:rFonts w:ascii="Arial" w:cs="Arial" w:eastAsia="Arial" w:hAnsi="Arial"/>
          <w:sz w:val="18"/>
          <w:szCs w:val="18"/>
          <w:color w:val="auto"/>
        </w:rPr>
        <w:t>” shall be deemed to mean and refer to the Existing Lease, as modified and amended by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Lease Modifications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Existing Lease is and shall hereby be deemed to have been modified and amended as follows: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w:t>
      </w:r>
      <w:r>
        <w:rPr>
          <w:rFonts w:ascii="Arial" w:cs="Arial" w:eastAsia="Arial" w:hAnsi="Arial"/>
          <w:sz w:val="18"/>
          <w:szCs w:val="18"/>
          <w:color w:val="auto"/>
        </w:rPr>
        <w:t>. Effective as of the Effective Date, Article 2 of the Original Lease is hereby modified and amended so as to reflect that the Term of the Lease is extended for a period of ten (10) years and eight (8) months, to and including September 30, 2029. Accordingly, each reference in the Original Lease or this Agreement to the term “Expiration Date,” or otherwise to the scheduled date of expiration of the Term of the Lease, shall hereafter be deemed to mean and refer to September 30, 2029.</w:t>
      </w:r>
    </w:p>
    <w:p>
      <w:pPr>
        <w:spacing w:after="0" w:line="24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Rent</w:t>
      </w:r>
      <w:r>
        <w:rPr>
          <w:rFonts w:ascii="Arial" w:cs="Arial" w:eastAsia="Arial" w:hAnsi="Arial"/>
          <w:sz w:val="15"/>
          <w:szCs w:val="15"/>
          <w:color w:val="auto"/>
        </w:rPr>
        <w:t>.</w:t>
      </w:r>
    </w:p>
    <w:p>
      <w:pPr>
        <w:spacing w:after="0" w:line="279" w:lineRule="exact"/>
        <w:rPr>
          <w:sz w:val="20"/>
          <w:szCs w:val="20"/>
          <w:color w:val="auto"/>
        </w:rPr>
      </w:pPr>
    </w:p>
    <w:p>
      <w:pPr>
        <w:ind w:firstLine="1305"/>
        <w:spacing w:after="0" w:line="277" w:lineRule="auto"/>
        <w:tabs>
          <w:tab w:leader="none" w:pos="23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and including January 31, 2019, the Minimum Annual Rent shall continue to be payable in accordance with the provisions of the Existing Lease, specifically including, without limitation, the provisions of Article 3 of the Original Lease.</w:t>
      </w:r>
    </w:p>
    <w:p>
      <w:pPr>
        <w:spacing w:after="0" w:line="224" w:lineRule="exact"/>
        <w:rPr>
          <w:rFonts w:ascii="Arial" w:cs="Arial" w:eastAsia="Arial" w:hAnsi="Arial"/>
          <w:sz w:val="18"/>
          <w:szCs w:val="18"/>
          <w:color w:val="auto"/>
        </w:rPr>
      </w:pPr>
    </w:p>
    <w:p>
      <w:pPr>
        <w:jc w:val="both"/>
        <w:ind w:right="20" w:firstLine="1305"/>
        <w:spacing w:after="0" w:line="264" w:lineRule="auto"/>
        <w:tabs>
          <w:tab w:leader="none" w:pos="21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as of February 1, 2019, Article 3 of the Original Lease is hereby modified and amended so as to reflect that, during the period from February 1, 2019 through and including September 30, 2029, the Minimum Annual Rent shall be payable in accordance with the following schedule, in each case, subject to Section 2.2(C) hereof:</w:t>
      </w:r>
    </w:p>
    <w:p>
      <w:pPr>
        <w:spacing w:after="0" w:line="208"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2019 through and including January 31, 2020, the Minimum Annual Rent shall be $1,046,810.52, payable in equal monthly installments of $87,234.21.</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2020 through and including January 31, 2021, the Minimum Annual Rent shall be $1,067,746.68, payable in equal monthly installments of $88,978.89.</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2021 through and including January 31, 2022, the Minimum Annual Rent shall be $1,089,101.64, payable in equal monthly installments of $90,758.47.</w:t>
      </w:r>
    </w:p>
    <w:p>
      <w:pPr>
        <w:spacing w:after="0" w:line="197"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During the period from February 1, 2022 through and including January 31, 2023, the Minimum Annual Rent shall be $1,110,883.68, payable in equal monthly installments of $92,573.64.</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ind w:left="660" w:right="720"/>
        <w:spacing w:after="0" w:line="277" w:lineRule="auto"/>
        <w:rPr>
          <w:sz w:val="20"/>
          <w:szCs w:val="20"/>
          <w:color w:val="auto"/>
        </w:rPr>
      </w:pPr>
      <w:r>
        <w:rPr>
          <w:rFonts w:ascii="Arial" w:cs="Arial" w:eastAsia="Arial" w:hAnsi="Arial"/>
          <w:sz w:val="18"/>
          <w:szCs w:val="18"/>
          <w:color w:val="auto"/>
        </w:rPr>
        <w:t>During the period from February 1, 2023 through and including January 31, 2024, the Minimum Annual Rent shall be $1,133,101.32, payable in equal monthly installments of $94,425.11.</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2024 through and including January 31, 2025, the Minimum Annual Rent shall be $1,155,763.32, payable in equal monthly installments of $96,313.61.</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2025 through and including January 31, 2026, the Minimum Annual Rent shall be $1,178,878.68, payable in equal monthly installments of $98,239.89.</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2026 through and including January 31, 2027, the Minimum Annual Rent shall be $1,202,456.16, payable in equal monthly installments of $100,204.68.</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2027 through and including January 31, 2028, the Minimum Annual Rent shall be $1,226,505.36, payable in equal monthly installments of $102,208.78.</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2028 through and including January 31, 2029, the Minimum Annual Rent shall be $1,251,035.40, payable in equal monthly installments of $104,252.95.</w:t>
      </w:r>
    </w:p>
    <w:p>
      <w:pPr>
        <w:spacing w:after="0" w:line="197"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During the period from February 1, 2029 through and including September 30, 2029, the Minimum Annual Rent shall be payable in equal monthly installments of $106,338.01.</w:t>
      </w:r>
    </w:p>
    <w:p>
      <w:pPr>
        <w:spacing w:after="0" w:line="224" w:lineRule="exact"/>
        <w:rPr>
          <w:sz w:val="20"/>
          <w:szCs w:val="20"/>
          <w:color w:val="auto"/>
        </w:rPr>
      </w:pPr>
    </w:p>
    <w:p>
      <w:pPr>
        <w:jc w:val="both"/>
        <w:ind w:firstLine="1305"/>
        <w:spacing w:after="0" w:line="276" w:lineRule="auto"/>
        <w:tabs>
          <w:tab w:leader="none" w:pos="22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the provisions of Section 2.2(B) above, provided that at the time for application of the subject installment thereof, both (i) Tenant is not then in default under any of the terms or provisions of the Lease beyond the expiration of any applicable notice and/or cure periods provided in the Lease (it being agreed that if Tenant thereafter cures such default prior to termination of the Lease, Tenant shall then be entitled to the Minimum Annual Rent credits set forth herein) and (ii) the Lease then remains in force and effect, Tenant shall receive a Minimum Annual Rent credit in the amount of $811,353.42 (subject to Section 2.5(C)(y) of this Agreement); such Minimum Annual Rent credit to be applied as follows:</w:t>
      </w:r>
    </w:p>
    <w:p>
      <w:pPr>
        <w:spacing w:after="0" w:line="226" w:lineRule="exact"/>
        <w:rPr>
          <w:rFonts w:ascii="Arial" w:cs="Arial" w:eastAsia="Arial" w:hAnsi="Arial"/>
          <w:sz w:val="17"/>
          <w:szCs w:val="17"/>
          <w:color w:val="auto"/>
        </w:rPr>
      </w:pPr>
    </w:p>
    <w:p>
      <w:pPr>
        <w:jc w:val="both"/>
        <w:ind w:firstLine="1953"/>
        <w:spacing w:after="0" w:line="264" w:lineRule="auto"/>
        <w:tabs>
          <w:tab w:leader="none" w:pos="28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seven (7) equal and consecutive monthly installments of $43,617.11 applied against the monthly installments of Minimum Annual Rent payable with respect to each of the calendar months of February 2019 through and including August 2019 (for the avoidance of doubt, it being understood that during each such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month, Tenant shall only be obligated to pay to Landlord Minimum Annual Rent in the amount of $43,617.10); and</w:t>
      </w:r>
    </w:p>
    <w:p>
      <w:pPr>
        <w:spacing w:after="0" w:line="279" w:lineRule="exact"/>
        <w:rPr>
          <w:sz w:val="20"/>
          <w:szCs w:val="20"/>
          <w:color w:val="auto"/>
        </w:rPr>
      </w:pPr>
    </w:p>
    <w:p>
      <w:pPr>
        <w:jc w:val="both"/>
        <w:ind w:firstLine="1953"/>
        <w:spacing w:after="0" w:line="291" w:lineRule="auto"/>
        <w:tabs>
          <w:tab w:leader="none" w:pos="2924"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five (5) equal and consecutive monthly installments of $50,102.34 applied against the monthly installments of Minimum Annual Rent payable with respect to each of the calendar months of September 2026 through and including January 2027 (subject to Section 2.5(C)</w:t>
      </w:r>
    </w:p>
    <w:p>
      <w:pPr>
        <w:ind w:right="20" w:firstLine="8"/>
        <w:spacing w:after="0" w:line="261" w:lineRule="auto"/>
        <w:tabs>
          <w:tab w:leader="none" w:pos="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this Agreement) (for the avoidance of doubt, it being understood that during each such month, Tenant shall only be obligated to pay to Landlord Minimum Annual Rent in the amount of $50,102.34); and</w:t>
      </w:r>
    </w:p>
    <w:p>
      <w:pPr>
        <w:spacing w:after="0" w:line="237" w:lineRule="exact"/>
        <w:rPr>
          <w:rFonts w:ascii="Arial" w:cs="Arial" w:eastAsia="Arial" w:hAnsi="Arial"/>
          <w:sz w:val="18"/>
          <w:szCs w:val="18"/>
          <w:color w:val="auto"/>
        </w:rPr>
      </w:pPr>
    </w:p>
    <w:p>
      <w:pPr>
        <w:jc w:val="both"/>
        <w:ind w:firstLine="1953"/>
        <w:spacing w:after="0" w:line="259" w:lineRule="auto"/>
        <w:tabs>
          <w:tab w:leader="none" w:pos="29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five (5) equal and consecutive monthly installments of $51,104.39 applied against the monthly installments of Minimum Annual Rent payable with respect to each of the calendar months of February 2027 through and including June 2027 (subject to Section 2.5(C)(y) of this Agreement) (for the avoidance of doubt, it being understood that during each such month, Tenant shall only be obligated to pay to Landlord Minimum Annual Rent in the amount of $51,104.39).</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Utilities</w:t>
      </w:r>
      <w:r>
        <w:rPr>
          <w:rFonts w:ascii="Arial" w:cs="Arial" w:eastAsia="Arial" w:hAnsi="Arial"/>
          <w:sz w:val="17"/>
          <w:szCs w:val="17"/>
          <w:color w:val="auto"/>
        </w:rPr>
        <w:t>. Effective as of the Effective Date of this Agreement, the last sentence of Article 10(a) of the Original Lease is hereby deleted in the entirety. Promptly following the Effective Date of this Agreement, Landlord, at Landlord’s sole cost and expense, will cause the Building’s common cafeteria area electric service to be directly metered, submetered or check-metered so as to measure the consumption of electricity in and from the common cafeteria area separately from the consumption of electricity in and from any tenanted premises of the Building. Thereafter, Tenant shall pay to Landlord, as Additional Rent within ten (10) days following receipt by Tenant of a written request therefor , Tenant’s Proportionate Share (i.e., 42.42%) of the actual charges for such common cafeteria area electricity consumption for the period covered by the subject billing, as measured by the aforesaid direct meter or submeter or check-meter, plus Landlord’s customary administrative fee for reading and billing such metered-service not to exceed three percent (3%) of such bill. For good and valuable consideration, each of Landlord and Tenant hereby releases the other from any claims the releasor may have or may have had against the releasee or such releasee’s predecessors-in-interest relating to common area utility charges in or about the Building or the Real Property for any period or periods preceding the Effective Date of this Agreement; it being acknowledged and agreed that neither Landlord nor Tenant would have entered into this Agreement without the benefit of the release set forth in this sentence.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Renewal Right/Option</w:t>
      </w:r>
      <w:r>
        <w:rPr>
          <w:rFonts w:ascii="Arial" w:cs="Arial" w:eastAsia="Arial" w:hAnsi="Arial"/>
          <w:sz w:val="18"/>
          <w:szCs w:val="18"/>
          <w:color w:val="auto"/>
        </w:rPr>
        <w:t>. The parties acknowledge and agree all options under the Existing Lease to extend the Term thereof have either heretofore lapsed or been heretofore exercised by Tenant and, as such, there are no remaining rights or options for Tenant to extend the Term of the Existing Lease. Landlord and Tenant intend to hereby establish a new right and option for Tenant to extend the Term of the Lease, subject to and in accordance with the terms and conditions of this Section 2.4. Accordingly, provided Tenant is not then in default under the Lease beyond the expiration of any applicable notice and/or cure periods set forth in the Lease, Tenant shall have the right (this “</w:t>
      </w:r>
      <w:r>
        <w:rPr>
          <w:rFonts w:ascii="Arial" w:cs="Arial" w:eastAsia="Arial" w:hAnsi="Arial"/>
          <w:sz w:val="18"/>
          <w:szCs w:val="18"/>
          <w:u w:val="single" w:color="auto"/>
          <w:color w:val="auto"/>
        </w:rPr>
        <w:t>Third Renewal Right/Option</w:t>
      </w:r>
      <w:r>
        <w:rPr>
          <w:rFonts w:ascii="Arial" w:cs="Arial" w:eastAsia="Arial" w:hAnsi="Arial"/>
          <w:sz w:val="18"/>
          <w:szCs w:val="18"/>
          <w:color w:val="auto"/>
        </w:rPr>
        <w:t>”) to extend the Term of the Lease for one (1) additional five (5) year period, commencing on October 1, 2029 and ending on September 30, 2034 (the “</w:t>
      </w:r>
      <w:r>
        <w:rPr>
          <w:rFonts w:ascii="Arial" w:cs="Arial" w:eastAsia="Arial" w:hAnsi="Arial"/>
          <w:sz w:val="18"/>
          <w:szCs w:val="18"/>
          <w:u w:val="single" w:color="auto"/>
          <w:color w:val="auto"/>
        </w:rPr>
        <w:t>Third Renewal Term</w:t>
      </w:r>
      <w:r>
        <w:rPr>
          <w:rFonts w:ascii="Arial" w:cs="Arial" w:eastAsia="Arial" w:hAnsi="Arial"/>
          <w:sz w:val="18"/>
          <w:szCs w:val="18"/>
          <w:color w:val="auto"/>
        </w:rPr>
        <w:t>”); all subject to and in accordance with the following terms and conditions:</w:t>
      </w:r>
    </w:p>
    <w:p>
      <w:pPr>
        <w:spacing w:after="0" w:line="243" w:lineRule="exact"/>
        <w:rPr>
          <w:sz w:val="20"/>
          <w:szCs w:val="20"/>
          <w:color w:val="auto"/>
        </w:rPr>
      </w:pPr>
    </w:p>
    <w:p>
      <w:pPr>
        <w:jc w:val="both"/>
        <w:ind w:firstLine="1305"/>
        <w:spacing w:after="0" w:line="259" w:lineRule="auto"/>
        <w:tabs>
          <w:tab w:leader="none" w:pos="23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Tenant shall exercise the Third Renewal Right/Option, if at all, by written notice to Landlord, which unequivocally and unconditionally expresses Tenant’s exercise of the subject Third Renewal Right/Option (such written notice being hereinafter referred to as the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Renewal Exercise Notice</w:t>
      </w:r>
      <w:r>
        <w:rPr>
          <w:rFonts w:ascii="Arial" w:cs="Arial" w:eastAsia="Arial" w:hAnsi="Arial"/>
          <w:sz w:val="18"/>
          <w:szCs w:val="18"/>
          <w:color w:val="auto"/>
        </w:rPr>
        <w:t>”), delivered no sooner than April 1, 2028 and no later than October 1, 2028. Any written communication from Tenant that purports to serve as the Third Renewal Exercise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Notice, but which contains language of equivocation or condition may be rejected by Landlord as invalid.</w:t>
      </w:r>
    </w:p>
    <w:p>
      <w:pPr>
        <w:spacing w:after="0" w:line="279" w:lineRule="exact"/>
        <w:rPr>
          <w:sz w:val="20"/>
          <w:szCs w:val="20"/>
          <w:color w:val="auto"/>
        </w:rPr>
      </w:pPr>
    </w:p>
    <w:p>
      <w:pPr>
        <w:jc w:val="both"/>
        <w:ind w:firstLine="1305"/>
        <w:spacing w:after="0" w:line="290" w:lineRule="auto"/>
        <w:tabs>
          <w:tab w:leader="none" w:pos="21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Third Renewal Term shall be upon the then current terms, covenants and conditions of the Lease, except that (i) there shall be no further option to extend the Term of the Lease beyond the Third Renewal Term; (ii) the Demised Premises shall be delivered in its then “as is” condition, and Landlord shall not be obligated to perform any work, make any installation, or incur any expense in order to prepare the Demised Premises for continued occupancy by Tenant, except as expressly set forth in the Lease; (iii) Tenant shall not be entitled to any rent concession, additional rent concession, tenant improvement allowance or other lease incentive or inducement in connection with such extension; and (iv) the Minimum Annual Rent to be paid by Tenant during the Third Renewal Term (the “</w:t>
      </w:r>
      <w:r>
        <w:rPr>
          <w:rFonts w:ascii="Arial" w:cs="Arial" w:eastAsia="Arial" w:hAnsi="Arial"/>
          <w:sz w:val="16"/>
          <w:szCs w:val="16"/>
          <w:u w:val="single" w:color="auto"/>
          <w:color w:val="auto"/>
        </w:rPr>
        <w:t>Base Renewal Rent</w:t>
      </w:r>
      <w:r>
        <w:rPr>
          <w:rFonts w:ascii="Arial" w:cs="Arial" w:eastAsia="Arial" w:hAnsi="Arial"/>
          <w:sz w:val="16"/>
          <w:szCs w:val="16"/>
          <w:color w:val="auto"/>
        </w:rPr>
        <w:t>”) shall be calculated at one hundred (100%) percent of the fair market rental value of the Demised Premises as of the commencement of the Third Renewal Term, together with fair market annual escalations thereupon (which escalations shall be calculated as of the commencement of the Third Renewal Term), taking into account all relevant factors, including, without limitation, the escalations.</w:t>
      </w:r>
    </w:p>
    <w:p>
      <w:pPr>
        <w:spacing w:after="0" w:line="220" w:lineRule="exact"/>
        <w:rPr>
          <w:rFonts w:ascii="Arial" w:cs="Arial" w:eastAsia="Arial" w:hAnsi="Arial"/>
          <w:sz w:val="16"/>
          <w:szCs w:val="16"/>
          <w:color w:val="auto"/>
        </w:rPr>
      </w:pPr>
    </w:p>
    <w:p>
      <w:pPr>
        <w:jc w:val="both"/>
        <w:ind w:firstLine="1305"/>
        <w:spacing w:after="0" w:line="257" w:lineRule="auto"/>
        <w:tabs>
          <w:tab w:leader="none" w:pos="2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Promptly following the delivery of the Third Renewal Exercise Notice in accordance with the terms and conditions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2.4(A)</w:t>
      </w:r>
      <w:r>
        <w:rPr>
          <w:rFonts w:ascii="Arial" w:cs="Arial" w:eastAsia="Arial" w:hAnsi="Arial"/>
          <w:sz w:val="18"/>
          <w:szCs w:val="18"/>
          <w:color w:val="auto"/>
        </w:rPr>
        <w:t xml:space="preserve"> above, if any, the parties shall commence good faith negotiations for a mutually-agreeable Base Renewal Rent for the Third Renewal Term. If Landlord and Tenant have not mutually agreed upon the Base Renewal Rent by April 1, 2029, then they shall each select one real estate broker with at least ten (10) years’ experience in the leasing of office buildings in the area in which the building is located, each of whom shall furnish a report to indicate their opinion of the fair market rental of the Demised Premises.</w:t>
      </w:r>
    </w:p>
    <w:p>
      <w:pPr>
        <w:spacing w:after="0" w:line="242" w:lineRule="exact"/>
        <w:rPr>
          <w:rFonts w:ascii="Arial" w:cs="Arial" w:eastAsia="Arial" w:hAnsi="Arial"/>
          <w:sz w:val="18"/>
          <w:szCs w:val="18"/>
          <w:color w:val="auto"/>
        </w:rPr>
      </w:pPr>
    </w:p>
    <w:p>
      <w:pPr>
        <w:jc w:val="both"/>
        <w:ind w:firstLine="1305"/>
        <w:spacing w:after="0" w:line="254" w:lineRule="auto"/>
        <w:tabs>
          <w:tab w:leader="none" w:pos="2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after a review of the broker reports prepared and submitted in accordance with Section 2.4(C), above, Landlord and Tenant have not agreed on the Base Renewal Rent by June 1, 2029, then the matter shall immediately be submitted to arbitration before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and shall be determined by a single arbitrator in accordance with the provisions of the Lease and then applicable rules of the AAA within the County of Nassau, or of the closest office of the AAA. The arbitrator shall, in determining the Base Renewal Rent, take into consideration then existing current fair market rental value of similar premises in the Building and the Mitchel Field area, and all other relevant factors. The arbitrator shall then, on an expedited basis, choose one of the determinations of the two brokers originally selected by the parties. The parties agree that the decision and determination to be made by the arbitrator with respect to the Base Renewal Rent for the Third Renewal Term shall be final and binding upon Landlord and Tenant.</w:t>
      </w:r>
    </w:p>
    <w:p>
      <w:pPr>
        <w:spacing w:after="0" w:line="246" w:lineRule="exact"/>
        <w:rPr>
          <w:rFonts w:ascii="Arial" w:cs="Arial" w:eastAsia="Arial" w:hAnsi="Arial"/>
          <w:sz w:val="18"/>
          <w:szCs w:val="18"/>
          <w:color w:val="auto"/>
        </w:rPr>
      </w:pPr>
    </w:p>
    <w:p>
      <w:pPr>
        <w:ind w:firstLine="1305"/>
        <w:spacing w:after="0" w:line="277"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Landlord and Tenant shall each separately pay their respective designated brokers. The expenses, fees and charges in connection with the arbitration process set forth in Section 2.4(D) above, shall be borne equally between Landlord and Tenant.</w:t>
      </w:r>
    </w:p>
    <w:p>
      <w:pPr>
        <w:spacing w:after="0" w:line="224" w:lineRule="exact"/>
        <w:rPr>
          <w:rFonts w:ascii="Arial" w:cs="Arial" w:eastAsia="Arial" w:hAnsi="Arial"/>
          <w:sz w:val="18"/>
          <w:szCs w:val="18"/>
          <w:color w:val="auto"/>
        </w:rPr>
      </w:pPr>
    </w:p>
    <w:p>
      <w:pPr>
        <w:ind w:right="20" w:firstLine="1305"/>
        <w:spacing w:after="0" w:line="308" w:lineRule="auto"/>
        <w:tabs>
          <w:tab w:leader="none" w:pos="2097"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agreement by the parties as to the Base Renewal Rent for the Third Renewal Term or upon the Base Renewal Rent for the Third Renewal Term being fixed by the arbitrator, as the case may be, the parties hereto shall enter into a supplementary agreement extending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both"/>
        <w:spacing w:after="0" w:line="290" w:lineRule="auto"/>
        <w:rPr>
          <w:sz w:val="20"/>
          <w:szCs w:val="20"/>
          <w:color w:val="auto"/>
        </w:rPr>
      </w:pPr>
      <w:r>
        <w:rPr>
          <w:rFonts w:ascii="Arial" w:cs="Arial" w:eastAsia="Arial" w:hAnsi="Arial"/>
          <w:sz w:val="16"/>
          <w:szCs w:val="16"/>
          <w:color w:val="auto"/>
        </w:rPr>
        <w:t>the Term of the Lease for the Third Renewal Term as hereinabove provided. In the event of no agreement between the parties or no decision by arbitration prior to the commencement of the Third Renewal Term, Tenant shall pay an interim Base Renewal Rent equal to the (unabated) Minimum Annual Rent last in effect until the arbitration shall have been completed (or an agreement is reached), after which Landlord and Tenant shall make appropriate adjustment of such interim rent, such adjustment to be as of the commencement date of the Third Renewal Term. If the payments made by Tenant on account of Base Renewal Rent were greater than the Base Renewal Rent as finally determined in accordance with the provisions hereof, Landlord shall credit the amount of such excess against the next installments of Base Renewal Rent due under the Lease from the respective dates of overpayment until credited. If the payments made by Tenant on account of Base Renewal Rent were less than the Base Renewal Rent as finally determined in accordance with the provisions hereof, Tenant shall pay to Landlord the full amount of such excess with the next installment of Base Renewal Rent due under the Lease.</w:t>
      </w:r>
    </w:p>
    <w:p>
      <w:pPr>
        <w:spacing w:after="0" w:line="220" w:lineRule="exact"/>
        <w:rPr>
          <w:sz w:val="20"/>
          <w:szCs w:val="20"/>
          <w:color w:val="auto"/>
        </w:rPr>
      </w:pPr>
    </w:p>
    <w:p>
      <w:pPr>
        <w:ind w:left="2100" w:hanging="795"/>
        <w:spacing w:after="0"/>
        <w:tabs>
          <w:tab w:leader="none" w:pos="2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 is of the essence with respect to all dates and time periods referenced in this Section 2.4.</w:t>
      </w:r>
    </w:p>
    <w:p>
      <w:pPr>
        <w:spacing w:after="0" w:line="279" w:lineRule="exact"/>
        <w:rPr>
          <w:rFonts w:ascii="Arial" w:cs="Arial" w:eastAsia="Arial" w:hAnsi="Arial"/>
          <w:sz w:val="18"/>
          <w:szCs w:val="18"/>
          <w:color w:val="auto"/>
        </w:rPr>
      </w:pPr>
    </w:p>
    <w:p>
      <w:pPr>
        <w:jc w:val="both"/>
        <w:ind w:firstLine="1305"/>
        <w:spacing w:after="0" w:line="279" w:lineRule="auto"/>
        <w:tabs>
          <w:tab w:leader="none" w:pos="23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Third Renewal Right/Option shall be personal to Frequency Electronics, Inc. (and to any entity that succeeds to the leasehold interest of Frequency Electronics, Inc. pursuant to a transaction of the type addressed in Section 17(d) of the Original Lease, provided that Frequency Electronics, Inc. shall remain liable for the obligations of “Tenant” throughout the Third Renewal Term unless, in the case of a merger, Frequency Electronics, Inc. is not the surviving entity), and shall not be otherwise transferable by operation of law or otherwise.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Cancellation Option</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7" w:lineRule="auto"/>
        <w:tabs>
          <w:tab w:leader="none" w:pos="23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Provided Tenant is not then in default under this Lease beyond the expiration of all applicable notice and/or cure periods contained in the Lease, Tenant shall have the one-time right and option (this “</w:t>
      </w:r>
      <w:r>
        <w:rPr>
          <w:rFonts w:ascii="Arial" w:cs="Arial" w:eastAsia="Arial" w:hAnsi="Arial"/>
          <w:sz w:val="18"/>
          <w:szCs w:val="18"/>
          <w:u w:val="single" w:color="auto"/>
          <w:color w:val="auto"/>
        </w:rPr>
        <w:t>Cancellation Option</w:t>
      </w:r>
      <w:r>
        <w:rPr>
          <w:rFonts w:ascii="Arial" w:cs="Arial" w:eastAsia="Arial" w:hAnsi="Arial"/>
          <w:sz w:val="18"/>
          <w:szCs w:val="18"/>
          <w:color w:val="auto"/>
        </w:rPr>
        <w:t>”) to cancel this Lease effective as of January 31, 2026 (the “</w:t>
      </w:r>
      <w:r>
        <w:rPr>
          <w:rFonts w:ascii="Arial" w:cs="Arial" w:eastAsia="Arial" w:hAnsi="Arial"/>
          <w:sz w:val="18"/>
          <w:szCs w:val="18"/>
          <w:u w:val="single" w:color="auto"/>
          <w:color w:val="auto"/>
        </w:rPr>
        <w:t>Cancellation Date</w:t>
      </w:r>
      <w:r>
        <w:rPr>
          <w:rFonts w:ascii="Arial" w:cs="Arial" w:eastAsia="Arial" w:hAnsi="Arial"/>
          <w:sz w:val="18"/>
          <w:szCs w:val="18"/>
          <w:color w:val="auto"/>
        </w:rPr>
        <w:t>”) by delivering to Landlord, no later than January 31, 2024 (the “</w:t>
      </w:r>
      <w:r>
        <w:rPr>
          <w:rFonts w:ascii="Arial" w:cs="Arial" w:eastAsia="Arial" w:hAnsi="Arial"/>
          <w:sz w:val="18"/>
          <w:szCs w:val="18"/>
          <w:u w:val="single" w:color="auto"/>
          <w:color w:val="auto"/>
        </w:rPr>
        <w:t>Cancellation Option Exercise Deadline</w:t>
      </w:r>
      <w:r>
        <w:rPr>
          <w:rFonts w:ascii="Arial" w:cs="Arial" w:eastAsia="Arial" w:hAnsi="Arial"/>
          <w:sz w:val="18"/>
          <w:szCs w:val="18"/>
          <w:color w:val="auto"/>
        </w:rPr>
        <w:t>”), both: (i) written notice of Tenant’s exercise of this Cancellation Option (the “</w:t>
      </w:r>
      <w:r>
        <w:rPr>
          <w:rFonts w:ascii="Arial" w:cs="Arial" w:eastAsia="Arial" w:hAnsi="Arial"/>
          <w:sz w:val="18"/>
          <w:szCs w:val="18"/>
          <w:u w:val="single" w:color="auto"/>
          <w:color w:val="auto"/>
        </w:rPr>
        <w:t>Cancellation Notice</w:t>
      </w:r>
      <w:r>
        <w:rPr>
          <w:rFonts w:ascii="Arial" w:cs="Arial" w:eastAsia="Arial" w:hAnsi="Arial"/>
          <w:sz w:val="18"/>
          <w:szCs w:val="18"/>
          <w:color w:val="auto"/>
        </w:rPr>
        <w:t>”); and (ii) payment, in immediately available funds, of a fee (the “</w:t>
      </w:r>
      <w:r>
        <w:rPr>
          <w:rFonts w:ascii="Arial" w:cs="Arial" w:eastAsia="Arial" w:hAnsi="Arial"/>
          <w:sz w:val="18"/>
          <w:szCs w:val="18"/>
          <w:u w:val="single" w:color="auto"/>
          <w:color w:val="auto"/>
        </w:rPr>
        <w:t>Cancellation Fee</w:t>
      </w:r>
      <w:r>
        <w:rPr>
          <w:rFonts w:ascii="Arial" w:cs="Arial" w:eastAsia="Arial" w:hAnsi="Arial"/>
          <w:sz w:val="18"/>
          <w:szCs w:val="18"/>
          <w:color w:val="auto"/>
        </w:rPr>
        <w:t>”) in the amount of the Unamortized Costs (hereinafter defined).</w:t>
      </w:r>
    </w:p>
    <w:p>
      <w:pPr>
        <w:spacing w:after="0" w:line="242" w:lineRule="exact"/>
        <w:rPr>
          <w:rFonts w:ascii="Arial" w:cs="Arial" w:eastAsia="Arial" w:hAnsi="Arial"/>
          <w:sz w:val="18"/>
          <w:szCs w:val="18"/>
          <w:color w:val="auto"/>
        </w:rPr>
      </w:pPr>
    </w:p>
    <w:p>
      <w:pPr>
        <w:jc w:val="both"/>
        <w:ind w:firstLine="1305"/>
        <w:spacing w:after="0" w:line="255" w:lineRule="auto"/>
        <w:tabs>
          <w:tab w:leader="none" w:pos="21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Unamortized Costs</w:t>
      </w:r>
      <w:r>
        <w:rPr>
          <w:rFonts w:ascii="Arial" w:cs="Arial" w:eastAsia="Arial" w:hAnsi="Arial"/>
          <w:sz w:val="18"/>
          <w:szCs w:val="18"/>
          <w:color w:val="auto"/>
        </w:rPr>
        <w:t>” shall be deemed to mean the aggregate of those portions of all costs incurred by Landlord in connection with this Agreement that will not have been recouped by Landlord (through amortization, as addressed below) as of the Cancellation Date, which costs shall include, without limitation, each of the following: (i) $1,092,234.00, as the stipulated and agreed-upon value of the Allowance (hereinafter defined) , or such portion thereof as received by Tenant from Landlord pursuant to this Agreement; and (ii) all brokerage commissions actually paid by Landlord in connection with this Agreement. For the purpose of calculating the Unamortized Costs, the total costs described above shall be amortized over the Amortization Term (hereinafter defined), as if same were a one hundred twenty (120) month, self-amortizing loan at an annual interest rate of seven (7.0%) percent, payable in equal monthly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installments of principal and interest combined. As used herein, the “</w:t>
      </w:r>
      <w:r>
        <w:rPr>
          <w:rFonts w:ascii="Arial" w:cs="Arial" w:eastAsia="Arial" w:hAnsi="Arial"/>
          <w:sz w:val="18"/>
          <w:szCs w:val="18"/>
          <w:u w:val="single" w:color="auto"/>
          <w:color w:val="auto"/>
        </w:rPr>
        <w:t>Amortization Term</w:t>
      </w:r>
      <w:r>
        <w:rPr>
          <w:rFonts w:ascii="Arial" w:cs="Arial" w:eastAsia="Arial" w:hAnsi="Arial"/>
          <w:sz w:val="18"/>
          <w:szCs w:val="18"/>
          <w:color w:val="auto"/>
        </w:rPr>
        <w:t>” shall mean the one hundred twenty (120) month period commencing on May 1, 2019 and ending on April 30, 2029. For purposes of this Section 2.5, the amount of the Unamortized Costs shall be deemed equal to the amount that would be outstanding under such hypothetical “loan” as of the Cancellation Date.</w:t>
      </w:r>
    </w:p>
    <w:p>
      <w:pPr>
        <w:spacing w:after="0" w:line="235" w:lineRule="exact"/>
        <w:rPr>
          <w:sz w:val="20"/>
          <w:szCs w:val="20"/>
          <w:color w:val="auto"/>
        </w:rPr>
      </w:pPr>
    </w:p>
    <w:p>
      <w:pPr>
        <w:jc w:val="both"/>
        <w:ind w:firstLine="1305"/>
        <w:spacing w:after="0" w:line="286" w:lineRule="auto"/>
        <w:tabs>
          <w:tab w:leader="none" w:pos="22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satisfaction by Tenant of each of the above conditions, and upon the Demised Premises having been surrendered to Landlord and vacated by Tenant on or before the Cancellation Date as if that date were the Expiration Date under the Lease, the Lease shall be deemed canceled and terminated as of the Cancellation Date and no party shall have any obligations to the other except those that are expressly stated to survive the expiration of the Term. Time is of the essence with respect to all dates and time periods referenced in this Section 2.5. In the event that Tenant does not deliver the Cancellation Notice with the Cancellation Fee payment by the Cancellation Option Election Deadline, then this Cancellation Option shall be deemed to have lapsed and been rendered of no further force or effect whatsoever. If Tenant does timely and properly exercise this Cancellation Option, but thereafter fails to vacate and surrender the Demised Premises in the conditions required under the Lease by the Cancellation Date, then Tenant shall be deemed to be holding over in the Demised Premises beyond the expiration of the Term, without the acquiesce of Landlord, subject to the applicable terms and conditions of the Lease. In addition, Tenant acknowledges and agrees that: (a) following exercise of this Cancellation Option by Tenant, Tenant may not revoke such cancellation without the prior written consent of Landlord (which may be granted or withheld in Landlord’s sole discretion); (b) this Cancellation Option, and the ability of Tenant to exercise same, shall be rendered null and void upon Tenant leasing any additional space in the Building, whether pursuant to the exercise of a Right of Offer or right of expansion, through negotiation or otherwise; and (c) the delivery of the Cancellation Notice shall render null and void both (x) the ability of Tenant to exercise any right or option, if any, of Tenant to lease additional space in the Building and (y) Tenant’s entitlement to the Minimum Annual Rent credits referenced under Section 2.2(C)(y) and (z) of this Agreement.</w:t>
      </w:r>
    </w:p>
    <w:p>
      <w:pPr>
        <w:spacing w:after="0" w:line="225" w:lineRule="exact"/>
        <w:rPr>
          <w:rFonts w:ascii="Arial" w:cs="Arial" w:eastAsia="Arial" w:hAnsi="Arial"/>
          <w:sz w:val="16"/>
          <w:szCs w:val="16"/>
          <w:color w:val="auto"/>
        </w:rPr>
      </w:pPr>
    </w:p>
    <w:p>
      <w:pPr>
        <w:ind w:firstLine="1305"/>
        <w:spacing w:after="0" w:line="308" w:lineRule="auto"/>
        <w:tabs>
          <w:tab w:leader="none" w:pos="21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rights and entitlements established for Tenant under this Article are personal to Frequency Electronics, Inc., and are non-transferable by operation of law or otherwise, except to a permitted assignee or subtenant pursuant to Article 17 of the Existing Lease.</w:t>
      </w:r>
    </w:p>
    <w:p>
      <w:pPr>
        <w:spacing w:after="0" w:line="20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Condition of the Demised Premises; the Allowance; Landlord’s Base Building Work</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5" w:lineRule="auto"/>
        <w:tabs>
          <w:tab w:leader="none" w:pos="22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Tenant hereby acknowledges and agrees that (i) all work and installations heretofore required to be performed or made by Landlord under the Existing Lease have been fully performed or made prior to the date hereof; (ii) Tenant has inspected the Demised Premises and agrees to accept same in its “as is” condition as of the date hereof, except with respect to any Landlord’s Base Building Work (as hereinafter defined); (iii) except with respect to the Allowance, Landlord shall not be required to pay any sums or incur any expense in connection with Tenant’s preparation of the Demised Premises for its continued occupancy; and (iv) except with respect to the Landlord’s Base Building Work, Landlord shall not be required to perform any work or make any installations in or with respect to the Demised Premises in order to prepare same for continued occupancy by Tenant (it being agreed that Landlord shall, however, be required to perform any repair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and maintenance obligations set forth in the Lease, including, without limitation, in Section 8(b) thereof).</w:t>
      </w:r>
    </w:p>
    <w:p>
      <w:pPr>
        <w:spacing w:after="0" w:line="279" w:lineRule="exact"/>
        <w:rPr>
          <w:sz w:val="20"/>
          <w:szCs w:val="20"/>
          <w:color w:val="auto"/>
        </w:rPr>
      </w:pPr>
    </w:p>
    <w:p>
      <w:pPr>
        <w:jc w:val="both"/>
        <w:ind w:firstLine="1305"/>
        <w:spacing w:after="0" w:line="270" w:lineRule="auto"/>
        <w:tabs>
          <w:tab w:leader="none" w:pos="20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2.6(A) of this Agreement, provided Tenant is not then in default of any of its obligations under the Lease beyond the expiration of any applicable notice and/or cure periods provided in the Lease (it being agreed that if Tenant thereafter cures such default prior to termination, Tenant shall then be entitled to the Allowance set forth herein (if all other conditions have been satisfied)) and further provided that the Lease then remains in force and effect, Landlord shall make available to Tenant a construction reimbursement allowance in an amount not to exceed $1,092,324.00 (the “</w:t>
      </w:r>
      <w:r>
        <w:rPr>
          <w:rFonts w:ascii="Arial" w:cs="Arial" w:eastAsia="Arial" w:hAnsi="Arial"/>
          <w:sz w:val="17"/>
          <w:szCs w:val="17"/>
          <w:u w:val="single" w:color="auto"/>
          <w:color w:val="auto"/>
        </w:rPr>
        <w:t>Allowance</w:t>
      </w:r>
      <w:r>
        <w:rPr>
          <w:rFonts w:ascii="Arial" w:cs="Arial" w:eastAsia="Arial" w:hAnsi="Arial"/>
          <w:sz w:val="17"/>
          <w:szCs w:val="17"/>
          <w:color w:val="auto"/>
        </w:rPr>
        <w:t>”) for improvements to the Demised Premises made by or on behalf of Tenant following the Effective Date of this Agreement (such improvements being herein generically referred to as “</w:t>
      </w:r>
      <w:r>
        <w:rPr>
          <w:rFonts w:ascii="Arial" w:cs="Arial" w:eastAsia="Arial" w:hAnsi="Arial"/>
          <w:sz w:val="17"/>
          <w:szCs w:val="17"/>
          <w:u w:val="single" w:color="auto"/>
          <w:color w:val="auto"/>
        </w:rPr>
        <w:t>First Amendment TI Work</w:t>
      </w:r>
      <w:r>
        <w:rPr>
          <w:rFonts w:ascii="Arial" w:cs="Arial" w:eastAsia="Arial" w:hAnsi="Arial"/>
          <w:sz w:val="17"/>
          <w:szCs w:val="17"/>
          <w:color w:val="auto"/>
        </w:rPr>
        <w:t>”), which Allowance Tenant may access at any time during the Allowance Period (hereinafter defined) by way of requisitions for progress payments; subject to and in accordance with the terms and conditions of this Section 2.6(B). As used herein, term the “</w:t>
      </w:r>
      <w:r>
        <w:rPr>
          <w:rFonts w:ascii="Arial" w:cs="Arial" w:eastAsia="Arial" w:hAnsi="Arial"/>
          <w:sz w:val="17"/>
          <w:szCs w:val="17"/>
          <w:u w:val="single" w:color="auto"/>
          <w:color w:val="auto"/>
        </w:rPr>
        <w:t>Allowance Period</w:t>
      </w:r>
      <w:r>
        <w:rPr>
          <w:rFonts w:ascii="Arial" w:cs="Arial" w:eastAsia="Arial" w:hAnsi="Arial"/>
          <w:sz w:val="17"/>
          <w:szCs w:val="17"/>
          <w:color w:val="auto"/>
        </w:rPr>
        <w:t>” shall mean the period commencing on February 1, 2019 and ending on January 31, 2022. Tenant acknowledges and agrees that:</w:t>
      </w:r>
    </w:p>
    <w:p>
      <w:pPr>
        <w:spacing w:after="0" w:line="235" w:lineRule="exact"/>
        <w:rPr>
          <w:rFonts w:ascii="Arial" w:cs="Arial" w:eastAsia="Arial" w:hAnsi="Arial"/>
          <w:sz w:val="17"/>
          <w:szCs w:val="17"/>
          <w:color w:val="auto"/>
        </w:rPr>
      </w:pPr>
    </w:p>
    <w:p>
      <w:pPr>
        <w:ind w:firstLine="1953"/>
        <w:spacing w:after="0" w:line="277" w:lineRule="auto"/>
        <w:tabs>
          <w:tab w:leader="none" w:pos="27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and all First Amendment TI Work must be performed subject to and in accordance with (x) the provisions of the Lease that govern the performance of alterations and (y) Landlord’s construction-related rules, regulations and requirements;</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30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progress payments in respect of the Allowance shall be paid by Landlord to Tenant, if at all, only by way of reimbursement to Tenant for design and construction costs actually incurred by Tenant directly in connection with the design and performance of First Amendment TI Work (each such payment, a “</w:t>
      </w:r>
      <w:r>
        <w:rPr>
          <w:rFonts w:ascii="Arial" w:cs="Arial" w:eastAsia="Arial" w:hAnsi="Arial"/>
          <w:sz w:val="18"/>
          <w:szCs w:val="18"/>
          <w:u w:val="single" w:color="auto"/>
          <w:color w:val="auto"/>
        </w:rPr>
        <w:t>Landlord Allowance Payment</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1953"/>
        <w:spacing w:after="0" w:line="287" w:lineRule="auto"/>
        <w:tabs>
          <w:tab w:leader="none" w:pos="2809"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Landlord Allowance Payment shall only become due and payable by Landlord within forty-five (45) days following receipt by Landlord of written demand therefor by Tenant, accompanied by (x) paid receipts for the subject First Amendment TI Work, evidencing the actual payment by Tenant of the amount demanded, (y) partial lien waivers from all contractors involved in the particular First Amendment TI Work that is the subject of such requisition (except if the subject contractor would not have lien rights under applicable law against the Building or the Real Property, or Landlord’s interest therein, with regard to the service or materials provided by such contractor) and (z) with respect to a requisition for a final Landlord Allowance Payment, (1) final lien waivers from all contractors involved in the particular First Amendment TI Work and (2) a certificate of occupancy or certificate of completion (or its equivalent), as applicable, from the applicable municipal authority with respect to the subject First Amendment TI Work, if such certificate is required by applicable law (such a written demand, when accompanied by all such supporting documentation, being hereinafter collectively referred to as a “</w:t>
      </w:r>
      <w:r>
        <w:rPr>
          <w:rFonts w:ascii="Arial" w:cs="Arial" w:eastAsia="Arial" w:hAnsi="Arial"/>
          <w:sz w:val="16"/>
          <w:szCs w:val="16"/>
          <w:u w:val="single" w:color="auto"/>
          <w:color w:val="auto"/>
        </w:rPr>
        <w:t>Allowance Demand</w:t>
      </w:r>
      <w:r>
        <w:rPr>
          <w:rFonts w:ascii="Arial" w:cs="Arial" w:eastAsia="Arial" w:hAnsi="Arial"/>
          <w:sz w:val="16"/>
          <w:szCs w:val="16"/>
          <w:color w:val="auto"/>
        </w:rPr>
        <w:t>”). The parties agree that for each interim Allowance Demand, Landlord may hold back an amount equal to five (5%) percent of the amount of the Landlord Allowance Payment so demanded by Tenant (such held-back funds being hereinafter collectively referred to as the “</w:t>
      </w:r>
      <w:r>
        <w:rPr>
          <w:rFonts w:ascii="Arial" w:cs="Arial" w:eastAsia="Arial" w:hAnsi="Arial"/>
          <w:sz w:val="16"/>
          <w:szCs w:val="16"/>
          <w:u w:val="single" w:color="auto"/>
          <w:color w:val="auto"/>
        </w:rPr>
        <w:t>Retainage</w:t>
      </w:r>
      <w:r>
        <w:rPr>
          <w:rFonts w:ascii="Arial" w:cs="Arial" w:eastAsia="Arial" w:hAnsi="Arial"/>
          <w:sz w:val="16"/>
          <w:szCs w:val="16"/>
          <w:color w:val="auto"/>
        </w:rPr>
        <w:t>”), provided that (aa) as with respect to any particular construction trade (e.g., carpentry, HVAC, electric, etc.) engaged with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respect to performance of the First Amendment TI Work, the entire portion of the Retainage that relates to the subject construction trade will be paid by Landlord together with the Landlord Allowance Payment associated with the final Allowance Demand that includes First Amendment TI Work involving the subject construction trade and (bb) the full amount of any previously-unpaid Retainage will be paid by Landlord together with the Landlord Allowance Payment associated with the final overall Allowance Demand associated with the First Amendment TI Work;</w:t>
      </w:r>
    </w:p>
    <w:p>
      <w:pPr>
        <w:spacing w:after="0" w:line="241" w:lineRule="exact"/>
        <w:rPr>
          <w:sz w:val="20"/>
          <w:szCs w:val="20"/>
          <w:color w:val="auto"/>
        </w:rPr>
      </w:pPr>
    </w:p>
    <w:p>
      <w:pPr>
        <w:jc w:val="both"/>
        <w:ind w:firstLine="1953"/>
        <w:spacing w:after="0" w:line="259" w:lineRule="auto"/>
        <w:tabs>
          <w:tab w:leader="none" w:pos="27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amount demanded for all First Amendment TI Work-related “soft costs” (e.g., design fees, permitting and inspection fees, data/telecom wiring and cabling, office furniture, office equipment, office decorations) by way of all Allowance Demands, and the aggregate amount required to be paid by way of all Landlord Allowance Payments for all First Amendment TI Work-related “soft costs,” shall in no event exceed $218,446.80;</w:t>
      </w:r>
    </w:p>
    <w:p>
      <w:pPr>
        <w:spacing w:after="0" w:line="240" w:lineRule="exact"/>
        <w:rPr>
          <w:rFonts w:ascii="Arial" w:cs="Arial" w:eastAsia="Arial" w:hAnsi="Arial"/>
          <w:sz w:val="18"/>
          <w:szCs w:val="18"/>
          <w:color w:val="auto"/>
        </w:rPr>
      </w:pPr>
    </w:p>
    <w:p>
      <w:pPr>
        <w:jc w:val="both"/>
        <w:ind w:right="20" w:firstLine="1953"/>
        <w:spacing w:after="0" w:line="264" w:lineRule="auto"/>
        <w:tabs>
          <w:tab w:leader="none" w:pos="27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amount demanded for all First Amendment TI Work-related costs (i.e., “hard” and “soft” costs) by way of all Allowance Demands, and the aggregate amount required to be paid by way of all Landlord Allowance Payments for all First Amendment TI Work-related costs (i.e., “hard” and “soft” costs), shall in no event exceed $1,092,324.00;</w:t>
      </w:r>
    </w:p>
    <w:p>
      <w:pPr>
        <w:spacing w:after="0" w:line="235" w:lineRule="exact"/>
        <w:rPr>
          <w:rFonts w:ascii="Arial" w:cs="Arial" w:eastAsia="Arial" w:hAnsi="Arial"/>
          <w:sz w:val="18"/>
          <w:szCs w:val="18"/>
          <w:color w:val="auto"/>
        </w:rPr>
      </w:pPr>
    </w:p>
    <w:p>
      <w:pPr>
        <w:ind w:left="2760" w:hanging="807"/>
        <w:spacing w:after="0"/>
        <w:tabs>
          <w:tab w:leader="none" w:pos="2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Landlord Allowance Payment shall be due by Landlord prior to February 1, 2019;</w:t>
      </w:r>
    </w:p>
    <w:p>
      <w:pPr>
        <w:spacing w:after="0" w:line="279" w:lineRule="exact"/>
        <w:rPr>
          <w:rFonts w:ascii="Arial" w:cs="Arial" w:eastAsia="Arial" w:hAnsi="Arial"/>
          <w:sz w:val="18"/>
          <w:szCs w:val="18"/>
          <w:color w:val="auto"/>
        </w:rPr>
      </w:pPr>
    </w:p>
    <w:p>
      <w:pPr>
        <w:ind w:left="3020" w:hanging="1067"/>
        <w:spacing w:after="0"/>
        <w:tabs>
          <w:tab w:leader="none" w:pos="3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Allowance Demand may be submitted after January 31, 2022 (the “</w:t>
      </w:r>
      <w:r>
        <w:rPr>
          <w:rFonts w:ascii="Arial" w:cs="Arial" w:eastAsia="Arial" w:hAnsi="Arial"/>
          <w:sz w:val="17"/>
          <w:szCs w:val="17"/>
          <w:u w:val="single" w:color="auto"/>
          <w:color w:val="auto"/>
        </w:rPr>
        <w:t>Allowance Deadline</w:t>
      </w:r>
      <w:r>
        <w:rPr>
          <w:rFonts w:ascii="Arial" w:cs="Arial" w:eastAsia="Arial" w:hAnsi="Arial"/>
          <w:sz w:val="17"/>
          <w:szCs w:val="17"/>
          <w:color w:val="auto"/>
        </w:rPr>
        <w:t>”); time being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essence;</w:t>
      </w:r>
    </w:p>
    <w:p>
      <w:pPr>
        <w:spacing w:after="0" w:line="264" w:lineRule="exact"/>
        <w:rPr>
          <w:rFonts w:ascii="Arial" w:cs="Arial" w:eastAsia="Arial" w:hAnsi="Arial"/>
          <w:sz w:val="17"/>
          <w:szCs w:val="17"/>
          <w:color w:val="auto"/>
        </w:rPr>
      </w:pPr>
    </w:p>
    <w:p>
      <w:pPr>
        <w:jc w:val="both"/>
        <w:ind w:right="20" w:firstLine="1953"/>
        <w:spacing w:after="0" w:line="264" w:lineRule="auto"/>
        <w:tabs>
          <w:tab w:leader="none" w:pos="29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portion of the Allowance has not been demanded by means of the delivery by Tenant to Landlord of a valid Allowance Demand (i.e., an Allowance Demand made by Tenant in accordance with the conditions and requirements of this Section 2.6(B)) by the Allowance Deadline, then the entirety of such portion shall be deemed to have been forfeited by Tenant; and</w:t>
      </w:r>
    </w:p>
    <w:p>
      <w:pPr>
        <w:spacing w:after="0" w:line="235" w:lineRule="exact"/>
        <w:rPr>
          <w:rFonts w:ascii="Arial" w:cs="Arial" w:eastAsia="Arial" w:hAnsi="Arial"/>
          <w:sz w:val="18"/>
          <w:szCs w:val="18"/>
          <w:color w:val="auto"/>
        </w:rPr>
      </w:pPr>
    </w:p>
    <w:p>
      <w:pPr>
        <w:jc w:val="both"/>
        <w:ind w:firstLine="1953"/>
        <w:spacing w:after="0" w:line="270" w:lineRule="auto"/>
        <w:tabs>
          <w:tab w:leader="none" w:pos="27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Landlord fails to pay all or any part of any Landlord Allowance Payment associated with a valid Allowance Demand made by Tenant in accordance with the requirements of this Section 2.6(B) (the subject due-and-owing, but unpaid, portion of the Allowance being herein referred to as the “</w:t>
      </w:r>
      <w:r>
        <w:rPr>
          <w:rFonts w:ascii="Arial" w:cs="Arial" w:eastAsia="Arial" w:hAnsi="Arial"/>
          <w:sz w:val="17"/>
          <w:szCs w:val="17"/>
          <w:u w:val="single" w:color="auto"/>
          <w:color w:val="auto"/>
        </w:rPr>
        <w:t>Unpaid Allowance Amount</w:t>
      </w:r>
      <w:r>
        <w:rPr>
          <w:rFonts w:ascii="Arial" w:cs="Arial" w:eastAsia="Arial" w:hAnsi="Arial"/>
          <w:sz w:val="17"/>
          <w:szCs w:val="17"/>
          <w:color w:val="auto"/>
        </w:rPr>
        <w:t>”), and such failure shall continue for thirty (30) days after Tenant’s notice to Landlord that the Unpaid Allowance Amount is past due and setting forth Tenant’s intent to offset the Unpaid Allowance Amount against Minimum Annual Rent, then Tenant may offset the Unpaid Allowance Amount against subsequent installments of Minimum Annual Rent coming due under the Lease until exhausted; provided, however, that in the event of a dispute or question as to the existence or amount of an Unpaid Allowance Amount, such offset shall not be effected until the sooner of final judgment issued by a court of competent jurisdiction or mutual agreement of the parties (and then only to the extent of that judgment or agreement, as applicable). Landlord acknowledges and agrees that in the event Tenant does procure such a judgment against Landlord, then interest, at the applicable judgment rate, shall be deemed to have accrued for the benefit of Tenant on the Unpaid Allowance Amount, which accrued interest shall be added to the amount that may be offset by Tenant hereunder. The total amount that may be offset by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both"/>
        <w:spacing w:after="0" w:line="276" w:lineRule="auto"/>
        <w:rPr>
          <w:sz w:val="20"/>
          <w:szCs w:val="20"/>
          <w:color w:val="auto"/>
        </w:rPr>
      </w:pPr>
      <w:r>
        <w:rPr>
          <w:rFonts w:ascii="Arial" w:cs="Arial" w:eastAsia="Arial" w:hAnsi="Arial"/>
          <w:sz w:val="17"/>
          <w:szCs w:val="17"/>
          <w:color w:val="auto"/>
        </w:rPr>
        <w:t>Tenant hereunder is sometimes hereinafter collectively referred to as the “</w:t>
      </w:r>
      <w:r>
        <w:rPr>
          <w:rFonts w:ascii="Arial" w:cs="Arial" w:eastAsia="Arial" w:hAnsi="Arial"/>
          <w:sz w:val="17"/>
          <w:szCs w:val="17"/>
          <w:u w:val="single" w:color="auto"/>
          <w:color w:val="auto"/>
        </w:rPr>
        <w:t>Offset Amount</w:t>
      </w:r>
      <w:r>
        <w:rPr>
          <w:rFonts w:ascii="Arial" w:cs="Arial" w:eastAsia="Arial" w:hAnsi="Arial"/>
          <w:sz w:val="17"/>
          <w:szCs w:val="17"/>
          <w:color w:val="auto"/>
        </w:rPr>
        <w:t>.” If any portion of the Offset Amount (the “</w:t>
      </w:r>
      <w:r>
        <w:rPr>
          <w:rFonts w:ascii="Arial" w:cs="Arial" w:eastAsia="Arial" w:hAnsi="Arial"/>
          <w:sz w:val="17"/>
          <w:szCs w:val="17"/>
          <w:u w:val="single" w:color="auto"/>
          <w:color w:val="auto"/>
        </w:rPr>
        <w:t>Unrealized Portion</w:t>
      </w:r>
      <w:r>
        <w:rPr>
          <w:rFonts w:ascii="Arial" w:cs="Arial" w:eastAsia="Arial" w:hAnsi="Arial"/>
          <w:sz w:val="17"/>
          <w:szCs w:val="17"/>
          <w:color w:val="auto"/>
        </w:rPr>
        <w:t>”) shall not have been credited or paid to Tenant as of the Expiration Date, or the Cancellation Date if Tenant exercises the Cancellation Option then, provided that Tenant shall have surrendered the Demised Premises to Landlord in the manner required under the Lease, Landlord, within thirty (30) days after the Expiration Date, shall pay the amount of the Unrealized Portion to Tenant, or at Tenant’s option, Tenant shall have the right to offset the amount of the Unrealized Portion against the Cancellation Fee, if applicable. The preceding sentence shall survive the Expiration Date.</w:t>
      </w:r>
    </w:p>
    <w:p>
      <w:pPr>
        <w:spacing w:after="0" w:line="227" w:lineRule="exact"/>
        <w:rPr>
          <w:sz w:val="20"/>
          <w:szCs w:val="20"/>
          <w:color w:val="auto"/>
        </w:rPr>
      </w:pPr>
    </w:p>
    <w:p>
      <w:pPr>
        <w:jc w:val="both"/>
        <w:ind w:firstLine="1305"/>
        <w:spacing w:after="0" w:line="267" w:lineRule="auto"/>
        <w:tabs>
          <w:tab w:leader="none" w:pos="2077"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Also notwithstanding anything to the contrary contained in Section 2.6(A) of this Agreement, Landlord shall cause its designated contractor to perform in and to the Building or the Demised Premises, as applicable, all the work described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(collectively, “</w:t>
      </w:r>
      <w:r>
        <w:rPr>
          <w:rFonts w:ascii="Arial" w:cs="Arial" w:eastAsia="Arial" w:hAnsi="Arial"/>
          <w:sz w:val="17"/>
          <w:szCs w:val="17"/>
          <w:u w:val="single" w:color="auto"/>
          <w:color w:val="auto"/>
        </w:rPr>
        <w:t>Landlord’s Base Building Work</w:t>
      </w:r>
      <w:r>
        <w:rPr>
          <w:rFonts w:ascii="Arial" w:cs="Arial" w:eastAsia="Arial" w:hAnsi="Arial"/>
          <w:sz w:val="17"/>
          <w:szCs w:val="17"/>
          <w:color w:val="auto"/>
        </w:rPr>
        <w:t>”) in order to prepare same for continued occupancy by Tenant, which work shall be performed in good workmanlike manner, and in accordance with Section 6(c) of the Lease. Except with respect to extra work orders authorized by Tenant, if any, and except as otherwise set forth in the next sentence, the Landlord’s Base Building Work shall be performed at no cost or expense to Tenant. However, Tenant shall, only if, as and in the manner reasonably requested by Landlord or Landlord’s designated contractor (if at all), from time to time throughout the period of performance of Landlord’s Base Building Work, temporarily, to the extent practicable, relocate its personnel and personal property out of distinct, affected portions of the Demised Premises in order to reasonably accommodate Landlord’s designated contractor’s performance and completion of subject aspects of Landlord’s Base Building Work therein, subject to the following sentence. Landlord shall give Tenant reasonable prior notice of entry into the Demised Premises for the performance of Landlord’s Base Building Work (i.e., not less than two (2) business days’ prior written notice), and (i) Tenant shall have the right to have a representative present during any such Landlord’s (or its contractors’ or representatives’) entry in the Demised Premises, (ii) Tenant has the right to limit access and/or personnel of Landlord to certain portions of the Demised Premises, provided that if such access is essential for performance of Landlord’s Base Building Work (or any subject aspect thereof), then Tenant will provide escorted access to the subject portions of the Demised Premises in order to facilitate performance of Landlord’s Base Building Work (or any subject aspect thereof), (iii) Landlord shall use commercially reasonable efforts to minimize the scope and duration of any interference with Tenant’s business that may result from the performance of Landlord’s Base Building Work (including performing the most disruptive aspects thereof only outside of normal working hours), and (iv) Landlord shall promptly repair any damage directly caused to the Demised Premises and to Tenant’s property by performance of Landlord’s Base Building Work. Except as expressly set forth in the Lease and this Agreement, Tenant acknowledges and agrees that neither Landlord nor its agents or contractors shall be liable for any inconvenience to Tenant or for interference with Tenant’s business or use of the Demised Premises or any portion thereof that may result from the performance of the Landlord’s Base Building Work. In connection herewith, the first two (2) sentences of Section 6(c) of the Original Lease shall be amended by inserting the words “and Landlord’s Base Building Work” immediately following the words “Landlord’s Initial Construction” anytime such words appear therein. Landlord shall commence the design and permitting aspects of Landlord’s Base Building Work no later than ninety (90) days following the Effective Date and shall substantially complete all Landlord’s Base Building Work 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or prior to December 31, 2019.</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Notwithstanding anything in the Lease to the contrary, the parties agree that the Right of First Offer contained in Section 40(a) of the Original Lease shall remain in effect so long as there is at least five (5) years remaining in the Lease, as extended by this Agreement.</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Subordination</w:t>
      </w:r>
      <w:r>
        <w:rPr>
          <w:rFonts w:ascii="Arial" w:cs="Arial" w:eastAsia="Arial" w:hAnsi="Arial"/>
          <w:sz w:val="18"/>
          <w:szCs w:val="18"/>
          <w:color w:val="auto"/>
        </w:rPr>
        <w:t>. Landlord shall use commercially reasonable efforts to obtain a subordination, non-disturbance and attornment agreement from the current mortgagee of Landlord’s interest in the Building, on such mortgagee’s standard form (with reasonable comments requested by Tenant), within thirty (30) days following the Effective Date.</w:t>
      </w:r>
    </w:p>
    <w:p>
      <w:pPr>
        <w:spacing w:after="0" w:line="20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Other Amendments</w:t>
      </w:r>
      <w:r>
        <w:rPr>
          <w:rFonts w:ascii="Arial" w:cs="Arial" w:eastAsia="Arial" w:hAnsi="Arial"/>
          <w:sz w:val="16"/>
          <w:szCs w:val="16"/>
          <w:color w:val="auto"/>
        </w:rPr>
        <w:t>. Sections 17(i) and (j) of the Existing Lease are hereby deleted in their entirety.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Broker</w:t>
      </w:r>
    </w:p>
    <w:p>
      <w:pPr>
        <w:spacing w:after="0" w:line="2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3.1 Tenant represents that this Agreement was brought about by Newmark of Long Island, LLC d/b/a Newmark Knight Frank LI and Commercial Realty Services of Long Island, Inc. (collectively, the “</w:t>
      </w:r>
      <w:r>
        <w:rPr>
          <w:rFonts w:ascii="Arial" w:cs="Arial" w:eastAsia="Arial" w:hAnsi="Arial"/>
          <w:sz w:val="18"/>
          <w:szCs w:val="18"/>
          <w:u w:val="single" w:color="auto"/>
          <w:color w:val="auto"/>
        </w:rPr>
        <w:t>Brokers</w:t>
      </w:r>
      <w:r>
        <w:rPr>
          <w:rFonts w:ascii="Arial" w:cs="Arial" w:eastAsia="Arial" w:hAnsi="Arial"/>
          <w:sz w:val="18"/>
          <w:szCs w:val="18"/>
          <w:color w:val="auto"/>
        </w:rPr>
        <w:t>”), as broker, and that all negotiations with respect to this Agreement were conducted exclusively by and among Landlord, Tenant and the Brokers. Each of Landlord and Tenant agrees that if any claim is made for commissions by any broker (other than the Brokers in the case of indemnity by Tenant) due to any dealing claimed to have occurred between the indemnifying party and such broker, the indemnifying party will hold the other party free and harmless from any and all liabilities and expenses in connection therewith, including such party’s reasonable attorneys’ fees. Landlord will pay the appropriate brokerage commission to the Brokers in connection with this Agreement; such commission to be calculated and paid subject to and in accordance with the terms and conditions of a separate agreement(s) between or among Landlord and the respective Brokers.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color w:val="auto"/>
                <w:w w:val="99"/>
              </w:rPr>
              <w:t>ARTICLE IV</w:t>
            </w:r>
          </w:p>
        </w:tc>
      </w:tr>
      <w:tr>
        <w:trPr>
          <w:trHeight w:val="230"/>
        </w:trPr>
        <w:tc>
          <w:tcPr>
            <w:tcW w:w="540" w:type="dxa"/>
            <w:vAlign w:val="bottom"/>
          </w:tcPr>
          <w:p>
            <w:pPr>
              <w:spacing w:after="0"/>
              <w:rPr>
                <w:sz w:val="20"/>
                <w:szCs w:val="20"/>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u w:val="single" w:color="auto"/>
                <w:color w:val="auto"/>
                <w:w w:val="96"/>
              </w:rPr>
              <w:t>Ratification</w:t>
            </w:r>
          </w:p>
        </w:tc>
      </w:tr>
      <w:tr>
        <w:trPr>
          <w:trHeight w:val="48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4.1</w:t>
            </w:r>
          </w:p>
        </w:tc>
        <w:tc>
          <w:tcPr>
            <w:tcW w:w="10200" w:type="dxa"/>
            <w:vAlign w:val="bottom"/>
          </w:tcPr>
          <w:p>
            <w:pPr>
              <w:ind w:left="300"/>
              <w:spacing w:after="0"/>
              <w:rPr>
                <w:sz w:val="20"/>
                <w:szCs w:val="20"/>
                <w:color w:val="auto"/>
              </w:rPr>
            </w:pPr>
            <w:r>
              <w:rPr>
                <w:rFonts w:ascii="Arial" w:cs="Arial" w:eastAsia="Arial" w:hAnsi="Arial"/>
                <w:sz w:val="18"/>
                <w:szCs w:val="18"/>
                <w:color w:val="auto"/>
                <w:w w:val="91"/>
              </w:rPr>
              <w:t>Tenant represents and warrants that the Existing Lease is presently in full force and effect. Landlord represents and warrants that (i) the</w:t>
            </w:r>
          </w:p>
        </w:tc>
      </w:tr>
    </w:tbl>
    <w:p>
      <w:pPr>
        <w:jc w:val="both"/>
        <w:spacing w:after="0" w:line="261" w:lineRule="auto"/>
        <w:rPr>
          <w:sz w:val="20"/>
          <w:szCs w:val="20"/>
          <w:color w:val="auto"/>
        </w:rPr>
      </w:pPr>
      <w:r>
        <w:rPr>
          <w:rFonts w:ascii="Arial" w:cs="Arial" w:eastAsia="Arial" w:hAnsi="Arial"/>
          <w:sz w:val="18"/>
          <w:szCs w:val="18"/>
          <w:color w:val="auto"/>
        </w:rPr>
        <w:t>Existing Lease is presently in full force and effect and (ii) the ground lease (pursuant to which Landlord derives its interest in the Building) is presently in full force and effect.</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4.2 The parties hereby ratify and confirm all of the terms, covenants and conditions of the Existing Lease, except to the extent that those terms, covenants and conditions are amended, modified or varied by this Agreement. If there is a conflict between the provisions of the Existing Lease and the provisions of this Agreement, then the provisions of this Agreement shall control.</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4.3 No oral or written statement, representation or promise whatsoever with respect to the foregoing or any other matter made by Landlord, its principals, officers, employees, agents or 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both"/>
        <w:ind w:right="20"/>
        <w:spacing w:after="0" w:line="277" w:lineRule="auto"/>
        <w:rPr>
          <w:sz w:val="20"/>
          <w:szCs w:val="20"/>
          <w:color w:val="auto"/>
        </w:rPr>
      </w:pPr>
      <w:r>
        <w:rPr>
          <w:rFonts w:ascii="Arial" w:cs="Arial" w:eastAsia="Arial" w:hAnsi="Arial"/>
          <w:sz w:val="18"/>
          <w:szCs w:val="18"/>
          <w:color w:val="auto"/>
        </w:rPr>
        <w:t>broker, whether contained in proposal, affidavit, information circular, or otherwise, shall be binding upon the Landlord unless expressly set forth in this Agreement.</w:t>
      </w:r>
    </w:p>
    <w:p>
      <w:pPr>
        <w:spacing w:after="0" w:line="2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This Agreement shall be binding upon and shall inure to the benefit of the parties hereto and their respective successors and/or assigns.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Generator Replacement</w:t>
      </w:r>
    </w:p>
    <w:p>
      <w:pPr>
        <w:spacing w:after="0" w:line="2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5.1 Tenant shall have the right (but no obligation) to replace Tenant’s existing generator at the Building (the “Existing Generator”) with a new or like-new generator (the “Replacement Generator”) provided (i) the Replacement Generator is installed in the same specific place at which the Existing Generator is currently located, (ii) the specifications for the type and manner of installation of the Replacement Generator shall be subject to the prior review and approval of Landlord (which shall not be unreasonably withheld, conditioned or delayed), and (iii) the removal and disposal of the Existing Generator and the permitting, installation, operation, maintenance and repair of the Replacement Generator shall be done by Tenant at Tenant’s expense and in compliance with all applicable legal requirements.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Economic Development Incentives</w:t>
      </w:r>
    </w:p>
    <w:p>
      <w:pPr>
        <w:spacing w:after="0" w:line="2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6.1 Landlord acknowledges that Tennant is pursuing certain state and local tax and economic development incentives from the State of New York, the County of Nassau and the Nassau County Industrial Development Agency. Those incentives may include, but are not limited to, tax credits, cash grants, exemptions from sales tax and abatements from property taxes through a Payment in Lieu of Tax (“</w:t>
      </w:r>
      <w:r>
        <w:rPr>
          <w:rFonts w:ascii="Arial" w:cs="Arial" w:eastAsia="Arial" w:hAnsi="Arial"/>
          <w:sz w:val="16"/>
          <w:szCs w:val="16"/>
          <w:u w:val="single" w:color="auto"/>
          <w:color w:val="auto"/>
        </w:rPr>
        <w:t>PILOT</w:t>
      </w:r>
      <w:r>
        <w:rPr>
          <w:rFonts w:ascii="Arial" w:cs="Arial" w:eastAsia="Arial" w:hAnsi="Arial"/>
          <w:sz w:val="16"/>
          <w:szCs w:val="16"/>
          <w:color w:val="auto"/>
        </w:rPr>
        <w:t>”). Landlord agrees that the receipt of these benefits was a material factor in Tenant’s decision to enter into this Lease. Landlord acknowledges that these benefits are to accrue to the Tenant alone for its sole benefit and use. Further, Landlord agrees to reasonably cooperate with Tenant in Tenant’s pursuit of such benefits (at no material cost to Landlord).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IN WITNESS WHEREOF, the parties have executed this First Amendment to Lease as of the day and year first above written.</w:t>
      </w:r>
    </w:p>
    <w:p>
      <w:pPr>
        <w:sectPr>
          <w:pgSz w:w="11900" w:h="16838" w:orient="portrait"/>
          <w:cols w:equalWidth="0" w:num="1">
            <w:col w:w="9559"/>
          </w:cols>
          <w:pgMar w:left="900" w:top="125" w:right="1440" w:bottom="1440" w:gutter="0" w:footer="0" w:header="0"/>
        </w:sectPr>
      </w:pPr>
    </w:p>
    <w:p>
      <w:pPr>
        <w:spacing w:after="0" w:line="2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RA 55 CLB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Victor Siciliano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-10160</wp:posOffset>
            </wp:positionV>
            <wp:extent cx="1971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Victor Siciliano</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FREQUENCY ELECTRONICS,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Stanton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-10160</wp:posOffset>
            </wp:positionV>
            <wp:extent cx="1968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968500" cy="889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Stanton Sloane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t>SCHEDULE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Description of Landlord’s Base Building Work</w:t>
      </w:r>
    </w:p>
    <w:p>
      <w:pPr>
        <w:spacing w:after="0" w:line="252" w:lineRule="exact"/>
        <w:rPr>
          <w:sz w:val="20"/>
          <w:szCs w:val="20"/>
          <w:color w:val="auto"/>
        </w:rPr>
      </w:pPr>
    </w:p>
    <w:p>
      <w:pPr>
        <w:ind w:left="660" w:right="1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Remove three (3) Trane DX-style rooftop HVAC units (i.e., Unit Nos. 17, 19 and 21) and replace with three (3) new Trane DX-style rooftop HVAC units, each having the same (or greater) tonnage as the corresponding unit it is replacing.</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Remove one (1) of the two (2) existing 30-ton Carrier water-cooled chiller units from the lower level of the Demised Premises and replace same with a new 30-ton Trane water-cooled chiller unit.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 all existing controllers on the VAV boxes currently located within the Demised Premises with building standard controllers.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 the existing building management system (BMS) for HVAC control.</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 all existing single-pane exterior windows of the Demised Premises with new double-pane insulated glass windows, which shall be at least building standard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1446241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125"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tcPr>
          <w:p>
            <w:pPr>
              <w:ind w:left="280"/>
              <w:spacing w:after="0"/>
              <w:rPr>
                <w:sz w:val="20"/>
                <w:szCs w:val="20"/>
                <w:color w:val="auto"/>
              </w:rPr>
            </w:pPr>
            <w:r>
              <w:rPr>
                <w:rFonts w:ascii="Arial" w:cs="Arial" w:eastAsia="Arial" w:hAnsi="Arial"/>
                <w:sz w:val="18"/>
                <w:szCs w:val="18"/>
                <w:color w:val="auto"/>
              </w:rPr>
              <w:t>List of Subsidiaries of Registrant</w:t>
            </w:r>
          </w:p>
        </w:tc>
      </w:tr>
      <w:tr>
        <w:trPr>
          <w:trHeight w:val="414"/>
        </w:trPr>
        <w:tc>
          <w:tcPr>
            <w:tcW w:w="4240" w:type="dxa"/>
            <w:vAlign w:val="bottom"/>
          </w:tcPr>
          <w:p>
            <w:pPr>
              <w:ind w:left="1860"/>
              <w:spacing w:after="0"/>
              <w:rPr>
                <w:sz w:val="20"/>
                <w:szCs w:val="20"/>
                <w:color w:val="auto"/>
              </w:rPr>
            </w:pPr>
            <w:r>
              <w:rPr>
                <w:rFonts w:ascii="Arial" w:cs="Arial" w:eastAsia="Arial" w:hAnsi="Arial"/>
                <w:sz w:val="18"/>
                <w:szCs w:val="18"/>
                <w:b w:val="1"/>
                <w:bCs w:val="1"/>
                <w:color w:val="auto"/>
              </w:rPr>
              <w:t>Subsidiary &amp; Name under</w:t>
            </w:r>
          </w:p>
        </w:tc>
        <w:tc>
          <w:tcPr>
            <w:tcW w:w="7180" w:type="dxa"/>
            <w:vAlign w:val="bottom"/>
          </w:tcPr>
          <w:p>
            <w:pPr>
              <w:spacing w:after="0"/>
              <w:rPr>
                <w:sz w:val="24"/>
                <w:szCs w:val="24"/>
                <w:color w:val="auto"/>
              </w:rPr>
            </w:pPr>
          </w:p>
        </w:tc>
      </w:tr>
      <w:tr>
        <w:trPr>
          <w:trHeight w:val="241"/>
        </w:trPr>
        <w:tc>
          <w:tcPr>
            <w:tcW w:w="424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w w:val="98"/>
              </w:rPr>
              <w:t>which business is performed</w:t>
            </w:r>
          </w:p>
        </w:tc>
        <w:tc>
          <w:tcPr>
            <w:tcW w:w="718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Frequency Electronics,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Communications,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Government Systems,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Realty, Inc. (Inactive)</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Monitor Corp. (Inactive)</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 Zyfer,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FEI-Elcom Tech, Inc.</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92"/>
              </w:rPr>
              <w:t>Delaware</w:t>
            </w:r>
          </w:p>
        </w:tc>
      </w:tr>
      <w:tr>
        <w:trPr>
          <w:trHeight w:val="432"/>
        </w:trPr>
        <w:tc>
          <w:tcPr>
            <w:tcW w:w="4240" w:type="dxa"/>
            <w:vAlign w:val="bottom"/>
          </w:tcPr>
          <w:p>
            <w:pPr>
              <w:ind w:left="140"/>
              <w:spacing w:after="0"/>
              <w:rPr>
                <w:sz w:val="20"/>
                <w:szCs w:val="20"/>
                <w:color w:val="auto"/>
              </w:rPr>
            </w:pPr>
            <w:r>
              <w:rPr>
                <w:rFonts w:ascii="Arial" w:cs="Arial" w:eastAsia="Arial" w:hAnsi="Arial"/>
                <w:sz w:val="18"/>
                <w:szCs w:val="18"/>
                <w:color w:val="auto"/>
              </w:rPr>
              <w:t>Frequency Electronics, Inc. Asia</w:t>
            </w:r>
          </w:p>
        </w:tc>
        <w:tc>
          <w:tcPr>
            <w:tcW w:w="7180" w:type="dxa"/>
            <w:vAlign w:val="bottom"/>
          </w:tcPr>
          <w:p>
            <w:pPr>
              <w:jc w:val="center"/>
              <w:ind w:left="1390"/>
              <w:spacing w:after="0"/>
              <w:rPr>
                <w:sz w:val="20"/>
                <w:szCs w:val="20"/>
                <w:color w:val="auto"/>
              </w:rPr>
            </w:pPr>
            <w:r>
              <w:rPr>
                <w:rFonts w:ascii="Arial" w:cs="Arial" w:eastAsia="Arial" w:hAnsi="Arial"/>
                <w:sz w:val="18"/>
                <w:szCs w:val="18"/>
                <w:color w:val="auto"/>
                <w:w w:val="89"/>
              </w:rPr>
              <w:t>People's Republic of China</w:t>
            </w:r>
          </w:p>
        </w:tc>
      </w:tr>
    </w:tbl>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of Frequency Electronics, Inc. on Form S-8 (Nos. 333-08901, 333-40506, 333-140938, 333-156600, 333-42233 and 333-188952) of our report dated July 30, 2018 on our audits of the consolidated financial statements as of April 30, 2018 and 2017 and for each of the years then ended, which report is included in this Annual Report on Form 10-K to be filed on or about July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52"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ind w:firstLine="8"/>
        <w:spacing w:after="0" w:line="264" w:lineRule="auto"/>
        <w:tabs>
          <w:tab w:leader="none" w:pos="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sz w:val="20"/>
          <w:szCs w:val="20"/>
          <w:color w:val="auto"/>
        </w:rPr>
      </w:pPr>
    </w:p>
    <w:p>
      <w:pPr>
        <w:ind w:firstLine="8"/>
        <w:spacing w:after="0" w:line="277" w:lineRule="auto"/>
        <w:tabs>
          <w:tab w:leader="none" w:pos="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sz w:val="20"/>
          <w:szCs w:val="20"/>
          <w:color w:val="auto"/>
        </w:rPr>
      </w:pPr>
    </w:p>
    <w:p>
      <w:pPr>
        <w:ind w:firstLine="8"/>
        <w:spacing w:after="0" w:line="277" w:lineRule="auto"/>
        <w:tabs>
          <w:tab w:leader="none" w:pos="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3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Stanton Sloane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Stanton Sloane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52"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ind w:firstLine="8"/>
        <w:spacing w:after="0" w:line="264" w:lineRule="auto"/>
        <w:tabs>
          <w:tab w:leader="none" w:pos="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sz w:val="20"/>
          <w:szCs w:val="20"/>
          <w:color w:val="auto"/>
        </w:rPr>
      </w:pPr>
    </w:p>
    <w:p>
      <w:pPr>
        <w:ind w:firstLine="8"/>
        <w:spacing w:after="0" w:line="277" w:lineRule="auto"/>
        <w:tabs>
          <w:tab w:leader="none" w:pos="2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sz w:val="20"/>
          <w:szCs w:val="20"/>
          <w:color w:val="auto"/>
        </w:rPr>
      </w:pPr>
    </w:p>
    <w:p>
      <w:pPr>
        <w:ind w:firstLine="8"/>
        <w:spacing w:after="0" w:line="277" w:lineRule="auto"/>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2018 as filed with the Securities and Exchange Commission on the date hereof (the “Report”), I, Stanton Sloane, President and Chief Executive Officer of the Company, certify, pursuant to Section 18 U.S.C. 1350, as adopted pursuant to Section 906 of the Sarbanes-Oxley Act of 2002, that:</w:t>
      </w:r>
    </w:p>
    <w:p>
      <w:pPr>
        <w:spacing w:after="0" w:line="217"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/s/ Stanton Sloane</w:t>
      </w:r>
      <w:r>
        <w:rPr>
          <w:rFonts w:ascii="Arial" w:cs="Arial" w:eastAsia="Arial" w:hAnsi="Arial"/>
          <w:sz w:val="18"/>
          <w:szCs w:val="18"/>
          <w:color w:val="auto"/>
        </w:rPr>
        <w:t xml:space="preserve"> July 30, 2018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Stanton Sloane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2018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217"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/s/ Steven L. Bernstein</w:t>
      </w:r>
      <w:r>
        <w:rPr>
          <w:rFonts w:ascii="Arial" w:cs="Arial" w:eastAsia="Arial" w:hAnsi="Arial"/>
          <w:sz w:val="18"/>
          <w:szCs w:val="18"/>
          <w:color w:val="auto"/>
        </w:rPr>
        <w:t xml:space="preserve"> July 30, 2018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1."/>
      <w:numFmt w:val="decimal"/>
      <w:start w:val="3"/>
    </w:lvl>
    <w:lvl w:ilvl="1">
      <w:lvlJc w:val="left"/>
      <w:lvlText w:val="**"/>
      <w:numFmt w:val="bullet"/>
      <w:start w:val="1"/>
    </w:lvl>
  </w:abstractNum>
  <w:abstractNum w:abstractNumId="9">
    <w:nsid w:val="1E7FF521"/>
    <w:multiLevelType w:val="hybridMultilevel"/>
    <w:lvl w:ilvl="0">
      <w:lvlJc w:val="left"/>
      <w:lvlText w:val="%1."/>
      <w:numFmt w:val="decimal"/>
      <w:start w:val="5"/>
    </w:lvl>
  </w:abstractNum>
  <w:abstractNum w:abstractNumId="10">
    <w:nsid w:val="7C3DBD3D"/>
    <w:multiLevelType w:val="hybridMultilevel"/>
    <w:lvl w:ilvl="0">
      <w:lvlJc w:val="left"/>
      <w:lvlText w:val="%1."/>
      <w:numFmt w:val="decimal"/>
      <w:start w:val="6"/>
    </w:lvl>
  </w:abstractNum>
  <w:abstractNum w:abstractNumId="11">
    <w:nsid w:val="737B8DDC"/>
    <w:multiLevelType w:val="hybridMultilevel"/>
    <w:lvl w:ilvl="0">
      <w:lvlJc w:val="left"/>
      <w:lvlText w:val="%1."/>
      <w:numFmt w:val="decimal"/>
      <w:start w:val="7"/>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8"/>
    </w:lvl>
  </w:abstractNum>
  <w:abstractNum w:abstractNumId="14">
    <w:nsid w:val="4516DDE9"/>
    <w:multiLevelType w:val="hybridMultilevel"/>
    <w:lvl w:ilvl="0">
      <w:lvlJc w:val="left"/>
      <w:lvlText w:val="%1."/>
      <w:numFmt w:val="decimal"/>
      <w:start w:val="9"/>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2"/>
    </w:lvl>
  </w:abstractNum>
  <w:abstractNum w:abstractNumId="17">
    <w:nsid w:val="419AC241"/>
    <w:multiLevelType w:val="hybridMultilevel"/>
    <w:lvl w:ilvl="0">
      <w:lvlJc w:val="left"/>
      <w:lvlText w:val="%1."/>
      <w:numFmt w:val="decimal"/>
      <w:start w:val="13"/>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5"/>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21"/>
    </w:lvl>
  </w:abstractNum>
  <w:abstractNum w:abstractNumId="24">
    <w:nsid w:val="5C482A97"/>
    <w:multiLevelType w:val="hybridMultilevel"/>
    <w:lvl w:ilvl="0">
      <w:lvlJc w:val="left"/>
      <w:lvlText w:val="%1"/>
      <w:numFmt w:val="decimal"/>
      <w:start w:val="32"/>
    </w:lvl>
  </w:abstractNum>
  <w:abstractNum w:abstractNumId="25">
    <w:nsid w:val="2463B9EA"/>
    <w:multiLevelType w:val="hybridMultilevel"/>
    <w:lvl w:ilvl="0">
      <w:lvlJc w:val="left"/>
      <w:lvlText w:val="%1"/>
      <w:numFmt w:val="decimal"/>
      <w:start w:val="101"/>
    </w:lvl>
    <w:lvl w:ilvl="1">
      <w:lvlJc w:val="left"/>
      <w:lvlText w:val="(%2)"/>
      <w:numFmt w:val="lowerRoman"/>
      <w:start w:val="3"/>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upperLetter"/>
      <w:start w:val="1"/>
    </w:lvl>
  </w:abstractNum>
  <w:abstractNum w:abstractNumId="28">
    <w:nsid w:val="2D517796"/>
    <w:multiLevelType w:val="hybridMultilevel"/>
    <w:lvl w:ilvl="0">
      <w:lvlJc w:val="left"/>
      <w:lvlText w:val="(%1)"/>
      <w:numFmt w:val="upperLetter"/>
      <w:start w:val="3"/>
    </w:lvl>
    <w:lvl w:ilvl="1">
      <w:lvlJc w:val="left"/>
      <w:lvlText w:val="(%2)"/>
      <w:numFmt w:val="lowerRoman"/>
      <w:start w:val="10"/>
    </w:lvl>
  </w:abstractNum>
  <w:abstractNum w:abstractNumId="29">
    <w:nsid w:val="580BD78F"/>
    <w:multiLevelType w:val="hybridMultilevel"/>
    <w:lvl w:ilvl="0">
      <w:lvlJc w:val="left"/>
      <w:lvlText w:val="%1"/>
      <w:numFmt w:val="lowerLetter"/>
      <w:start w:val="1"/>
    </w:lvl>
    <w:lvl w:ilvl="1">
      <w:lvlJc w:val="left"/>
      <w:lvlText w:val="(%2)"/>
      <w:numFmt w:val="lowerLetter"/>
      <w:start w:val="25"/>
    </w:lvl>
  </w:abstractNum>
  <w:abstractNum w:abstractNumId="30">
    <w:nsid w:val="153EA438"/>
    <w:multiLevelType w:val="hybridMultilevel"/>
    <w:lvl w:ilvl="0">
      <w:lvlJc w:val="left"/>
      <w:lvlText w:val="(%1)"/>
      <w:numFmt w:val="lowerLetter"/>
      <w:start w:val="25"/>
    </w:lvl>
    <w:lvl w:ilvl="1">
      <w:lvlJc w:val="left"/>
      <w:lvlText w:val="(%2)"/>
      <w:numFmt w:val="lowerLetter"/>
      <w:start w:val="26"/>
    </w:lvl>
  </w:abstractNum>
  <w:abstractNum w:abstractNumId="31">
    <w:nsid w:val="3855585C"/>
    <w:multiLevelType w:val="hybridMultilevel"/>
    <w:lvl w:ilvl="0">
      <w:lvlJc w:val="left"/>
      <w:lvlText w:val="(%1)"/>
      <w:numFmt w:val="upperLetter"/>
      <w:start w:val="1"/>
    </w:lvl>
  </w:abstractNum>
  <w:abstractNum w:abstractNumId="32">
    <w:nsid w:val="70A64E2A"/>
    <w:multiLevelType w:val="hybridMultilevel"/>
    <w:lvl w:ilvl="0">
      <w:lvlJc w:val="left"/>
      <w:lvlText w:val="(%1)"/>
      <w:numFmt w:val="upperLetter"/>
      <w:start w:val="2"/>
    </w:lvl>
  </w:abstractNum>
  <w:abstractNum w:abstractNumId="33">
    <w:nsid w:val="6A2342EC"/>
    <w:multiLevelType w:val="hybridMultilevel"/>
    <w:lvl w:ilvl="0">
      <w:lvlJc w:val="left"/>
      <w:lvlText w:val="(%1)"/>
      <w:numFmt w:val="upperLetter"/>
      <w:start w:val="7"/>
    </w:lvl>
  </w:abstractNum>
  <w:abstractNum w:abstractNumId="34">
    <w:nsid w:val="2A487CB0"/>
    <w:multiLevelType w:val="hybridMultilevel"/>
    <w:lvl w:ilvl="0">
      <w:lvlJc w:val="left"/>
      <w:lvlText w:val="(%1)"/>
      <w:numFmt w:val="upperLetter"/>
      <w:start w:val="1"/>
    </w:lvl>
  </w:abstractNum>
  <w:abstractNum w:abstractNumId="35">
    <w:nsid w:val="1D4ED43B"/>
    <w:multiLevelType w:val="hybridMultilevel"/>
    <w:lvl w:ilvl="0">
      <w:lvlJc w:val="left"/>
      <w:lvlText w:val="(%1)"/>
      <w:numFmt w:val="upperLetter"/>
      <w:start w:val="3"/>
    </w:lvl>
  </w:abstractNum>
  <w:abstractNum w:abstractNumId="36">
    <w:nsid w:val="725A06FB"/>
    <w:multiLevelType w:val="hybridMultilevel"/>
    <w:lvl w:ilvl="0">
      <w:lvlJc w:val="left"/>
      <w:lvlText w:val="(%1)"/>
      <w:numFmt w:val="upperLetter"/>
      <w:start w:val="1"/>
    </w:lvl>
  </w:abstractNum>
  <w:abstractNum w:abstractNumId="37">
    <w:nsid w:val="2CD89A32"/>
    <w:multiLevelType w:val="hybridMultilevel"/>
    <w:lvl w:ilvl="0">
      <w:lvlJc w:val="left"/>
      <w:lvlText w:val="(%1)"/>
      <w:numFmt w:val="upperLetter"/>
      <w:start w:val="2"/>
    </w:lvl>
    <w:lvl w:ilvl="1">
      <w:lvlJc w:val="left"/>
      <w:lvlText w:val="(%2)"/>
      <w:numFmt w:val="lowerRoman"/>
      <w:start w:val="1"/>
    </w:lvl>
  </w:abstractNum>
  <w:abstractNum w:abstractNumId="38">
    <w:nsid w:val="57E4CCAF"/>
    <w:multiLevelType w:val="hybridMultilevel"/>
    <w:lvl w:ilvl="0">
      <w:lvlJc w:val="left"/>
      <w:lvlText w:val="(%1)"/>
      <w:numFmt w:val="lowerRoman"/>
      <w:start w:val="4"/>
    </w:lvl>
  </w:abstractNum>
  <w:abstractNum w:abstractNumId="39">
    <w:nsid w:val="7A6D8D3C"/>
    <w:multiLevelType w:val="hybridMultilevel"/>
    <w:lvl w:ilvl="0">
      <w:lvlJc w:val="left"/>
      <w:lvlText w:val="(%1)"/>
      <w:numFmt w:val="upperLetter"/>
      <w:start w:val="3"/>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60" Type="http://schemas.openxmlformats.org/officeDocument/2006/relationships/hyperlink" Target="http://www.sec.gov/Archives/edgar/data/39020/000114420412011172/v303671_8k.htm" TargetMode="External"/><Relationship Id="rId64" Type="http://schemas.openxmlformats.org/officeDocument/2006/relationships/hyperlink" Target="http://www.sec.gov/Archives/edgar/data/39020/0000039020-97-000017-index.html" TargetMode="External"/><Relationship Id="rId65" Type="http://schemas.openxmlformats.org/officeDocument/2006/relationships/hyperlink" Target="http://www.sec.gov/Archives/edgar/data/39020/00011851851800078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2019-12-28T21:12:18Z</dcterms:created>
  <dcterms:modified xsi:type="dcterms:W3CDTF">2019-12-28T21:12:18Z</dcterms:modified>
</cp:coreProperties>
</file>