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1460" w:hanging="804"/>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w:t>
      </w:r>
    </w:p>
    <w:p>
      <w:pPr>
        <w:spacing w:after="0" w:line="252" w:lineRule="exact"/>
        <w:rPr>
          <w:rFonts w:ascii="Arial" w:cs="Arial" w:eastAsia="Arial" w:hAnsi="Arial"/>
          <w:sz w:val="18"/>
          <w:szCs w:val="18"/>
          <w:color w:val="auto"/>
        </w:rPr>
      </w:pPr>
    </w:p>
    <w:p>
      <w:pPr>
        <w:ind w:left="3940"/>
        <w:spacing w:after="0"/>
        <w:rPr>
          <w:rFonts w:ascii="Arial" w:cs="Arial" w:eastAsia="Arial" w:hAnsi="Arial"/>
          <w:sz w:val="18"/>
          <w:szCs w:val="18"/>
          <w:color w:val="auto"/>
        </w:rPr>
      </w:pPr>
      <w:r>
        <w:rPr>
          <w:rFonts w:ascii="Arial" w:cs="Arial" w:eastAsia="Arial" w:hAnsi="Arial"/>
          <w:sz w:val="18"/>
          <w:szCs w:val="18"/>
          <w:color w:val="auto"/>
        </w:rPr>
        <w:t>For the Quarterly Period ended October 31, 2008</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6" w:lineRule="exact"/>
        <w:rPr>
          <w:sz w:val="24"/>
          <w:szCs w:val="24"/>
          <w:color w:val="auto"/>
        </w:rPr>
      </w:pPr>
    </w:p>
    <w:p>
      <w:pPr>
        <w:jc w:val="center"/>
        <w:ind w:left="3600" w:right="1320" w:hanging="2944"/>
        <w:spacing w:after="0" w:line="532" w:lineRule="auto"/>
        <w:tabs>
          <w:tab w:leader="none" w:pos="1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79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840" w:type="dxa"/>
            <w:vAlign w:val="bottom"/>
          </w:tcPr>
          <w:p>
            <w:pPr>
              <w:jc w:val="center"/>
              <w:ind w:right="110"/>
              <w:spacing w:after="0"/>
              <w:rPr>
                <w:sz w:val="20"/>
                <w:szCs w:val="20"/>
                <w:color w:val="auto"/>
              </w:rPr>
            </w:pPr>
            <w:r>
              <w:rPr>
                <w:rFonts w:ascii="Arial" w:cs="Arial" w:eastAsia="Arial" w:hAnsi="Arial"/>
                <w:sz w:val="18"/>
                <w:szCs w:val="18"/>
                <w:color w:val="auto"/>
                <w:w w:val="92"/>
              </w:rPr>
              <w:t>(State or other jurisdiction of</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840" w:type="dxa"/>
            <w:vAlign w:val="bottom"/>
          </w:tcPr>
          <w:p>
            <w:pPr>
              <w:jc w:val="center"/>
              <w:ind w:right="110"/>
              <w:spacing w:after="0"/>
              <w:rPr>
                <w:sz w:val="20"/>
                <w:szCs w:val="20"/>
                <w:color w:val="auto"/>
              </w:rPr>
            </w:pPr>
            <w:r>
              <w:rPr>
                <w:rFonts w:ascii="Arial" w:cs="Arial" w:eastAsia="Arial" w:hAnsi="Arial"/>
                <w:sz w:val="18"/>
                <w:szCs w:val="18"/>
                <w:color w:val="auto"/>
                <w:w w:val="92"/>
              </w:rPr>
              <w:t>incorporation or organization)</w:t>
            </w:r>
          </w:p>
        </w:tc>
        <w:tc>
          <w:tcPr>
            <w:tcW w:w="3720" w:type="dxa"/>
            <w:vAlign w:val="bottom"/>
          </w:tcPr>
          <w:p>
            <w:pPr>
              <w:spacing w:after="0"/>
              <w:rPr>
                <w:sz w:val="20"/>
                <w:szCs w:val="20"/>
                <w:color w:val="auto"/>
              </w:rPr>
            </w:pPr>
          </w:p>
        </w:tc>
      </w:tr>
      <w:tr>
        <w:trPr>
          <w:trHeight w:val="445"/>
        </w:trPr>
        <w:tc>
          <w:tcPr>
            <w:tcW w:w="6840" w:type="dxa"/>
            <w:vAlign w:val="bottom"/>
          </w:tcPr>
          <w:p>
            <w:pPr>
              <w:jc w:val="center"/>
              <w:ind w:right="110"/>
              <w:spacing w:after="0"/>
              <w:rPr>
                <w:sz w:val="20"/>
                <w:szCs w:val="20"/>
                <w:color w:val="auto"/>
              </w:rPr>
            </w:pPr>
            <w:r>
              <w:rPr>
                <w:rFonts w:ascii="Arial" w:cs="Arial" w:eastAsia="Arial" w:hAnsi="Arial"/>
                <w:sz w:val="18"/>
                <w:szCs w:val="18"/>
                <w:b w:val="1"/>
                <w:bCs w:val="1"/>
                <w:color w:val="auto"/>
              </w:rPr>
              <w:t>55 CHARLES LINDBERGH BLVD., MITCHEL FIELD, N.Y.</w:t>
            </w:r>
          </w:p>
        </w:tc>
        <w:tc>
          <w:tcPr>
            <w:tcW w:w="3720" w:type="dxa"/>
            <w:vAlign w:val="bottom"/>
          </w:tcPr>
          <w:p>
            <w:pPr>
              <w:jc w:val="right"/>
              <w:ind w:right="990"/>
              <w:spacing w:after="0"/>
              <w:rPr>
                <w:sz w:val="20"/>
                <w:szCs w:val="20"/>
                <w:color w:val="auto"/>
              </w:rPr>
            </w:pPr>
            <w:r>
              <w:rPr>
                <w:rFonts w:ascii="Arial" w:cs="Arial" w:eastAsia="Arial" w:hAnsi="Arial"/>
                <w:sz w:val="18"/>
                <w:szCs w:val="18"/>
                <w:b w:val="1"/>
                <w:bCs w:val="1"/>
                <w:color w:val="auto"/>
              </w:rPr>
              <w:t>11553</w:t>
            </w:r>
          </w:p>
        </w:tc>
      </w:tr>
      <w:tr>
        <w:trPr>
          <w:trHeight w:val="230"/>
        </w:trPr>
        <w:tc>
          <w:tcPr>
            <w:tcW w:w="684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r>
        <w:trPr>
          <w:trHeight w:val="459"/>
        </w:trPr>
        <w:tc>
          <w:tcPr>
            <w:tcW w:w="684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720" w:type="dxa"/>
            <w:vAlign w:val="bottom"/>
          </w:tcPr>
          <w:p>
            <w:pPr>
              <w:spacing w:after="0"/>
              <w:rPr>
                <w:sz w:val="24"/>
                <w:szCs w:val="24"/>
                <w:color w:val="auto"/>
              </w:rPr>
            </w:pP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65" w:lineRule="exact"/>
        <w:rPr>
          <w:sz w:val="24"/>
          <w:szCs w:val="24"/>
          <w:color w:val="auto"/>
        </w:rPr>
      </w:pPr>
    </w:p>
    <w:p>
      <w:pPr>
        <w:ind w:left="180"/>
        <w:spacing w:after="0" w:line="207" w:lineRule="exact"/>
        <w:tabs>
          <w:tab w:leader="none" w:pos="2180" w:val="left"/>
          <w:tab w:leader="none" w:pos="3800" w:val="left"/>
          <w:tab w:leader="none" w:pos="57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 x</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0" w:lineRule="exact"/>
        <w:rPr>
          <w:sz w:val="24"/>
          <w:szCs w:val="24"/>
          <w:color w:val="auto"/>
        </w:rPr>
      </w:pPr>
    </w:p>
    <w:p>
      <w:pPr>
        <w:jc w:val="center"/>
        <w:spacing w:after="0" w:line="207" w:lineRule="exact"/>
        <w:tabs>
          <w:tab w:leader="none" w:pos="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x</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December 10, 2008 – 8,073,016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2560" w:type="dxa"/>
            <w:vAlign w:val="bottom"/>
          </w:tcPr>
          <w:p>
            <w:pPr>
              <w:ind w:left="146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25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Item 1 - Financial Statements:</w:t>
            </w:r>
          </w:p>
        </w:tc>
        <w:tc>
          <w:tcPr>
            <w:tcW w:w="2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FFCC"/>
          </w:tcPr>
          <w:p>
            <w:pPr>
              <w:ind w:left="480"/>
              <w:spacing w:after="0" w:line="201" w:lineRule="exact"/>
              <w:rPr>
                <w:sz w:val="20"/>
                <w:szCs w:val="20"/>
                <w:color w:val="auto"/>
              </w:rPr>
            </w:pPr>
            <w:r>
              <w:rPr>
                <w:rFonts w:ascii="Arial" w:cs="Arial" w:eastAsia="Arial" w:hAnsi="Arial"/>
                <w:sz w:val="18"/>
                <w:szCs w:val="18"/>
                <w:color w:val="auto"/>
              </w:rPr>
              <w:t>Condensed Consolidated Balance Sheets -</w:t>
            </w:r>
          </w:p>
        </w:tc>
        <w:tc>
          <w:tcPr>
            <w:tcW w:w="25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FFCC"/>
          </w:tcPr>
          <w:p>
            <w:pPr>
              <w:ind w:left="640"/>
              <w:spacing w:after="0"/>
              <w:rPr>
                <w:sz w:val="20"/>
                <w:szCs w:val="20"/>
                <w:color w:val="auto"/>
              </w:rPr>
            </w:pPr>
            <w:r>
              <w:rPr>
                <w:rFonts w:ascii="Arial" w:cs="Arial" w:eastAsia="Arial" w:hAnsi="Arial"/>
                <w:sz w:val="18"/>
                <w:szCs w:val="18"/>
                <w:color w:val="auto"/>
              </w:rPr>
              <w:t>October 31, 2008 and April 30, 2008</w:t>
            </w:r>
          </w:p>
        </w:tc>
        <w:tc>
          <w:tcPr>
            <w:tcW w:w="2560" w:type="dxa"/>
            <w:vAlign w:val="bottom"/>
            <w:shd w:val="clear" w:color="auto" w:fill="CCFFCC"/>
          </w:tcPr>
          <w:p>
            <w:pPr>
              <w:jc w:val="center"/>
              <w:ind w:left="87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FFCC"/>
          </w:tcPr>
          <w:p>
            <w:pPr>
              <w:ind w:left="480"/>
              <w:spacing w:after="0" w:line="201" w:lineRule="exact"/>
              <w:rPr>
                <w:sz w:val="20"/>
                <w:szCs w:val="20"/>
                <w:color w:val="auto"/>
              </w:rPr>
            </w:pPr>
            <w:r>
              <w:rPr>
                <w:rFonts w:ascii="Arial" w:cs="Arial" w:eastAsia="Arial" w:hAnsi="Arial"/>
                <w:sz w:val="18"/>
                <w:szCs w:val="18"/>
                <w:color w:val="auto"/>
              </w:rPr>
              <w:t>Condensed Consolidated Statements of Operations</w:t>
            </w:r>
          </w:p>
        </w:tc>
        <w:tc>
          <w:tcPr>
            <w:tcW w:w="25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FFCC"/>
          </w:tcPr>
          <w:p>
            <w:pPr>
              <w:ind w:left="640"/>
              <w:spacing w:after="0"/>
              <w:rPr>
                <w:sz w:val="20"/>
                <w:szCs w:val="20"/>
                <w:color w:val="auto"/>
              </w:rPr>
            </w:pPr>
            <w:r>
              <w:rPr>
                <w:rFonts w:ascii="Arial" w:cs="Arial" w:eastAsia="Arial" w:hAnsi="Arial"/>
                <w:sz w:val="18"/>
                <w:szCs w:val="18"/>
                <w:color w:val="auto"/>
              </w:rPr>
              <w:t>Six Months Ended October 31, 2008 and 2007</w:t>
            </w:r>
          </w:p>
        </w:tc>
        <w:tc>
          <w:tcPr>
            <w:tcW w:w="2560" w:type="dxa"/>
            <w:vAlign w:val="bottom"/>
            <w:shd w:val="clear" w:color="auto" w:fill="CCFFCC"/>
          </w:tcPr>
          <w:p>
            <w:pPr>
              <w:jc w:val="center"/>
              <w:ind w:left="87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FFCC"/>
          </w:tcPr>
          <w:p>
            <w:pPr>
              <w:ind w:left="480"/>
              <w:spacing w:after="0" w:line="201" w:lineRule="exact"/>
              <w:rPr>
                <w:sz w:val="20"/>
                <w:szCs w:val="20"/>
                <w:color w:val="auto"/>
              </w:rPr>
            </w:pPr>
            <w:r>
              <w:rPr>
                <w:rFonts w:ascii="Arial" w:cs="Arial" w:eastAsia="Arial" w:hAnsi="Arial"/>
                <w:sz w:val="18"/>
                <w:szCs w:val="18"/>
                <w:color w:val="auto"/>
              </w:rPr>
              <w:t>Condensed Consolidated Statements of Operations</w:t>
            </w:r>
          </w:p>
        </w:tc>
        <w:tc>
          <w:tcPr>
            <w:tcW w:w="25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Three Months Ended October 31, 2008 and 2007</w:t>
            </w:r>
          </w:p>
        </w:tc>
        <w:tc>
          <w:tcPr>
            <w:tcW w:w="2560" w:type="dxa"/>
            <w:vAlign w:val="bottom"/>
            <w:shd w:val="clear" w:color="auto" w:fill="CCFFCC"/>
          </w:tcPr>
          <w:p>
            <w:pPr>
              <w:jc w:val="center"/>
              <w:ind w:left="87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FFCC"/>
          </w:tcPr>
          <w:p>
            <w:pPr>
              <w:ind w:left="480"/>
              <w:spacing w:after="0" w:line="201" w:lineRule="exact"/>
              <w:rPr>
                <w:sz w:val="20"/>
                <w:szCs w:val="20"/>
                <w:color w:val="auto"/>
              </w:rPr>
            </w:pPr>
            <w:r>
              <w:rPr>
                <w:rFonts w:ascii="Arial" w:cs="Arial" w:eastAsia="Arial" w:hAnsi="Arial"/>
                <w:sz w:val="18"/>
                <w:szCs w:val="18"/>
                <w:color w:val="auto"/>
              </w:rPr>
              <w:t>Condensed Consolidated Statements of Cash Flows</w:t>
            </w:r>
          </w:p>
        </w:tc>
        <w:tc>
          <w:tcPr>
            <w:tcW w:w="25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FFCC"/>
          </w:tcPr>
          <w:p>
            <w:pPr>
              <w:ind w:left="640"/>
              <w:spacing w:after="0"/>
              <w:rPr>
                <w:sz w:val="20"/>
                <w:szCs w:val="20"/>
                <w:color w:val="auto"/>
              </w:rPr>
            </w:pPr>
            <w:r>
              <w:rPr>
                <w:rFonts w:ascii="Arial" w:cs="Arial" w:eastAsia="Arial" w:hAnsi="Arial"/>
                <w:sz w:val="18"/>
                <w:szCs w:val="18"/>
                <w:color w:val="auto"/>
              </w:rPr>
              <w:t>Six Months Ended October 31, 2008 and 2007</w:t>
            </w:r>
          </w:p>
        </w:tc>
        <w:tc>
          <w:tcPr>
            <w:tcW w:w="2560" w:type="dxa"/>
            <w:vAlign w:val="bottom"/>
            <w:shd w:val="clear" w:color="auto" w:fill="CCFFCC"/>
          </w:tcPr>
          <w:p>
            <w:pPr>
              <w:jc w:val="center"/>
              <w:ind w:left="87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Notes to Condensed Consolidated Financial Statements</w:t>
            </w:r>
          </w:p>
        </w:tc>
        <w:tc>
          <w:tcPr>
            <w:tcW w:w="2560" w:type="dxa"/>
            <w:vAlign w:val="bottom"/>
            <w:shd w:val="clear" w:color="auto" w:fill="CCFFCC"/>
          </w:tcPr>
          <w:p>
            <w:pPr>
              <w:jc w:val="center"/>
              <w:ind w:left="870"/>
              <w:spacing w:after="0"/>
              <w:rPr>
                <w:sz w:val="20"/>
                <w:szCs w:val="20"/>
                <w:color w:val="auto"/>
              </w:rPr>
            </w:pPr>
            <w:r>
              <w:rPr>
                <w:rFonts w:ascii="Arial" w:cs="Arial" w:eastAsia="Arial" w:hAnsi="Arial"/>
                <w:sz w:val="18"/>
                <w:szCs w:val="18"/>
                <w:color w:val="auto"/>
                <w:w w:val="88"/>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Item 2 - Management's Discussion and Analysis of Financial Condition and Results of Operations</w:t>
            </w:r>
          </w:p>
        </w:tc>
        <w:tc>
          <w:tcPr>
            <w:tcW w:w="2560" w:type="dxa"/>
            <w:vAlign w:val="bottom"/>
            <w:shd w:val="clear" w:color="auto" w:fill="CCFFCC"/>
          </w:tcPr>
          <w:p>
            <w:pPr>
              <w:jc w:val="center"/>
              <w:ind w:left="870"/>
              <w:spacing w:after="0"/>
              <w:rPr>
                <w:sz w:val="20"/>
                <w:szCs w:val="20"/>
                <w:color w:val="auto"/>
              </w:rPr>
            </w:pPr>
            <w:r>
              <w:rPr>
                <w:rFonts w:ascii="Arial" w:cs="Arial" w:eastAsia="Arial" w:hAnsi="Arial"/>
                <w:sz w:val="18"/>
                <w:szCs w:val="18"/>
                <w:color w:val="auto"/>
                <w:w w:val="86"/>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Item 4T- Controls and Procedures</w:t>
            </w:r>
          </w:p>
        </w:tc>
        <w:tc>
          <w:tcPr>
            <w:tcW w:w="2560" w:type="dxa"/>
            <w:vAlign w:val="bottom"/>
            <w:shd w:val="clear" w:color="auto" w:fill="CCFFCC"/>
          </w:tcPr>
          <w:p>
            <w:pPr>
              <w:jc w:val="center"/>
              <w:ind w:left="890"/>
              <w:spacing w:after="0"/>
              <w:rPr>
                <w:sz w:val="20"/>
                <w:szCs w:val="20"/>
                <w:color w:val="auto"/>
              </w:rPr>
            </w:pPr>
            <w:r>
              <w:rPr>
                <w:rFonts w:ascii="Arial" w:cs="Arial" w:eastAsia="Arial" w:hAnsi="Arial"/>
                <w:sz w:val="18"/>
                <w:szCs w:val="18"/>
                <w:color w:val="auto"/>
                <w:w w:val="91"/>
              </w:rPr>
              <w:t>17-18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2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Items 1, 1A, 2, 3 and 5 are omitted because they are not applicable</w:t>
            </w:r>
          </w:p>
        </w:tc>
        <w:tc>
          <w:tcPr>
            <w:tcW w:w="2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Item 4 - Submission of Matters to a Vote of Security Holders</w:t>
            </w:r>
          </w:p>
        </w:tc>
        <w:tc>
          <w:tcPr>
            <w:tcW w:w="2560" w:type="dxa"/>
            <w:vAlign w:val="bottom"/>
            <w:shd w:val="clear" w:color="auto" w:fill="CCFFCC"/>
          </w:tcPr>
          <w:p>
            <w:pPr>
              <w:jc w:val="center"/>
              <w:ind w:left="89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Item 6 - Exhibits</w:t>
            </w:r>
          </w:p>
        </w:tc>
        <w:tc>
          <w:tcPr>
            <w:tcW w:w="2560" w:type="dxa"/>
            <w:vAlign w:val="bottom"/>
            <w:shd w:val="clear" w:color="auto" w:fill="CCFFCC"/>
          </w:tcPr>
          <w:p>
            <w:pPr>
              <w:jc w:val="center"/>
              <w:ind w:left="89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Signatures</w:t>
            </w:r>
          </w:p>
        </w:tc>
        <w:tc>
          <w:tcPr>
            <w:tcW w:w="2560" w:type="dxa"/>
            <w:vAlign w:val="bottom"/>
            <w:shd w:val="clear" w:color="auto" w:fill="CCFFCC"/>
          </w:tcPr>
          <w:p>
            <w:pPr>
              <w:jc w:val="center"/>
              <w:ind w:left="89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Exhibits</w:t>
            </w:r>
          </w:p>
        </w:tc>
        <w:tc>
          <w:tcPr>
            <w:tcW w:w="2560" w:type="dxa"/>
            <w:vAlign w:val="bottom"/>
            <w:shd w:val="clear" w:color="auto" w:fill="CCFFCC"/>
          </w:tcPr>
          <w:p>
            <w:pPr>
              <w:jc w:val="center"/>
              <w:ind w:left="890"/>
              <w:spacing w:after="0"/>
              <w:rPr>
                <w:sz w:val="20"/>
                <w:szCs w:val="20"/>
                <w:color w:val="auto"/>
              </w:rPr>
            </w:pPr>
            <w:r>
              <w:rPr>
                <w:rFonts w:ascii="Arial" w:cs="Arial" w:eastAsia="Arial" w:hAnsi="Arial"/>
                <w:sz w:val="18"/>
                <w:szCs w:val="18"/>
                <w:color w:val="auto"/>
                <w:w w:val="91"/>
              </w:rPr>
              <w:t>20-23</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8840" w:type="dxa"/>
            <w:vAlign w:val="bottom"/>
          </w:tcPr>
          <w:p>
            <w:pPr>
              <w:ind w:left="5440"/>
              <w:spacing w:after="0"/>
              <w:rPr>
                <w:sz w:val="20"/>
                <w:szCs w:val="20"/>
                <w:color w:val="auto"/>
              </w:rPr>
            </w:pPr>
            <w:r>
              <w:rPr>
                <w:rFonts w:ascii="Arial" w:cs="Arial" w:eastAsia="Arial" w:hAnsi="Arial"/>
                <w:sz w:val="18"/>
                <w:szCs w:val="18"/>
                <w:color w:val="auto"/>
              </w:rPr>
              <w:t>2 of 19</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238125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October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30,</w:t>
            </w:r>
          </w:p>
        </w:tc>
      </w:tr>
      <w:tr>
        <w:trPr>
          <w:trHeight w:val="237"/>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180" w:type="dxa"/>
            <w:vAlign w:val="bottom"/>
            <w:gridSpan w:val="2"/>
          </w:tcPr>
          <w:p>
            <w:pPr>
              <w:spacing w:after="0" w:line="201" w:lineRule="exact"/>
              <w:rPr>
                <w:sz w:val="20"/>
                <w:szCs w:val="20"/>
                <w:color w:val="auto"/>
              </w:rPr>
            </w:pPr>
            <w:r>
              <w:rPr>
                <w:rFonts w:ascii="Arial" w:cs="Arial" w:eastAsia="Arial" w:hAnsi="Arial"/>
                <w:sz w:val="18"/>
                <w:szCs w:val="18"/>
                <w:color w:val="auto"/>
                <w:w w:val="99"/>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color w:val="auto"/>
              </w:rPr>
              <w:t>(AUDITED)</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(NOTE A)</w:t>
            </w: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jc w:val="right"/>
              <w:ind w:right="220"/>
              <w:spacing w:after="0"/>
              <w:rPr>
                <w:sz w:val="20"/>
                <w:szCs w:val="20"/>
                <w:color w:val="auto"/>
              </w:rPr>
            </w:pPr>
            <w:r>
              <w:rPr>
                <w:rFonts w:ascii="Arial" w:cs="Arial" w:eastAsia="Arial" w:hAnsi="Arial"/>
                <w:sz w:val="18"/>
                <w:szCs w:val="18"/>
                <w:color w:val="auto"/>
                <w:w w:val="87"/>
              </w:rPr>
              <w:t>(In thousands except share data)</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3,886</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11,029</w:t>
            </w: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9,420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4,414</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Accounts receivable, net of allowance for doubtful accounts of $185 at October 31 and April 30, 2008</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13,488</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10,271</w:t>
            </w: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Costs and estimated earnings in excess of billings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9,556</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29,486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30,218</w:t>
            </w: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3,974</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66,790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70,984</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8,663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9,531</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3,023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2,990</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7,923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7,671</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in and loans receivable from affiliates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4,522</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817</w:t>
            </w:r>
          </w:p>
        </w:tc>
      </w:tr>
      <w:tr>
        <w:trPr>
          <w:trHeight w:val="27"/>
        </w:trPr>
        <w:tc>
          <w:tcPr>
            <w:tcW w:w="20" w:type="dxa"/>
            <w:vAlign w:val="bottom"/>
          </w:tcPr>
          <w:p>
            <w:pPr>
              <w:spacing w:after="0"/>
              <w:rPr>
                <w:sz w:val="2"/>
                <w:szCs w:val="2"/>
                <w:color w:val="auto"/>
              </w:rPr>
            </w:pPr>
          </w:p>
        </w:tc>
        <w:tc>
          <w:tcPr>
            <w:tcW w:w="8760" w:type="dxa"/>
            <w:vAlign w:val="bottom"/>
            <w:tcBorders>
              <w:right w:val="single" w:sz="8" w:color="CCFFCC"/>
            </w:tcBorders>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91,735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96,920</w:t>
            </w: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3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Short-term credit obligations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5,796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5,168</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Accounts payable – trade</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2,215</w:t>
            </w: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Accrued liabilities and other</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4,694</w:t>
            </w: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11,506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12,077</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Lease obligation – noncurrent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9,719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9,467</w:t>
            </w: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gain and other liabilities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760" w:type="dxa"/>
            <w:vAlign w:val="bottom"/>
            <w:tcBorders>
              <w:right w:val="single" w:sz="8" w:color="CCFFCC"/>
            </w:tcBorders>
            <w:shd w:val="clear" w:color="auto" w:fill="CCFFCC"/>
          </w:tcPr>
          <w:p>
            <w:pPr>
              <w:ind w:left="6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22,648</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23,310</w:t>
            </w:r>
          </w:p>
        </w:tc>
      </w:tr>
      <w:tr>
        <w:trPr>
          <w:trHeight w:val="216"/>
        </w:trPr>
        <w:tc>
          <w:tcPr>
            <w:tcW w:w="20" w:type="dxa"/>
            <w:vAlign w:val="bottom"/>
          </w:tcPr>
          <w:p>
            <w:pPr>
              <w:spacing w:after="0"/>
              <w:rPr>
                <w:sz w:val="18"/>
                <w:szCs w:val="18"/>
                <w:color w:val="auto"/>
              </w:rPr>
            </w:pPr>
          </w:p>
        </w:tc>
        <w:tc>
          <w:tcPr>
            <w:tcW w:w="876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Preferred stock - $1.00 par value</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Common stock - $1.00 par value</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48,671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48,213</w:t>
            </w: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11,892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13,558</w:t>
            </w: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69,727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70,935</w:t>
            </w:r>
          </w:p>
        </w:tc>
      </w:tr>
      <w:tr>
        <w:trPr>
          <w:trHeight w:val="202"/>
        </w:trPr>
        <w:tc>
          <w:tcPr>
            <w:tcW w:w="20" w:type="dxa"/>
            <w:vAlign w:val="bottom"/>
          </w:tcPr>
          <w:p>
            <w:pPr>
              <w:spacing w:after="0"/>
              <w:rPr>
                <w:sz w:val="17"/>
                <w:szCs w:val="17"/>
                <w:color w:val="auto"/>
              </w:rPr>
            </w:pPr>
          </w:p>
        </w:tc>
        <w:tc>
          <w:tcPr>
            <w:tcW w:w="8760" w:type="dxa"/>
            <w:vAlign w:val="bottom"/>
          </w:tcPr>
          <w:p>
            <w:pPr>
              <w:ind w:left="320"/>
              <w:spacing w:after="0" w:line="201" w:lineRule="exact"/>
              <w:rPr>
                <w:sz w:val="20"/>
                <w:szCs w:val="20"/>
                <w:color w:val="auto"/>
              </w:rPr>
            </w:pPr>
            <w:r>
              <w:rPr>
                <w:rFonts w:ascii="Arial" w:cs="Arial" w:eastAsia="Arial" w:hAnsi="Arial"/>
                <w:sz w:val="18"/>
                <w:szCs w:val="18"/>
                <w:color w:val="auto"/>
                <w:w w:val="89"/>
              </w:rPr>
              <w:t>Common stock reacquired and held in treasury -at cost, 1,047,999 shares at October 31, 2008 and 427,366 shares at</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April 30, 2008</w:t>
            </w:r>
          </w:p>
        </w:tc>
        <w:tc>
          <w:tcPr>
            <w:tcW w:w="1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(2,175)</w:t>
            </w:r>
          </w:p>
        </w:tc>
      </w:tr>
      <w:tr>
        <w:trPr>
          <w:trHeight w:val="216"/>
        </w:trPr>
        <w:tc>
          <w:tcPr>
            <w:tcW w:w="20" w:type="dxa"/>
            <w:vAlign w:val="bottom"/>
          </w:tcPr>
          <w:p>
            <w:pPr>
              <w:spacing w:after="0"/>
              <w:rPr>
                <w:sz w:val="18"/>
                <w:szCs w:val="18"/>
                <w:color w:val="auto"/>
              </w:rPr>
            </w:pPr>
          </w:p>
        </w:tc>
        <w:tc>
          <w:tcPr>
            <w:tcW w:w="87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4,374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4,850</w:t>
            </w:r>
          </w:p>
        </w:tc>
      </w:tr>
      <w:tr>
        <w:trPr>
          <w:trHeight w:val="27"/>
        </w:trPr>
        <w:tc>
          <w:tcPr>
            <w:tcW w:w="20" w:type="dxa"/>
            <w:vAlign w:val="bottom"/>
          </w:tcPr>
          <w:p>
            <w:pPr>
              <w:spacing w:after="0"/>
              <w:rPr>
                <w:sz w:val="2"/>
                <w:szCs w:val="2"/>
                <w:color w:val="auto"/>
              </w:rPr>
            </w:pPr>
          </w:p>
        </w:tc>
        <w:tc>
          <w:tcPr>
            <w:tcW w:w="8760" w:type="dxa"/>
            <w:vAlign w:val="bottom"/>
            <w:tcBorders>
              <w:right w:val="single" w:sz="8" w:color="CCFFCC"/>
            </w:tcBorders>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69,087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73,610</w:t>
            </w: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760" w:type="dxa"/>
            <w:vAlign w:val="bottom"/>
            <w:tcBorders>
              <w:right w:val="single" w:sz="8" w:color="CCFFCC"/>
            </w:tcBorders>
            <w:shd w:val="clear" w:color="auto" w:fill="CCFFCC"/>
          </w:tcPr>
          <w:p>
            <w:pPr>
              <w:ind w:left="64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91,735</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96,920</w:t>
            </w:r>
          </w:p>
        </w:tc>
      </w:tr>
      <w:tr>
        <w:trPr>
          <w:trHeight w:val="20"/>
        </w:trPr>
        <w:tc>
          <w:tcPr>
            <w:tcW w:w="20" w:type="dxa"/>
            <w:vAlign w:val="bottom"/>
          </w:tcPr>
          <w:p>
            <w:pPr>
              <w:spacing w:after="0" w:line="20" w:lineRule="exact"/>
              <w:rPr>
                <w:sz w:val="1"/>
                <w:szCs w:val="1"/>
                <w:color w:val="auto"/>
              </w:rPr>
            </w:pPr>
          </w:p>
        </w:tc>
        <w:tc>
          <w:tcPr>
            <w:tcW w:w="87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94"/>
              </w:rPr>
              <w:t>FREQUENCY ELECTRONICS, INC. and SUBSIDIARIES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88"/>
              </w:rPr>
              <w:t>Condensed Consolidated Statements of Operations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760" w:type="dxa"/>
            <w:vAlign w:val="bottom"/>
          </w:tcPr>
          <w:p>
            <w:pPr>
              <w:jc w:val="center"/>
              <w:ind w:left="2550"/>
              <w:spacing w:after="0"/>
              <w:rPr>
                <w:sz w:val="20"/>
                <w:szCs w:val="20"/>
                <w:color w:val="auto"/>
              </w:rPr>
            </w:pPr>
            <w:r>
              <w:rPr>
                <w:rFonts w:ascii="Arial" w:cs="Arial" w:eastAsia="Arial" w:hAnsi="Arial"/>
                <w:sz w:val="18"/>
                <w:szCs w:val="18"/>
                <w:color w:val="auto"/>
                <w:w w:val="91"/>
              </w:rPr>
              <w:t>Six Months Ended October 31,</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64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27,089</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5,906</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5,951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(2,284)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Equity loss</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(Loss) Income before (benefit) provision for income taxes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Net (loss)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(1,666)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(loss) income per common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8,523,187</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8,697,080</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8,523,187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8,783,792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94"/>
              </w:rPr>
              <w:t>FREQUENCY ELECTRONICS, INC. and SUBSIDIARIES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88"/>
              </w:rPr>
              <w:t>Condensed Consolidated Statements of Operations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90"/>
              </w:rPr>
              <w:t>Three Months Ended October 31,</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jc w:val="center"/>
              <w:ind w:left="253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64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14,026</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2,835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Operating (loss) profit</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Equity (loss) income</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(Loss) Income before (benefit) provision for income taxes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FFCC"/>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Net (loss)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(894)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(loss) income per common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(0.11)</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8,304,288</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8,699,133</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8,304,288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8,783,992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4"/>
              </w:rPr>
              <w:t>FREQUENCY ELECTRONICS, INC. and SUBSIDIARIES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color w:val="auto"/>
                <w:w w:val="89"/>
              </w:rPr>
              <w:t>Condensed Consolidated Statements of Cash Flows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color w:val="auto"/>
                <w:w w:val="91"/>
              </w:rPr>
              <w:t>Six Months Ended October 31,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color w:val="auto"/>
                <w:w w:val="91"/>
              </w:rPr>
              <w:t>(Unaudited)</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Net (loss) income</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(1,666)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Non-cash (income) charges to earnings, net</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Net changes in operating assets and liabilities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Proceeds from sale of marketable securities and investments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Purchase of marketable securities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(6,594)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Purchase of fixed assets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provided by investing activities</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(5,851)</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Proceeds from short-term credit obligations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Debt payments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Payment of cash dividend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Proceeds from stock option exercises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Purchase of stock for treasury</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increase in cash and cash equivalents before effect of exchange rate changes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(7,965)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(decrease) increase in cash and cash equivalents</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(7,143)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11,029</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Cash and cash equivalents at end of period</w:t>
            </w:r>
          </w:p>
        </w:tc>
        <w:tc>
          <w:tcPr>
            <w:tcW w:w="7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3,886</w:t>
            </w:r>
          </w:p>
        </w:tc>
        <w:tc>
          <w:tcPr>
            <w:tcW w:w="140" w:type="dxa"/>
            <w:vAlign w:val="bottom"/>
            <w:shd w:val="clear" w:color="auto" w:fill="CCFFCC"/>
          </w:tcPr>
          <w:p>
            <w:pPr>
              <w:spacing w:after="0"/>
              <w:rPr>
                <w:sz w:val="22"/>
                <w:szCs w:val="22"/>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disclosures of cash flow information:</w:t>
            </w:r>
          </w:p>
        </w:tc>
        <w:tc>
          <w:tcPr>
            <w:tcW w:w="4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Cash paid during the period for: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Interest</w:t>
            </w:r>
          </w:p>
        </w:tc>
        <w:tc>
          <w:tcPr>
            <w:tcW w:w="7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5"/>
              <w:spacing w:after="0"/>
              <w:rPr>
                <w:sz w:val="20"/>
                <w:szCs w:val="20"/>
                <w:color w:val="auto"/>
              </w:rPr>
            </w:pPr>
            <w:r>
              <w:rPr>
                <w:rFonts w:ascii="Arial" w:cs="Arial" w:eastAsia="Arial" w:hAnsi="Arial"/>
                <w:sz w:val="18"/>
                <w:szCs w:val="18"/>
                <w:color w:val="auto"/>
              </w:rPr>
              <w:t>159</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2008 and the results of its operations and cash flows for the six and three months ended October 31, 2008 and 2007. The April 30, 2008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2008 Annual Report to Stockholders on Form 10-K. The results of operations for such interim periods are not necessarily indicative of the operating results for the full fiscal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Six months</w:t>
            </w:r>
          </w:p>
        </w:tc>
        <w:tc>
          <w:tcPr>
            <w:tcW w:w="200" w:type="dxa"/>
            <w:vAlign w:val="bottom"/>
          </w:tcPr>
          <w:p>
            <w:pPr>
              <w:spacing w:after="0"/>
              <w:rPr>
                <w:sz w:val="20"/>
                <w:szCs w:val="20"/>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4"/>
          </w:tcPr>
          <w:p>
            <w:pPr>
              <w:jc w:val="right"/>
              <w:ind w:right="420"/>
              <w:spacing w:after="0" w:line="201" w:lineRule="exact"/>
              <w:rPr>
                <w:sz w:val="20"/>
                <w:szCs w:val="20"/>
                <w:color w:val="auto"/>
              </w:rPr>
            </w:pPr>
            <w:r>
              <w:rPr>
                <w:rFonts w:ascii="Arial" w:cs="Arial" w:eastAsia="Arial" w:hAnsi="Arial"/>
                <w:sz w:val="18"/>
                <w:szCs w:val="18"/>
                <w:color w:val="auto"/>
              </w:rPr>
              <w:t>Periods ended October 31,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 (weighted average)</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8,523,187</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8,697,080</w:t>
            </w:r>
          </w:p>
        </w:tc>
        <w:tc>
          <w:tcPr>
            <w:tcW w:w="2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8,304,288</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8,699,133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86,712</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84,859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8,523,187</w:t>
            </w:r>
          </w:p>
        </w:tc>
        <w:tc>
          <w:tcPr>
            <w:tcW w:w="1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8,783,792</w:t>
            </w:r>
          </w:p>
        </w:tc>
        <w:tc>
          <w:tcPr>
            <w:tcW w:w="20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8,304,288</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8,783,992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right="500" w:hanging="484"/>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Dilutive securities are excluded for the six and three-month periods ended October 31, 2008 since the inclusion of such shares would be antidilutive due to the net loss for the periods then ended.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with an exercise price in excess of the average market price of the Company’s common shares during the periods presented. The inclusion of such options in the computation of earnings per share would have been antidilutive. The number of excluded options were: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6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color w:val="auto"/>
                <w:w w:val="92"/>
              </w:rPr>
              <w:t>Six months</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ind w:left="260"/>
              <w:spacing w:after="0" w:line="201" w:lineRule="exact"/>
              <w:rPr>
                <w:sz w:val="20"/>
                <w:szCs w:val="20"/>
                <w:color w:val="auto"/>
              </w:rPr>
            </w:pPr>
            <w:r>
              <w:rPr>
                <w:rFonts w:ascii="Arial" w:cs="Arial" w:eastAsia="Arial" w:hAnsi="Arial"/>
                <w:sz w:val="18"/>
                <w:szCs w:val="18"/>
                <w:color w:val="auto"/>
              </w:rPr>
              <w:t>Periods ended October 31,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2007</w:t>
            </w:r>
          </w:p>
        </w:tc>
        <w:tc>
          <w:tcPr>
            <w:tcW w:w="200" w:type="dxa"/>
            <w:vAlign w:val="bottom"/>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Outstanding Options excluded</w:t>
            </w:r>
          </w:p>
        </w:tc>
        <w:tc>
          <w:tcPr>
            <w:tcW w:w="1080" w:type="dxa"/>
            <w:vAlign w:val="bottom"/>
            <w:shd w:val="clear" w:color="auto" w:fill="CCFFCC"/>
          </w:tcPr>
          <w:p>
            <w:pPr>
              <w:ind w:left="360"/>
              <w:spacing w:after="0"/>
              <w:rPr>
                <w:sz w:val="20"/>
                <w:szCs w:val="20"/>
                <w:color w:val="auto"/>
              </w:rPr>
            </w:pPr>
            <w:r>
              <w:rPr>
                <w:rFonts w:ascii="Arial" w:cs="Arial" w:eastAsia="Arial" w:hAnsi="Arial"/>
                <w:sz w:val="18"/>
                <w:szCs w:val="18"/>
                <w:color w:val="auto"/>
                <w:w w:val="87"/>
              </w:rPr>
              <w:t>1,155,094</w:t>
            </w:r>
          </w:p>
        </w:tc>
        <w:tc>
          <w:tcPr>
            <w:tcW w:w="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949,425</w:t>
            </w:r>
          </w:p>
        </w:tc>
        <w:tc>
          <w:tcPr>
            <w:tcW w:w="2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1,155,094</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952,425</w:t>
            </w:r>
          </w:p>
        </w:tc>
      </w:tr>
      <w:tr>
        <w:trPr>
          <w:trHeight w:val="27"/>
        </w:trPr>
        <w:tc>
          <w:tcPr>
            <w:tcW w:w="20" w:type="dxa"/>
            <w:vAlign w:val="bottom"/>
          </w:tcPr>
          <w:p>
            <w:pPr>
              <w:spacing w:after="0"/>
              <w:rPr>
                <w:sz w:val="2"/>
                <w:szCs w:val="2"/>
                <w:color w:val="auto"/>
              </w:rPr>
            </w:pPr>
          </w:p>
        </w:tc>
        <w:tc>
          <w:tcPr>
            <w:tcW w:w="46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October 31, 2008 and April 30, 2008 costs and estimated earnings in excess of billings on uncompleted contracts accounted for on the percentage of completion basis were approximately $4,307,000 and $9,556,000, respectively. Such amounts represent revenue recognized on long-term contracts that had not been billed at the balance sheet dates. Such amounts are billed pursuant to contract terms. During the six and three months ended October 31, 2008, the revenue recognized under percentage of completion contracts was $9.6 million and $4.8 million, respectively. For the same periods of fiscal year 2008, the Company recognized percentage of completion revenue of $14.8 million and $8.3 million, respectively.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D - INVENTORIES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Inventories, which are reported net of reserves of $6,740,000 and $6,206,000 at October 31, 2008 and April 30, 2008, respectively, consist of the following:</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October 31, 2008</w:t>
            </w:r>
          </w:p>
        </w:tc>
        <w:tc>
          <w:tcPr>
            <w:tcW w:w="200" w:type="dxa"/>
            <w:vAlign w:val="bottom"/>
          </w:tcPr>
          <w:p>
            <w:pPr>
              <w:spacing w:after="0"/>
              <w:rPr>
                <w:sz w:val="20"/>
                <w:szCs w:val="20"/>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9"/>
              </w:rPr>
              <w:t>April 30, 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(In thousands)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460" w:type="dxa"/>
            <w:vAlign w:val="bottom"/>
            <w:shd w:val="clear" w:color="auto" w:fill="CCFFCC"/>
          </w:tcPr>
          <w:p>
            <w:pPr>
              <w:jc w:val="right"/>
              <w:ind w:right="30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14,071</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jc w:val="right"/>
              <w:ind w:right="36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Work in progress</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12,071</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3,344</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shd w:val="clear" w:color="auto" w:fill="CCFFC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60" w:type="dxa"/>
            <w:vAlign w:val="bottom"/>
          </w:tcPr>
          <w:p>
            <w:pPr>
              <w:jc w:val="right"/>
              <w:ind w:right="30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29,486</w:t>
            </w:r>
          </w:p>
        </w:tc>
        <w:tc>
          <w:tcPr>
            <w:tcW w:w="200" w:type="dxa"/>
            <w:vAlign w:val="bottom"/>
          </w:tcPr>
          <w:p>
            <w:pPr>
              <w:spacing w:after="0"/>
              <w:rPr>
                <w:sz w:val="18"/>
                <w:szCs w:val="18"/>
                <w:color w:val="auto"/>
              </w:rPr>
            </w:pPr>
          </w:p>
        </w:tc>
        <w:tc>
          <w:tcPr>
            <w:tcW w:w="520" w:type="dxa"/>
            <w:vAlign w:val="bottom"/>
          </w:tcPr>
          <w:p>
            <w:pPr>
              <w:jc w:val="right"/>
              <w:ind w:right="36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30,218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October 31, 2008 and April 30, 2008, approximately $22.0 million and $22.9 million, respectively, of total inventory is located in the United States, approximately $6.1 million and $5.8 million, respectively, is located in Belgium and $1.4 million and $1.5 million, respectively, is located in China.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six months ended October 31, 2008 and 2007, comprehensive income (loss) is composed of (in thousands):</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260"/>
              <w:spacing w:after="0"/>
              <w:rPr>
                <w:sz w:val="20"/>
                <w:szCs w:val="20"/>
                <w:color w:val="auto"/>
              </w:rPr>
            </w:pPr>
            <w:r>
              <w:rPr>
                <w:rFonts w:ascii="Arial" w:cs="Arial" w:eastAsia="Arial" w:hAnsi="Arial"/>
                <w:sz w:val="18"/>
                <w:szCs w:val="18"/>
                <w:color w:val="auto"/>
                <w:w w:val="90"/>
              </w:rPr>
              <w:t>Six months ended October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(1,666)</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Change in valuation allowance on marketable securities</w:t>
            </w: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Plus deferred tax effect of change in valuation allowance</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Comprehensive (loss) income</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(2,142)</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F – TREASURY STOCK TRANSACTIONS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11, 2008, the Company announced that it had acquired 615,000 shares of its outstanding common stock in a block transaction with what had been its largest institutional shareholder. The Company paid approximately $2.6 million for these shares. Coupled with other purchases of common stock during the six month period ended October 31, 2008, the Company acquired a total of 677,651 shares at an average price per share of $4.39. Subsequent to October 31, 2008, the Company acquired an additional 43,000 shares at an average price per share of $2.85. With these purchases, the Company has acquired approximately $4 million of its common stock out of the total authorization of $5 million. Offsetting the treasury stock purchases, the Company contributed 57,018 shares to the profit sharing plan and trust under section 401(k) of the Internal Revenue Code for the benefit of the Company’s employees.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under three reportable segments:</w:t>
      </w:r>
    </w:p>
    <w:p>
      <w:pPr>
        <w:spacing w:after="0" w:line="252" w:lineRule="exact"/>
        <w:rPr>
          <w:sz w:val="20"/>
          <w:szCs w:val="20"/>
          <w:color w:val="auto"/>
        </w:rPr>
      </w:pPr>
    </w:p>
    <w:p>
      <w:pPr>
        <w:jc w:val="both"/>
        <w:ind w:left="660" w:hanging="304"/>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660" w:hanging="30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Gillam-FEI - the Company’s Belgian subsidiary primarily sells wireline synchronization and network management systems.</w:t>
      </w:r>
    </w:p>
    <w:p>
      <w:pPr>
        <w:spacing w:after="0" w:line="9" w:lineRule="exact"/>
        <w:rPr>
          <w:rFonts w:ascii="Arial" w:cs="Arial" w:eastAsia="Arial" w:hAnsi="Arial"/>
          <w:sz w:val="18"/>
          <w:szCs w:val="18"/>
          <w:color w:val="auto"/>
        </w:rPr>
      </w:pPr>
    </w:p>
    <w:p>
      <w:pPr>
        <w:ind w:left="660" w:hanging="304"/>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FEI-NY segment also includes the operations of the Company’s wholly-owned subsidiary, FEI-Asia, which functions primarily as a manufacturing facility for the FEI-NY segment.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center rather than on the specific types of customers or end-users or types of markets served.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790"/>
              <w:spacing w:after="0"/>
              <w:rPr>
                <w:sz w:val="20"/>
                <w:szCs w:val="20"/>
                <w:color w:val="auto"/>
              </w:rPr>
            </w:pPr>
            <w:r>
              <w:rPr>
                <w:rFonts w:ascii="Arial" w:cs="Arial" w:eastAsia="Arial" w:hAnsi="Arial"/>
                <w:sz w:val="18"/>
                <w:szCs w:val="18"/>
                <w:color w:val="auto"/>
              </w:rPr>
              <w:t>Six months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5"/>
          </w:tcPr>
          <w:p>
            <w:pPr>
              <w:jc w:val="right"/>
              <w:ind w:right="460"/>
              <w:spacing w:after="0" w:line="201" w:lineRule="exact"/>
              <w:rPr>
                <w:sz w:val="20"/>
                <w:szCs w:val="20"/>
                <w:color w:val="auto"/>
              </w:rPr>
            </w:pPr>
            <w:r>
              <w:rPr>
                <w:rFonts w:ascii="Arial" w:cs="Arial" w:eastAsia="Arial" w:hAnsi="Arial"/>
                <w:sz w:val="18"/>
                <w:szCs w:val="18"/>
                <w:color w:val="auto"/>
                <w:w w:val="91"/>
              </w:rPr>
              <w:t>Periods ended October 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5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FEI-NY</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18,633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25,372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9,788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Gillam-FEI</w:t>
            </w:r>
          </w:p>
        </w:tc>
        <w:tc>
          <w:tcPr>
            <w:tcW w:w="15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4,749</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2,683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FEI-Zyfer</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4,291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less intersegment revenues</w:t>
            </w:r>
          </w:p>
        </w:tc>
        <w:tc>
          <w:tcPr>
            <w:tcW w:w="15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(1,361)</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shd w:val="clear" w:color="auto" w:fill="CCFFCC"/>
          </w:tcPr>
          <w:p>
            <w:pPr>
              <w:spacing w:after="0"/>
              <w:rPr>
                <w:sz w:val="2"/>
                <w:szCs w:val="2"/>
                <w:color w:val="auto"/>
              </w:rPr>
            </w:pPr>
          </w:p>
        </w:tc>
        <w:tc>
          <w:tcPr>
            <w:tcW w:w="15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Consolidated revenues</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27,089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33,051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14,026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Operating (loss) profit: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FEI-NY</w:t>
            </w:r>
          </w:p>
        </w:tc>
        <w:tc>
          <w:tcPr>
            <w:tcW w:w="17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(1,780)</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(552)</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Gillam-FEI</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FEI-Zyfer</w:t>
            </w:r>
          </w:p>
        </w:tc>
        <w:tc>
          <w:tcPr>
            <w:tcW w:w="15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Corporate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Consolidated operating (loss) profit</w:t>
            </w:r>
          </w:p>
        </w:tc>
        <w:tc>
          <w:tcPr>
            <w:tcW w:w="17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(2,284)</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(994)</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FFCC"/>
            </w:tcBorders>
            <w:shd w:val="clear" w:color="auto" w:fill="CCFFCC"/>
          </w:tcPr>
          <w:p>
            <w:pPr>
              <w:spacing w:after="0" w:line="20" w:lineRule="exact"/>
              <w:rPr>
                <w:sz w:val="1"/>
                <w:szCs w:val="1"/>
                <w:color w:val="auto"/>
              </w:rPr>
            </w:pPr>
          </w:p>
        </w:tc>
        <w:tc>
          <w:tcPr>
            <w:tcW w:w="15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October 31, 2008</w:t>
            </w: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April 30, 2008</w:t>
            </w: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48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Arial" w:cs="Arial" w:eastAsia="Arial" w:hAnsi="Arial"/>
                <w:sz w:val="18"/>
                <w:szCs w:val="18"/>
                <w:color w:val="auto"/>
              </w:rPr>
              <w:t>FEI-NY</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50,817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54,522</w:t>
            </w: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Gillam-FEI</w:t>
            </w:r>
          </w:p>
        </w:tc>
        <w:tc>
          <w:tcPr>
            <w:tcW w:w="48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18,019</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18,611</w:t>
            </w: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Arial" w:cs="Arial" w:eastAsia="Arial" w:hAnsi="Arial"/>
                <w:sz w:val="18"/>
                <w:szCs w:val="18"/>
                <w:color w:val="auto"/>
              </w:rPr>
              <w:t>FEI-Zyfer</w:t>
            </w:r>
          </w:p>
        </w:tc>
        <w:tc>
          <w:tcPr>
            <w:tcW w:w="4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6,538</w:t>
            </w: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less intercompany balances</w:t>
            </w:r>
          </w:p>
        </w:tc>
        <w:tc>
          <w:tcPr>
            <w:tcW w:w="48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(17,097)</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(17,786)</w:t>
            </w: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Arial" w:cs="Arial" w:eastAsia="Arial" w:hAnsi="Arial"/>
                <w:sz w:val="18"/>
                <w:szCs w:val="18"/>
                <w:color w:val="auto"/>
              </w:rPr>
              <w:t>Corporate</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35,035</w:t>
            </w: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1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Consolidated Identifiable Assets</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91,735</w:t>
            </w:r>
          </w:p>
        </w:tc>
        <w:tc>
          <w:tcPr>
            <w:tcW w:w="18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96,920</w:t>
            </w: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H – RELATED PARTY TRANSACTIONS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an equity interest in two strategically important companies: Elcom Technologies, Inc. (“Elcom”) and Morion Inc. (“Morion”). During the six and three month periods ended October 31, 2008 and 2007, the Company acquired technical services from Elcom, purchased crystal oscillator products from Morion and sold certain of its products to both companies. The Company also receives interest from Elcom under a convertible note receivable. The table below summarizes these transactions: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Six months</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2"/>
        </w:trPr>
        <w:tc>
          <w:tcPr>
            <w:tcW w:w="6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6"/>
          </w:tcPr>
          <w:p>
            <w:pPr>
              <w:jc w:val="right"/>
              <w:ind w:right="420"/>
              <w:spacing w:after="0" w:line="201" w:lineRule="exact"/>
              <w:rPr>
                <w:sz w:val="20"/>
                <w:szCs w:val="20"/>
                <w:color w:val="auto"/>
              </w:rPr>
            </w:pPr>
            <w:r>
              <w:rPr>
                <w:rFonts w:ascii="Arial" w:cs="Arial" w:eastAsia="Arial" w:hAnsi="Arial"/>
                <w:sz w:val="18"/>
                <w:szCs w:val="18"/>
                <w:color w:val="auto"/>
              </w:rPr>
              <w:t>Periods ended October 31,</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7"/>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2007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00" w:type="dxa"/>
            <w:vAlign w:val="bottom"/>
            <w:gridSpan w:val="3"/>
          </w:tcPr>
          <w:p>
            <w:pPr>
              <w:jc w:val="right"/>
              <w:ind w:right="550"/>
              <w:spacing w:after="0"/>
              <w:rPr>
                <w:sz w:val="20"/>
                <w:szCs w:val="20"/>
                <w:color w:val="auto"/>
              </w:rPr>
            </w:pPr>
            <w:r>
              <w:rPr>
                <w:rFonts w:ascii="Arial" w:cs="Arial" w:eastAsia="Arial" w:hAnsi="Arial"/>
                <w:sz w:val="18"/>
                <w:szCs w:val="18"/>
                <w:color w:val="auto"/>
                <w:w w:val="71"/>
              </w:rPr>
              <w:t>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Purchases from:</w:t>
            </w: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Elcom</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394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0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Morion</w:t>
            </w: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469</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w:t>
            </w:r>
          </w:p>
        </w:tc>
        <w:tc>
          <w:tcPr>
            <w:tcW w:w="10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Sales to:</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Elcom</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Morion</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Interest on Elcom note receivable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w:t>
            </w:r>
          </w:p>
        </w:tc>
        <w:tc>
          <w:tcPr>
            <w:tcW w:w="1080" w:type="dxa"/>
            <w:vAlign w:val="bottom"/>
          </w:tcPr>
          <w:p>
            <w:pPr>
              <w:spacing w:after="0"/>
              <w:rPr>
                <w:sz w:val="18"/>
                <w:szCs w:val="18"/>
                <w:color w:val="auto"/>
              </w:rPr>
            </w:pPr>
          </w:p>
        </w:tc>
      </w:tr>
      <w:tr>
        <w:trPr>
          <w:trHeight w:val="608"/>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9 of 19</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During the second quarter of fiscal 2009, the Company repurchased from Elcom 29,651 shares of the Company’s outstanding common stock at an aggregate cost of approximately $150,000. The amount paid was at the market value of the Company’s common stock on the date of purchase.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adopted FAS 157 in fiscal year 2009. Such adoption did not have a material impact on the Company’s financial statements.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calendar year 2008, the FASB issued FASB Staff Positions (“FSP FAS”) 157-1, 157-2, and 157-3. FSP FAS 157-1 amends FAS 157 to exclude FAS No. 13, “Accounting for Leases”, and its related interpretive accounting pronouncements that address leasing transactions, FSP FAS 157-2 delays the effective date of the application of FAS 157 to fiscal years beginning after November 15, 2008 for all nonfinancial assets and nonfinancial liabilities that are recognized or disclosed at fair value in the financial statements on a nonrecurring basis, and FSP FAS 157-3 clarifies how the fair value of a financial asset is determined when the market for that financial asset is inactive.</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adoption of FAS 159 in fiscal year 2009 had no impact on the Company’s financial statements since the Company elected not to measure any financial assets or liabilities at fair value other than those for which previous pronouncements required it to do so.</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2007, the FASB issued Statements No. 141(R), “Business Combinations”, and No. 160, “Noncontrolling Interests in Consolidated Financial Statements.” Effective for fiscal years beginning after December 15, 2008, these statements revise and converge internationally the accounting for business combinations and the reporting of noncontrolling interests in consolidated financial statements. The adoption of these statements will change the Company’s accounting treatment for business combinations on a prospective basis.</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2008, the FASB issued Statement No.161, Disclosures about Derivative Instruments and Hedging Activities - An Amendment of FASB Statement No. 133 (“FAS 161”). FAS 161 requires enhanced qualitative disclosures about objectives and strategies for using derivatives, quantitative disclosures about fair value amounts of and gains and losses on derivative instruments, and disclosures about credit-risk-related contingent features in derivative agreements. FAS 161 is effective for financial statements issued for fiscal years and interim periods beginning after November 15, 2008. The Company is currently evaluating the impact of FAS 161 on its consolidated financial statements although it does not anticipate that the statement will have a material impact since the Company has not historically engaged in hedging activities or acquired derivative instruments.</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2008, the FASB issued Statement of Financial Accounting Standards No. 162 (“FAS 162”), “The Hierarchy of Generally Accepted Accounting Principles.” FAS 162 identifies the sources of accounting principles and the framework for selecting the principles to be used in the preparation of financial statements of nongovernmental entities that are presented in conformity with U.S. GAAP. FAS 162 will become effective 60 days following the SEC’s approval of the Public Company Accounting Oversight Board amendments to AU Section 411, “The Meaning of Present Fairly in Conformity With Generally Accepted Accounting Principles.” This statement is not expected to change the Company’s current accounting practice.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April 2008, the FASB issued FSP FAS 142-3, “Determination of the Useful Life of Intangible Assets” (“FSP FAS 142-3”). FSP FAS 142-3 amends the factors that should be considered in developing a renewal or extension assumptions used for purposes of determining the useful life of a recognized intangible asset under SFAS No. 142, “Goodwill and Other Intangible Assets (“FAS 142”). FSP FAS 142-3 is intended to improve the consistency between the useful life of a recognized intangible asset under SFAS 142 and the period of expected cash flows used to measure the fair value of the asset under SFAS 141 (R) and other U.S. generally accepted accounting principles. FSP FAS 142-3 is effective for fiscal years beginning after December 15, 2008. Earlier application is not permitted. The Company will be assessing the potential effect of FSP FAS 142-3 if applicable, if it enters into a business combination</w:t>
      </w:r>
    </w:p>
    <w:p>
      <w:pPr>
        <w:spacing w:after="0" w:line="21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December 21, 2007, the Securities and Exchange Commission issued Staff Accounting Bulletin No. 110 ("SAB 110”) to permit entities, under certain circumstances to continue to use the "simplified" method, in developing estimates of expected term of "plain-vanilla" share options in accordance with Statement No. 123R Share-Based Payment. SAB 110 amended SAB 107 to permit the use of the "simplified" method beyond December 31, 2007. The Company believes that the adoption of SAB 110 will not have a material impact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203835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2008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production-type contracts, revenue is recorded as units are delivered with the related cost of revenues recognized on each shipment based upon a percentage of estimated final program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nonlong-term contracts or orders in the FEI-NY segment, revenues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are reflected in cost of revenues in the period the revision is made.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2009 and 2008 the percentage of consolidated Revenues represented by certain items in the Company’s consolidated statements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color w:val="auto"/>
                <w:w w:val="92"/>
              </w:rPr>
              <w:t>Six months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ind w:left="780"/>
              <w:spacing w:after="0"/>
              <w:rPr>
                <w:sz w:val="20"/>
                <w:szCs w:val="20"/>
                <w:color w:val="auto"/>
              </w:rPr>
            </w:pPr>
            <w:r>
              <w:rPr>
                <w:rFonts w:ascii="Arial" w:cs="Arial" w:eastAsia="Arial" w:hAnsi="Arial"/>
                <w:sz w:val="18"/>
                <w:szCs w:val="18"/>
                <w:color w:val="auto"/>
                <w:w w:val="90"/>
              </w:rPr>
              <w:t>Three months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color w:val="auto"/>
              </w:rPr>
              <w:t>Periods ended October 31,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960" w:type="dxa"/>
            <w:vAlign w:val="bottom"/>
            <w:gridSpan w:val="2"/>
          </w:tcPr>
          <w:p>
            <w:pPr>
              <w:jc w:val="right"/>
              <w:ind w:right="290"/>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84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FEI-NY</w:t>
            </w:r>
          </w:p>
        </w:tc>
        <w:tc>
          <w:tcPr>
            <w:tcW w:w="3280" w:type="dxa"/>
            <w:vAlign w:val="bottom"/>
            <w:gridSpan w:val="3"/>
          </w:tcPr>
          <w:p>
            <w:pPr>
              <w:jc w:val="right"/>
              <w:ind w:right="180"/>
              <w:spacing w:after="0"/>
              <w:rPr>
                <w:sz w:val="20"/>
                <w:szCs w:val="20"/>
                <w:color w:val="auto"/>
              </w:rPr>
            </w:pPr>
            <w:r>
              <w:rPr>
                <w:rFonts w:ascii="Arial" w:cs="Arial" w:eastAsia="Arial" w:hAnsi="Arial"/>
                <w:sz w:val="18"/>
                <w:szCs w:val="18"/>
                <w:color w:val="auto"/>
              </w:rPr>
              <w:t>68.8%</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76.8%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69.8%</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328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14.4</w:t>
            </w:r>
          </w:p>
        </w:tc>
        <w:tc>
          <w:tcPr>
            <w:tcW w:w="14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19.1</w:t>
            </w: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FEI-Zyfer</w:t>
            </w:r>
          </w:p>
        </w:tc>
        <w:tc>
          <w:tcPr>
            <w:tcW w:w="3280" w:type="dxa"/>
            <w:vAlign w:val="bottom"/>
            <w:gridSpan w:val="3"/>
          </w:tcPr>
          <w:p>
            <w:pPr>
              <w:jc w:val="right"/>
              <w:ind w:right="320"/>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revenues</w:t>
            </w:r>
          </w:p>
        </w:tc>
        <w:tc>
          <w:tcPr>
            <w:tcW w:w="18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shd w:val="clear" w:color="auto" w:fill="CCFFCC"/>
          </w:tcPr>
          <w:p>
            <w:pPr>
              <w:spacing w:after="0"/>
              <w:rPr>
                <w:sz w:val="2"/>
                <w:szCs w:val="2"/>
                <w:color w:val="auto"/>
              </w:rPr>
            </w:pPr>
          </w:p>
        </w:tc>
        <w:tc>
          <w:tcPr>
            <w:tcW w:w="184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18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w:t>
            </w:r>
          </w:p>
        </w:tc>
        <w:tc>
          <w:tcPr>
            <w:tcW w:w="3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69.9</w:t>
            </w:r>
          </w:p>
        </w:tc>
        <w:tc>
          <w:tcPr>
            <w:tcW w:w="14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80.6</w:t>
            </w: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shd w:val="clear" w:color="auto" w:fill="CCFFCC"/>
          </w:tcPr>
          <w:p>
            <w:pPr>
              <w:spacing w:after="0"/>
              <w:rPr>
                <w:sz w:val="2"/>
                <w:szCs w:val="2"/>
                <w:color w:val="auto"/>
              </w:rPr>
            </w:pPr>
          </w:p>
        </w:tc>
        <w:tc>
          <w:tcPr>
            <w:tcW w:w="184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Gross Margin</w:t>
            </w:r>
          </w:p>
        </w:tc>
        <w:tc>
          <w:tcPr>
            <w:tcW w:w="18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328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19.3</w:t>
            </w:r>
          </w:p>
        </w:tc>
        <w:tc>
          <w:tcPr>
            <w:tcW w:w="14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20.2</w:t>
            </w: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Operating (Loss) Profit</w:t>
            </w:r>
          </w:p>
        </w:tc>
        <w:tc>
          <w:tcPr>
            <w:tcW w:w="18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Pretax (Loss) Income</w:t>
            </w:r>
          </w:p>
        </w:tc>
        <w:tc>
          <w:tcPr>
            <w:tcW w:w="18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9.0</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8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(Loss) Income</w:t>
            </w:r>
          </w:p>
        </w:tc>
        <w:tc>
          <w:tcPr>
            <w:tcW w:w="1840" w:type="dxa"/>
            <w:vAlign w:val="bottom"/>
            <w:shd w:val="clear" w:color="auto" w:fill="CCFFCC"/>
          </w:tcPr>
          <w:p>
            <w:pPr>
              <w:spacing w:after="0"/>
              <w:rPr>
                <w:sz w:val="20"/>
                <w:szCs w:val="20"/>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FFCC"/>
            </w:tcBorders>
            <w:shd w:val="clear" w:color="auto" w:fill="CCFFCC"/>
          </w:tcPr>
          <w:p>
            <w:pPr>
              <w:spacing w:after="0" w:line="20" w:lineRule="exact"/>
              <w:rPr>
                <w:sz w:val="1"/>
                <w:szCs w:val="1"/>
                <w:color w:val="auto"/>
              </w:rPr>
            </w:pPr>
          </w:p>
        </w:tc>
        <w:tc>
          <w:tcPr>
            <w:tcW w:w="184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560" w:type="dxa"/>
            <w:vAlign w:val="bottom"/>
            <w:gridSpan w:val="4"/>
          </w:tcPr>
          <w:p>
            <w:pPr>
              <w:ind w:left="1400"/>
              <w:spacing w:after="0"/>
              <w:rPr>
                <w:sz w:val="20"/>
                <w:szCs w:val="20"/>
                <w:color w:val="auto"/>
              </w:rPr>
            </w:pPr>
            <w:r>
              <w:rPr>
                <w:rFonts w:ascii="Arial" w:cs="Arial" w:eastAsia="Arial" w:hAnsi="Arial"/>
                <w:sz w:val="18"/>
                <w:szCs w:val="18"/>
                <w:color w:val="auto"/>
              </w:rPr>
              <w:t>12 of 19</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 All dollar amounts in following tables are in thousands, except Revenues which are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Six months</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gridSpan w:val="5"/>
          </w:tcPr>
          <w:p>
            <w:pPr>
              <w:jc w:val="right"/>
              <w:ind w:right="8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4"/>
                <w:szCs w:val="24"/>
                <w:color w:val="auto"/>
              </w:rPr>
            </w:pPr>
          </w:p>
        </w:tc>
        <w:tc>
          <w:tcPr>
            <w:tcW w:w="144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Three months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60" w:type="dxa"/>
            <w:vAlign w:val="bottom"/>
            <w:gridSpan w:val="6"/>
          </w:tcPr>
          <w:p>
            <w:pPr>
              <w:jc w:val="right"/>
              <w:ind w:right="320"/>
              <w:spacing w:after="0" w:line="201" w:lineRule="exact"/>
              <w:rPr>
                <w:sz w:val="20"/>
                <w:szCs w:val="20"/>
                <w:color w:val="auto"/>
              </w:rPr>
            </w:pPr>
            <w:r>
              <w:rPr>
                <w:rFonts w:ascii="Arial" w:cs="Arial" w:eastAsia="Arial" w:hAnsi="Arial"/>
                <w:sz w:val="18"/>
                <w:szCs w:val="18"/>
                <w:color w:val="auto"/>
              </w:rPr>
              <w:t>Periods ended October 31,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FEI-NY</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25.4</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(6.8)</w:t>
            </w:r>
          </w:p>
        </w:tc>
        <w:tc>
          <w:tcPr>
            <w:tcW w:w="8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13.6</w:t>
            </w: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80"/>
              <w:spacing w:after="0"/>
              <w:rPr>
                <w:sz w:val="20"/>
                <w:szCs w:val="20"/>
                <w:color w:val="auto"/>
              </w:rPr>
            </w:pPr>
            <w:r>
              <w:rPr>
                <w:rFonts w:ascii="Arial" w:cs="Arial" w:eastAsia="Arial" w:hAnsi="Arial"/>
                <w:sz w:val="18"/>
                <w:szCs w:val="18"/>
                <w:color w:val="auto"/>
              </w:rPr>
              <w:t>(3.8)</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Gillam-FEI</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510"/>
              <w:spacing w:after="0"/>
              <w:rPr>
                <w:sz w:val="20"/>
                <w:szCs w:val="20"/>
                <w:color w:val="auto"/>
              </w:rPr>
            </w:pPr>
            <w:r>
              <w:rPr>
                <w:rFonts w:ascii="Arial" w:cs="Arial" w:eastAsia="Arial" w:hAnsi="Arial"/>
                <w:sz w:val="18"/>
                <w:szCs w:val="18"/>
                <w:color w:val="auto"/>
              </w:rPr>
              <w:t>0.6</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FEI-Zyfer</w:t>
            </w:r>
          </w:p>
        </w:tc>
        <w:tc>
          <w:tcPr>
            <w:tcW w:w="1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(0.2)</w:t>
            </w:r>
          </w:p>
        </w:tc>
        <w:tc>
          <w:tcPr>
            <w:tcW w:w="8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580"/>
              <w:spacing w:after="0"/>
              <w:rPr>
                <w:sz w:val="20"/>
                <w:szCs w:val="20"/>
                <w:color w:val="auto"/>
              </w:rPr>
            </w:pPr>
            <w:r>
              <w:rPr>
                <w:rFonts w:ascii="Arial" w:cs="Arial" w:eastAsia="Arial" w:hAnsi="Arial"/>
                <w:sz w:val="18"/>
                <w:szCs w:val="18"/>
                <w:color w:val="auto"/>
              </w:rPr>
              <w:t>(0.4)</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360" w:type="dxa"/>
            <w:vAlign w:val="bottom"/>
            <w:gridSpan w:val="4"/>
          </w:tcPr>
          <w:p>
            <w:pPr>
              <w:spacing w:after="0"/>
              <w:rPr>
                <w:sz w:val="20"/>
                <w:szCs w:val="20"/>
                <w:color w:val="auto"/>
              </w:rPr>
            </w:pPr>
            <w:r>
              <w:rPr>
                <w:rFonts w:ascii="Arial" w:cs="Arial" w:eastAsia="Arial" w:hAnsi="Arial"/>
                <w:sz w:val="18"/>
                <w:szCs w:val="18"/>
                <w:color w:val="auto"/>
              </w:rPr>
              <w:t>Intersegment revenues</w:t>
            </w:r>
          </w:p>
        </w:tc>
        <w:tc>
          <w:tcPr>
            <w:tcW w:w="1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1"/>
                <w:szCs w:val="21"/>
                <w:color w:val="auto"/>
              </w:rPr>
            </w:pPr>
          </w:p>
        </w:tc>
        <w:tc>
          <w:tcPr>
            <w:tcW w:w="1060" w:type="dxa"/>
            <w:vAlign w:val="bottom"/>
            <w:gridSpan w:val="2"/>
          </w:tcPr>
          <w:p>
            <w:pPr>
              <w:jc w:val="right"/>
              <w:ind w:right="510"/>
              <w:spacing w:after="0"/>
              <w:rPr>
                <w:sz w:val="20"/>
                <w:szCs w:val="20"/>
                <w:color w:val="auto"/>
              </w:rPr>
            </w:pPr>
            <w:r>
              <w:rPr>
                <w:rFonts w:ascii="Arial" w:cs="Arial" w:eastAsia="Arial" w:hAnsi="Arial"/>
                <w:sz w:val="18"/>
                <w:szCs w:val="18"/>
                <w:color w:val="auto"/>
              </w:rPr>
              <w:t>0.5</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5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33.0</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(5.9)</w:t>
            </w:r>
          </w:p>
        </w:tc>
        <w:tc>
          <w:tcPr>
            <w:tcW w:w="8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17.5</w:t>
            </w:r>
          </w:p>
        </w:tc>
        <w:tc>
          <w:tcPr>
            <w:tcW w:w="5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580"/>
              <w:spacing w:after="0"/>
              <w:rPr>
                <w:sz w:val="20"/>
                <w:szCs w:val="20"/>
                <w:color w:val="auto"/>
              </w:rPr>
            </w:pPr>
            <w:r>
              <w:rPr>
                <w:rFonts w:ascii="Arial" w:cs="Arial" w:eastAsia="Arial" w:hAnsi="Arial"/>
                <w:sz w:val="18"/>
                <w:szCs w:val="18"/>
                <w:color w:val="auto"/>
              </w:rPr>
              <w:t>(3.5)</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decrease in revenues for the six and three month periods ended October 31, 2008 compared to the same periods of fiscal year 2008, was primarily the result of lower revenues from commercial satellite payload programs recorded in the FEI-NY segment. Satellite revenues were reduced as a consequence of higher than anticipated levels of engineering and manufacturing costs which were incurred in the fourth quarter of fiscal year 2008 and carried over into the fiscal year 2009 periods. These additional costs reduced the expected gross margins of these programs on which revenue is recognized on the percentage of completion basis. Revenues from telecommunication customers which are recorded in each of the Company’s operating segments and revenues from non-space U.S. Government customers which are recorded in the FEI-NY and FEI-Zyfer segments, were essentially flat year over year. During the remainder of fiscal year 2009, the Company expects revenues from U.S. Government satellite programs to increase from current levels as a result of recent contract awards and expectations for additional contract awards during this fiscal year. However, commercial satellite revenue is expected to continue to decline as operators deal with tight credit conditions. Telecommunication infrastructure revenues and sales to non-space U.S. Government programs are expected to increase over the balance of fiscal year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gridSpan w:val="4"/>
          </w:tcPr>
          <w:p>
            <w:pPr>
              <w:jc w:val="right"/>
              <w:ind w:right="1940"/>
              <w:spacing w:after="0"/>
              <w:rPr>
                <w:sz w:val="20"/>
                <w:szCs w:val="20"/>
                <w:color w:val="auto"/>
              </w:rPr>
            </w:pPr>
            <w:r>
              <w:rPr>
                <w:rFonts w:ascii="Arial" w:cs="Arial" w:eastAsia="Arial" w:hAnsi="Arial"/>
                <w:sz w:val="18"/>
                <w:szCs w:val="18"/>
                <w:b w:val="1"/>
                <w:bCs w:val="1"/>
                <w:color w:val="auto"/>
                <w:w w:val="88"/>
              </w:rPr>
              <w:t>Gross margin</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87"/>
        </w:trPr>
        <w:tc>
          <w:tcPr>
            <w:tcW w:w="7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Six months</w:t>
            </w: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w:t>
            </w: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2"/>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6"/>
          </w:tcPr>
          <w:p>
            <w:pPr>
              <w:jc w:val="right"/>
              <w:ind w:right="220"/>
              <w:spacing w:after="0" w:line="201" w:lineRule="exact"/>
              <w:rPr>
                <w:sz w:val="20"/>
                <w:szCs w:val="20"/>
                <w:color w:val="auto"/>
              </w:rPr>
            </w:pPr>
            <w:r>
              <w:rPr>
                <w:rFonts w:ascii="Arial" w:cs="Arial" w:eastAsia="Arial" w:hAnsi="Arial"/>
                <w:sz w:val="18"/>
                <w:szCs w:val="18"/>
                <w:color w:val="auto"/>
              </w:rPr>
              <w:t>Periods ended October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2007</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700" w:type="dxa"/>
            <w:vAlign w:val="bottom"/>
          </w:tcPr>
          <w:p>
            <w:pPr>
              <w:spacing w:after="0"/>
              <w:rPr>
                <w:sz w:val="18"/>
                <w:szCs w:val="18"/>
                <w:color w:val="auto"/>
              </w:rPr>
            </w:pPr>
          </w:p>
        </w:tc>
        <w:tc>
          <w:tcPr>
            <w:tcW w:w="23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5,906</w:t>
            </w: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9,941</w:t>
            </w:r>
          </w:p>
        </w:tc>
        <w:tc>
          <w:tcPr>
            <w:tcW w:w="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w w:val="98"/>
              </w:rPr>
              <w:t>(4,035)</w:t>
            </w:r>
          </w:p>
        </w:tc>
        <w:tc>
          <w:tcPr>
            <w:tcW w:w="9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(41)% $</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2,715</w:t>
            </w:r>
          </w:p>
        </w:tc>
        <w:tc>
          <w:tcPr>
            <w:tcW w:w="22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5,470</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w w:val="91"/>
              </w:rPr>
              <w:t>(2,755)</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00" w:type="dxa"/>
            <w:vAlign w:val="bottom"/>
          </w:tcPr>
          <w:p>
            <w:pPr>
              <w:spacing w:after="0"/>
              <w:rPr>
                <w:sz w:val="20"/>
                <w:szCs w:val="20"/>
                <w:color w:val="auto"/>
              </w:rPr>
            </w:pPr>
          </w:p>
        </w:tc>
        <w:tc>
          <w:tcPr>
            <w:tcW w:w="2300" w:type="dxa"/>
            <w:vAlign w:val="bottom"/>
            <w:gridSpan w:val="3"/>
          </w:tcPr>
          <w:p>
            <w:pPr>
              <w:jc w:val="right"/>
              <w:ind w:right="1640"/>
              <w:spacing w:after="0"/>
              <w:rPr>
                <w:sz w:val="20"/>
                <w:szCs w:val="20"/>
                <w:color w:val="auto"/>
              </w:rPr>
            </w:pPr>
            <w:r>
              <w:rPr>
                <w:rFonts w:ascii="Arial" w:cs="Arial" w:eastAsia="Arial" w:hAnsi="Arial"/>
                <w:sz w:val="18"/>
                <w:szCs w:val="18"/>
                <w:color w:val="auto"/>
                <w:w w:val="88"/>
              </w:rPr>
              <w:t>GM Rate</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1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41% and 50% decreases in gross margin for the six and three months ended October 31, 2008, respectively, is due primarily to lower revenues and higher levels of engineering and manufacturing costs on certain satellite payload programs that the Company began to experience in late fiscal year 2008. The gross margin rates of 21.8% and 19.4% for the six and three-month periods ended October 31, 2008, respectively, also reflect the impact of recording higher reserves for slow moving inventory. Such reserve increases reduced gross margins by approximately 2% and 3.5%, respectively. With the completion of the challenging satellite programs in fiscal year 2009, the Company anticipates that its gross margin rate will improve.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6" w:lineRule="exact"/>
        <w:rPr>
          <w:sz w:val="20"/>
          <w:szCs w:val="20"/>
          <w:color w:val="auto"/>
        </w:rPr>
      </w:pPr>
    </w:p>
    <w:tbl>
      <w:tblPr>
        <w:tblLayout w:type="fixed"/>
        <w:tblInd w:w="7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Six months</w:t>
            </w:r>
          </w:p>
        </w:tc>
        <w:tc>
          <w:tcPr>
            <w:tcW w:w="10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Three months</w:t>
            </w:r>
          </w:p>
        </w:tc>
        <w:tc>
          <w:tcPr>
            <w:tcW w:w="1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20" w:type="dxa"/>
            <w:vAlign w:val="bottom"/>
            <w:gridSpan w:val="5"/>
          </w:tcPr>
          <w:p>
            <w:pPr>
              <w:ind w:left="100"/>
              <w:spacing w:after="0" w:line="201" w:lineRule="exact"/>
              <w:rPr>
                <w:sz w:val="20"/>
                <w:szCs w:val="20"/>
                <w:color w:val="auto"/>
              </w:rPr>
            </w:pPr>
            <w:r>
              <w:rPr>
                <w:rFonts w:ascii="Arial" w:cs="Arial" w:eastAsia="Arial" w:hAnsi="Arial"/>
                <w:sz w:val="18"/>
                <w:szCs w:val="18"/>
                <w:color w:val="auto"/>
              </w:rPr>
              <w:t>Periods ended October 31,</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Change</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5,951</w:t>
            </w:r>
          </w:p>
        </w:tc>
        <w:tc>
          <w:tcPr>
            <w:tcW w:w="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6,371</w:t>
            </w:r>
          </w:p>
        </w:tc>
        <w:tc>
          <w:tcPr>
            <w:tcW w:w="64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(420)</w:t>
            </w:r>
          </w:p>
        </w:tc>
        <w:tc>
          <w:tcPr>
            <w:tcW w:w="14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(7)%  $</w:t>
            </w:r>
          </w:p>
        </w:tc>
        <w:tc>
          <w:tcPr>
            <w:tcW w:w="11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2,835</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3,285</w:t>
            </w:r>
          </w:p>
        </w:tc>
        <w:tc>
          <w:tcPr>
            <w:tcW w:w="82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590"/>
              <w:spacing w:after="0"/>
              <w:rPr>
                <w:sz w:val="20"/>
                <w:szCs w:val="20"/>
                <w:color w:val="auto"/>
              </w:rPr>
            </w:pPr>
            <w:r>
              <w:rPr>
                <w:rFonts w:ascii="Arial" w:cs="Arial" w:eastAsia="Arial" w:hAnsi="Arial"/>
                <w:sz w:val="18"/>
                <w:szCs w:val="18"/>
                <w:color w:val="auto"/>
              </w:rPr>
              <w:t>(450)</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w:t>
            </w:r>
          </w:p>
        </w:tc>
      </w:tr>
    </w:tbl>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six and three months ended October 31, 2008, selling and administrative expenses were 21.9% and 20.2%, respectively, of consolidated revenues. This is compared to 19.3% and 18.8%, respectively, for the same periods of fiscal year 2008. The Company’s target for such expenses is not to exceed 20% of revenues. In the fiscal year 2009 periods, this ratio was not achieved due to a lower level of revenues and increases in professional fees and certain marketing expenses. These increases were offset by decreases in personnel costs including reduced incentive compensation and decreased employee benefits resulting from a lower headcount. In subsequent quarters of fiscal year 2009, the Company expects selling and administrative expenses to be incurred at 20% or less of revenues both by controlling costs as well as increasing revenues.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9"/>
          </w:tcPr>
          <w:p>
            <w:pPr>
              <w:jc w:val="right"/>
              <w:ind w:right="560"/>
              <w:spacing w:after="0"/>
              <w:rPr>
                <w:sz w:val="20"/>
                <w:szCs w:val="20"/>
                <w:color w:val="auto"/>
              </w:rPr>
            </w:pPr>
            <w:r>
              <w:rPr>
                <w:rFonts w:ascii="Arial" w:cs="Arial" w:eastAsia="Arial" w:hAnsi="Arial"/>
                <w:sz w:val="18"/>
                <w:szCs w:val="18"/>
                <w:b w:val="1"/>
                <w:bCs w:val="1"/>
                <w:color w:val="auto"/>
                <w:w w:val="86"/>
              </w:rPr>
              <w:t>Research and development expense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7"/>
        </w:trPr>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Six months</w:t>
            </w: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Three months</w:t>
            </w: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02"/>
        </w:trPr>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line="201" w:lineRule="exact"/>
              <w:rPr>
                <w:sz w:val="20"/>
                <w:szCs w:val="20"/>
                <w:color w:val="auto"/>
              </w:rPr>
            </w:pPr>
            <w:r>
              <w:rPr>
                <w:rFonts w:ascii="Arial" w:cs="Arial" w:eastAsia="Arial" w:hAnsi="Arial"/>
                <w:sz w:val="18"/>
                <w:szCs w:val="18"/>
                <w:color w:val="auto"/>
              </w:rPr>
              <w:t>Periods</w:t>
            </w:r>
          </w:p>
        </w:tc>
        <w:tc>
          <w:tcPr>
            <w:tcW w:w="340" w:type="dxa"/>
            <w:vAlign w:val="bottom"/>
          </w:tcPr>
          <w:p>
            <w:pPr>
              <w:spacing w:after="0"/>
              <w:rPr>
                <w:sz w:val="20"/>
                <w:szCs w:val="20"/>
                <w:color w:val="auto"/>
              </w:rPr>
            </w:pPr>
            <w:r>
              <w:rPr>
                <w:rFonts w:ascii="Arial" w:cs="Arial" w:eastAsia="Arial" w:hAnsi="Arial"/>
                <w:sz w:val="16"/>
                <w:szCs w:val="16"/>
                <w:color w:val="auto"/>
                <w:w w:val="71"/>
              </w:rPr>
              <w:t>ended</w:t>
            </w:r>
          </w:p>
        </w:tc>
        <w:tc>
          <w:tcPr>
            <w:tcW w:w="1000" w:type="dxa"/>
            <w:vAlign w:val="bottom"/>
            <w:gridSpan w:val="3"/>
          </w:tcPr>
          <w:p>
            <w:pPr>
              <w:jc w:val="center"/>
              <w:ind w:right="80"/>
              <w:spacing w:after="0" w:line="201" w:lineRule="exact"/>
              <w:rPr>
                <w:sz w:val="20"/>
                <w:szCs w:val="20"/>
                <w:color w:val="auto"/>
              </w:rPr>
            </w:pPr>
            <w:r>
              <w:rPr>
                <w:rFonts w:ascii="Arial" w:cs="Arial" w:eastAsia="Arial" w:hAnsi="Arial"/>
                <w:sz w:val="18"/>
                <w:szCs w:val="18"/>
                <w:color w:val="auto"/>
                <w:w w:val="89"/>
              </w:rPr>
              <w:t>October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7"/>
        </w:trPr>
        <w:tc>
          <w:tcPr>
            <w:tcW w:w="1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1220" w:type="dxa"/>
            <w:vAlign w:val="bottom"/>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2,239</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3,986</w:t>
            </w:r>
          </w:p>
        </w:tc>
        <w:tc>
          <w:tcPr>
            <w:tcW w:w="4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98"/>
              </w:rPr>
              <w:t>(1,747)</w:t>
            </w:r>
          </w:p>
        </w:tc>
        <w:tc>
          <w:tcPr>
            <w:tcW w:w="1200" w:type="dxa"/>
            <w:vAlign w:val="bottom"/>
            <w:gridSpan w:val="3"/>
            <w:shd w:val="clear" w:color="auto" w:fill="CCFFCC"/>
          </w:tcPr>
          <w:p>
            <w:pPr>
              <w:jc w:val="right"/>
              <w:ind w:right="10"/>
              <w:spacing w:after="0"/>
              <w:rPr>
                <w:sz w:val="20"/>
                <w:szCs w:val="20"/>
                <w:color w:val="auto"/>
              </w:rPr>
            </w:pPr>
            <w:r>
              <w:rPr>
                <w:rFonts w:ascii="Arial" w:cs="Arial" w:eastAsia="Arial" w:hAnsi="Arial"/>
                <w:sz w:val="18"/>
                <w:szCs w:val="18"/>
                <w:color w:val="auto"/>
              </w:rPr>
              <w:t>(44)% $</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874</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1,809</w:t>
            </w:r>
          </w:p>
        </w:tc>
        <w:tc>
          <w:tcPr>
            <w:tcW w:w="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(935)</w:t>
            </w: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w:t>
            </w:r>
          </w:p>
        </w:tc>
      </w:tr>
    </w:tbl>
    <w:p>
      <w:pPr>
        <w:spacing w:after="0" w:line="229"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Research and development expenditures represent investments that keep the Company’s products at the leading edge of time and frequency technology and enhance competitiveness for future revenues. Research and development spending for the six and three-month periods ended October 31, 2008, was 8.3% and 6.2% of revenues, respectively, compared to 12.1% and 10.4% of revenues for the same periods of fiscal year 2008, respectively. The decreased spending in fiscal year 2009 is a result of many of the Company’s development resources being applied to certain cost-plus-fee satellite payload programs. As a consequence, some of the Company’s development expenditures will be customer-funded and the costs will appear in cost of revenues, thus reducing the level of internal research and development spending. In the six and three-month periods ended October 31, 2007, the Company incurred exceptional levels of engineering spending and development work on its satellite payload products. This effort abated throughout fiscal year 2008. The Company targets research and development spending at approximately 10% of revenues,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Internally generated cash and cash reserves are adequate to fund these development efforts.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56" w:lineRule="exact"/>
        <w:rPr>
          <w:sz w:val="20"/>
          <w:szCs w:val="20"/>
          <w:color w:val="auto"/>
        </w:rPr>
      </w:pPr>
    </w:p>
    <w:tbl>
      <w:tblPr>
        <w:tblLayout w:type="fixed"/>
        <w:tblInd w:w="12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Six months</w:t>
            </w: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Three months</w:t>
            </w:r>
          </w:p>
        </w:tc>
        <w:tc>
          <w:tcPr>
            <w:tcW w:w="1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gridSpan w:val="6"/>
          </w:tcPr>
          <w:p>
            <w:pPr>
              <w:jc w:val="right"/>
              <w:ind w:right="260"/>
              <w:spacing w:after="0" w:line="201" w:lineRule="exact"/>
              <w:rPr>
                <w:sz w:val="20"/>
                <w:szCs w:val="20"/>
                <w:color w:val="auto"/>
              </w:rPr>
            </w:pPr>
            <w:r>
              <w:rPr>
                <w:rFonts w:ascii="Arial" w:cs="Arial" w:eastAsia="Arial" w:hAnsi="Arial"/>
                <w:sz w:val="18"/>
                <w:szCs w:val="18"/>
                <w:color w:val="auto"/>
                <w:w w:val="85"/>
              </w:rPr>
              <w:t>Periods ended October 31,</w:t>
            </w:r>
          </w:p>
        </w:tc>
        <w:tc>
          <w:tcPr>
            <w:tcW w:w="13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2007</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2007</w:t>
            </w:r>
          </w:p>
        </w:tc>
        <w:tc>
          <w:tcPr>
            <w:tcW w:w="2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   (2,284)</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(416)</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94"/>
              </w:rPr>
              <w:t>(1,868)</w:t>
            </w:r>
          </w:p>
        </w:tc>
        <w:tc>
          <w:tcPr>
            <w:tcW w:w="164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(449)% $   (994)</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376</w:t>
            </w:r>
          </w:p>
        </w:tc>
        <w:tc>
          <w:tcPr>
            <w:tcW w:w="132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  (1,370)</w:t>
            </w:r>
          </w:p>
        </w:tc>
        <w:tc>
          <w:tcPr>
            <w:tcW w:w="1980" w:type="dxa"/>
            <w:vAlign w:val="bottom"/>
            <w:shd w:val="clear" w:color="auto" w:fill="CCFFCC"/>
          </w:tcPr>
          <w:p>
            <w:pPr>
              <w:ind w:left="1680"/>
              <w:spacing w:after="0"/>
              <w:rPr>
                <w:sz w:val="20"/>
                <w:szCs w:val="20"/>
                <w:color w:val="auto"/>
              </w:rPr>
            </w:pPr>
            <w:r>
              <w:rPr>
                <w:rFonts w:ascii="Arial" w:cs="Arial" w:eastAsia="Arial" w:hAnsi="Arial"/>
                <w:sz w:val="18"/>
                <w:szCs w:val="18"/>
                <w:color w:val="auto"/>
                <w:w w:val="99"/>
              </w:rPr>
              <w:t>NM</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Lower revenues, the continuing level of engineering and manufacturing effort related to satellite payload programs and recording a higher level of inventory reserves resulted in operating losses for the six and three-month periods ended October 31, 2008, compared to the same periods of fiscal year 2008. The Company anticipates that as the gross margin rate improves and as revenues increase from current levels, that it will generate an operating profit for the second half of fiscal year 2009.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87"/>
        </w:trPr>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Six months</w:t>
            </w: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Three months</w:t>
            </w: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60" w:type="dxa"/>
            <w:vAlign w:val="bottom"/>
            <w:gridSpan w:val="7"/>
          </w:tcPr>
          <w:p>
            <w:pPr>
              <w:jc w:val="right"/>
              <w:ind w:right="340"/>
              <w:spacing w:after="0" w:line="201" w:lineRule="exact"/>
              <w:rPr>
                <w:sz w:val="20"/>
                <w:szCs w:val="20"/>
                <w:color w:val="auto"/>
              </w:rPr>
            </w:pPr>
            <w:r>
              <w:rPr>
                <w:rFonts w:ascii="Arial" w:cs="Arial" w:eastAsia="Arial" w:hAnsi="Arial"/>
                <w:sz w:val="18"/>
                <w:szCs w:val="18"/>
                <w:color w:val="auto"/>
              </w:rPr>
              <w:t>Periods ended October 31,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3,763</w:t>
            </w:r>
          </w:p>
        </w:tc>
        <w:tc>
          <w:tcPr>
            <w:tcW w:w="20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430"/>
              <w:spacing w:after="0"/>
              <w:rPr>
                <w:sz w:val="20"/>
                <w:szCs w:val="20"/>
                <w:color w:val="auto"/>
              </w:rPr>
            </w:pPr>
            <w:r>
              <w:rPr>
                <w:rFonts w:ascii="Arial" w:cs="Arial" w:eastAsia="Arial" w:hAnsi="Arial"/>
                <w:sz w:val="18"/>
                <w:szCs w:val="18"/>
                <w:color w:val="auto"/>
              </w:rPr>
              <w:t>(3,396)</w:t>
            </w: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(90)%</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520</w:t>
            </w:r>
          </w:p>
        </w:tc>
        <w:tc>
          <w:tcPr>
            <w:tcW w:w="56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(311)</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Equity (loss)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8"/>
                <w:szCs w:val="18"/>
                <w:color w:val="auto"/>
              </w:rPr>
            </w:pPr>
          </w:p>
        </w:tc>
        <w:tc>
          <w:tcPr>
            <w:tcW w:w="1120" w:type="dxa"/>
            <w:vAlign w:val="bottom"/>
            <w:gridSpan w:val="2"/>
          </w:tcPr>
          <w:p>
            <w:pPr>
              <w:jc w:val="right"/>
              <w:ind w:right="430"/>
              <w:spacing w:after="0"/>
              <w:rPr>
                <w:sz w:val="20"/>
                <w:szCs w:val="20"/>
                <w:color w:val="auto"/>
              </w:rPr>
            </w:pPr>
            <w:r>
              <w:rPr>
                <w:rFonts w:ascii="Arial" w:cs="Arial" w:eastAsia="Arial" w:hAnsi="Arial"/>
                <w:sz w:val="18"/>
                <w:szCs w:val="18"/>
                <w:color w:val="auto"/>
              </w:rPr>
              <w:t>(163)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(431)%</w:t>
            </w: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(291)</w:t>
            </w:r>
          </w:p>
        </w:tc>
        <w:tc>
          <w:tcPr>
            <w:tcW w:w="3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490"/>
              <w:spacing w:after="0"/>
              <w:rPr>
                <w:sz w:val="20"/>
                <w:szCs w:val="20"/>
                <w:color w:val="auto"/>
              </w:rPr>
            </w:pPr>
            <w:r>
              <w:rPr>
                <w:rFonts w:ascii="Arial" w:cs="Arial" w:eastAsia="Arial" w:hAnsi="Arial"/>
                <w:sz w:val="18"/>
                <w:szCs w:val="18"/>
                <w:color w:val="auto"/>
              </w:rPr>
              <w:t>98</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0"/>
              <w:spacing w:after="0"/>
              <w:rPr>
                <w:sz w:val="20"/>
                <w:szCs w:val="20"/>
                <w:color w:val="auto"/>
              </w:rPr>
            </w:pPr>
            <w:r>
              <w:rPr>
                <w:rFonts w:ascii="Arial" w:cs="Arial" w:eastAsia="Arial" w:hAnsi="Arial"/>
                <w:sz w:val="18"/>
                <w:szCs w:val="18"/>
                <w:color w:val="auto"/>
              </w:rPr>
              <w:t>50</w:t>
            </w: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43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(88)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( 59)</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3,409</w:t>
            </w:r>
          </w:p>
        </w:tc>
        <w:tc>
          <w:tcPr>
            <w:tcW w:w="200" w:type="dxa"/>
            <w:vAlign w:val="bottom"/>
            <w:shd w:val="clear" w:color="auto" w:fill="CCFFCC"/>
          </w:tcPr>
          <w:p>
            <w:pPr>
              <w:spacing w:after="0"/>
              <w:rPr>
                <w:sz w:val="18"/>
                <w:szCs w:val="18"/>
                <w:color w:val="auto"/>
              </w:rPr>
            </w:pP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430"/>
              <w:spacing w:after="0"/>
              <w:rPr>
                <w:sz w:val="20"/>
                <w:szCs w:val="20"/>
                <w:color w:val="auto"/>
              </w:rPr>
            </w:pPr>
            <w:r>
              <w:rPr>
                <w:rFonts w:ascii="Arial" w:cs="Arial" w:eastAsia="Arial" w:hAnsi="Arial"/>
                <w:sz w:val="18"/>
                <w:szCs w:val="18"/>
                <w:color w:val="auto"/>
              </w:rPr>
              <w:t>(3,468)</w:t>
            </w: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(102)%</w:t>
            </w: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377</w:t>
            </w:r>
          </w:p>
        </w:tc>
        <w:tc>
          <w:tcPr>
            <w:tcW w:w="56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(629)</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(167)%</w:t>
            </w:r>
          </w:p>
        </w:tc>
      </w:tr>
    </w:tbl>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six months ended October 31, 2007, the Company reduced its investment in Morion, Inc. from 36.6% to 8% by selling shares to a Russian government majority-owned bank. The Company received proceeds of approximately $5.8 million and realized a book gain of approximately $3.0 million. Such gain was included in investment income for the first quarter of fiscal year 2008. Comparable gains were not recorded during the fiscal year 2009 periods. In addition, investment income was reduced in the fiscal year 2009 period due to a lower level of marketable securities than in the same periods of the prior year.</w:t>
      </w:r>
    </w:p>
    <w:p>
      <w:pPr>
        <w:spacing w:after="0" w:line="21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equity loss in the fiscal year 2009 and 2008 periods represent the Company’s share of the quarterly loss recorded by Elcom Technologies in which the Company owns a 25% interest.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decrease in interest expense for the six and three month periods ended October 31, 2008, resulted from both a decrease in borrowings under the Company’s line of credit as well as a lower rate of interest charged on such borrowings compared to the same periods ended October 31, 2007.</w:t>
      </w:r>
    </w:p>
    <w:p>
      <w:pPr>
        <w:spacing w:after="0" w:line="15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Under the provisions of sale and leaseback accounting, a portion of the capital gain realized on a fiscal year 2005 real estate transaction is deferred and recognized in income over the initial lease term. Under the caption “Other income, net” the Company recognized deferred gain of $177,000 and $88,000 for the six and three months ended October 31, 2008 and 2007, respectively. These gains were partially offset by certain nonrecurring expenses at the FEI-NY and Gillam-FEI segments, including certain foreign currency exchange losses, settlement of European insurance claims and business interruption costs. Other insignificant income and expense items are also recorded under this caption.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(Loss) income</w:t>
      </w:r>
    </w:p>
    <w:p>
      <w:pPr>
        <w:spacing w:after="0" w:line="256" w:lineRule="exact"/>
        <w:rPr>
          <w:sz w:val="20"/>
          <w:szCs w:val="20"/>
          <w:color w:val="auto"/>
        </w:rPr>
      </w:pPr>
    </w:p>
    <w:tbl>
      <w:tblPr>
        <w:tblLayout w:type="fixed"/>
        <w:tblInd w:w="12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rPr>
              <w:t>Six months</w:t>
            </w: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Three months</w:t>
            </w:r>
          </w:p>
        </w:tc>
        <w:tc>
          <w:tcPr>
            <w:tcW w:w="10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ind w:left="720"/>
              <w:spacing w:after="0" w:line="201" w:lineRule="exact"/>
              <w:rPr>
                <w:sz w:val="20"/>
                <w:szCs w:val="20"/>
                <w:color w:val="auto"/>
              </w:rPr>
            </w:pPr>
            <w:r>
              <w:rPr>
                <w:rFonts w:ascii="Arial" w:cs="Arial" w:eastAsia="Arial" w:hAnsi="Arial"/>
                <w:sz w:val="18"/>
                <w:szCs w:val="18"/>
                <w:color w:val="auto"/>
                <w:w w:val="80"/>
              </w:rPr>
              <w:t>Periods ended</w:t>
            </w:r>
          </w:p>
        </w:tc>
        <w:tc>
          <w:tcPr>
            <w:tcW w:w="100" w:type="dxa"/>
            <w:vAlign w:val="bottom"/>
          </w:tcPr>
          <w:p>
            <w:pPr>
              <w:spacing w:after="0"/>
              <w:rPr>
                <w:sz w:val="17"/>
                <w:szCs w:val="17"/>
                <w:color w:val="auto"/>
              </w:rPr>
            </w:pPr>
          </w:p>
        </w:tc>
        <w:tc>
          <w:tcPr>
            <w:tcW w:w="120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w w:val="87"/>
              </w:rPr>
              <w:t>October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FFCC"/>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(1,666)</w:t>
            </w: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rPr>
              <w:t>1,789</w:t>
            </w: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(3,455)</w:t>
            </w:r>
          </w:p>
        </w:tc>
        <w:tc>
          <w:tcPr>
            <w:tcW w:w="840" w:type="dxa"/>
            <w:vAlign w:val="bottom"/>
            <w:gridSpan w:val="3"/>
            <w:shd w:val="clear" w:color="auto" w:fill="CCFFCC"/>
          </w:tcPr>
          <w:p>
            <w:pPr>
              <w:ind w:left="240"/>
              <w:spacing w:after="0"/>
              <w:rPr>
                <w:sz w:val="20"/>
                <w:szCs w:val="20"/>
                <w:color w:val="auto"/>
              </w:rPr>
            </w:pPr>
            <w:r>
              <w:rPr>
                <w:rFonts w:ascii="Arial" w:cs="Arial" w:eastAsia="Arial" w:hAnsi="Arial"/>
                <w:sz w:val="18"/>
                <w:szCs w:val="18"/>
                <w:color w:val="auto"/>
              </w:rPr>
              <w:t>NM $</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(894)</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409</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(1,303)</w:t>
            </w:r>
          </w:p>
        </w:tc>
        <w:tc>
          <w:tcPr>
            <w:tcW w:w="48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9"/>
              </w:rPr>
              <w:t>NM</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loss for the six and three month periods ended October 31, 2008, resulted from the decrease in revenues, the higher engineering and production costs on certain satellite programs and increases to inventory reserves as discussed above. The fiscal year 2008 results were positively impacted by the investment gain recorded on the sale of a portion of the Company’s investment in Morion. The Company expects to realize improved gross and operating margins in the remaining quarters of fiscal year 2009 and anticipates that it will report a profit for the second half of the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2008, the Company’s European subsidiaries had available net operating loss carryforwards of approximately $1.2 million, which will offset future taxable income. The Company’s effective tax rate for fiscal year 2008 was higher than in prior years as a result of the gain recognized on the Morion transaction. The Company’s tax basis in its Morion investment was less than its book basis resulting in greater taxable income than that recorded for financial reporting purposes.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52"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Company’s balance sheet continues to reflect a strong working capital position of $55 million at October 31, 2008, which is compared to working capital of $59 million at April 30, 2008. Included in working capital at October 31, 2008 is $13.3 million of cash, cash equivalents and marketable securities which are offset by $5.6 million in borrowings under its bank line of credit. The Company’s current ratio at October 31, 2008 is 5.8 to 1.</w:t>
      </w:r>
    </w:p>
    <w:p>
      <w:pPr>
        <w:spacing w:after="0" w:line="17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six months ended October 31, 2008, the Company had positive cash flow from operating activities of $466,000 compared to $2.6 million used by operations in the comparable fiscal year 2008 period. The primary source of cash in the fiscal year 2009 period was the collection of accounts receivable. As the Company achieved milestones on certain large satellite programs, it was contractually permitted to issue invoices to its customers, much of which was collected by the end of the fiscal quarter. In the six month period ended October 31, 2007, the decrease in operating cash flow was due primarily to increases in unbilled accounts receivable, inventory and payments against accounts payable. For the balance of fiscal year 2009, the Company expects to generate positive cash flow from operating activities, particularly as additional billing milestones are achieved on certain of its large satellite production contracts.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Net cash used in investing activities for the six months ended October 31, 2008, was $5.9 million compared to cash provided by investing activities of $5.7 million for the same period of fiscal year 2008. During the fiscal year 2009 period, the Company invested $5.6 million in marketable securities, net of $1.0 million in proceeds from the sale of certain marketable securities, and acquired additional fixed assets for $293,000. In the prior fiscal year, the Company received net proceeds of $5.6 million from the sale of a portion of its investment in Morion and the net proceeds from the redemption and purchase of marketable securities for $1.3 million. This cash inflow was partially offset by fixed asset acquisitions of $1.3 million. The Company may continue to acquire or sell marketable securities as dictated by its investment strategies as well as by the cash requirements for its development activities. Capital equipment purchases for all of fiscal year 2009 are expected to aggregate approximately $2.0 million. Internally generated cash is adequate to acquire this level of capital equipment.</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used in financing activities for the six months ended October 31, 2008, was $2.6 million compared to cash provided by financing activities of $2.5 million during the comparable fiscal year 2008 period. During the first six months of fiscal year 2009, the Company repurchased over 677,000 shares of its common stock at an average per share price of $4.39, or approximately $3.0 million, compared to treasury stock purchases of $233,000 for the same period of fiscal year 2008. During fiscal year 2009, the Company had net borrowings of $0.5 million against its line of credit and made principle payments of $106,000 against a long-term capital lease. During the six months ended October 31, 2007, the Company paid a cash dividend of $869,000 which was offset by $3.5 million borrowed under its line of credit.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Subsequent to the end of the current quarter, the Company acquired approximately 43,000 shares at an average price of $2.85. Including these purchases, the Company has repurchased approximately $4 million of its common stock out of the $5 million authorization.</w:t>
      </w:r>
    </w:p>
    <w:p>
      <w:pPr>
        <w:spacing w:after="0" w:line="21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will continue to expend resources to develop and improve products for space applications, guidance and targeting systems, wireless networks and wireline communication systems which management believes will result in future growth and continued profitability. During fiscal year 2009, the Company intends to make investments in more efficient product designs, automatic test equipment, employee training and improved manufacturing processes. For the current fiscal year and for the foreseeable future, the Company has been awarded several cost-plus-fee development contracts for satellite payloads. Such customer-funded programs will enable the Company to conduct important development activities and the Company will be reimbursed by its customers for its efforts. Thus, the Company expects to spend its own funds at a lower rate than it has historically to achieve its development goals. Internally generated cash will be adequate to fund these internal research and development efforts.</w:t>
      </w:r>
    </w:p>
    <w:p>
      <w:pPr>
        <w:spacing w:after="0" w:line="20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October 31, 2008, the Company's consolidated backlog amounted to approximately $36 million. Approximately 75% of this backlog is expected to be realized in the next twelve months. Included in the backlog at October 31, 2008 is approximately $7.3 million under cost plus fee contracts which the Company believes represent firm commitments from its customers for which the Company has not received full funding to date. The Company excludes from backlog any contracts or awards for which it has not received authorization to proceed.</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210185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October 31, 2008, the Company’s disclosure controls and procedures were not effective for the reasons discussed below,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October 31, 2008. In making this assessment, management used the criteria established in Internal Control—Integrated Framework issued by the Committee of Sponsoring Organizations of the Treadway Commission (COSO). Based on this evaluation, management has concluded that the Company’s internal control over financial reporting was not effective as of October 31, 2008. The Company’s chief executive officer and chief financial officer have concluded that the Company has material weaknesses in its internal control over financial reporting.</w:t>
      </w:r>
    </w:p>
    <w:p>
      <w:pPr>
        <w:spacing w:after="0" w:line="2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Financial Reporting</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had inadequate resources and an insufficient number of personnel having adequate knowledge, experience and training to provide effective oversight and review of our internal controls within the prescribed timeframe. As a result, as of October 31, 2008, there was a material weakness in the Company’s internal control because management has not performed a self-assessment or the necessary documentation and testing of the internal controls at two of the Company’s subsidiaries, Gillam-FEI and FEI-Zyfer. The lack of documentation and testing of these subsidiaries constitutes a material weakness. In order to remediate this material weakness, management expects to establish policies and procedures to provide for the necessary documentation and testing of such internal controls over the coming year. During fiscal year 2009, the Company plans to fully document and test the internal controls over financial reporting at its Gillam-FEI and FEI-Zyfer subsidiaries. If this process identifies material weaknesses or significant deficiencies over such internal controls, the Company will implement appropriate remediation efforts.</w:t>
      </w:r>
    </w:p>
    <w:p>
      <w:pPr>
        <w:spacing w:after="0" w:line="20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Due to the Company’s small size and lack of resources and staffing, the Chief Financial Officer is actively involved in the preparation of the financial statements and therefore, cannot provide an independent review and quality assurance function within the accounting and financial reporting group.</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limited number of accounting personnel results in an inability to have independent review and approval by the Chief Financial Officer of financial accounting entries. There is a risk that a material misstatement of the financial statements could be caused, or at least not be detected in a timely manner, due to this insufficient segregation of duties. During fiscal year 2009, the Company plans to remediate this material weakness by engaging third-party accounting advisors and by creating processes whereby personnel in its Accounting Department (other than the Chief Financial Officer) will create analysis and original accounting entries, which will subsequently be reviewed and approved by the Chief Financial Officer.</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quarter ending October 31, 2008 to which this report relates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ITEMS 1, 1A, 2, 3 and 5 are omitted because they are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October 7, 2008, at the Annual Meeting of Stockholders, the following matters were approved by the shareholders of the Company:</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1.  Election of the following six directors: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66"/>
        </w:trPr>
        <w:tc>
          <w:tcPr>
            <w:tcW w:w="1060" w:type="dxa"/>
            <w:vAlign w:val="bottom"/>
          </w:tcPr>
          <w:p>
            <w:pPr>
              <w:spacing w:after="0"/>
              <w:rPr>
                <w:sz w:val="24"/>
                <w:szCs w:val="24"/>
                <w:color w:val="auto"/>
              </w:rPr>
            </w:pPr>
          </w:p>
        </w:tc>
        <w:tc>
          <w:tcPr>
            <w:tcW w:w="5120" w:type="dxa"/>
            <w:vAlign w:val="bottom"/>
          </w:tcPr>
          <w:p>
            <w:pPr>
              <w:ind w:left="2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FOR</w:t>
            </w: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WITHHELD</w:t>
            </w:r>
          </w:p>
        </w:tc>
        <w:tc>
          <w:tcPr>
            <w:tcW w:w="1940" w:type="dxa"/>
            <w:vAlign w:val="bottom"/>
          </w:tcPr>
          <w:p>
            <w:pPr>
              <w:jc w:val="right"/>
              <w:spacing w:after="0"/>
              <w:rPr>
                <w:sz w:val="20"/>
                <w:szCs w:val="20"/>
                <w:color w:val="auto"/>
              </w:rPr>
            </w:pPr>
            <w:r>
              <w:rPr>
                <w:rFonts w:ascii="Arial" w:cs="Arial" w:eastAsia="Arial" w:hAnsi="Arial"/>
                <w:sz w:val="18"/>
                <w:szCs w:val="18"/>
                <w:color w:val="auto"/>
                <w:w w:val="97"/>
              </w:rPr>
              <w:t>BROKER NON-VOTES</w:t>
            </w:r>
          </w:p>
        </w:tc>
      </w:tr>
      <w:tr>
        <w:trPr>
          <w:trHeight w:val="202"/>
        </w:trPr>
        <w:tc>
          <w:tcPr>
            <w:tcW w:w="1060" w:type="dxa"/>
            <w:vAlign w:val="bottom"/>
          </w:tcPr>
          <w:p>
            <w:pPr>
              <w:spacing w:after="0"/>
              <w:rPr>
                <w:sz w:val="17"/>
                <w:szCs w:val="17"/>
                <w:color w:val="auto"/>
              </w:rPr>
            </w:pPr>
          </w:p>
        </w:tc>
        <w:tc>
          <w:tcPr>
            <w:tcW w:w="5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Joseph P. Franklin</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5,345,939</w:t>
            </w:r>
          </w:p>
        </w:tc>
        <w:tc>
          <w:tcPr>
            <w:tcW w:w="20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2,676,708</w:t>
            </w:r>
          </w:p>
        </w:tc>
        <w:tc>
          <w:tcPr>
            <w:tcW w:w="180" w:type="dxa"/>
            <w:vAlign w:val="bottom"/>
          </w:tcPr>
          <w:p>
            <w:pPr>
              <w:spacing w:after="0"/>
              <w:rPr>
                <w:sz w:val="17"/>
                <w:szCs w:val="17"/>
                <w:color w:val="auto"/>
              </w:rPr>
            </w:pPr>
          </w:p>
        </w:tc>
        <w:tc>
          <w:tcPr>
            <w:tcW w:w="1940" w:type="dxa"/>
            <w:vAlign w:val="bottom"/>
            <w:tcBorders>
              <w:top w:val="single" w:sz="8" w:color="auto"/>
            </w:tcBorders>
          </w:tcPr>
          <w:p>
            <w:pPr>
              <w:jc w:val="right"/>
              <w:ind w:right="750"/>
              <w:spacing w:after="0" w:line="201" w:lineRule="exact"/>
              <w:rPr>
                <w:sz w:val="20"/>
                <w:szCs w:val="20"/>
                <w:color w:val="auto"/>
              </w:rPr>
            </w:pPr>
            <w:r>
              <w:rPr>
                <w:rFonts w:ascii="Arial" w:cs="Arial" w:eastAsia="Arial" w:hAnsi="Arial"/>
                <w:sz w:val="18"/>
                <w:szCs w:val="18"/>
                <w:color w:val="auto"/>
              </w:rPr>
              <w:t>0</w:t>
            </w:r>
          </w:p>
        </w:tc>
      </w:tr>
      <w:tr>
        <w:trPr>
          <w:trHeight w:val="216"/>
        </w:trPr>
        <w:tc>
          <w:tcPr>
            <w:tcW w:w="6180" w:type="dxa"/>
            <w:vAlign w:val="bottom"/>
            <w:gridSpan w:val="2"/>
          </w:tcPr>
          <w:p>
            <w:pPr>
              <w:ind w:left="1060"/>
              <w:spacing w:after="0"/>
              <w:rPr>
                <w:sz w:val="20"/>
                <w:szCs w:val="20"/>
                <w:color w:val="auto"/>
              </w:rPr>
            </w:pPr>
            <w:r>
              <w:rPr>
                <w:rFonts w:ascii="Arial" w:cs="Arial" w:eastAsia="Arial" w:hAnsi="Arial"/>
                <w:sz w:val="18"/>
                <w:szCs w:val="18"/>
                <w:color w:val="auto"/>
              </w:rPr>
              <w:t>Martin B. Bloch</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5,422,403</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2,600,244</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0</w:t>
            </w:r>
          </w:p>
        </w:tc>
      </w:tr>
      <w:tr>
        <w:trPr>
          <w:trHeight w:val="216"/>
        </w:trPr>
        <w:tc>
          <w:tcPr>
            <w:tcW w:w="6180" w:type="dxa"/>
            <w:vAlign w:val="bottom"/>
            <w:gridSpan w:val="2"/>
          </w:tcPr>
          <w:p>
            <w:pPr>
              <w:ind w:left="1060"/>
              <w:spacing w:after="0"/>
              <w:rPr>
                <w:sz w:val="20"/>
                <w:szCs w:val="20"/>
                <w:color w:val="auto"/>
              </w:rPr>
            </w:pPr>
            <w:r>
              <w:rPr>
                <w:rFonts w:ascii="Arial" w:cs="Arial" w:eastAsia="Arial" w:hAnsi="Arial"/>
                <w:sz w:val="18"/>
                <w:szCs w:val="18"/>
                <w:color w:val="auto"/>
              </w:rPr>
              <w:t>Joel Girsky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6,486,644</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1,536,003</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0</w:t>
            </w:r>
          </w:p>
        </w:tc>
      </w:tr>
      <w:tr>
        <w:trPr>
          <w:trHeight w:val="216"/>
        </w:trPr>
        <w:tc>
          <w:tcPr>
            <w:tcW w:w="6180" w:type="dxa"/>
            <w:vAlign w:val="bottom"/>
            <w:gridSpan w:val="2"/>
          </w:tcPr>
          <w:p>
            <w:pPr>
              <w:ind w:left="1060"/>
              <w:spacing w:after="0"/>
              <w:rPr>
                <w:sz w:val="20"/>
                <w:szCs w:val="20"/>
                <w:color w:val="auto"/>
              </w:rPr>
            </w:pPr>
            <w:r>
              <w:rPr>
                <w:rFonts w:ascii="Arial" w:cs="Arial" w:eastAsia="Arial" w:hAnsi="Arial"/>
                <w:sz w:val="18"/>
                <w:szCs w:val="18"/>
                <w:color w:val="auto"/>
              </w:rPr>
              <w:t>E. Donald Shapiro</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7,456,138</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566,509</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0</w:t>
            </w:r>
          </w:p>
        </w:tc>
      </w:tr>
      <w:tr>
        <w:trPr>
          <w:trHeight w:val="216"/>
        </w:trPr>
        <w:tc>
          <w:tcPr>
            <w:tcW w:w="6180" w:type="dxa"/>
            <w:vAlign w:val="bottom"/>
            <w:gridSpan w:val="2"/>
          </w:tcPr>
          <w:p>
            <w:pPr>
              <w:ind w:left="1060"/>
              <w:spacing w:after="0"/>
              <w:rPr>
                <w:sz w:val="20"/>
                <w:szCs w:val="20"/>
                <w:color w:val="auto"/>
              </w:rPr>
            </w:pPr>
            <w:r>
              <w:rPr>
                <w:rFonts w:ascii="Arial" w:cs="Arial" w:eastAsia="Arial" w:hAnsi="Arial"/>
                <w:sz w:val="18"/>
                <w:szCs w:val="18"/>
                <w:color w:val="auto"/>
              </w:rPr>
              <w:t>S. Robert Foley, Jr.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7,425,696</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596,951</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0</w:t>
            </w:r>
          </w:p>
        </w:tc>
      </w:tr>
      <w:tr>
        <w:trPr>
          <w:trHeight w:val="230"/>
        </w:trPr>
        <w:tc>
          <w:tcPr>
            <w:tcW w:w="6180" w:type="dxa"/>
            <w:vAlign w:val="bottom"/>
            <w:gridSpan w:val="2"/>
          </w:tcPr>
          <w:p>
            <w:pPr>
              <w:ind w:left="1060"/>
              <w:spacing w:after="0"/>
              <w:rPr>
                <w:sz w:val="20"/>
                <w:szCs w:val="20"/>
                <w:color w:val="auto"/>
              </w:rPr>
            </w:pPr>
            <w:r>
              <w:rPr>
                <w:rFonts w:ascii="Arial" w:cs="Arial" w:eastAsia="Arial" w:hAnsi="Arial"/>
                <w:sz w:val="18"/>
                <w:szCs w:val="18"/>
                <w:color w:val="auto"/>
              </w:rPr>
              <w:t>Richard Schwartz</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7,463,111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559,536</w:t>
            </w:r>
          </w:p>
        </w:tc>
        <w:tc>
          <w:tcPr>
            <w:tcW w:w="1940" w:type="dxa"/>
            <w:vAlign w:val="bottom"/>
          </w:tcPr>
          <w:p>
            <w:pPr>
              <w:jc w:val="right"/>
              <w:ind w:right="750"/>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Ratification of the appointment of Eisner LLP as independent auditors for fiscal year 2009. The results of the voting were as follows:</w:t>
      </w: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1880" w:type="dxa"/>
            <w:vAlign w:val="bottom"/>
          </w:tcPr>
          <w:p>
            <w:pPr>
              <w:jc w:val="right"/>
              <w:ind w:right="670"/>
              <w:spacing w:after="0"/>
              <w:rPr>
                <w:sz w:val="20"/>
                <w:szCs w:val="20"/>
                <w:color w:val="auto"/>
              </w:rPr>
            </w:pPr>
            <w:r>
              <w:rPr>
                <w:rFonts w:ascii="Arial" w:cs="Arial" w:eastAsia="Arial" w:hAnsi="Arial"/>
                <w:sz w:val="18"/>
                <w:szCs w:val="18"/>
                <w:color w:val="auto"/>
              </w:rPr>
              <w:t>FOR</w:t>
            </w:r>
          </w:p>
        </w:tc>
        <w:tc>
          <w:tcPr>
            <w:tcW w:w="360" w:type="dxa"/>
            <w:vAlign w:val="bottom"/>
          </w:tcPr>
          <w:p>
            <w:pPr>
              <w:spacing w:after="0"/>
              <w:rPr>
                <w:sz w:val="20"/>
                <w:szCs w:val="20"/>
                <w:color w:val="auto"/>
              </w:rPr>
            </w:pPr>
          </w:p>
        </w:tc>
        <w:tc>
          <w:tcPr>
            <w:tcW w:w="2240" w:type="dxa"/>
            <w:vAlign w:val="bottom"/>
            <w:gridSpan w:val="2"/>
          </w:tcPr>
          <w:p>
            <w:pPr>
              <w:ind w:left="540"/>
              <w:spacing w:after="0"/>
              <w:rPr>
                <w:sz w:val="20"/>
                <w:szCs w:val="20"/>
                <w:color w:val="auto"/>
              </w:rPr>
            </w:pPr>
            <w:r>
              <w:rPr>
                <w:rFonts w:ascii="Arial" w:cs="Arial" w:eastAsia="Arial" w:hAnsi="Arial"/>
                <w:sz w:val="18"/>
                <w:szCs w:val="18"/>
                <w:color w:val="auto"/>
              </w:rPr>
              <w:t>AGAINST</w:t>
            </w:r>
          </w:p>
        </w:tc>
        <w:tc>
          <w:tcPr>
            <w:tcW w:w="2280" w:type="dxa"/>
            <w:vAlign w:val="bottom"/>
            <w:gridSpan w:val="2"/>
          </w:tcPr>
          <w:p>
            <w:pPr>
              <w:ind w:left="580"/>
              <w:spacing w:after="0"/>
              <w:rPr>
                <w:sz w:val="20"/>
                <w:szCs w:val="20"/>
                <w:color w:val="auto"/>
              </w:rPr>
            </w:pPr>
            <w:r>
              <w:rPr>
                <w:rFonts w:ascii="Arial" w:cs="Arial" w:eastAsia="Arial" w:hAnsi="Arial"/>
                <w:sz w:val="18"/>
                <w:szCs w:val="18"/>
                <w:color w:val="auto"/>
              </w:rPr>
              <w:t>ABSTAIN</w:t>
            </w:r>
          </w:p>
        </w:tc>
        <w:tc>
          <w:tcPr>
            <w:tcW w:w="2760" w:type="dxa"/>
            <w:vAlign w:val="bottom"/>
          </w:tcPr>
          <w:p>
            <w:pPr>
              <w:jc w:val="right"/>
              <w:ind w:right="390"/>
              <w:spacing w:after="0"/>
              <w:rPr>
                <w:sz w:val="20"/>
                <w:szCs w:val="20"/>
                <w:color w:val="auto"/>
              </w:rPr>
            </w:pPr>
            <w:r>
              <w:rPr>
                <w:rFonts w:ascii="Arial" w:cs="Arial" w:eastAsia="Arial" w:hAnsi="Arial"/>
                <w:sz w:val="18"/>
                <w:szCs w:val="18"/>
                <w:color w:val="auto"/>
              </w:rPr>
              <w:t>BROKER NON-VOTES</w:t>
            </w:r>
          </w:p>
        </w:tc>
      </w:tr>
      <w:tr>
        <w:trPr>
          <w:trHeight w:val="230"/>
        </w:trPr>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7,901,578</w:t>
            </w:r>
          </w:p>
        </w:tc>
        <w:tc>
          <w:tcPr>
            <w:tcW w:w="36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119,131</w:t>
            </w:r>
          </w:p>
        </w:tc>
        <w:tc>
          <w:tcPr>
            <w:tcW w:w="38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360" w:type="dxa"/>
            <w:vAlign w:val="bottom"/>
          </w:tcPr>
          <w:p>
            <w:pPr>
              <w:spacing w:after="0"/>
              <w:rPr>
                <w:sz w:val="20"/>
                <w:szCs w:val="20"/>
                <w:color w:val="auto"/>
              </w:rPr>
            </w:pPr>
          </w:p>
        </w:tc>
        <w:tc>
          <w:tcPr>
            <w:tcW w:w="276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rPr>
              <w:t>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6"/>
          <w:szCs w:val="16"/>
          <w:color w:val="auto"/>
        </w:rPr>
        <w:t>Certification by the Chief Executive Officer Pursuant to Section 302 of the Sarbanes-Oxley Act of 2002.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6"/>
          <w:szCs w:val="16"/>
          <w:color w:val="auto"/>
        </w:rPr>
        <w:t>Certification by the Chief Financial Officer Pursuant to Section 302 of the Sarbanes-Oxley Act of 2002.</w:t>
      </w:r>
    </w:p>
    <w:p>
      <w:pPr>
        <w:spacing w:after="0" w:line="225" w:lineRule="exact"/>
        <w:rPr>
          <w:sz w:val="20"/>
          <w:szCs w:val="20"/>
          <w:color w:val="auto"/>
        </w:rPr>
      </w:pPr>
    </w:p>
    <w:p>
      <w:pPr>
        <w:ind w:left="1300" w:right="1100" w:hanging="634"/>
        <w:spacing w:after="0" w:line="277" w:lineRule="auto"/>
        <w:tabs>
          <w:tab w:leader="none" w:pos="1280" w:val="left"/>
        </w:tabs>
        <w:rPr>
          <w:sz w:val="20"/>
          <w:szCs w:val="20"/>
          <w:color w:val="auto"/>
        </w:rPr>
      </w:pPr>
      <w:r>
        <w:rPr>
          <w:rFonts w:ascii="Arial" w:cs="Arial" w:eastAsia="Arial" w:hAnsi="Arial"/>
          <w:sz w:val="18"/>
          <w:szCs w:val="18"/>
          <w:color w:val="auto"/>
        </w:rPr>
        <w:t>32.1 -</w:t>
        <w:tab/>
        <w:t>Certification by the Chief Executive Officer Pursuant to 18 U.S.C. Section 1350 Adopted Pursuant to Section 906 of the Sarbanes-Oxley Act of 2002.</w:t>
      </w:r>
    </w:p>
    <w:p>
      <w:pPr>
        <w:spacing w:after="0" w:line="170" w:lineRule="exact"/>
        <w:rPr>
          <w:sz w:val="20"/>
          <w:szCs w:val="20"/>
          <w:color w:val="auto"/>
        </w:rPr>
      </w:pPr>
    </w:p>
    <w:p>
      <w:pPr>
        <w:ind w:left="1300" w:right="1080" w:hanging="634"/>
        <w:spacing w:after="0" w:line="277" w:lineRule="auto"/>
        <w:tabs>
          <w:tab w:leader="none" w:pos="1280" w:val="left"/>
        </w:tabs>
        <w:rPr>
          <w:sz w:val="20"/>
          <w:szCs w:val="20"/>
          <w:color w:val="auto"/>
        </w:rPr>
      </w:pPr>
      <w:r>
        <w:rPr>
          <w:rFonts w:ascii="Arial" w:cs="Arial" w:eastAsia="Arial" w:hAnsi="Arial"/>
          <w:sz w:val="18"/>
          <w:szCs w:val="18"/>
          <w:color w:val="auto"/>
        </w:rPr>
        <w:t>32.2 -</w:t>
        <w:tab/>
        <w:t>Certification by the Chief Financial Officer Pursuant to 18 U.S.C. Section 1350 Adopted Pursuant to Section 906 of the Sarbanes-Oxley Act of 2002.</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center"/>
        <w:ind w:right="-15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December 15,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and Treasurer</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320" w:val="left"/>
          <w:tab w:leader="none" w:pos="6920" w:val="left"/>
        </w:tabs>
        <w:rPr>
          <w:sz w:val="20"/>
          <w:szCs w:val="20"/>
          <w:color w:val="auto"/>
        </w:rPr>
      </w:pPr>
      <w:r>
        <w:rPr>
          <w:rFonts w:ascii="Arial" w:cs="Arial" w:eastAsia="Arial" w:hAnsi="Arial"/>
          <w:sz w:val="18"/>
          <w:szCs w:val="18"/>
          <w:color w:val="auto"/>
        </w:rPr>
        <w:t>/s/</w:t>
        <w:tab/>
        <w:t>Martin Bloch</w:t>
      </w:r>
      <w:r>
        <w:rPr>
          <w:sz w:val="20"/>
          <w:szCs w:val="20"/>
          <w:color w:val="auto"/>
        </w:rPr>
        <w:tab/>
      </w:r>
      <w:r>
        <w:rPr>
          <w:rFonts w:ascii="Arial" w:cs="Arial" w:eastAsia="Arial" w:hAnsi="Arial"/>
          <w:sz w:val="16"/>
          <w:szCs w:val="16"/>
          <w:color w:val="auto"/>
        </w:rPr>
        <w:t>December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52"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08" w:lineRule="auto"/>
        <w:tabs>
          <w:tab w:leader="none" w:pos="1027"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hanging="4"/>
        <w:spacing w:after="0" w:line="277" w:lineRule="auto"/>
        <w:tabs>
          <w:tab w:leader="none" w:pos="95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96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320" w:val="left"/>
          <w:tab w:leader="none" w:pos="6920" w:val="left"/>
        </w:tabs>
        <w:rPr>
          <w:sz w:val="20"/>
          <w:szCs w:val="20"/>
          <w:color w:val="auto"/>
        </w:rPr>
      </w:pPr>
      <w:r>
        <w:rPr>
          <w:rFonts w:ascii="Arial" w:cs="Arial" w:eastAsia="Arial" w:hAnsi="Arial"/>
          <w:sz w:val="18"/>
          <w:szCs w:val="18"/>
          <w:color w:val="auto"/>
        </w:rPr>
        <w:t>/s/</w:t>
        <w:tab/>
        <w:t>Alan Miller</w:t>
      </w:r>
      <w:r>
        <w:rPr>
          <w:sz w:val="20"/>
          <w:szCs w:val="20"/>
          <w:color w:val="auto"/>
        </w:rPr>
        <w:tab/>
      </w:r>
      <w:r>
        <w:rPr>
          <w:rFonts w:ascii="Arial" w:cs="Arial" w:eastAsia="Arial" w:hAnsi="Arial"/>
          <w:sz w:val="16"/>
          <w:szCs w:val="16"/>
          <w:color w:val="auto"/>
        </w:rPr>
        <w:t>December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October 31, 2008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1160" w:hanging="490"/>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320" w:val="left"/>
          <w:tab w:leader="none" w:pos="6920" w:val="left"/>
        </w:tabs>
        <w:rPr>
          <w:sz w:val="20"/>
          <w:szCs w:val="20"/>
          <w:color w:val="auto"/>
        </w:rPr>
      </w:pPr>
      <w:r>
        <w:rPr>
          <w:rFonts w:ascii="Arial" w:cs="Arial" w:eastAsia="Arial" w:hAnsi="Arial"/>
          <w:sz w:val="18"/>
          <w:szCs w:val="18"/>
          <w:color w:val="auto"/>
        </w:rPr>
        <w:t>/s/</w:t>
        <w:tab/>
        <w:t>Martin Bloch</w:t>
      </w:r>
      <w:r>
        <w:rPr>
          <w:sz w:val="20"/>
          <w:szCs w:val="20"/>
          <w:color w:val="auto"/>
        </w:rPr>
        <w:tab/>
      </w:r>
      <w:r>
        <w:rPr>
          <w:rFonts w:ascii="Arial" w:cs="Arial" w:eastAsia="Arial" w:hAnsi="Arial"/>
          <w:sz w:val="16"/>
          <w:szCs w:val="16"/>
          <w:color w:val="auto"/>
        </w:rPr>
        <w:t>December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October 31, 2008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08"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320" w:val="left"/>
          <w:tab w:leader="none" w:pos="6920" w:val="left"/>
        </w:tabs>
        <w:rPr>
          <w:sz w:val="20"/>
          <w:szCs w:val="20"/>
          <w:color w:val="auto"/>
        </w:rPr>
      </w:pPr>
      <w:r>
        <w:rPr>
          <w:rFonts w:ascii="Arial" w:cs="Arial" w:eastAsia="Arial" w:hAnsi="Arial"/>
          <w:sz w:val="18"/>
          <w:szCs w:val="18"/>
          <w:color w:val="auto"/>
        </w:rPr>
        <w:t>/s/</w:t>
        <w:tab/>
        <w:t>Alan Miller</w:t>
      </w:r>
      <w:r>
        <w:rPr>
          <w:sz w:val="20"/>
          <w:szCs w:val="20"/>
          <w:color w:val="auto"/>
        </w:rPr>
        <w:tab/>
      </w:r>
      <w:r>
        <w:rPr>
          <w:rFonts w:ascii="Arial" w:cs="Arial" w:eastAsia="Arial" w:hAnsi="Arial"/>
          <w:sz w:val="16"/>
          <w:szCs w:val="16"/>
          <w:color w:val="auto"/>
        </w:rPr>
        <w:t>December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decimal"/>
      <w:start w:val="1"/>
    </w:lvl>
  </w:abstractNum>
  <w:abstractNum w:abstractNumId="8">
    <w:nsid w:val="12200854"/>
    <w:multiLevelType w:val="hybridMultilevel"/>
    <w:lvl w:ilvl="0">
      <w:lvlJc w:val="left"/>
      <w:lvlText w:val="(%1)"/>
      <w:numFmt w:val="decimal"/>
      <w:start w:val="2"/>
    </w:lvl>
    <w:lvl w:ilvl="1">
      <w:lvlJc w:val="left"/>
      <w:lvlText w:val="%2"/>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2019-12-11T12:16:22Z</dcterms:created>
  <dcterms:modified xsi:type="dcterms:W3CDTF">2019-12-11T12:16:22Z</dcterms:modified>
</cp:coreProperties>
</file>