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170815</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182880</wp:posOffset>
            </wp:positionV>
            <wp:extent cx="8877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192405</wp:posOffset>
            </wp:positionV>
            <wp:extent cx="8877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4080" w:right="2100" w:hanging="3586"/>
        <w:spacing w:after="0" w:line="530" w:lineRule="auto"/>
        <w:tabs>
          <w:tab w:leader="none" w:pos="69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July 31, 2016</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600" w:right="2080" w:hanging="3106"/>
        <w:spacing w:after="0" w:line="527" w:lineRule="auto"/>
        <w:tabs>
          <w:tab w:leader="none" w:pos="69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040" w:type="dxa"/>
            <w:vAlign w:val="bottom"/>
            <w:vMerge w:val="restart"/>
          </w:tcPr>
          <w:p>
            <w:pPr>
              <w:ind w:left="1360"/>
              <w:spacing w:after="0"/>
              <w:rPr>
                <w:sz w:val="20"/>
                <w:szCs w:val="20"/>
                <w:color w:val="auto"/>
              </w:rPr>
            </w:pPr>
            <w:r>
              <w:rPr>
                <w:rFonts w:ascii="Arial" w:cs="Arial" w:eastAsia="Arial" w:hAnsi="Arial"/>
                <w:sz w:val="18"/>
                <w:szCs w:val="18"/>
                <w:color w:val="auto"/>
                <w:w w:val="95"/>
              </w:rPr>
              <w:t>(State or</w:t>
            </w: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3760" w:type="dxa"/>
            <w:vAlign w:val="bottom"/>
            <w:gridSpan w:val="3"/>
          </w:tcPr>
          <w:p>
            <w:pPr>
              <w:spacing w:after="0" w:line="195" w:lineRule="exact"/>
              <w:rPr>
                <w:sz w:val="20"/>
                <w:szCs w:val="20"/>
                <w:color w:val="auto"/>
              </w:rPr>
            </w:pPr>
            <w:r>
              <w:rPr>
                <w:rFonts w:ascii="Arial" w:cs="Arial" w:eastAsia="Arial" w:hAnsi="Arial"/>
                <w:sz w:val="18"/>
                <w:szCs w:val="18"/>
                <w:color w:val="auto"/>
              </w:rPr>
              <w:t>other jurisdiction of</w:t>
            </w:r>
          </w:p>
        </w:tc>
        <w:tc>
          <w:tcPr>
            <w:tcW w:w="3620" w:type="dxa"/>
            <w:vAlign w:val="bottom"/>
            <w:gridSpan w:val="5"/>
          </w:tcPr>
          <w:p>
            <w:pPr>
              <w:jc w:val="center"/>
              <w:ind w:left="910"/>
              <w:spacing w:after="0" w:line="195"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 w:type="dxa"/>
            <w:vAlign w:val="bottom"/>
          </w:tcPr>
          <w:p>
            <w:pPr>
              <w:spacing w:after="0"/>
              <w:rPr>
                <w:sz w:val="19"/>
                <w:szCs w:val="19"/>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04"/>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94" w:right="239" w:bottom="1440" w:gutter="0" w:footer="0" w:header="0"/>
        </w:sectPr>
      </w:pPr>
    </w:p>
    <w:p>
      <w:pPr>
        <w:spacing w:after="0" w:line="101"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24" w:lineRule="exact"/>
        <w:rPr>
          <w:sz w:val="24"/>
          <w:szCs w:val="24"/>
          <w:color w:val="auto"/>
        </w:rPr>
      </w:pPr>
    </w:p>
    <w:p>
      <w:pPr>
        <w:sectPr>
          <w:pgSz w:w="11900" w:h="16838" w:orient="portrait"/>
          <w:cols w:equalWidth="0" w:num="4">
            <w:col w:w="2540" w:space="720"/>
            <w:col w:w="1400" w:space="720"/>
            <w:col w:w="3300" w:space="300"/>
            <w:col w:w="2440"/>
          </w:cols>
          <w:pgMar w:left="240" w:top="59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5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3">
            <w:col w:w="8180" w:space="140"/>
            <w:col w:w="460" w:space="140"/>
            <w:col w:w="2500"/>
          </w:cols>
          <w:pgMar w:left="240" w:top="594"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September 9, 2016 – 8,729,682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gridSpan w:val="7"/>
          </w:tcPr>
          <w:p>
            <w:pPr>
              <w:jc w:val="center"/>
              <w:ind w:right="272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0" w:type="dxa"/>
            <w:vAlign w:val="bottom"/>
          </w:tcPr>
          <w:p>
            <w:pPr>
              <w:spacing w:after="0"/>
              <w:rPr>
                <w:sz w:val="20"/>
                <w:szCs w:val="20"/>
                <w:color w:val="auto"/>
              </w:rPr>
            </w:pPr>
          </w:p>
        </w:tc>
      </w:tr>
      <w:tr>
        <w:trPr>
          <w:trHeight w:val="40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40" w:type="dxa"/>
            <w:vAlign w:val="bottom"/>
            <w:gridSpan w:val="7"/>
          </w:tcPr>
          <w:p>
            <w:pPr>
              <w:jc w:val="center"/>
              <w:ind w:right="2720"/>
              <w:spacing w:after="0"/>
              <w:rPr>
                <w:sz w:val="20"/>
                <w:szCs w:val="20"/>
                <w:color w:val="auto"/>
              </w:rPr>
            </w:pPr>
            <w:r>
              <w:rPr>
                <w:rFonts w:ascii="Arial" w:cs="Arial" w:eastAsia="Arial" w:hAnsi="Arial"/>
                <w:sz w:val="18"/>
                <w:szCs w:val="18"/>
                <w:b w:val="1"/>
                <w:bCs w:val="1"/>
                <w:color w:val="auto"/>
                <w:w w:val="99"/>
              </w:rPr>
              <w:t>TABLE OF CONTENTS</w:t>
            </w:r>
          </w:p>
        </w:tc>
        <w:tc>
          <w:tcPr>
            <w:tcW w:w="800" w:type="dxa"/>
            <w:vAlign w:val="bottom"/>
          </w:tcPr>
          <w:p>
            <w:pPr>
              <w:spacing w:after="0"/>
              <w:rPr>
                <w:sz w:val="24"/>
                <w:szCs w:val="24"/>
                <w:color w:val="auto"/>
              </w:rPr>
            </w:pPr>
          </w:p>
        </w:tc>
      </w:tr>
      <w:tr>
        <w:trPr>
          <w:trHeight w:val="412"/>
        </w:trPr>
        <w:tc>
          <w:tcPr>
            <w:tcW w:w="10620" w:type="dxa"/>
            <w:vAlign w:val="bottom"/>
            <w:gridSpan w:val="15"/>
          </w:tcPr>
          <w:p>
            <w:pPr>
              <w:spacing w:after="0"/>
              <w:rPr>
                <w:sz w:val="20"/>
                <w:szCs w:val="20"/>
                <w:color w:val="auto"/>
              </w:rPr>
            </w:pPr>
            <w:r>
              <w:rPr>
                <w:rFonts w:ascii="Arial" w:cs="Arial" w:eastAsia="Arial" w:hAnsi="Arial"/>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3"/>
              </w:rPr>
              <w:t>Page No.</w:t>
            </w:r>
          </w:p>
        </w:tc>
      </w:tr>
      <w:tr>
        <w:trPr>
          <w:trHeight w:val="378"/>
        </w:trPr>
        <w:tc>
          <w:tcPr>
            <w:tcW w:w="500" w:type="dxa"/>
            <w:vAlign w:val="bottom"/>
          </w:tcPr>
          <w:p>
            <w:pPr>
              <w:spacing w:after="0"/>
              <w:rPr>
                <w:sz w:val="24"/>
                <w:szCs w:val="24"/>
                <w:color w:val="auto"/>
              </w:rPr>
            </w:pPr>
          </w:p>
        </w:tc>
        <w:tc>
          <w:tcPr>
            <w:tcW w:w="101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8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July 31, 2016 (unaudited) and April 30, 2016</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3"/>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Income and Comprehensive Income (unaudited) Three Months Ended July 31, 2016 and</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2015</w:t>
              </w:r>
            </w:hyperlink>
          </w:p>
        </w:tc>
        <w:tc>
          <w:tcPr>
            <w:tcW w:w="2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Three Months Ended July 31, 2016 and 2015</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399"/>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80" w:type="dxa"/>
            <w:vAlign w:val="bottom"/>
            <w:tcBorders>
              <w:top w:val="single" w:sz="8" w:color="0000EE"/>
            </w:tcBorders>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76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6-11</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480" w:type="dxa"/>
            <w:vAlign w:val="bottom"/>
            <w:tcBorders>
              <w:bottom w:val="single" w:sz="8" w:color="0000EE"/>
            </w:tcBorders>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2</w:t>
              </w:r>
            </w:hyperlink>
          </w:p>
        </w:tc>
        <w:tc>
          <w:tcPr>
            <w:tcW w:w="6580" w:type="dxa"/>
            <w:vAlign w:val="bottom"/>
            <w:tcBorders>
              <w:bottom w:val="single" w:sz="8" w:color="0000EE"/>
            </w:tcBorders>
            <w:gridSpan w:val="10"/>
          </w:tcPr>
          <w:p>
            <w:pPr>
              <w:ind w:left="20"/>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 Management's Discussion and Analysis of Financial Condition and Results of Operations</w:t>
              </w:r>
            </w:hyperlink>
          </w:p>
        </w:tc>
        <w:tc>
          <w:tcPr>
            <w:tcW w:w="30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12-17</w:t>
            </w:r>
          </w:p>
        </w:tc>
      </w:tr>
      <w:tr>
        <w:trPr>
          <w:trHeight w:val="399"/>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3</w:t>
              </w:r>
            </w:hyperlink>
          </w:p>
        </w:tc>
        <w:tc>
          <w:tcPr>
            <w:tcW w:w="9640" w:type="dxa"/>
            <w:vAlign w:val="bottom"/>
            <w:gridSpan w:val="13"/>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 Quantitative and Qualitative Disclosures About Market Risk</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399"/>
        </w:trPr>
        <w:tc>
          <w:tcPr>
            <w:tcW w:w="50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4</w:t>
              </w:r>
            </w:hyperlink>
          </w:p>
        </w:tc>
        <w:tc>
          <w:tcPr>
            <w:tcW w:w="190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 Controls and Procedures</w:t>
              </w:r>
            </w:hyperlink>
          </w:p>
        </w:tc>
        <w:tc>
          <w:tcPr>
            <w:tcW w:w="2580" w:type="dxa"/>
            <w:vAlign w:val="bottom"/>
            <w:tcBorders>
              <w:top w:val="single" w:sz="8" w:color="0000EE"/>
            </w:tcBorders>
          </w:tcPr>
          <w:p>
            <w:pPr>
              <w:spacing w:after="0"/>
              <w:rPr>
                <w:sz w:val="24"/>
                <w:szCs w:val="24"/>
                <w:color w:val="auto"/>
              </w:rPr>
            </w:pPr>
          </w:p>
        </w:tc>
        <w:tc>
          <w:tcPr>
            <w:tcW w:w="516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439"/>
        </w:trPr>
        <w:tc>
          <w:tcPr>
            <w:tcW w:w="1062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6</w:t>
              </w:r>
            </w:hyperlink>
          </w:p>
        </w:tc>
        <w:tc>
          <w:tcPr>
            <w:tcW w:w="9640" w:type="dxa"/>
            <w:vAlign w:val="bottom"/>
            <w:gridSpan w:val="13"/>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 Exhibits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399"/>
        </w:trPr>
        <w:tc>
          <w:tcPr>
            <w:tcW w:w="500" w:type="dxa"/>
            <w:vAlign w:val="bottom"/>
          </w:tcPr>
          <w:p>
            <w:pPr>
              <w:spacing w:after="0"/>
              <w:rPr>
                <w:sz w:val="24"/>
                <w:szCs w:val="24"/>
                <w:color w:val="auto"/>
              </w:rPr>
            </w:pPr>
          </w:p>
        </w:tc>
        <w:tc>
          <w:tcPr>
            <w:tcW w:w="120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8920" w:type="dxa"/>
            <w:vAlign w:val="bottom"/>
            <w:gridSpan w:val="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797"/>
        </w:trPr>
        <w:tc>
          <w:tcPr>
            <w:tcW w:w="5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19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Balance Sheets</w:t>
      </w:r>
    </w:p>
    <w:p>
      <w:pPr>
        <w:spacing w:after="0" w:line="208" w:lineRule="exact"/>
        <w:rPr>
          <w:sz w:val="20"/>
          <w:szCs w:val="20"/>
          <w:color w:val="auto"/>
        </w:rPr>
      </w:pPr>
    </w:p>
    <w:tbl>
      <w:tblPr>
        <w:tblLayout w:type="fixed"/>
        <w:tblInd w:w="8360" w:type="dxa"/>
        <w:tblCellMar>
          <w:top w:w="0" w:type="dxa"/>
          <w:left w:w="0" w:type="dxa"/>
          <w:bottom w:w="0" w:type="dxa"/>
          <w:right w:w="0" w:type="dxa"/>
        </w:tblCellMar>
      </w:tblP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July 31,</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April 30,</w:t>
            </w:r>
          </w:p>
        </w:tc>
      </w:tr>
      <w:tr>
        <w:trPr>
          <w:trHeight w:val="228"/>
        </w:trPr>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bl>
    <w:p>
      <w:pPr>
        <w:ind w:left="846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(In thousands except par value)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 of allowance for doubtful accounts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of $189 at July 31, 2016 and at April 30, 2016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Costs and estimated earnings in excess of billings, net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12,044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42,582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Deferred and prepaid income taxes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836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13,430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12,478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120,511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360" w:type="dxa"/>
            <w:vAlign w:val="bottom"/>
            <w:vMerge w:val="restart"/>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Long term debt- noncurrent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Deferred compensation</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12,005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27,860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line="202" w:lineRule="exact"/>
              <w:rPr>
                <w:sz w:val="20"/>
                <w:szCs w:val="20"/>
                <w:color w:val="auto"/>
              </w:rPr>
            </w:pPr>
            <w:r>
              <w:rPr>
                <w:rFonts w:ascii="Arial" w:cs="Arial" w:eastAsia="Arial" w:hAnsi="Arial"/>
                <w:sz w:val="18"/>
                <w:szCs w:val="18"/>
                <w:color w:val="auto"/>
              </w:rPr>
              <w:t>Preferred stock - $1.00 par value authorized 600 shares, no shares issued</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180"/>
              <w:spacing w:after="0" w:line="202" w:lineRule="exact"/>
              <w:rPr>
                <w:sz w:val="20"/>
                <w:szCs w:val="20"/>
                <w:color w:val="auto"/>
              </w:rPr>
            </w:pPr>
            <w:r>
              <w:rPr>
                <w:rFonts w:ascii="Arial" w:cs="Arial" w:eastAsia="Arial" w:hAnsi="Arial"/>
                <w:sz w:val="18"/>
                <w:szCs w:val="18"/>
                <w:color w:val="auto"/>
              </w:rPr>
              <w:t>Common stock - $1.00 par value; authorized 20,000 shares, 9,164 shares issued and</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8,768 outstanding at July 31, 2016; 8,753 outstanding at April 30, 2016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27,827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60" w:type="dxa"/>
            <w:vAlign w:val="bottom"/>
            <w:vMerge w:val="restart"/>
          </w:tcPr>
          <w:p>
            <w:pPr>
              <w:ind w:left="180"/>
              <w:spacing w:after="0"/>
              <w:rPr>
                <w:sz w:val="20"/>
                <w:szCs w:val="20"/>
                <w:color w:val="auto"/>
              </w:rPr>
            </w:pPr>
            <w:r>
              <w:rPr>
                <w:rFonts w:ascii="Arial" w:cs="Arial" w:eastAsia="Arial" w:hAnsi="Arial"/>
                <w:sz w:val="18"/>
                <w:szCs w:val="18"/>
                <w:color w:val="auto"/>
              </w:rPr>
              <w:t>Common stock reacquired and held in treasury -</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3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at cost (396 shares at July 31, 2016 and 411 shares at April 30, 2016)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(1,816)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120,511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-5427980</wp:posOffset>
            </wp:positionV>
            <wp:extent cx="724662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-5024755</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-4733290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-4432935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-4150360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-2658110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-1757680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-1474470</wp:posOffset>
            </wp:positionV>
            <wp:extent cx="72466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2466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68"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8"/>
          <w:szCs w:val="18"/>
          <w:color w:val="auto"/>
        </w:rPr>
        <w:t>6,082</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11,111</w:t>
      </w:r>
    </w:p>
    <w:p>
      <w:pPr>
        <w:spacing w:after="0" w:line="18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12,377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41,278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3,213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1,250</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84,311</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13,072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7,702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617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12,819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14605</wp:posOffset>
            </wp:positionV>
            <wp:extent cx="85788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88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120,214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2,650</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14605</wp:posOffset>
            </wp:positionV>
            <wp:extent cx="8578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885" cy="17145"/>
                    </a:xfrm>
                    <a:prstGeom prst="rect">
                      <a:avLst/>
                    </a:prstGeom>
                    <a:noFill/>
                  </pic:spPr>
                </pic:pic>
              </a:graphicData>
            </a:graphic>
          </wp:anchor>
        </w:drawing>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8,758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11,773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14605</wp:posOffset>
            </wp:positionV>
            <wp:extent cx="8578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885" cy="17145"/>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26,862</w:t>
      </w:r>
    </w:p>
    <w:p>
      <w:pPr>
        <w:spacing w:after="0" w:line="200" w:lineRule="exact"/>
        <w:rPr>
          <w:sz w:val="20"/>
          <w:szCs w:val="20"/>
          <w:color w:val="auto"/>
        </w:rPr>
      </w:pPr>
    </w:p>
    <w:p>
      <w:pPr>
        <w:spacing w:after="0" w:line="2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9,164</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55,576</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28,533</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93,273</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(1,885)</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14605</wp:posOffset>
            </wp:positionV>
            <wp:extent cx="85788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885" cy="17145"/>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93,352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120,214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17145</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43180</wp:posOffset>
            </wp:positionV>
            <wp:extent cx="857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10060" w:space="660"/>
            <w:col w:w="660"/>
          </w:cols>
          <w:pgMar w:left="240" w:top="111" w:right="279" w:bottom="1440" w:gutter="0" w:footer="0" w:header="0"/>
          <w:type w:val="continuous"/>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Condensed Consolidated Statements of Income and Comprehensive (Loss) Income</w:t>
      </w:r>
    </w:p>
    <w:p>
      <w:pPr>
        <w:spacing w:after="0" w:line="19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Three Months Ended July 31,</w:t>
      </w:r>
    </w:p>
    <w:p>
      <w:pPr>
        <w:spacing w:after="0" w:line="1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1500" w:type="dxa"/>
            <w:vAlign w:val="bottom"/>
          </w:tcPr>
          <w:p>
            <w:pPr>
              <w:spacing w:after="0"/>
              <w:rPr>
                <w:sz w:val="20"/>
                <w:szCs w:val="20"/>
                <w:color w:val="auto"/>
              </w:rPr>
            </w:pPr>
          </w:p>
        </w:tc>
        <w:tc>
          <w:tcPr>
            <w:tcW w:w="30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c>
          <w:tcPr>
            <w:tcW w:w="0" w:type="dxa"/>
            <w:vAlign w:val="bottom"/>
          </w:tcPr>
          <w:p>
            <w:pPr>
              <w:spacing w:after="0"/>
              <w:rPr>
                <w:sz w:val="1"/>
                <w:szCs w:val="1"/>
                <w:color w:val="auto"/>
              </w:rPr>
            </w:pPr>
          </w:p>
        </w:tc>
      </w:tr>
      <w:tr>
        <w:trPr>
          <w:trHeight w:val="182"/>
        </w:trPr>
        <w:tc>
          <w:tcPr>
            <w:tcW w:w="6860" w:type="dxa"/>
            <w:vAlign w:val="bottom"/>
            <w:gridSpan w:val="4"/>
            <w:vMerge w:val="continue"/>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240" w:type="dxa"/>
            <w:vAlign w:val="bottom"/>
            <w:gridSpan w:val="2"/>
            <w:shd w:val="clear" w:color="auto" w:fill="CCEEFF"/>
          </w:tcPr>
          <w:p>
            <w:pPr>
              <w:spacing w:after="0"/>
              <w:rPr>
                <w:sz w:val="18"/>
                <w:szCs w:val="18"/>
                <w:color w:val="auto"/>
              </w:rPr>
            </w:pPr>
          </w:p>
        </w:tc>
        <w:tc>
          <w:tcPr>
            <w:tcW w:w="2380" w:type="dxa"/>
            <w:vAlign w:val="bottom"/>
            <w:gridSpan w:val="2"/>
            <w:shd w:val="clear" w:color="auto" w:fill="CCEEFF"/>
          </w:tcPr>
          <w:p>
            <w:pPr>
              <w:jc w:val="right"/>
              <w:ind w:right="715"/>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12,708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8,594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1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ind w:left="320"/>
              <w:spacing w:after="0"/>
              <w:rPr>
                <w:sz w:val="20"/>
                <w:szCs w:val="20"/>
                <w:color w:val="auto"/>
              </w:rPr>
            </w:pPr>
            <w:r>
              <w:rPr>
                <w:rFonts w:ascii="Arial" w:cs="Arial" w:eastAsia="Arial" w:hAnsi="Arial"/>
                <w:sz w:val="18"/>
                <w:szCs w:val="18"/>
                <w:color w:val="auto"/>
              </w:rPr>
              <w:t>Operating (loss) profit</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(Loss) income before provision for income taxes</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(746)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ind w:left="320"/>
              <w:spacing w:after="0"/>
              <w:rPr>
                <w:sz w:val="20"/>
                <w:szCs w:val="20"/>
                <w:color w:val="auto"/>
              </w:rPr>
            </w:pPr>
            <w:r>
              <w:rPr>
                <w:rFonts w:ascii="Arial" w:cs="Arial" w:eastAsia="Arial" w:hAnsi="Arial"/>
                <w:sz w:val="18"/>
                <w:szCs w:val="18"/>
                <w:color w:val="auto"/>
              </w:rPr>
              <w:t>Net (loss) income</w:t>
            </w:r>
          </w:p>
        </w:tc>
        <w:tc>
          <w:tcPr>
            <w:tcW w:w="23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
        </w:trPr>
        <w:tc>
          <w:tcPr>
            <w:tcW w:w="36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Net (loss) income per common share</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380" w:type="dxa"/>
            <w:vAlign w:val="bottom"/>
            <w:gridSpan w:val="2"/>
            <w:shd w:val="clear" w:color="auto" w:fill="CCEEFF"/>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3"/>
          </w:tcPr>
          <w:p>
            <w:pPr>
              <w:ind w:left="320"/>
              <w:spacing w:after="0"/>
              <w:rPr>
                <w:sz w:val="20"/>
                <w:szCs w:val="20"/>
                <w:color w:val="auto"/>
              </w:rPr>
            </w:pPr>
            <w:r>
              <w:rPr>
                <w:rFonts w:ascii="Arial" w:cs="Arial" w:eastAsia="Arial" w:hAnsi="Arial"/>
                <w:sz w:val="18"/>
                <w:szCs w:val="18"/>
                <w:color w:val="auto"/>
              </w:rPr>
              <w:t>Diluted</w:t>
            </w:r>
          </w:p>
        </w:tc>
        <w:tc>
          <w:tcPr>
            <w:tcW w:w="23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
        </w:trPr>
        <w:tc>
          <w:tcPr>
            <w:tcW w:w="36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3"/>
          </w:tcPr>
          <w:p>
            <w:pPr>
              <w:ind w:left="32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1"/>
        </w:trPr>
        <w:tc>
          <w:tcPr>
            <w:tcW w:w="36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Condensed Consolidated Statements of Comprehensive (Loss) Income</w:t>
            </w:r>
          </w:p>
        </w:tc>
        <w:tc>
          <w:tcPr>
            <w:tcW w:w="14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ind w:left="160"/>
              <w:spacing w:after="0"/>
              <w:rPr>
                <w:sz w:val="20"/>
                <w:szCs w:val="20"/>
                <w:color w:val="auto"/>
              </w:rPr>
            </w:pPr>
            <w:r>
              <w:rPr>
                <w:rFonts w:ascii="Arial" w:cs="Arial" w:eastAsia="Arial" w:hAnsi="Arial"/>
                <w:sz w:val="18"/>
                <w:szCs w:val="18"/>
                <w:color w:val="auto"/>
              </w:rPr>
              <w:t>Net (loss) income</w:t>
            </w:r>
          </w:p>
        </w:tc>
        <w:tc>
          <w:tcPr>
            <w:tcW w:w="23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Unrealized gain (loss) on marketable securities:</w:t>
            </w:r>
          </w:p>
        </w:tc>
        <w:tc>
          <w:tcPr>
            <w:tcW w:w="1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40" w:type="dxa"/>
            <w:vAlign w:val="bottom"/>
            <w:gridSpan w:val="3"/>
          </w:tcPr>
          <w:p>
            <w:pPr>
              <w:ind w:left="480"/>
              <w:spacing w:after="0" w:line="189" w:lineRule="exact"/>
              <w:rPr>
                <w:sz w:val="20"/>
                <w:szCs w:val="20"/>
                <w:color w:val="auto"/>
              </w:rPr>
            </w:pPr>
            <w:r>
              <w:rPr>
                <w:rFonts w:ascii="Arial" w:cs="Arial" w:eastAsia="Arial" w:hAnsi="Arial"/>
                <w:sz w:val="18"/>
                <w:szCs w:val="18"/>
                <w:color w:val="auto"/>
              </w:rPr>
              <w:t>Change in market value of marketable securities before</w:t>
            </w:r>
          </w:p>
        </w:tc>
        <w:tc>
          <w:tcPr>
            <w:tcW w:w="1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3"/>
          </w:tcPr>
          <w:p>
            <w:pPr>
              <w:ind w:left="680"/>
              <w:spacing w:after="0"/>
              <w:rPr>
                <w:sz w:val="20"/>
                <w:szCs w:val="20"/>
                <w:color w:val="auto"/>
              </w:rPr>
            </w:pPr>
            <w:r>
              <w:rPr>
                <w:rFonts w:ascii="Arial" w:cs="Arial" w:eastAsia="Arial" w:hAnsi="Arial"/>
                <w:sz w:val="18"/>
                <w:szCs w:val="18"/>
                <w:color w:val="auto"/>
              </w:rPr>
              <w:t>reclassification, net of tax of ($161) and $94</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40" w:type="dxa"/>
            <w:vAlign w:val="bottom"/>
            <w:gridSpan w:val="3"/>
            <w:shd w:val="clear" w:color="auto" w:fill="CCEEFF"/>
          </w:tcPr>
          <w:p>
            <w:pPr>
              <w:ind w:left="480"/>
              <w:spacing w:after="0" w:line="189" w:lineRule="exact"/>
              <w:rPr>
                <w:sz w:val="20"/>
                <w:szCs w:val="20"/>
                <w:color w:val="auto"/>
              </w:rPr>
            </w:pPr>
            <w:r>
              <w:rPr>
                <w:rFonts w:ascii="Arial" w:cs="Arial" w:eastAsia="Arial" w:hAnsi="Arial"/>
                <w:sz w:val="18"/>
                <w:szCs w:val="18"/>
                <w:color w:val="auto"/>
              </w:rPr>
              <w:t>Reclassification adjustment for realized gains included in</w:t>
            </w:r>
          </w:p>
        </w:tc>
        <w:tc>
          <w:tcPr>
            <w:tcW w:w="1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net income, net of tax of $95 in 2015</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ind w:left="480"/>
              <w:spacing w:after="0"/>
              <w:rPr>
                <w:sz w:val="20"/>
                <w:szCs w:val="20"/>
                <w:color w:val="auto"/>
              </w:rPr>
            </w:pPr>
            <w:r>
              <w:rPr>
                <w:rFonts w:ascii="Arial" w:cs="Arial" w:eastAsia="Arial" w:hAnsi="Arial"/>
                <w:sz w:val="18"/>
                <w:szCs w:val="18"/>
                <w:color w:val="auto"/>
              </w:rPr>
              <w:t>Total unrealized gain (loss) on marketable securities, net of tax</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ind w:left="640"/>
              <w:spacing w:after="0"/>
              <w:rPr>
                <w:sz w:val="20"/>
                <w:szCs w:val="20"/>
                <w:color w:val="auto"/>
              </w:rPr>
            </w:pPr>
            <w:r>
              <w:rPr>
                <w:rFonts w:ascii="Arial" w:cs="Arial" w:eastAsia="Arial" w:hAnsi="Arial"/>
                <w:sz w:val="18"/>
                <w:szCs w:val="18"/>
                <w:color w:val="auto"/>
              </w:rPr>
              <w:t>Total other comprehensive (loss) income</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Comprehensive (loss) income</w:t>
            </w:r>
          </w:p>
        </w:tc>
        <w:tc>
          <w:tcPr>
            <w:tcW w:w="1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(1,009)</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80" w:type="dxa"/>
            <w:vAlign w:val="bottom"/>
          </w:tcPr>
          <w:p>
            <w:pPr>
              <w:ind w:left="1820"/>
              <w:spacing w:after="0"/>
              <w:rPr>
                <w:sz w:val="20"/>
                <w:szCs w:val="20"/>
                <w:color w:val="auto"/>
              </w:rPr>
            </w:pPr>
            <w:r>
              <w:rPr>
                <w:rFonts w:ascii="Arial" w:cs="Arial" w:eastAsia="Arial" w:hAnsi="Arial"/>
                <w:sz w:val="18"/>
                <w:szCs w:val="18"/>
                <w:b w:val="1"/>
                <w:bCs w:val="1"/>
                <w:color w:val="auto"/>
              </w:rPr>
              <w:t>FREQUENCY ELECTRONICS, INC. and SUBSIDIARIES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jc w:val="center"/>
              <w:ind w:left="1050"/>
              <w:spacing w:after="0"/>
              <w:rPr>
                <w:sz w:val="20"/>
                <w:szCs w:val="20"/>
                <w:color w:val="auto"/>
              </w:rPr>
            </w:pPr>
            <w:r>
              <w:rPr>
                <w:rFonts w:ascii="Arial" w:cs="Arial" w:eastAsia="Arial" w:hAnsi="Arial"/>
                <w:sz w:val="18"/>
                <w:szCs w:val="18"/>
                <w:color w:val="auto"/>
                <w:w w:val="88"/>
              </w:rPr>
              <w:t>Condensed Consolidated Statements of Cash Flows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jc w:val="center"/>
              <w:ind w:left="1050"/>
              <w:spacing w:after="0"/>
              <w:rPr>
                <w:sz w:val="20"/>
                <w:szCs w:val="20"/>
                <w:color w:val="auto"/>
              </w:rPr>
            </w:pPr>
            <w:r>
              <w:rPr>
                <w:rFonts w:ascii="Arial" w:cs="Arial" w:eastAsia="Arial" w:hAnsi="Arial"/>
                <w:sz w:val="18"/>
                <w:szCs w:val="18"/>
                <w:color w:val="auto"/>
                <w:w w:val="90"/>
              </w:rPr>
              <w:t>Three Months Ended July 31,</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jc w:val="center"/>
              <w:ind w:left="1050"/>
              <w:spacing w:after="0"/>
              <w:rPr>
                <w:sz w:val="20"/>
                <w:szCs w:val="20"/>
                <w:color w:val="auto"/>
              </w:rPr>
            </w:pPr>
            <w:r>
              <w:rPr>
                <w:rFonts w:ascii="Arial" w:cs="Arial" w:eastAsia="Arial" w:hAnsi="Arial"/>
                <w:sz w:val="18"/>
                <w:szCs w:val="18"/>
                <w:color w:val="auto"/>
                <w:w w:val="91"/>
              </w:rPr>
              <w:t>(Unaudited)</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3"/>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20"/>
                <w:szCs w:val="20"/>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w w:val="73"/>
              </w:rPr>
              <w:t>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60" w:type="dxa"/>
            <w:vAlign w:val="bottom"/>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(loss) income</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Non-cash charges to earnings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changes in operating assets and liabilities</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(1,482)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(571)</w:t>
            </w: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Purchase of fixed assets and other assets</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(1,087)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(1,087)</w:t>
            </w:r>
          </w:p>
        </w:tc>
        <w:tc>
          <w:tcPr>
            <w:tcW w:w="4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Proceeds from credit line borrowings</w:t>
            </w: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Payment of credit line borrowings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Tax benefit from exercise of stock-based compensation</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 before effect of exchange rate changes</w:t>
            </w: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(1,657)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(2,066)</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4,016</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Cash paid during the period for:</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Income Taxes</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2016 and the results of its operations and cash flows for the three months ended July 31, 2016 and 2015. The April 30, 2016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2016, filed on July 29, 2016. The results of operations for such interim periods are not necessarily indicative of the operating results for the full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30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Three months ended July 31,</w:t>
            </w:r>
          </w:p>
        </w:tc>
      </w:tr>
      <w:tr>
        <w:trPr>
          <w:trHeight w:val="439"/>
        </w:trPr>
        <w:tc>
          <w:tcPr>
            <w:tcW w:w="548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8,762,355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8,706,185</w:t>
            </w:r>
          </w:p>
        </w:tc>
        <w:tc>
          <w:tcPr>
            <w:tcW w:w="120" w:type="dxa"/>
            <w:vAlign w:val="bottom"/>
            <w:shd w:val="clear" w:color="auto" w:fill="CCEEFF"/>
          </w:tcPr>
          <w:p>
            <w:pPr>
              <w:spacing w:after="0"/>
              <w:rPr>
                <w:sz w:val="18"/>
                <w:szCs w:val="18"/>
                <w:color w:val="auto"/>
              </w:rPr>
            </w:pPr>
          </w:p>
        </w:tc>
      </w:tr>
      <w:tr>
        <w:trPr>
          <w:trHeight w:val="223"/>
        </w:trPr>
        <w:tc>
          <w:tcPr>
            <w:tcW w:w="548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277,852</w:t>
            </w:r>
          </w:p>
        </w:tc>
      </w:tr>
      <w:tr>
        <w:trPr>
          <w:trHeight w:val="257"/>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8,762,355</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8,984,037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ind w:firstLine="656"/>
        <w:spacing w:after="0" w:line="262" w:lineRule="auto"/>
        <w:tabs>
          <w:tab w:leader="none" w:pos="884"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three-month period ended July 31, 2016, dilutive securities are excluded since the inclusion of such shares would be antidilutive due to the net loss for the period. The exercisable shares excluded are 1,200,625.</w:t>
      </w:r>
    </w:p>
    <w:p>
      <w:pPr>
        <w:spacing w:after="0" w:line="1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computation of diluted earnings per share in the other fiscal periods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60"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8890</wp:posOffset>
            </wp:positionV>
            <wp:extent cx="18694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9440" cy="17145"/>
                    </a:xfrm>
                    <a:prstGeom prst="rect">
                      <a:avLst/>
                    </a:prstGeom>
                    <a:noFill/>
                  </pic:spPr>
                </pic:pic>
              </a:graphicData>
            </a:graphic>
          </wp:anchor>
        </w:drawing>
      </w:r>
    </w:p>
    <w:p>
      <w:pPr>
        <w:spacing w:after="0" w:line="232" w:lineRule="exact"/>
        <w:rPr>
          <w:sz w:val="20"/>
          <w:szCs w:val="20"/>
          <w:color w:val="auto"/>
        </w:rPr>
      </w:pPr>
    </w:p>
    <w:p>
      <w:pPr>
        <w:ind w:left="7420"/>
        <w:spacing w:after="0"/>
        <w:tabs>
          <w:tab w:leader="none" w:pos="89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8890</wp:posOffset>
            </wp:positionV>
            <wp:extent cx="18694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69440" cy="17145"/>
                    </a:xfrm>
                    <a:prstGeom prst="rect">
                      <a:avLst/>
                    </a:prstGeom>
                    <a:noFill/>
                  </pic:spPr>
                </pic:pic>
              </a:graphicData>
            </a:graphic>
          </wp:anchor>
        </w:drawing>
      </w:r>
    </w:p>
    <w:p>
      <w:pPr>
        <w:spacing w:after="0" w:line="20" w:lineRule="exact"/>
        <w:rPr>
          <w:sz w:val="20"/>
          <w:szCs w:val="20"/>
          <w:color w:val="auto"/>
        </w:rPr>
      </w:pPr>
    </w:p>
    <w:p>
      <w:pPr>
        <w:ind w:left="1440"/>
        <w:spacing w:after="0"/>
        <w:tabs>
          <w:tab w:leader="none" w:pos="8080" w:val="left"/>
          <w:tab w:leader="none" w:pos="9260" w:val="left"/>
        </w:tabs>
        <w:rPr>
          <w:sz w:val="20"/>
          <w:szCs w:val="20"/>
          <w:color w:val="auto"/>
        </w:rPr>
      </w:pPr>
      <w:r>
        <w:rPr>
          <w:rFonts w:ascii="Arial" w:cs="Arial" w:eastAsia="Arial" w:hAnsi="Arial"/>
          <w:sz w:val="18"/>
          <w:szCs w:val="18"/>
          <w:color w:val="auto"/>
        </w:rPr>
        <w:t>Outstanding options and SARS excluded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330,500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-130175</wp:posOffset>
            </wp:positionV>
            <wp:extent cx="542861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July 31, 2016 and April 30, 2016, costs and estimated earnings in excess of billings, net, consist of the following:</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July 31, 2016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2016</w:t>
            </w:r>
          </w:p>
        </w:tc>
        <w:tc>
          <w:tcPr>
            <w:tcW w:w="120" w:type="dxa"/>
            <w:vAlign w:val="bottom"/>
          </w:tcPr>
          <w:p>
            <w:pPr>
              <w:spacing w:after="0"/>
              <w:rPr>
                <w:sz w:val="19"/>
                <w:szCs w:val="19"/>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12,460</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5"/>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three months ended July 31, 2016 and 2015, revenue recognized under percentage of completion contracts was approximately $7.3 million and $9.3 million, respectively. If contract losses are anticipated, costs and estimated earnings in excess of billings are reduced for the full amount of such losses when they are determinable.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During the three month period ended July 31, 2016, the Company made contributions of 14,365 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periods, the Company issued 667 shares from treasury upon the exercise of SARs by certain officers and employees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E – INVENTORIES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July 31, 2016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2016</w:t>
            </w:r>
          </w:p>
        </w:tc>
        <w:tc>
          <w:tcPr>
            <w:tcW w:w="120" w:type="dxa"/>
            <w:vAlign w:val="bottom"/>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12,042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4,126</w:t>
            </w:r>
          </w:p>
        </w:tc>
      </w:tr>
      <w:tr>
        <w:trPr>
          <w:trHeight w:val="27"/>
        </w:trPr>
        <w:tc>
          <w:tcPr>
            <w:tcW w:w="5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42,582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41,278</w:t>
            </w:r>
          </w:p>
        </w:tc>
      </w:tr>
      <w:tr>
        <w:trPr>
          <w:trHeight w:val="21"/>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As of July 31, 2016 and April 30, 2016, approximately $36.6 million and $35.3 million, respectively, of total inventory is located in the United States, approximately $5.0 million and $5.0 million, respectively, is located in Belgium and $1.0 million and $1.0 million, respectively, is located in China. The Company buys inventory in bulk quantities which may be used over significant time periods; due to its nature the inventory does not deteriorate.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198" w:lineRule="exact"/>
        <w:rPr>
          <w:sz w:val="20"/>
          <w:szCs w:val="20"/>
          <w:color w:val="auto"/>
        </w:rPr>
      </w:pPr>
    </w:p>
    <w:p>
      <w:pPr>
        <w:jc w:val="both"/>
        <w:ind w:left="980" w:hanging="324"/>
        <w:spacing w:after="0" w:line="241" w:lineRule="auto"/>
        <w:tabs>
          <w:tab w:leader="none" w:pos="10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980" w:hanging="324"/>
        <w:spacing w:after="0" w:line="234" w:lineRule="auto"/>
        <w:tabs>
          <w:tab w:leader="none" w:pos="1036" w:val="left"/>
        </w:tabs>
        <w:numPr>
          <w:ilvl w:val="0"/>
          <w:numId w:val="4"/>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spacing w:after="0" w:line="1" w:lineRule="exact"/>
        <w:rPr>
          <w:rFonts w:ascii="Arial" w:cs="Arial" w:eastAsia="Arial" w:hAnsi="Arial"/>
          <w:sz w:val="18"/>
          <w:szCs w:val="18"/>
          <w:color w:val="auto"/>
        </w:rPr>
      </w:pPr>
    </w:p>
    <w:p>
      <w:pPr>
        <w:jc w:val="both"/>
        <w:ind w:left="980" w:hanging="324"/>
        <w:spacing w:after="0" w:line="284" w:lineRule="auto"/>
        <w:tabs>
          <w:tab w:leader="none" w:pos="101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4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17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8"/>
              </w:rPr>
              <w:t>Three months ended July 31,</w:t>
            </w:r>
          </w:p>
        </w:tc>
      </w:tr>
      <w:tr>
        <w:trPr>
          <w:trHeight w:val="439"/>
        </w:trPr>
        <w:tc>
          <w:tcPr>
            <w:tcW w:w="546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13,494</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1,407</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w:t>
            </w:r>
          </w:p>
        </w:tc>
      </w:tr>
      <w:tr>
        <w:trPr>
          <w:trHeight w:val="223"/>
        </w:trPr>
        <w:tc>
          <w:tcPr>
            <w:tcW w:w="5460" w:type="dxa"/>
            <w:vAlign w:val="bottom"/>
          </w:tcPr>
          <w:p>
            <w:pPr>
              <w:ind w:left="160"/>
              <w:spacing w:after="0"/>
              <w:rPr>
                <w:sz w:val="20"/>
                <w:szCs w:val="20"/>
                <w:color w:val="auto"/>
              </w:rPr>
            </w:pPr>
            <w:r>
              <w:rPr>
                <w:rFonts w:ascii="Arial" w:cs="Arial" w:eastAsia="Arial" w:hAnsi="Arial"/>
                <w:sz w:val="18"/>
                <w:szCs w:val="18"/>
                <w:color w:val="auto"/>
              </w:rPr>
              <w:t>less intercompany revenues</w:t>
            </w: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r>
      <w:tr>
        <w:trPr>
          <w:trHeight w:val="257"/>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18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120" w:type="dxa"/>
            <w:vAlign w:val="bottom"/>
            <w:shd w:val="clear" w:color="auto" w:fill="CCEEFF"/>
          </w:tcPr>
          <w:p>
            <w:pPr>
              <w:spacing w:after="0"/>
              <w:rPr>
                <w:sz w:val="22"/>
                <w:szCs w:val="22"/>
                <w:color w:val="auto"/>
              </w:rPr>
            </w:pPr>
          </w:p>
        </w:tc>
      </w:tr>
      <w:tr>
        <w:trPr>
          <w:trHeight w:val="412"/>
        </w:trPr>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(loss) profit :</w:t>
            </w: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r>
      <w:tr>
        <w:trPr>
          <w:trHeight w:val="223"/>
        </w:trPr>
        <w:tc>
          <w:tcPr>
            <w:tcW w:w="54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57"/>
        </w:trPr>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Consolidated operating (loss)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19"/>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July 31, 2016</w:t>
            </w:r>
          </w:p>
        </w:tc>
        <w:tc>
          <w:tcPr>
            <w:tcW w:w="12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April 30, 2016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Identifiable assets:</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 (approximately $2.3 and $2.5 million in China)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62,992</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Gillam-FEI (all in Belgium or France)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9,610</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13,275</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less intersegment balances</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(8,345)</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(7,651)</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41,988</w:t>
            </w:r>
          </w:p>
        </w:tc>
      </w:tr>
      <w:tr>
        <w:trPr>
          <w:trHeight w:val="27"/>
        </w:trPr>
        <w:tc>
          <w:tcPr>
            <w:tcW w:w="5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ind w:left="320"/>
              <w:spacing w:after="0"/>
              <w:rPr>
                <w:sz w:val="20"/>
                <w:szCs w:val="20"/>
                <w:color w:val="auto"/>
              </w:rPr>
            </w:pPr>
            <w:r>
              <w:rPr>
                <w:rFonts w:ascii="Arial" w:cs="Arial" w:eastAsia="Arial" w:hAnsi="Arial"/>
                <w:sz w:val="18"/>
                <w:szCs w:val="18"/>
                <w:color w:val="auto"/>
              </w:rPr>
              <w:t>Consolidated identifiable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120,511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120,214</w:t>
            </w:r>
          </w:p>
        </w:tc>
      </w:tr>
      <w:tr>
        <w:trPr>
          <w:trHeight w:val="21"/>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G – INVESTMENT IN MORION, INC.</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15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During the three months ended July 31, 2016 and 2015, the Company acquired product from Morion in the aggregate amount of approximately $81,000 and $32,000, respectively, and the Company sold product and training services to Morion in the aggregate amount of approximately $10,000 and $423,000, respectively. (See discussion of revenues recognized under the license agreement in the paragraph below.) At July 31, 2016, approximately $29,000 was payable to Morion and accounts receivable from Morion was approximately $33,000.</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On March 29, 2016, the Company renegotiated the $1 million dollar amendment under the original agreement dated October 22, 2012 to $602,000 due to the U.S. Government easing of export regulations. Of this amount $392,500 was billed and paid during FY 2016. During the three months ended July 31, 2016, sales to Morion included $10,000 under this agreement. The remaining amount will be billed in December 2016.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2016 and April 30, 2016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1"/>
              </w:rPr>
              <w:t>July 31, 2016</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ind w:left="20"/>
              <w:spacing w:after="0" w:line="184" w:lineRule="exact"/>
              <w:rPr>
                <w:sz w:val="20"/>
                <w:szCs w:val="20"/>
                <w:color w:val="auto"/>
              </w:rPr>
            </w:pPr>
            <w:r>
              <w:rPr>
                <w:rFonts w:ascii="Arial" w:cs="Arial" w:eastAsia="Arial" w:hAnsi="Arial"/>
                <w:sz w:val="18"/>
                <w:szCs w:val="18"/>
                <w:b w:val="1"/>
                <w:bCs w:val="1"/>
                <w:color w:val="auto"/>
              </w:rPr>
              <w:t>Gross Unrealized</w:t>
            </w:r>
          </w:p>
        </w:tc>
        <w:tc>
          <w:tcPr>
            <w:tcW w:w="1560" w:type="dxa"/>
            <w:vAlign w:val="bottom"/>
            <w:gridSpan w:val="3"/>
          </w:tcPr>
          <w:p>
            <w:pPr>
              <w:spacing w:after="0" w:line="184" w:lineRule="exact"/>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6"/>
                <w:szCs w:val="16"/>
                <w:color w:val="auto"/>
              </w:rPr>
            </w:pPr>
          </w:p>
        </w:tc>
        <w:tc>
          <w:tcPr>
            <w:tcW w:w="122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38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3"/>
              </w:rPr>
              <w:t>Losses</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tcBorders>
              <w:top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1,322</w:t>
            </w:r>
          </w:p>
        </w:tc>
        <w:tc>
          <w:tcPr>
            <w:tcW w:w="3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8,010</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10,601</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3"/>
              </w:rPr>
              <w:t>April 30, 2016</w:t>
            </w: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ind w:left="20"/>
              <w:spacing w:after="0" w:line="184" w:lineRule="exact"/>
              <w:rPr>
                <w:sz w:val="20"/>
                <w:szCs w:val="20"/>
                <w:color w:val="auto"/>
              </w:rPr>
            </w:pPr>
            <w:r>
              <w:rPr>
                <w:rFonts w:ascii="Arial" w:cs="Arial" w:eastAsia="Arial" w:hAnsi="Arial"/>
                <w:sz w:val="18"/>
                <w:szCs w:val="18"/>
                <w:b w:val="1"/>
                <w:bCs w:val="1"/>
                <w:color w:val="auto"/>
              </w:rPr>
              <w:t>Gross Unrealized</w:t>
            </w:r>
          </w:p>
        </w:tc>
        <w:tc>
          <w:tcPr>
            <w:tcW w:w="1560" w:type="dxa"/>
            <w:vAlign w:val="bottom"/>
            <w:gridSpan w:val="3"/>
          </w:tcPr>
          <w:p>
            <w:pPr>
              <w:spacing w:after="0" w:line="184" w:lineRule="exact"/>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6"/>
                <w:szCs w:val="16"/>
                <w:color w:val="auto"/>
              </w:rPr>
            </w:pPr>
          </w:p>
        </w:tc>
        <w:tc>
          <w:tcPr>
            <w:tcW w:w="1220" w:type="dxa"/>
            <w:vAlign w:val="bottom"/>
          </w:tcPr>
          <w:p>
            <w:pPr>
              <w:jc w:val="right"/>
              <w:ind w:right="110"/>
              <w:spacing w:after="0" w:line="184" w:lineRule="exact"/>
              <w:rPr>
                <w:sz w:val="20"/>
                <w:szCs w:val="20"/>
                <w:color w:val="auto"/>
              </w:rPr>
            </w:pPr>
            <w:r>
              <w:rPr>
                <w:rFonts w:ascii="Arial" w:cs="Arial" w:eastAsia="Arial" w:hAnsi="Arial"/>
                <w:sz w:val="18"/>
                <w:szCs w:val="18"/>
                <w:b w:val="1"/>
                <w:bCs w:val="1"/>
                <w:color w:val="auto"/>
              </w:rPr>
              <w:t>Fair Market</w:t>
            </w:r>
          </w:p>
        </w:tc>
        <w:tc>
          <w:tcPr>
            <w:tcW w:w="1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974</w:t>
            </w:r>
          </w:p>
        </w:tc>
        <w:tc>
          <w:tcPr>
            <w:tcW w:w="4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7,589</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10,604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Less than 12 months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8"/>
                <w:szCs w:val="18"/>
                <w:b w:val="1"/>
                <w:bCs w:val="1"/>
                <w:color w:val="auto"/>
              </w:rPr>
              <w:t>Unrealized</w:t>
            </w:r>
          </w:p>
        </w:tc>
        <w:tc>
          <w:tcPr>
            <w:tcW w:w="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0"/>
              <w:spacing w:after="0" w:line="184"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0"/>
              <w:spacing w:after="0" w:line="184"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July 31, 2016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Fixed Income Securities</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290</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2,161</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2,451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0" w:type="dxa"/>
            <w:vAlign w:val="bottom"/>
            <w:tcBorders>
              <w:righ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Borders>
              <w:top w:val="single" w:sz="8" w:color="CCEEFF"/>
            </w:tcBorders>
            <w:gridSpan w:val="3"/>
          </w:tcPr>
          <w:p>
            <w:pPr>
              <w:jc w:val="center"/>
              <w:ind w:right="20"/>
              <w:spacing w:after="0" w:line="182" w:lineRule="exact"/>
              <w:rPr>
                <w:sz w:val="20"/>
                <w:szCs w:val="20"/>
                <w:color w:val="auto"/>
              </w:rPr>
            </w:pPr>
            <w:r>
              <w:rPr>
                <w:rFonts w:ascii="Arial" w:cs="Arial" w:eastAsia="Arial" w:hAnsi="Arial"/>
                <w:sz w:val="18"/>
                <w:szCs w:val="18"/>
                <w:color w:val="auto"/>
                <w:w w:val="95"/>
              </w:rPr>
              <w:t>April 30, 2016</w:t>
            </w:r>
          </w:p>
        </w:tc>
        <w:tc>
          <w:tcPr>
            <w:tcW w:w="10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Fixed Income Securities</w:t>
            </w:r>
          </w:p>
        </w:tc>
        <w:tc>
          <w:tcPr>
            <w:tcW w:w="12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574</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(18)</w:t>
            </w:r>
          </w:p>
        </w:tc>
        <w:tc>
          <w:tcPr>
            <w:tcW w:w="2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2,232</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2,806</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 w:type="dxa"/>
            <w:vAlign w:val="bottom"/>
            <w:tcBorders>
              <w:bottom w:val="single" w:sz="8" w:color="CCEEFF"/>
              <w:right w:val="single" w:sz="8" w:color="CCEEFF"/>
            </w:tcBorders>
            <w:shd w:val="clear" w:color="auto" w:fill="CCEEFF"/>
          </w:tcPr>
          <w:p>
            <w:pPr>
              <w:spacing w:after="0"/>
              <w:rPr>
                <w:sz w:val="22"/>
                <w:szCs w:val="22"/>
                <w:color w:val="auto"/>
              </w:rPr>
            </w:pPr>
          </w:p>
        </w:tc>
        <w:tc>
          <w:tcPr>
            <w:tcW w:w="1020" w:type="dxa"/>
            <w:vAlign w:val="bottom"/>
            <w:tcBorders>
              <w:bottom w:val="single" w:sz="8" w:color="CCEEFF"/>
              <w:right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574</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(18)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2016 are other-than-temporary due to market volatility of the security’s fair value, analysts’ expectations and the Company’s ability to hold the securities for a period of time sufficient to allow for any anticipated recoveries in market value.</w:t>
      </w:r>
    </w:p>
    <w:p>
      <w:pPr>
        <w:spacing w:after="0" w:line="175"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6"/>
          <w:szCs w:val="16"/>
          <w:color w:val="auto"/>
        </w:rPr>
        <w:t>During the three months ended July 31, 2016 the Company neither sold nor redeemed available-for-sale securities. During the three months ended July 31, 2015, the Company sold or redeemed available-for-sale securities in the amounts of $713,000, realizing gains of approximately $137,000.</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July 31, 2016 are as follows, at cost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2"/>
              </w:rPr>
              <w:t>Due after one year through five years</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Due after five years through ten years</w:t>
            </w:r>
          </w:p>
        </w:tc>
        <w:tc>
          <w:tcPr>
            <w:tcW w:w="14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Borders>
              <w:bottom w:val="single" w:sz="8" w:color="CCEEFF"/>
            </w:tcBorders>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3,404</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20" w:type="dxa"/>
            <w:vAlign w:val="bottom"/>
            <w:vMerge w:val="restart"/>
          </w:tcPr>
          <w:p>
            <w:pPr>
              <w:jc w:val="right"/>
              <w:ind w:right="1236"/>
              <w:spacing w:after="0"/>
              <w:rPr>
                <w:sz w:val="20"/>
                <w:szCs w:val="20"/>
                <w:color w:val="auto"/>
              </w:rPr>
            </w:pPr>
            <w:r>
              <w:rPr>
                <w:rFonts w:ascii="Arial" w:cs="Arial" w:eastAsia="Arial" w:hAnsi="Arial"/>
                <w:sz w:val="14"/>
                <w:szCs w:val="14"/>
                <w:color w:val="auto"/>
              </w:rPr>
              <w:t>9</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88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Level 1 Inputs to the valuation methodology are unadjusted quoted prices for identical assets or liabilities in active markets that the Company has the ability to access.</w:t>
      </w:r>
    </w:p>
    <w:p>
      <w:pPr>
        <w:spacing w:after="0" w:line="1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7" w:lineRule="exact"/>
        <w:rPr>
          <w:sz w:val="20"/>
          <w:szCs w:val="20"/>
          <w:color w:val="auto"/>
        </w:rPr>
      </w:pPr>
    </w:p>
    <w:p>
      <w:pPr>
        <w:ind w:left="1740" w:hanging="102"/>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ind w:left="1740" w:hanging="102"/>
        <w:spacing w:after="0" w:line="234"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ind w:left="1740" w:hanging="102"/>
        <w:spacing w:after="0" w:line="234"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 Inputs that are derived principally from or corroborated by observable market data by correlation or other  means.</w:t>
      </w:r>
    </w:p>
    <w:p>
      <w:pPr>
        <w:spacing w:after="0" w:line="19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I – RECENT ACCOUNTING PRONOUNCEMENTS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In March 2016, the Financial Accounting Standards Board (“FASB”) amended the existing accounting standards for stock-based compensation, Accounting Standards Update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amendments impact several aspects of accounting for share-based payment transactions, including the income tax consequences, forfeitures,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This guidance requires a mix of prospective, modified retrospective, and retrospective transition to all annual and interim periods presented and is effective for the Company beginning in fiscal 2018. The Company has not determined the full impact of implementation of this standard, but does not expect it will have a material effect on the Company’s financial condition or results of operations.</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February 2016, the FASB issued ASU No. 2016-02 Leases (Topic 842). The objective of the update is to increase transparency and comparability among organizations by recognizing lease assets and lease liabilities on the balance sheet and disclosing key information about leasing arrangements. The amendments of the ASU 2016-02 are effective for fiscal years beginning after December 31, 2018 and early adoption is permitted. The Company is currently evaluating the impact of this standard on our consolidated financial statements.</w:t>
      </w:r>
    </w:p>
    <w:p>
      <w:pPr>
        <w:spacing w:after="0" w:line="17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In November 2015, the FASB issued ASU No. 2015-17 (“ASU 2015-17”), </w:t>
      </w:r>
      <w:r>
        <w:rPr>
          <w:rFonts w:ascii="Arial" w:cs="Arial" w:eastAsia="Arial" w:hAnsi="Arial"/>
          <w:sz w:val="18"/>
          <w:szCs w:val="18"/>
          <w:i w:val="1"/>
          <w:iCs w:val="1"/>
          <w:color w:val="auto"/>
        </w:rPr>
        <w:t>Income Taxes (Topic 740): Balance Sheet Classification of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The amendments in ASU 2015-17 seek to simplify the presentation of deferred income taxes and require that deferred tax liabilities and assets be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noncurrent in a classified statement of financial position. ASU 2015-17 is effective for financial statements issued for annual periods beginning after December 15, 2016, and interim periods within those annual periods, with early application permitted for all entities as of the beginning of an interim or annual reporting period. The Company has not determined the full impact of implementation of this standard, but believes it will not be material to net income. The Company believes that the main impact of adoption of the standard will be the reclassification of current deferred tax assets to an increase in noncurrent deferred tax assets for the period ending April 30, 2018.</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(“ASU 2015-11”)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is currently evaluating the effect that the new guidance will have on its consolidated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In August 2014, the FASB issued ASU No. 2014-15</w:t>
      </w:r>
      <w:r>
        <w:rPr>
          <w:rFonts w:ascii="Arial" w:cs="Arial" w:eastAsia="Arial" w:hAnsi="Arial"/>
          <w:sz w:val="17"/>
          <w:szCs w:val="17"/>
          <w:i w:val="1"/>
          <w:iCs w:val="1"/>
          <w:color w:val="auto"/>
        </w:rPr>
        <w:t>, Presentation of Financial Statements – Going Concern (Subtopic 205-40):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Uncertainties about an Entity’s Ability to Continue as a Going Concern (“ASU 2014-15”), </w:t>
      </w:r>
      <w:r>
        <w:rPr>
          <w:rFonts w:ascii="Arial" w:cs="Arial" w:eastAsia="Arial" w:hAnsi="Arial"/>
          <w:sz w:val="17"/>
          <w:szCs w:val="17"/>
          <w:color w:val="auto"/>
        </w:rPr>
        <w:t>which is effective for annual periods after December 15, 2016 and</w:t>
      </w:r>
      <w:r>
        <w:rPr>
          <w:rFonts w:ascii="Arial" w:cs="Arial" w:eastAsia="Arial" w:hAnsi="Arial"/>
          <w:sz w:val="17"/>
          <w:szCs w:val="17"/>
          <w:i w:val="1"/>
          <w:iCs w:val="1"/>
          <w:color w:val="auto"/>
        </w:rPr>
        <w:t xml:space="preserve"> </w:t>
      </w:r>
      <w:r>
        <w:rPr>
          <w:rFonts w:ascii="Arial" w:cs="Arial" w:eastAsia="Arial" w:hAnsi="Arial"/>
          <w:sz w:val="17"/>
          <w:szCs w:val="17"/>
          <w:color w:val="auto"/>
        </w:rPr>
        <w:t>for annual periods and interim periods thereafter. Early application is permitted. Under ASU 2014-15, entities will be required to formally assess their ability to continue as a going concern and provide disclosures under certain circumstances. While current practice regarding such disclosures is often guided by U.S. auditing standards, the new standard explicitly requires the assessment at interim and annual periods, and provides management with its own disclosure guidance. The standard can be adopted early. The company is currently assessing the impact that adopting these new assessment and disclosure requirements will have on its financial statements and footnote disclosures.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this ASU. Although the amending ASU has not yet been issued, since it will be amended, this ASU is effective for public companies for annual reporting periods beginning on or after December 15, 2017 and for the Company, must be adopted for its fiscal year 2019 beginning on May 1, 2018. The Company is in the process of determining the effect that ASU 2014-09 may have on its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J – CREDIT FACILITY</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On June 6, 2013, the Company obtained a credit facility (the “Facility”) from JPMorgan Chase Bank, N.A. (“JPMorgan”) pursuant to a credit agreement (the “Credit Agreement”) between the Company and JPMorgan. The maximum aggregate amount of the Facility is $25.0 million. Proceeds from the Facility will be used for working capital and to finance acquisitions. During the year ended April 30, 2015, the Company borrowed an additional $2.3 million under the Facility primarily to finance the acquisition of additional manufacturing equipment and repaid an aggregate of $6.4 million from its operating cash flow and as a result of redemptions of certain fixed income marketable securities.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may make borrowings under the Facility,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of $6.0 million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an interest charge coverage ratio. The calculation of both ratios is defined in the Credit Agreement. For the period ended July 31, 2016, the Company met the required covenants for its borrowings under Tranche 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K – VALUATION ALLOWANCE ON DEFERRED TAX ASSETS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prior fiscal years, the Company reduced the valuation allowance on the deferred tax assets of its U.S. subsidiaries. Consequently, for the three months ended July 31, 2016 and 2015, the Company recorded provisions for income taxes based on both current taxes due in the United States as well as the tax provision or benefit to be realized from temporary tax differences. As of April 30, 2016, the deferred tax asset valuation allowance was approximately $3.3 million . The valuation allowance is primarily related to deferred tax assets of the Company’s non-U.S.-based subsidiaries and U.S. state investment tax credit carryovers.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2016.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Costs and Expenses</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(Continued)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Inventory</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table below sets forth for the respective periods of fiscal years 2017 and 2016 (which end on April 30, 2017 and 2016, respectively) the percentage of consolidated revenues represented by certain items in the Company’s 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tcBorders>
              <w:bottom w:val="single" w:sz="8" w:color="auto"/>
            </w:tcBorders>
            <w:gridSpan w:val="10"/>
          </w:tcPr>
          <w:p>
            <w:pPr>
              <w:ind w:left="400"/>
              <w:spacing w:after="0"/>
              <w:rPr>
                <w:sz w:val="20"/>
                <w:szCs w:val="20"/>
                <w:color w:val="auto"/>
              </w:rPr>
            </w:pPr>
            <w:r>
              <w:rPr>
                <w:rFonts w:ascii="Arial" w:cs="Arial" w:eastAsia="Arial" w:hAnsi="Arial"/>
                <w:sz w:val="18"/>
                <w:szCs w:val="18"/>
                <w:b w:val="1"/>
                <w:bCs w:val="1"/>
                <w:color w:val="auto"/>
              </w:rPr>
              <w:t>Three months ended July 31,</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Revenues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78.6%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(6.2)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240" w:type="dxa"/>
            <w:vAlign w:val="bottom"/>
            <w:tcBorders>
              <w:left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Cost of revenues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67.6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65.4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32.4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Borders>
              <w:left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26.2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12.5</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left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ind w:left="640"/>
              <w:spacing w:after="0"/>
              <w:rPr>
                <w:sz w:val="20"/>
                <w:szCs w:val="20"/>
                <w:color w:val="auto"/>
              </w:rPr>
            </w:pPr>
            <w:r>
              <w:rPr>
                <w:rFonts w:ascii="Arial" w:cs="Arial" w:eastAsia="Arial" w:hAnsi="Arial"/>
                <w:sz w:val="18"/>
                <w:szCs w:val="18"/>
                <w:color w:val="auto"/>
              </w:rPr>
              <w:t>Operating (loss) profit</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(6.3)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left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Pretax (loss) income</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(5.9)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ind w:left="640"/>
              <w:spacing w:after="0"/>
              <w:rPr>
                <w:sz w:val="20"/>
                <w:szCs w:val="20"/>
                <w:color w:val="auto"/>
              </w:rPr>
            </w:pPr>
            <w:r>
              <w:rPr>
                <w:rFonts w:ascii="Arial" w:cs="Arial" w:eastAsia="Arial" w:hAnsi="Arial"/>
                <w:sz w:val="18"/>
                <w:szCs w:val="18"/>
                <w:color w:val="auto"/>
              </w:rPr>
              <w:t>Net (loss) income</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4"/>
          </w:tcPr>
          <w:p>
            <w:pPr>
              <w:jc w:val="right"/>
              <w:ind w:right="50"/>
              <w:spacing w:after="0"/>
              <w:rPr>
                <w:sz w:val="20"/>
                <w:szCs w:val="20"/>
                <w:color w:val="auto"/>
              </w:rPr>
            </w:pPr>
            <w:r>
              <w:rPr>
                <w:rFonts w:ascii="Arial" w:cs="Arial" w:eastAsia="Arial" w:hAnsi="Arial"/>
                <w:sz w:val="18"/>
                <w:szCs w:val="18"/>
                <w:color w:val="auto"/>
                <w:w w:val="94"/>
              </w:rPr>
              <w:t>(5.6)%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4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gridSpan w:val="13"/>
            <w:vMerge w:val="restart"/>
          </w:tcPr>
          <w:p>
            <w:pPr>
              <w:jc w:val="right"/>
              <w:ind w:right="980"/>
              <w:spacing w:after="0"/>
              <w:rPr>
                <w:sz w:val="20"/>
                <w:szCs w:val="20"/>
                <w:color w:val="auto"/>
              </w:rPr>
            </w:pPr>
            <w:r>
              <w:rPr>
                <w:rFonts w:ascii="Arial" w:cs="Arial" w:eastAsia="Arial" w:hAnsi="Arial"/>
                <w:sz w:val="18"/>
                <w:szCs w:val="18"/>
                <w:b w:val="1"/>
                <w:bCs w:val="1"/>
                <w:color w:val="auto"/>
              </w:rPr>
              <w:t>Three months ended July 31,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80" w:type="dxa"/>
            <w:vAlign w:val="bottom"/>
            <w:gridSpan w:val="13"/>
            <w:vMerge w:val="continue"/>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w w:val="96"/>
              </w:rPr>
              <w:t>(in thousands)</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9"/>
              </w:rPr>
              <w:t>Change</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(3,512)</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Gillam-FEI</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c>
          <w:tcPr>
            <w:tcW w:w="4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Intersegment revenues</w:t>
            </w: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(467)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440" w:type="dxa"/>
            <w:vAlign w:val="bottom"/>
          </w:tcPr>
          <w:p>
            <w:pPr>
              <w:spacing w:after="0"/>
              <w:rPr>
                <w:sz w:val="22"/>
                <w:szCs w:val="22"/>
                <w:color w:val="auto"/>
              </w:rPr>
            </w:pPr>
          </w:p>
        </w:tc>
        <w:tc>
          <w:tcPr>
            <w:tcW w:w="3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12,708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(3,972</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9"/>
        </w:trPr>
        <w:tc>
          <w:tcPr>
            <w:tcW w:w="1440" w:type="dxa"/>
            <w:vAlign w:val="bottom"/>
          </w:tcPr>
          <w:p>
            <w:pPr>
              <w:spacing w:after="0"/>
              <w:rPr>
                <w:sz w:val="24"/>
                <w:szCs w:val="24"/>
                <w:color w:val="auto"/>
              </w:rPr>
            </w:pPr>
          </w:p>
        </w:tc>
        <w:tc>
          <w:tcPr>
            <w:tcW w:w="3380" w:type="dxa"/>
            <w:vAlign w:val="bottom"/>
            <w:tcBorders>
              <w:top w:val="single" w:sz="8" w:color="CCEEFF"/>
            </w:tcBorders>
          </w:tcPr>
          <w:p>
            <w:pPr>
              <w:spacing w:after="0"/>
              <w:rPr>
                <w:sz w:val="24"/>
                <w:szCs w:val="24"/>
                <w:color w:val="auto"/>
              </w:rPr>
            </w:pPr>
          </w:p>
        </w:tc>
        <w:tc>
          <w:tcPr>
            <w:tcW w:w="13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13</w:t>
            </w: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For the three months ended July 31, 2016, revenues from commercial and U.S. Government satellite programs decreased approximately $3.2 million over the same period of fiscal year 2016, and accounted for approximately 50% of consolidated revenues compared to approximately 55% in fiscal 2016. The primary reason for the reduction of revenues in this market is the delay in awards in U.S. Governments satellite programs. Revenues on these contracts are recognized primarily under the percentage of completion method. Revenues from the satellite market are recorded in the FEI-NY segment. Revenues from non-space U.S. Government/DOD customers, which are recorded in both the FEI-NY and FEI-Zyfer segments, were relatively flat compared to the same period of fiscal year 2016, and accounted for approximately 26% of consolidated revenues compared to approximately 20% for the same period in fiscal 2016. Network infrastructure and other industrial revenues in the fiscal year 2017 periods accounted for approximately 24% of consolidated revenues which is similar to the prior year. Intersegment sales are eliminated in consolidation and have no effect on consolidated revenues.</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For the three months ended July 31, 2015, revenues from commercial and U.S. Government satellite programs accounted for more than 55% of consolidated revenues but were lower than that recorded in the same period of fiscal year 2015 as certain programs were completed. Revenues on these contracts are recorded in the FEI-NY segment and are recognized primarily under the percentage of completion method. Revenues from non-space U.S. Government/DOD customers, which are recorded in both the FEI-NY and FEI-Zyfer segments, more than doubled over the prior year and accounted for approximately 20% of consolidated fiscal year 2016 revenues. Network infrastructure and other industrial revenues in the fiscal year 2016 period, declined by approximately 30% from the same period of fiscal year 2015 and accounted for approximately 20% of consolidated revenues. Such revenues are recorded in all three segments. The primary reason for reduced revenue from this market area in the fiscal year 2016 period is the lack of third-party contract manufacturing revenues in the Company’s FEI-Asia subsidiary which is part of the FEI-NY segment. Such third-party contract manufacturing business is sporadic and low margin and thus has little meaningful impact on the consolidated profits of the Company.</w:t>
      </w:r>
    </w:p>
    <w:p>
      <w:pPr>
        <w:spacing w:after="0" w:line="16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Based on the Company’s current backlog, of which satellite payload business comprises approximately 60%, and delays in awards of new project orders which are sole-sourced to the Company, revenues for fiscal year 2017 are expected to be comparable for the full year to the prior fiscal year. Satellite payload revenues will remain the dominant portion of the Company’s business and represents the Company’s best long-term growth opportunity. Revenues from non-space U.S. Government/DOD customers are expected to increase, particularly for the FEI-Zyfer segment, as it receives additional funding on several significant U.S. Government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0</wp:posOffset>
            </wp:positionV>
            <wp:extent cx="31813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4"/>
        </w:trPr>
        <w:tc>
          <w:tcPr>
            <w:tcW w:w="33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4,114</w:t>
            </w:r>
          </w:p>
        </w:tc>
        <w:tc>
          <w:tcPr>
            <w:tcW w:w="9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5,773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   (1,659)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43"/>
        </w:trPr>
        <w:tc>
          <w:tcPr>
            <w:tcW w:w="4180" w:type="dxa"/>
            <w:vAlign w:val="bottom"/>
            <w:gridSpan w:val="2"/>
          </w:tcPr>
          <w:p>
            <w:pPr>
              <w:jc w:val="right"/>
              <w:ind w:right="3430"/>
              <w:spacing w:after="0"/>
              <w:rPr>
                <w:sz w:val="20"/>
                <w:szCs w:val="20"/>
                <w:color w:val="auto"/>
              </w:rPr>
            </w:pPr>
            <w:r>
              <w:rPr>
                <w:rFonts w:ascii="Arial" w:cs="Arial" w:eastAsia="Arial" w:hAnsi="Arial"/>
                <w:sz w:val="18"/>
                <w:szCs w:val="18"/>
                <w:color w:val="auto"/>
                <w:w w:val="88"/>
              </w:rPr>
              <w:t>GM Rate</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For the three month period ended July 31, 2016 gross margin and gross margin rate decreased from the same period in fiscal 2016. This was primarily due to decrease in sales and product mix. The decrease in sales resulted in an increase of unabsorbed overhead primarily in the FEI-NY Segment. The product mix included a higher component of cost relating to a multi-year low margin contracts.</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Although consolidated revenues for the three month period ended July 31, 2015 were lower than the same period of fiscal year 2015, gross margin increased as a result of improved gross margin rates due to favorable contract and product mix. In addition, during the quarter the Company received reimbursement from a vendor which partially offset higher engineering and production costs incurred on certain programs impacted by a defective part. The cost reimbursement improved the consolidated gross margin rate by approximately 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1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8890</wp:posOffset>
            </wp:positionV>
            <wp:extent cx="30784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78480" cy="17145"/>
                    </a:xfrm>
                    <a:prstGeom prst="rect">
                      <a:avLst/>
                    </a:prstGeom>
                    <a:noFill/>
                  </pic:spPr>
                </pic:pic>
              </a:graphicData>
            </a:graphic>
          </wp:anchor>
        </w:drawing>
      </w:r>
    </w:p>
    <w:p>
      <w:pPr>
        <w:spacing w:after="0" w:line="232" w:lineRule="exact"/>
        <w:rPr>
          <w:sz w:val="20"/>
          <w:szCs w:val="20"/>
          <w:color w:val="auto"/>
        </w:rPr>
      </w:pPr>
    </w:p>
    <w:tbl>
      <w:tblPr>
        <w:tblLayout w:type="fixed"/>
        <w:tblInd w:w="3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bl>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three-month periods ended July 31, 2016 and 2015, selling and administrative ("SG&amp;A”) expenses were approximately 26% and 22%, respectively, of consolidated revenues. The dollar amount of SG&amp;A expenses decreased by 10% and was primarily recognized in the FEI-NY segment. The largest components were lower incentive compensation and marketing expenses offset partially by an increase in deferred compensation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1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8890</wp:posOffset>
            </wp:positionV>
            <wp:extent cx="31127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232" w:lineRule="exact"/>
        <w:rPr>
          <w:sz w:val="20"/>
          <w:szCs w:val="20"/>
          <w:color w:val="auto"/>
        </w:rPr>
      </w:pPr>
    </w:p>
    <w:tbl>
      <w:tblPr>
        <w:tblLayout w:type="fixed"/>
        <w:tblInd w:w="3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r>
    </w:tbl>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competitiveness for future revenues. R&amp;D spending for the three months ended July 31, 2016, increased due to accelerate prototype development of products addressing secure communications applications. The current rate of 12% exceeds our target of 10% of sales, while the rate may decrease during the balance of the year, it is unlikely to meet our target of 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8890</wp:posOffset>
            </wp:positionV>
            <wp:extent cx="3087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232" w:lineRule="exact"/>
        <w:rPr>
          <w:sz w:val="20"/>
          <w:szCs w:val="20"/>
          <w:color w:val="auto"/>
        </w:rPr>
      </w:pPr>
    </w:p>
    <w:tbl>
      <w:tblPr>
        <w:tblLayout w:type="fixed"/>
        <w:tblInd w:w="3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(796)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(1,737)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r>
    </w:tbl>
    <w:p>
      <w:pPr>
        <w:spacing w:after="0" w:line="1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Lower gross margins on reduced consolidated revenues coupled with higher R&amp;D spending resulted in decreased operating profits for the fiscal year 2016 periods as compared to fiscal year 2015.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3"/>
        </w:trPr>
        <w:tc>
          <w:tcPr>
            <w:tcW w:w="1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144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1440" w:type="dxa"/>
            <w:vAlign w:val="bottom"/>
          </w:tcPr>
          <w:p>
            <w:pPr>
              <w:spacing w:after="0"/>
              <w:rPr>
                <w:sz w:val="18"/>
                <w:szCs w:val="18"/>
                <w:color w:val="auto"/>
              </w:rPr>
            </w:pPr>
          </w:p>
        </w:tc>
        <w:tc>
          <w:tcPr>
            <w:tcW w:w="3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income (expense), net</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w w:val="90"/>
              </w:rPr>
              <w:t>(403)</w:t>
            </w:r>
          </w:p>
        </w:tc>
        <w:tc>
          <w:tcPr>
            <w:tcW w:w="7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NM</w:t>
            </w:r>
          </w:p>
        </w:tc>
      </w:tr>
      <w:tr>
        <w:trPr>
          <w:trHeight w:val="27"/>
        </w:trPr>
        <w:tc>
          <w:tcPr>
            <w:tcW w:w="1440" w:type="dxa"/>
            <w:vAlign w:val="bottom"/>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gridSpan w:val="2"/>
            <w:shd w:val="clear" w:color="auto" w:fill="CCEEFF"/>
          </w:tcPr>
          <w:p>
            <w:pPr>
              <w:spacing w:after="0"/>
              <w:rPr>
                <w:sz w:val="2"/>
                <w:szCs w:val="2"/>
                <w:color w:val="auto"/>
              </w:rPr>
            </w:pPr>
          </w:p>
        </w:tc>
      </w:tr>
      <w:tr>
        <w:trPr>
          <w:trHeight w:val="243"/>
        </w:trPr>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(600)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bl>
    <w:p>
      <w:pPr>
        <w:spacing w:after="0" w:line="161"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rates and dividend payout levels and the timing of purchases or sales of securities. No gains were recorded during the three months ended July 31, 2016 as compared to approximately $137,000 in the same period of fiscal year 2016.</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increase in interest expense for the three months ended July 31, 2016 compared to the same period of fiscal year 2016 is due to higher interest expense on deferred comp payments.</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first quarter of fiscal year 2016, the Company recognized a gain of approximately $400,000 from the proceeds of a life insurance policy upon the death of a former officer of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14"/>
        </w:trPr>
        <w:tc>
          <w:tcPr>
            <w:tcW w:w="33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9"/>
              </w:rPr>
              <w:t>Three months ended July 31,</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439"/>
        </w:trPr>
        <w:tc>
          <w:tcPr>
            <w:tcW w:w="3300" w:type="dxa"/>
            <w:vAlign w:val="bottom"/>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42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5"/>
              </w:rPr>
              <w:t>(740)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4260" w:type="dxa"/>
            <w:vAlign w:val="bottom"/>
            <w:gridSpan w:val="2"/>
          </w:tcPr>
          <w:p>
            <w:pPr>
              <w:jc w:val="right"/>
              <w:ind w:right="1130"/>
              <w:spacing w:after="0"/>
              <w:rPr>
                <w:sz w:val="20"/>
                <w:szCs w:val="20"/>
                <w:color w:val="auto"/>
              </w:rPr>
            </w:pPr>
            <w:r>
              <w:rPr>
                <w:rFonts w:ascii="Arial" w:cs="Arial" w:eastAsia="Arial" w:hAnsi="Arial"/>
                <w:sz w:val="18"/>
                <w:szCs w:val="18"/>
                <w:color w:val="auto"/>
                <w:w w:val="90"/>
              </w:rPr>
              <w:t>Effective tax rate on pre-tax book income:</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effective tax rate for the quarter ended July 31, 2016 is 5.4% compared to 44% in the quarter ended July 31, 2015. The current and prior year effective tax rates reflect the impact of deductible permanent differences included in the computation of taxable income as well as losses generated by non-domestic operations for which no tax benefit is recognized. The decrease in the effective tax rate is primarily due to changes in the earnings mix between U.S. and non-domestic operations. Consequently, for the three months ended July 31, 2016 and 2015, the Company recorded an income tax benefit of $40 and an income tax provision of $700, respectively.</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Based upon the Company’s anticipated earnings in the U.S., the Company’s estimated annual effective tax rate for fiscal 2017, excluding discrete items, is estimated to be approximately 32%. Due to historical losses, the Company does not recognize an income tax benefit on pretax losses generated by its non-domestic operations. The Company’s projected annual effective tax rate is lower than the federal statutory rate of 34% primarily due to the impact of deductible permanent differences included in the computation of U.S. taxable income. The Company utilizes the availability of R&amp;D credits and the Domestic Productions Activity deduction in the U.S. to lower its effective tax 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income</w:t>
      </w:r>
    </w:p>
    <w:p>
      <w:pPr>
        <w:spacing w:after="0" w:line="21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8890</wp:posOffset>
            </wp:positionV>
            <wp:extent cx="3087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232" w:lineRule="exact"/>
        <w:rPr>
          <w:sz w:val="20"/>
          <w:szCs w:val="20"/>
          <w:color w:val="auto"/>
        </w:rPr>
      </w:pPr>
    </w:p>
    <w:tbl>
      <w:tblPr>
        <w:tblLayout w:type="fixed"/>
        <w:tblInd w:w="3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(706)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(1,597)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r>
    </w:tbl>
    <w:p>
      <w:pPr>
        <w:spacing w:after="0" w:line="1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detailed above, operating profits and pretax income were lower for the period ended July 31, 2016 as compared to the same periods of fiscal year 2016 resulting in reduced net income for the period ended July 31, 2016.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Company’s balance sheet continues to reflect a strong working capital position of $75.6 million at July 31, 2016 and April 30, 2016. Included in working capital at July 31, 2016 and April 30 2016, is $15.6 million and $17.2 million, respectively, consisting of cash, cash equivalents and marketable securities. The Company’s current ratio at July 31, 2016 is 9.3 to 1.</w:t>
      </w:r>
    </w:p>
    <w:p>
      <w:pPr>
        <w:spacing w:after="0" w:line="1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For the three months ended July 31, 2016 and 2015 the Company used cash from operations in the amount of $571,000 compared to the use of cash from operating activities of $1.8 million in the comparable fiscal year 2016 period. The decreased cash flow in the fiscal year 2017 period resulted primarily from increase in accounts receivable plus an increase in inventory compared to the balances as of the end of the previous fiscal year offset by an increase in accounts payable. For the three-month periods ended July 31, 2016 and 2015, the Company incurred approximately $1.6 million and $1.2 million, respectively, of non-cash operating expenses such as depreciation and amortization and accruals for employee benefit programs.</w:t>
      </w:r>
    </w:p>
    <w:p>
      <w:pPr>
        <w:spacing w:after="0" w:line="14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Net cash used in investing activities for the three months ended July 31, 2016, was $1.1 million compared to $65,000 used in the same period of fiscal year 2016. There were no sales or redemptions of marketable securities during the three months ended July 31, 2016 compared to $713,000 of such redemptions during the fiscal year 2016 period. Some of these proceeds and other cash were reinvested in additional marketable securities for the period ended July 31, 2015 in the amount of $172,000. In the fiscal quarters ended July 31, 2016 and 2015, the Company acquired property, plant and equipment in the amount of approximately $1.1 million and $606,000,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expects to spend between $2.5 million and $3.5 million on capital equipment during fiscal year 2017. Internally generated cash or additional borrowings under the Company’s credit facility will be used to acquire this level of capital equipment.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cash provided by financing activities for the three months ended July 31, 2016 and 2015 was $1,000 and $8,000, respectively. For the three months ended July 31, 2016 and 2015, the Company realized $1,000 and $8,000, respectively, from the tax benefits arising from the exercise of stock-based awards. There were no additional borrowings or repayments during the first three months of fiscal 2017 or the full fiscal year 2016.</w:t>
      </w:r>
    </w:p>
    <w:p>
      <w:pPr>
        <w:spacing w:after="0" w:line="15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2016, the Company has repurchased approximately $4 million of its common stock out of the $5 million authorization. For the three months ended July 31, 2016 and 2015, there were no repurchase of shares.</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2017,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5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July 31, 2016, the Company's consolidated funded backlog is approximately $36 million compared to $32 million at April 30, 2016, the end of fiscal year 2016. Approximately 75% of this backlog is expected to be realized in the next twelve months. Included in the backlog at July 31, 2016 is approximately $9.7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September 14, 2017.</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July 31, 2016,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three months ended July 31, 2016 to which this report relates that have materially affected, or are reasonably likely to materially affect, the Company’s internal control over financial reporting.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2" w:lineRule="exact"/>
        <w:rPr>
          <w:sz w:val="20"/>
          <w:szCs w:val="20"/>
          <w:color w:val="auto"/>
        </w:rPr>
      </w:pPr>
    </w:p>
    <w:p>
      <w:pPr>
        <w:jc w:val="both"/>
        <w:ind w:left="1260" w:hanging="769"/>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31.1 -</w:t>
      </w:r>
      <w:r>
        <w:rPr>
          <w:sz w:val="20"/>
          <w:szCs w:val="20"/>
          <w:color w:val="auto"/>
        </w:rPr>
        <w:tab/>
      </w:r>
      <w:hyperlink w:anchor="page21">
        <w:r>
          <w:rPr>
            <w:rFonts w:ascii="Arial" w:cs="Arial" w:eastAsia="Arial" w:hAnsi="Arial"/>
            <w:sz w:val="18"/>
            <w:szCs w:val="18"/>
            <w:u w:val="single" w:color="auto"/>
            <w:color w:val="0000EE"/>
          </w:rPr>
          <w:t>Certification by the Chief Executive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pursuant to Section 302 of the Sarbanes-Oxley Act of 2002.</w:t>
        </w:r>
      </w:hyperlink>
    </w:p>
    <w:p>
      <w:pPr>
        <w:spacing w:after="0" w:line="157" w:lineRule="exact"/>
        <w:rPr>
          <w:sz w:val="20"/>
          <w:szCs w:val="20"/>
          <w:color w:val="auto"/>
        </w:rPr>
      </w:pPr>
    </w:p>
    <w:p>
      <w:pPr>
        <w:jc w:val="both"/>
        <w:ind w:left="1260" w:hanging="769"/>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31.2 -</w:t>
      </w:r>
      <w:r>
        <w:rPr>
          <w:sz w:val="20"/>
          <w:szCs w:val="20"/>
          <w:color w:val="auto"/>
        </w:rPr>
        <w:tab/>
      </w:r>
      <w:hyperlink w:anchor="page22">
        <w:r>
          <w:rPr>
            <w:rFonts w:ascii="Arial" w:cs="Arial" w:eastAsia="Arial" w:hAnsi="Arial"/>
            <w:sz w:val="18"/>
            <w:szCs w:val="18"/>
            <w:u w:val="single" w:color="auto"/>
            <w:color w:val="0000EE"/>
          </w:rPr>
          <w:t>Certification by the Chief Financial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2">
        <w:r>
          <w:rPr>
            <w:rFonts w:ascii="Arial" w:cs="Arial" w:eastAsia="Arial" w:hAnsi="Arial"/>
            <w:sz w:val="18"/>
            <w:szCs w:val="18"/>
            <w:u w:val="single" w:color="auto"/>
            <w:color w:val="0000EE"/>
          </w:rPr>
          <w:t>pursuant to Section 302 of the Sarbanes-Oxley Act of 2002.</w:t>
        </w:r>
      </w:hyperlink>
    </w:p>
    <w:p>
      <w:pPr>
        <w:spacing w:after="0" w:line="157" w:lineRule="exact"/>
        <w:rPr>
          <w:sz w:val="20"/>
          <w:szCs w:val="20"/>
          <w:color w:val="auto"/>
        </w:rPr>
      </w:pPr>
    </w:p>
    <w:p>
      <w:pPr>
        <w:ind w:left="50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32 -</w:t>
      </w:r>
      <w:r>
        <w:rPr>
          <w:sz w:val="20"/>
          <w:szCs w:val="20"/>
          <w:color w:val="auto"/>
        </w:rPr>
        <w:tab/>
      </w:r>
      <w:hyperlink w:anchor="page23">
        <w:r>
          <w:rPr>
            <w:rFonts w:ascii="Arial" w:cs="Arial" w:eastAsia="Arial" w:hAnsi="Arial"/>
            <w:sz w:val="16"/>
            <w:szCs w:val="16"/>
            <w:u w:val="single" w:color="auto"/>
            <w:color w:val="0000EE"/>
          </w:rPr>
          <w:t>Certifications by the Chief Executive Officer and Chief Financial Officer pursuant to 18 U.S.C. Section 1350, as adopted pursuant to Section</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906 of the Sarbanes-Oxley Act of 2002.</w:t>
        </w:r>
      </w:hyperlink>
    </w:p>
    <w:p>
      <w:pPr>
        <w:spacing w:after="0" w:line="197" w:lineRule="exact"/>
        <w:rPr>
          <w:sz w:val="20"/>
          <w:szCs w:val="20"/>
          <w:color w:val="auto"/>
        </w:rPr>
      </w:pPr>
    </w:p>
    <w:p>
      <w:pPr>
        <w:jc w:val="both"/>
        <w:ind w:left="1260" w:hanging="769"/>
        <w:spacing w:after="0" w:line="259" w:lineRule="auto"/>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Frequency Electronics, Inc. Quarterly Report on Form 10-Q for the quarter ended July 31, 2016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6740" w:type="dxa"/>
            <w:vAlign w:val="bottom"/>
            <w:gridSpan w:val="3"/>
          </w:tcPr>
          <w:p>
            <w:pPr>
              <w:ind w:left="1580"/>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3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780" w:type="dxa"/>
            <w:vAlign w:val="bottom"/>
            <w:gridSpan w:val="2"/>
          </w:tcPr>
          <w:p>
            <w:pPr>
              <w:ind w:left="740"/>
              <w:spacing w:after="0"/>
              <w:rPr>
                <w:sz w:val="20"/>
                <w:szCs w:val="20"/>
                <w:color w:val="auto"/>
              </w:rPr>
            </w:pPr>
            <w:r>
              <w:rPr>
                <w:rFonts w:ascii="Arial" w:cs="Arial" w:eastAsia="Arial" w:hAnsi="Arial"/>
                <w:sz w:val="18"/>
                <w:szCs w:val="18"/>
                <w:color w:val="auto"/>
              </w:rPr>
              <w:t>(Registrant)</w:t>
            </w:r>
          </w:p>
        </w:tc>
      </w:tr>
      <w:tr>
        <w:trPr>
          <w:trHeight w:val="567"/>
        </w:trPr>
        <w:tc>
          <w:tcPr>
            <w:tcW w:w="3460" w:type="dxa"/>
            <w:vAlign w:val="bottom"/>
          </w:tcPr>
          <w:p>
            <w:pPr>
              <w:spacing w:after="0"/>
              <w:rPr>
                <w:sz w:val="20"/>
                <w:szCs w:val="20"/>
                <w:color w:val="auto"/>
              </w:rPr>
            </w:pPr>
            <w:r>
              <w:rPr>
                <w:rFonts w:ascii="Arial" w:cs="Arial" w:eastAsia="Arial" w:hAnsi="Arial"/>
                <w:sz w:val="18"/>
                <w:szCs w:val="18"/>
                <w:color w:val="auto"/>
              </w:rPr>
              <w:t>Date: September 14, 2016</w:t>
            </w:r>
          </w:p>
        </w:tc>
        <w:tc>
          <w:tcPr>
            <w:tcW w:w="6740" w:type="dxa"/>
            <w:vAlign w:val="bottom"/>
            <w:gridSpan w:val="3"/>
          </w:tcPr>
          <w:p>
            <w:pPr>
              <w:ind w:left="1660"/>
              <w:spacing w:after="0"/>
              <w:rPr>
                <w:sz w:val="20"/>
                <w:szCs w:val="20"/>
                <w:color w:val="auto"/>
              </w:rPr>
            </w:pPr>
            <w:r>
              <w:rPr>
                <w:rFonts w:ascii="Arial" w:cs="Arial" w:eastAsia="Arial" w:hAnsi="Arial"/>
                <w:sz w:val="18"/>
                <w:szCs w:val="18"/>
                <w:color w:val="auto"/>
              </w:rPr>
              <w:t>BY  /s/  Steven L. Bernstein</w:t>
            </w:r>
          </w:p>
        </w:tc>
      </w:tr>
      <w:tr>
        <w:trPr>
          <w:trHeight w:val="195"/>
        </w:trPr>
        <w:tc>
          <w:tcPr>
            <w:tcW w:w="3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Bernstein</w:t>
            </w:r>
          </w:p>
        </w:tc>
        <w:tc>
          <w:tcPr>
            <w:tcW w:w="1480" w:type="dxa"/>
            <w:vAlign w:val="bottom"/>
          </w:tcPr>
          <w:p>
            <w:pPr>
              <w:spacing w:after="0"/>
              <w:rPr>
                <w:sz w:val="16"/>
                <w:szCs w:val="16"/>
                <w:color w:val="auto"/>
              </w:rPr>
            </w:pPr>
          </w:p>
        </w:tc>
      </w:tr>
      <w:tr>
        <w:trPr>
          <w:trHeight w:val="203"/>
        </w:trPr>
        <w:tc>
          <w:tcPr>
            <w:tcW w:w="3460" w:type="dxa"/>
            <w:vAlign w:val="bottom"/>
          </w:tcPr>
          <w:p>
            <w:pPr>
              <w:spacing w:after="0"/>
              <w:rPr>
                <w:sz w:val="17"/>
                <w:szCs w:val="17"/>
                <w:color w:val="auto"/>
              </w:rPr>
            </w:pPr>
          </w:p>
        </w:tc>
        <w:tc>
          <w:tcPr>
            <w:tcW w:w="6740" w:type="dxa"/>
            <w:vAlign w:val="bottom"/>
            <w:gridSpan w:val="3"/>
          </w:tcPr>
          <w:p>
            <w:pPr>
              <w:ind w:left="190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3460" w:type="dxa"/>
            <w:vAlign w:val="bottom"/>
          </w:tcPr>
          <w:p>
            <w:pPr>
              <w:spacing w:after="0"/>
              <w:rPr>
                <w:sz w:val="20"/>
                <w:szCs w:val="20"/>
                <w:color w:val="auto"/>
              </w:rPr>
            </w:pPr>
          </w:p>
        </w:tc>
        <w:tc>
          <w:tcPr>
            <w:tcW w:w="6740" w:type="dxa"/>
            <w:vAlign w:val="bottom"/>
            <w:gridSpan w:val="3"/>
          </w:tcPr>
          <w:p>
            <w:pPr>
              <w:ind w:left="1900"/>
              <w:spacing w:after="0"/>
              <w:rPr>
                <w:sz w:val="20"/>
                <w:szCs w:val="20"/>
                <w:color w:val="auto"/>
              </w:rPr>
            </w:pPr>
            <w:r>
              <w:rPr>
                <w:rFonts w:ascii="Arial" w:cs="Arial" w:eastAsia="Arial" w:hAnsi="Arial"/>
                <w:sz w:val="18"/>
                <w:szCs w:val="18"/>
                <w:color w:val="auto"/>
                <w:w w:val="91"/>
              </w:rPr>
              <w:t>Signing on behalf of the registrant and as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9" w:name="page20"/>
    <w:bookmarkEnd w:id="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198"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198" w:lineRule="exact"/>
        <w:rPr>
          <w:rFonts w:ascii="Arial" w:cs="Arial" w:eastAsia="Arial" w:hAnsi="Arial"/>
          <w:sz w:val="18"/>
          <w:szCs w:val="18"/>
          <w:color w:val="auto"/>
        </w:rPr>
      </w:pPr>
    </w:p>
    <w:p>
      <w:pPr>
        <w:ind w:right="20" w:firstLine="8"/>
        <w:spacing w:after="0" w:line="324"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firstLine="8"/>
        <w:spacing w:after="0" w:line="262"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firstLine="8"/>
        <w:spacing w:after="0" w:line="248"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660" w:hanging="4"/>
        <w:spacing w:after="0" w:line="248"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660" w:right="20" w:hanging="4"/>
        <w:spacing w:after="0" w:line="248"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660" w:hanging="4"/>
        <w:spacing w:after="0" w:line="291"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7"/>
          <w:szCs w:val="17"/>
          <w:color w:val="auto"/>
        </w:rPr>
      </w:pPr>
    </w:p>
    <w:p>
      <w:pPr>
        <w:jc w:val="both"/>
        <w:ind w:left="660" w:hanging="4"/>
        <w:spacing w:after="0" w:line="248"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right="20" w:firstLine="8"/>
        <w:spacing w:after="0" w:line="291"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660" w:right="20" w:hanging="4"/>
        <w:spacing w:after="0" w:line="262"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hanging="4"/>
        <w:spacing w:after="0" w:line="262"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4700" w:type="dxa"/>
            <w:vAlign w:val="bottom"/>
          </w:tcPr>
          <w:p>
            <w:pPr>
              <w:ind w:left="3240"/>
              <w:spacing w:after="0"/>
              <w:rPr>
                <w:sz w:val="20"/>
                <w:szCs w:val="20"/>
                <w:color w:val="auto"/>
              </w:rPr>
            </w:pPr>
            <w:r>
              <w:rPr>
                <w:rFonts w:ascii="Arial" w:cs="Arial" w:eastAsia="Arial" w:hAnsi="Arial"/>
                <w:sz w:val="18"/>
                <w:szCs w:val="18"/>
                <w:color w:val="auto"/>
                <w:w w:val="88"/>
              </w:rPr>
              <w:t>September 14, 2016</w:t>
            </w:r>
          </w:p>
        </w:tc>
      </w:tr>
      <w:tr>
        <w:trPr>
          <w:trHeight w:val="195"/>
        </w:trPr>
        <w:tc>
          <w:tcPr>
            <w:tcW w:w="60" w:type="dxa"/>
            <w:vAlign w:val="bottom"/>
          </w:tcPr>
          <w:p>
            <w:pPr>
              <w:spacing w:after="0"/>
              <w:rPr>
                <w:sz w:val="16"/>
                <w:szCs w:val="16"/>
                <w:color w:val="auto"/>
              </w:rPr>
            </w:pPr>
          </w:p>
        </w:tc>
        <w:tc>
          <w:tcPr>
            <w:tcW w:w="2200" w:type="dxa"/>
            <w:vAlign w:val="bottom"/>
          </w:tcPr>
          <w:p>
            <w:pPr>
              <w:spacing w:after="0" w:line="195" w:lineRule="exact"/>
              <w:rPr>
                <w:sz w:val="20"/>
                <w:szCs w:val="20"/>
                <w:color w:val="auto"/>
              </w:rPr>
            </w:pPr>
            <w:r>
              <w:rPr>
                <w:rFonts w:ascii="Arial" w:cs="Arial" w:eastAsia="Arial" w:hAnsi="Arial"/>
                <w:sz w:val="18"/>
                <w:szCs w:val="18"/>
                <w:color w:val="auto"/>
              </w:rPr>
              <w:t>Martin Bloch</w:t>
            </w:r>
          </w:p>
        </w:tc>
        <w:tc>
          <w:tcPr>
            <w:tcW w:w="4700" w:type="dxa"/>
            <w:vAlign w:val="bottom"/>
          </w:tcPr>
          <w:p>
            <w:pPr>
              <w:spacing w:after="0"/>
              <w:rPr>
                <w:sz w:val="16"/>
                <w:szCs w:val="16"/>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700" w:type="dxa"/>
            <w:vAlign w:val="bottom"/>
          </w:tcPr>
          <w:p>
            <w:pPr>
              <w:spacing w:after="0"/>
              <w:rPr>
                <w:sz w:val="20"/>
                <w:szCs w:val="20"/>
                <w:color w:val="auto"/>
              </w:rPr>
            </w:pPr>
          </w:p>
        </w:tc>
      </w:tr>
    </w:tbl>
    <w:p>
      <w:pPr>
        <w:sectPr>
          <w:pgSz w:w="11900" w:h="16838" w:orient="portrait"/>
          <w:cols w:equalWidth="0" w:num="1">
            <w:col w:w="11420"/>
          </w:cols>
          <w:pgMar w:left="240" w:top="368"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198"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198" w:lineRule="exact"/>
        <w:rPr>
          <w:rFonts w:ascii="Arial" w:cs="Arial" w:eastAsia="Arial" w:hAnsi="Arial"/>
          <w:sz w:val="18"/>
          <w:szCs w:val="18"/>
          <w:color w:val="auto"/>
        </w:rPr>
      </w:pPr>
    </w:p>
    <w:p>
      <w:pPr>
        <w:ind w:right="20" w:firstLine="8"/>
        <w:spacing w:after="0" w:line="324"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firstLine="8"/>
        <w:spacing w:after="0" w:line="262"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firstLine="8"/>
        <w:spacing w:after="0" w:line="248" w:lineRule="auto"/>
        <w:tabs>
          <w:tab w:leader="none" w:pos="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660" w:hanging="4"/>
        <w:spacing w:after="0" w:line="248" w:lineRule="auto"/>
        <w:tabs>
          <w:tab w:leader="none" w:pos="9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660" w:right="20" w:hanging="4"/>
        <w:spacing w:after="0" w:line="248"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660" w:hanging="4"/>
        <w:spacing w:after="0" w:line="291" w:lineRule="auto"/>
        <w:tabs>
          <w:tab w:leader="none" w:pos="1027"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7"/>
          <w:szCs w:val="17"/>
          <w:color w:val="auto"/>
        </w:rPr>
      </w:pPr>
    </w:p>
    <w:p>
      <w:pPr>
        <w:jc w:val="both"/>
        <w:ind w:left="660" w:hanging="4"/>
        <w:spacing w:after="0" w:line="248" w:lineRule="auto"/>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right="20" w:firstLine="8"/>
        <w:spacing w:after="0" w:line="291" w:lineRule="auto"/>
        <w:tabs>
          <w:tab w:leader="none" w:pos="25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660" w:right="20" w:hanging="4"/>
        <w:spacing w:after="0" w:line="262"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hanging="4"/>
        <w:spacing w:after="0" w:line="262" w:lineRule="auto"/>
        <w:tabs>
          <w:tab w:leader="none" w:pos="9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4460" w:type="dxa"/>
            <w:vAlign w:val="bottom"/>
          </w:tcPr>
          <w:p>
            <w:pPr>
              <w:ind w:left="3020"/>
              <w:spacing w:after="0"/>
              <w:rPr>
                <w:sz w:val="20"/>
                <w:szCs w:val="20"/>
                <w:color w:val="auto"/>
              </w:rPr>
            </w:pPr>
            <w:r>
              <w:rPr>
                <w:rFonts w:ascii="Arial" w:cs="Arial" w:eastAsia="Arial" w:hAnsi="Arial"/>
                <w:sz w:val="18"/>
                <w:szCs w:val="18"/>
                <w:color w:val="auto"/>
                <w:w w:val="87"/>
              </w:rPr>
              <w:t>September 14, 2016</w:t>
            </w:r>
          </w:p>
        </w:tc>
      </w:tr>
      <w:tr>
        <w:trPr>
          <w:trHeight w:val="195"/>
        </w:trPr>
        <w:tc>
          <w:tcPr>
            <w:tcW w:w="6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Steven L. Bernstein</w:t>
            </w:r>
          </w:p>
        </w:tc>
        <w:tc>
          <w:tcPr>
            <w:tcW w:w="4460" w:type="dxa"/>
            <w:vAlign w:val="bottom"/>
          </w:tcPr>
          <w:p>
            <w:pPr>
              <w:spacing w:after="0"/>
              <w:rPr>
                <w:sz w:val="16"/>
                <w:szCs w:val="16"/>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460" w:type="dxa"/>
            <w:vAlign w:val="bottom"/>
          </w:tcPr>
          <w:p>
            <w:pPr>
              <w:spacing w:after="0"/>
              <w:rPr>
                <w:sz w:val="20"/>
                <w:szCs w:val="20"/>
                <w:color w:val="auto"/>
              </w:rPr>
            </w:pPr>
          </w:p>
        </w:tc>
      </w:tr>
    </w:tbl>
    <w:p>
      <w:pPr>
        <w:sectPr>
          <w:pgSz w:w="11900" w:h="16838" w:orient="portrait"/>
          <w:cols w:equalWidth="0" w:num="1">
            <w:col w:w="11420"/>
          </w:cols>
          <w:pgMar w:left="240" w:top="36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32</w:t>
      </w:r>
    </w:p>
    <w:p>
      <w:pPr>
        <w:spacing w:after="0" w:line="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CERTIFICATION PURSUANT TO</w:t>
      </w:r>
    </w:p>
    <w:p>
      <w:pPr>
        <w:jc w:val="center"/>
        <w:ind w:right="640"/>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640"/>
        <w:spacing w:after="0" w:line="235" w:lineRule="auto"/>
        <w:rPr>
          <w:sz w:val="20"/>
          <w:szCs w:val="20"/>
          <w:color w:val="auto"/>
        </w:rPr>
      </w:pPr>
      <w:r>
        <w:rPr>
          <w:rFonts w:ascii="Arial" w:cs="Arial" w:eastAsia="Arial" w:hAnsi="Arial"/>
          <w:sz w:val="18"/>
          <w:szCs w:val="18"/>
          <w:b w:val="1"/>
          <w:bCs w:val="1"/>
          <w:color w:val="auto"/>
        </w:rPr>
        <w:t>ADOPTED PURSUANT TO</w:t>
      </w:r>
    </w:p>
    <w:p>
      <w:pPr>
        <w:spacing w:after="0" w:line="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2016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69" w:lineRule="exact"/>
        <w:rPr>
          <w:sz w:val="20"/>
          <w:szCs w:val="20"/>
          <w:color w:val="auto"/>
        </w:rPr>
      </w:pPr>
    </w:p>
    <w:p>
      <w:pPr>
        <w:ind w:left="960" w:hanging="30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60" w:hanging="30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4000" w:type="dxa"/>
            <w:vAlign w:val="bottom"/>
          </w:tcPr>
          <w:p>
            <w:pPr>
              <w:jc w:val="right"/>
              <w:spacing w:after="0"/>
              <w:rPr>
                <w:sz w:val="20"/>
                <w:szCs w:val="20"/>
                <w:color w:val="auto"/>
              </w:rPr>
            </w:pPr>
            <w:r>
              <w:rPr>
                <w:rFonts w:ascii="Arial" w:cs="Arial" w:eastAsia="Arial" w:hAnsi="Arial"/>
                <w:sz w:val="18"/>
                <w:szCs w:val="18"/>
                <w:color w:val="auto"/>
              </w:rPr>
              <w:t>September 14, 2016</w:t>
            </w:r>
          </w:p>
        </w:tc>
      </w:tr>
      <w:tr>
        <w:trPr>
          <w:trHeight w:val="195"/>
        </w:trPr>
        <w:tc>
          <w:tcPr>
            <w:tcW w:w="2980" w:type="dxa"/>
            <w:vAlign w:val="bottom"/>
          </w:tcPr>
          <w:p>
            <w:pPr>
              <w:ind w:left="280"/>
              <w:spacing w:after="0" w:line="195" w:lineRule="exact"/>
              <w:rPr>
                <w:sz w:val="20"/>
                <w:szCs w:val="20"/>
                <w:color w:val="auto"/>
              </w:rPr>
            </w:pPr>
            <w:r>
              <w:rPr>
                <w:rFonts w:ascii="Arial" w:cs="Arial" w:eastAsia="Arial" w:hAnsi="Arial"/>
                <w:sz w:val="18"/>
                <w:szCs w:val="18"/>
                <w:color w:val="auto"/>
              </w:rPr>
              <w:t>Martin Bloch</w:t>
            </w:r>
          </w:p>
        </w:tc>
        <w:tc>
          <w:tcPr>
            <w:tcW w:w="4000" w:type="dxa"/>
            <w:vAlign w:val="bottom"/>
          </w:tcPr>
          <w:p>
            <w:pPr>
              <w:spacing w:after="0"/>
              <w:rPr>
                <w:sz w:val="16"/>
                <w:szCs w:val="16"/>
                <w:color w:val="auto"/>
              </w:rPr>
            </w:pPr>
          </w:p>
        </w:tc>
      </w:tr>
      <w:tr>
        <w:trPr>
          <w:trHeight w:val="230"/>
        </w:trPr>
        <w:tc>
          <w:tcPr>
            <w:tcW w:w="298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4000" w:type="dxa"/>
            <w:vAlign w:val="bottom"/>
          </w:tcPr>
          <w:p>
            <w:pPr>
              <w:spacing w:after="0"/>
              <w:rPr>
                <w:sz w:val="20"/>
                <w:szCs w:val="20"/>
                <w:color w:val="auto"/>
              </w:rPr>
            </w:pPr>
          </w:p>
        </w:tc>
      </w:tr>
      <w:tr>
        <w:trPr>
          <w:trHeight w:val="405"/>
        </w:trPr>
        <w:tc>
          <w:tcPr>
            <w:tcW w:w="2980" w:type="dxa"/>
            <w:vAlign w:val="bottom"/>
          </w:tcPr>
          <w:p>
            <w:pPr>
              <w:spacing w:after="0"/>
              <w:rPr>
                <w:sz w:val="24"/>
                <w:szCs w:val="24"/>
                <w:color w:val="auto"/>
              </w:rPr>
            </w:pPr>
          </w:p>
        </w:tc>
        <w:tc>
          <w:tcPr>
            <w:tcW w:w="4000" w:type="dxa"/>
            <w:vAlign w:val="bottom"/>
          </w:tcPr>
          <w:p>
            <w:pPr>
              <w:jc w:val="right"/>
              <w:ind w:right="750"/>
              <w:spacing w:after="0"/>
              <w:rPr>
                <w:sz w:val="20"/>
                <w:szCs w:val="20"/>
                <w:color w:val="auto"/>
              </w:rPr>
            </w:pPr>
            <w:r>
              <w:rPr>
                <w:rFonts w:ascii="Arial" w:cs="Arial" w:eastAsia="Arial" w:hAnsi="Arial"/>
                <w:sz w:val="18"/>
                <w:szCs w:val="18"/>
                <w:b w:val="1"/>
                <w:bCs w:val="1"/>
                <w:color w:val="auto"/>
              </w:rPr>
              <w:t>******************</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2016 as filed with the Securities and Exchange Commission on the date hereof (the “Report”), I, Steven L. Bernstein, Chief Financial Officer of the Company, certify, pursuant to 18 U.S.C. Section 1350, as adopted pursuant to Section 906 of the Sarbanes-Oxley Act of 2002, that to my knowledge:</w:t>
      </w:r>
    </w:p>
    <w:p>
      <w:pPr>
        <w:spacing w:after="0" w:line="151" w:lineRule="exact"/>
        <w:rPr>
          <w:sz w:val="20"/>
          <w:szCs w:val="20"/>
          <w:color w:val="auto"/>
        </w:rPr>
      </w:pPr>
    </w:p>
    <w:p>
      <w:pPr>
        <w:ind w:left="960" w:hanging="30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60" w:hanging="304"/>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4000" w:type="dxa"/>
            <w:vAlign w:val="bottom"/>
          </w:tcPr>
          <w:p>
            <w:pPr>
              <w:ind w:left="2560"/>
              <w:spacing w:after="0"/>
              <w:rPr>
                <w:sz w:val="20"/>
                <w:szCs w:val="20"/>
                <w:color w:val="auto"/>
              </w:rPr>
            </w:pPr>
            <w:r>
              <w:rPr>
                <w:rFonts w:ascii="Arial" w:cs="Arial" w:eastAsia="Arial" w:hAnsi="Arial"/>
                <w:sz w:val="18"/>
                <w:szCs w:val="18"/>
                <w:color w:val="auto"/>
                <w:w w:val="87"/>
              </w:rPr>
              <w:t>September 14, 2016</w:t>
            </w:r>
          </w:p>
        </w:tc>
      </w:tr>
      <w:tr>
        <w:trPr>
          <w:trHeight w:val="195"/>
        </w:trPr>
        <w:tc>
          <w:tcPr>
            <w:tcW w:w="2900" w:type="dxa"/>
            <w:vAlign w:val="bottom"/>
          </w:tcPr>
          <w:p>
            <w:pPr>
              <w:ind w:left="280"/>
              <w:spacing w:after="0" w:line="195" w:lineRule="exact"/>
              <w:rPr>
                <w:sz w:val="20"/>
                <w:szCs w:val="20"/>
                <w:color w:val="auto"/>
              </w:rPr>
            </w:pPr>
            <w:r>
              <w:rPr>
                <w:rFonts w:ascii="Arial" w:cs="Arial" w:eastAsia="Arial" w:hAnsi="Arial"/>
                <w:sz w:val="18"/>
                <w:szCs w:val="18"/>
                <w:color w:val="auto"/>
              </w:rPr>
              <w:t>Steven L. Bernstein</w:t>
            </w:r>
          </w:p>
        </w:tc>
        <w:tc>
          <w:tcPr>
            <w:tcW w:w="4000" w:type="dxa"/>
            <w:vAlign w:val="bottom"/>
          </w:tcPr>
          <w:p>
            <w:pPr>
              <w:spacing w:after="0"/>
              <w:rPr>
                <w:sz w:val="16"/>
                <w:szCs w:val="16"/>
                <w:color w:val="auto"/>
              </w:rPr>
            </w:pPr>
          </w:p>
        </w:tc>
      </w:tr>
      <w:tr>
        <w:trPr>
          <w:trHeight w:val="230"/>
        </w:trPr>
        <w:tc>
          <w:tcPr>
            <w:tcW w:w="290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4000" w:type="dxa"/>
            <w:vAlign w:val="bottom"/>
          </w:tcPr>
          <w:p>
            <w:pPr>
              <w:spacing w:after="0"/>
              <w:rPr>
                <w:sz w:val="20"/>
                <w:szCs w:val="20"/>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51" w:lineRule="exact"/>
        <w:rPr>
          <w:sz w:val="20"/>
          <w:szCs w:val="20"/>
          <w:color w:val="auto"/>
        </w:rPr>
      </w:pPr>
    </w:p>
    <w:p>
      <w:pPr>
        <w:jc w:val="both"/>
        <w:ind w:left="500"/>
        <w:spacing w:after="0" w:line="243"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2019-12-29T09:21:54Z</dcterms:created>
  <dcterms:modified xsi:type="dcterms:W3CDTF">2019-12-29T09:21:54Z</dcterms:modified>
</cp:coreProperties>
</file>