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4240" w:right="1800" w:hanging="3422"/>
        <w:spacing w:after="0" w:line="521" w:lineRule="auto"/>
        <w:tabs>
          <w:tab w:leader="none" w:pos="1301"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 (d) OF THE SECURITIES EXCHANGE ACT OF 1934 For the Fiscal Year ended April 30, 2010</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56" w:lineRule="exact"/>
        <w:rPr>
          <w:sz w:val="24"/>
          <w:szCs w:val="24"/>
          <w:color w:val="auto"/>
        </w:rPr>
      </w:pPr>
    </w:p>
    <w:p>
      <w:pPr>
        <w:jc w:val="center"/>
        <w:ind w:left="3600" w:right="1480" w:hanging="2782"/>
        <w:spacing w:after="0" w:line="532" w:lineRule="auto"/>
        <w:tabs>
          <w:tab w:leader="none" w:pos="129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FREQUENCY ELECTRONICS,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520" w:type="dxa"/>
            <w:vAlign w:val="bottom"/>
            <w:gridSpan w:val="3"/>
          </w:tcPr>
          <w:p>
            <w:pPr>
              <w:jc w:val="center"/>
              <w:ind w:right="2680"/>
              <w:spacing w:after="0"/>
              <w:rPr>
                <w:sz w:val="20"/>
                <w:szCs w:val="20"/>
                <w:color w:val="auto"/>
              </w:rPr>
            </w:pPr>
            <w:r>
              <w:rPr>
                <w:rFonts w:ascii="Arial" w:cs="Arial" w:eastAsia="Arial" w:hAnsi="Arial"/>
                <w:sz w:val="18"/>
                <w:szCs w:val="18"/>
                <w:b w:val="1"/>
                <w:bCs w:val="1"/>
                <w:color w:val="auto"/>
                <w:w w:val="91"/>
              </w:rPr>
              <w:t>Delaware</w:t>
            </w:r>
          </w:p>
        </w:tc>
        <w:tc>
          <w:tcPr>
            <w:tcW w:w="2900" w:type="dxa"/>
            <w:vAlign w:val="bottom"/>
          </w:tcPr>
          <w:p>
            <w:pPr>
              <w:jc w:val="right"/>
              <w:ind w:right="101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8520" w:type="dxa"/>
            <w:vAlign w:val="bottom"/>
            <w:gridSpan w:val="3"/>
          </w:tcPr>
          <w:p>
            <w:pPr>
              <w:jc w:val="center"/>
              <w:ind w:right="2680"/>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right="9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8520" w:type="dxa"/>
            <w:vAlign w:val="bottom"/>
            <w:gridSpan w:val="3"/>
          </w:tcPr>
          <w:p>
            <w:pPr>
              <w:jc w:val="center"/>
              <w:ind w:right="2680"/>
              <w:spacing w:after="0"/>
              <w:rPr>
                <w:sz w:val="20"/>
                <w:szCs w:val="20"/>
                <w:color w:val="auto"/>
              </w:rPr>
            </w:pPr>
            <w:r>
              <w:rPr>
                <w:rFonts w:ascii="Arial" w:cs="Arial" w:eastAsia="Arial" w:hAnsi="Arial"/>
                <w:sz w:val="18"/>
                <w:szCs w:val="18"/>
                <w:color w:val="auto"/>
                <w:w w:val="92"/>
              </w:rPr>
              <w:t>incorporation or organization)</w:t>
            </w:r>
          </w:p>
        </w:tc>
        <w:tc>
          <w:tcPr>
            <w:tcW w:w="2900" w:type="dxa"/>
            <w:vAlign w:val="bottom"/>
          </w:tcPr>
          <w:p>
            <w:pPr>
              <w:spacing w:after="0"/>
              <w:rPr>
                <w:sz w:val="20"/>
                <w:szCs w:val="20"/>
                <w:color w:val="auto"/>
              </w:rPr>
            </w:pPr>
          </w:p>
        </w:tc>
      </w:tr>
      <w:tr>
        <w:trPr>
          <w:trHeight w:val="418"/>
        </w:trPr>
        <w:tc>
          <w:tcPr>
            <w:tcW w:w="8520" w:type="dxa"/>
            <w:vAlign w:val="bottom"/>
            <w:gridSpan w:val="3"/>
          </w:tcPr>
          <w:p>
            <w:pPr>
              <w:jc w:val="center"/>
              <w:ind w:right="2680"/>
              <w:spacing w:after="0"/>
              <w:rPr>
                <w:sz w:val="20"/>
                <w:szCs w:val="20"/>
                <w:color w:val="auto"/>
              </w:rPr>
            </w:pPr>
            <w:r>
              <w:rPr>
                <w:rFonts w:ascii="Arial" w:cs="Arial" w:eastAsia="Arial" w:hAnsi="Arial"/>
                <w:sz w:val="18"/>
                <w:szCs w:val="18"/>
                <w:b w:val="1"/>
                <w:bCs w:val="1"/>
                <w:color w:val="auto"/>
              </w:rPr>
              <w:t>55 CHARLES LINDBERGH BLVD., MITCHEL FIELD, N.Y.</w:t>
            </w:r>
          </w:p>
        </w:tc>
        <w:tc>
          <w:tcPr>
            <w:tcW w:w="2900" w:type="dxa"/>
            <w:vAlign w:val="bottom"/>
          </w:tcPr>
          <w:p>
            <w:pPr>
              <w:jc w:val="right"/>
              <w:ind w:right="1230"/>
              <w:spacing w:after="0"/>
              <w:rPr>
                <w:sz w:val="20"/>
                <w:szCs w:val="20"/>
                <w:color w:val="auto"/>
              </w:rPr>
            </w:pPr>
            <w:r>
              <w:rPr>
                <w:rFonts w:ascii="Arial" w:cs="Arial" w:eastAsia="Arial" w:hAnsi="Arial"/>
                <w:sz w:val="18"/>
                <w:szCs w:val="18"/>
                <w:b w:val="1"/>
                <w:bCs w:val="1"/>
                <w:color w:val="auto"/>
              </w:rPr>
              <w:t>11553</w:t>
            </w:r>
          </w:p>
        </w:tc>
      </w:tr>
      <w:tr>
        <w:trPr>
          <w:trHeight w:val="230"/>
        </w:trPr>
        <w:tc>
          <w:tcPr>
            <w:tcW w:w="8520" w:type="dxa"/>
            <w:vAlign w:val="bottom"/>
            <w:gridSpan w:val="3"/>
          </w:tcPr>
          <w:p>
            <w:pPr>
              <w:jc w:val="center"/>
              <w:ind w:right="268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right="90"/>
              <w:spacing w:after="0"/>
              <w:rPr>
                <w:sz w:val="20"/>
                <w:szCs w:val="20"/>
                <w:color w:val="auto"/>
              </w:rPr>
            </w:pPr>
            <w:r>
              <w:rPr>
                <w:rFonts w:ascii="Arial" w:cs="Arial" w:eastAsia="Arial" w:hAnsi="Arial"/>
                <w:sz w:val="18"/>
                <w:szCs w:val="18"/>
                <w:color w:val="auto"/>
                <w:w w:val="94"/>
              </w:rPr>
              <w:t>(Zip Code)</w:t>
            </w:r>
          </w:p>
        </w:tc>
      </w:tr>
      <w:tr>
        <w:trPr>
          <w:trHeight w:val="459"/>
        </w:trPr>
        <w:tc>
          <w:tcPr>
            <w:tcW w:w="8520" w:type="dxa"/>
            <w:vAlign w:val="bottom"/>
            <w:gridSpan w:val="3"/>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2900" w:type="dxa"/>
            <w:vAlign w:val="bottom"/>
          </w:tcPr>
          <w:p>
            <w:pPr>
              <w:spacing w:after="0"/>
              <w:rPr>
                <w:sz w:val="24"/>
                <w:szCs w:val="24"/>
                <w:color w:val="auto"/>
              </w:rPr>
            </w:pPr>
          </w:p>
        </w:tc>
      </w:tr>
      <w:tr>
        <w:trPr>
          <w:trHeight w:val="459"/>
        </w:trPr>
        <w:tc>
          <w:tcPr>
            <w:tcW w:w="8520" w:type="dxa"/>
            <w:vAlign w:val="bottom"/>
            <w:gridSpan w:val="3"/>
          </w:tcPr>
          <w:p>
            <w:pPr>
              <w:jc w:val="center"/>
              <w:ind w:left="2830"/>
              <w:spacing w:after="0"/>
              <w:rPr>
                <w:sz w:val="20"/>
                <w:szCs w:val="20"/>
                <w:color w:val="auto"/>
              </w:rPr>
            </w:pPr>
            <w:r>
              <w:rPr>
                <w:rFonts w:ascii="Arial" w:cs="Arial" w:eastAsia="Arial" w:hAnsi="Arial"/>
                <w:sz w:val="18"/>
                <w:szCs w:val="18"/>
                <w:color w:val="auto"/>
                <w:w w:val="90"/>
              </w:rPr>
              <w:t>Securities registered pursuant to Section 12 (b) of the Act:</w:t>
            </w:r>
          </w:p>
        </w:tc>
        <w:tc>
          <w:tcPr>
            <w:tcW w:w="2900" w:type="dxa"/>
            <w:vAlign w:val="bottom"/>
          </w:tcPr>
          <w:p>
            <w:pPr>
              <w:spacing w:after="0"/>
              <w:rPr>
                <w:sz w:val="24"/>
                <w:szCs w:val="24"/>
                <w:color w:val="auto"/>
              </w:rPr>
            </w:pPr>
          </w:p>
        </w:tc>
      </w:tr>
      <w:tr>
        <w:trPr>
          <w:trHeight w:val="445"/>
        </w:trPr>
        <w:tc>
          <w:tcPr>
            <w:tcW w:w="5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tcPr>
          <w:p>
            <w:pPr>
              <w:jc w:val="center"/>
              <w:ind w:right="90"/>
              <w:spacing w:after="0"/>
              <w:rPr>
                <w:sz w:val="20"/>
                <w:szCs w:val="20"/>
                <w:color w:val="auto"/>
              </w:rPr>
            </w:pPr>
            <w:r>
              <w:rPr>
                <w:rFonts w:ascii="Arial" w:cs="Arial" w:eastAsia="Arial" w:hAnsi="Arial"/>
                <w:sz w:val="18"/>
                <w:szCs w:val="18"/>
                <w:color w:val="auto"/>
                <w:w w:val="89"/>
              </w:rPr>
              <w:t>Name of each exchange on</w:t>
            </w:r>
          </w:p>
        </w:tc>
      </w:tr>
      <w:tr>
        <w:trPr>
          <w:trHeight w:val="237"/>
        </w:trPr>
        <w:tc>
          <w:tcPr>
            <w:tcW w:w="8520" w:type="dxa"/>
            <w:vAlign w:val="bottom"/>
            <w:gridSpan w:val="3"/>
          </w:tcPr>
          <w:p>
            <w:pPr>
              <w:jc w:val="center"/>
              <w:ind w:right="2700"/>
              <w:spacing w:after="0"/>
              <w:rPr>
                <w:sz w:val="20"/>
                <w:szCs w:val="20"/>
                <w:color w:val="auto"/>
              </w:rPr>
            </w:pPr>
            <w:r>
              <w:rPr>
                <w:rFonts w:ascii="Arial" w:cs="Arial" w:eastAsia="Arial" w:hAnsi="Arial"/>
                <w:sz w:val="18"/>
                <w:szCs w:val="18"/>
                <w:color w:val="auto"/>
                <w:w w:val="90"/>
              </w:rPr>
              <w:t>Title of each class</w:t>
            </w:r>
          </w:p>
        </w:tc>
        <w:tc>
          <w:tcPr>
            <w:tcW w:w="2900" w:type="dxa"/>
            <w:vAlign w:val="bottom"/>
          </w:tcPr>
          <w:p>
            <w:pPr>
              <w:jc w:val="center"/>
              <w:ind w:right="90"/>
              <w:spacing w:after="0"/>
              <w:rPr>
                <w:sz w:val="20"/>
                <w:szCs w:val="20"/>
                <w:color w:val="auto"/>
              </w:rPr>
            </w:pPr>
            <w:r>
              <w:rPr>
                <w:rFonts w:ascii="Arial" w:cs="Arial" w:eastAsia="Arial" w:hAnsi="Arial"/>
                <w:sz w:val="18"/>
                <w:szCs w:val="18"/>
                <w:color w:val="auto"/>
                <w:w w:val="91"/>
              </w:rPr>
              <w:t>which registered</w:t>
            </w:r>
          </w:p>
        </w:tc>
      </w:tr>
      <w:tr>
        <w:trPr>
          <w:trHeight w:val="234"/>
        </w:trPr>
        <w:tc>
          <w:tcPr>
            <w:tcW w:w="5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5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6"/>
              </w:rPr>
              <w:t>NASDAQ Global Market</w:t>
            </w:r>
          </w:p>
        </w:tc>
      </w:tr>
      <w:tr>
        <w:trPr>
          <w:trHeight w:val="441"/>
        </w:trPr>
        <w:tc>
          <w:tcPr>
            <w:tcW w:w="8520" w:type="dxa"/>
            <w:vAlign w:val="bottom"/>
            <w:gridSpan w:val="3"/>
          </w:tcPr>
          <w:p>
            <w:pPr>
              <w:jc w:val="center"/>
              <w:ind w:left="2830"/>
              <w:spacing w:after="0"/>
              <w:rPr>
                <w:sz w:val="20"/>
                <w:szCs w:val="20"/>
                <w:color w:val="auto"/>
              </w:rPr>
            </w:pPr>
            <w:r>
              <w:rPr>
                <w:rFonts w:ascii="Arial" w:cs="Arial" w:eastAsia="Arial" w:hAnsi="Arial"/>
                <w:sz w:val="18"/>
                <w:szCs w:val="18"/>
                <w:color w:val="auto"/>
                <w:w w:val="90"/>
              </w:rPr>
              <w:t>Securities registered pursuant to Section 12 (g) of the Act:</w:t>
            </w:r>
          </w:p>
        </w:tc>
        <w:tc>
          <w:tcPr>
            <w:tcW w:w="2900" w:type="dxa"/>
            <w:vAlign w:val="bottom"/>
          </w:tcPr>
          <w:p>
            <w:pPr>
              <w:spacing w:after="0"/>
              <w:rPr>
                <w:sz w:val="24"/>
                <w:szCs w:val="24"/>
                <w:color w:val="auto"/>
              </w:rPr>
            </w:pPr>
          </w:p>
        </w:tc>
      </w:tr>
      <w:tr>
        <w:trPr>
          <w:trHeight w:val="459"/>
        </w:trPr>
        <w:tc>
          <w:tcPr>
            <w:tcW w:w="8520" w:type="dxa"/>
            <w:vAlign w:val="bottom"/>
            <w:gridSpan w:val="3"/>
          </w:tcPr>
          <w:p>
            <w:pPr>
              <w:jc w:val="center"/>
              <w:ind w:left="2810"/>
              <w:spacing w:after="0"/>
              <w:rPr>
                <w:sz w:val="20"/>
                <w:szCs w:val="20"/>
                <w:color w:val="auto"/>
              </w:rPr>
            </w:pPr>
            <w:r>
              <w:rPr>
                <w:rFonts w:ascii="Arial" w:cs="Arial" w:eastAsia="Arial" w:hAnsi="Arial"/>
                <w:sz w:val="18"/>
                <w:szCs w:val="18"/>
                <w:color w:val="auto"/>
                <w:w w:val="88"/>
              </w:rPr>
              <w:t>None</w:t>
            </w:r>
          </w:p>
        </w:tc>
        <w:tc>
          <w:tcPr>
            <w:tcW w:w="2900" w:type="dxa"/>
            <w:vAlign w:val="bottom"/>
          </w:tcPr>
          <w:p>
            <w:pPr>
              <w:spacing w:after="0"/>
              <w:rPr>
                <w:sz w:val="24"/>
                <w:szCs w:val="24"/>
                <w:color w:val="auto"/>
              </w:rPr>
            </w:pPr>
          </w:p>
        </w:tc>
      </w:tr>
      <w:tr>
        <w:trPr>
          <w:trHeight w:val="412"/>
        </w:trPr>
        <w:tc>
          <w:tcPr>
            <w:tcW w:w="852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2900" w:type="dxa"/>
            <w:vAlign w:val="bottom"/>
          </w:tcPr>
          <w:p>
            <w:pPr>
              <w:spacing w:after="0"/>
              <w:rPr>
                <w:sz w:val="24"/>
                <w:szCs w:val="24"/>
                <w:color w:val="auto"/>
              </w:rPr>
            </w:pPr>
          </w:p>
        </w:tc>
      </w:tr>
      <w:tr>
        <w:trPr>
          <w:trHeight w:val="283"/>
        </w:trPr>
        <w:tc>
          <w:tcPr>
            <w:tcW w:w="85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c>
          <w:tcPr>
            <w:tcW w:w="2900" w:type="dxa"/>
            <w:vAlign w:val="bottom"/>
          </w:tcPr>
          <w:p>
            <w:pPr>
              <w:spacing w:after="0"/>
              <w:rPr>
                <w:sz w:val="24"/>
                <w:szCs w:val="24"/>
                <w:color w:val="auto"/>
              </w:rPr>
            </w:pPr>
          </w:p>
        </w:tc>
      </w:tr>
    </w:tbl>
    <w:p>
      <w:pPr>
        <w:spacing w:after="0" w:line="1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8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(para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p>
      <w:pPr>
        <w:spacing w:after="0" w:line="207" w:lineRule="exact"/>
        <w:tabs>
          <w:tab w:leader="none" w:pos="2160" w:val="left"/>
          <w:tab w:leader="none" w:pos="3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x</w:t>
      </w:r>
    </w:p>
    <w:p>
      <w:pPr>
        <w:spacing w:after="0" w:line="2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as of October 31, 2009 - $27,500,000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July 23, 2010 – 8,241,473</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DOCUMENTS INCORPORATED BY REFERENCE: PART III incorporates information by reference from the definitive proxy statement for the Annual Meeting of Stockholders to be held on or about October 6, 2010.</w:t>
      </w:r>
    </w:p>
    <w:p>
      <w:pPr>
        <w:sectPr>
          <w:pgSz w:w="11900" w:h="16838" w:orient="portrait"/>
          <w:cols w:equalWidth="0" w:num="1">
            <w:col w:w="11420"/>
          </w:cols>
          <w:pgMar w:left="240" w:top="472" w:right="239" w:bottom="0" w:gutter="0" w:footer="0" w:header="0"/>
        </w:sectPr>
      </w:pPr>
    </w:p>
    <w:bookmarkStart w:id="1" w:name="page2"/>
    <w:bookmarkEnd w:id="1"/>
    <w:p>
      <w:pPr>
        <w:jc w:val="both"/>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40" w:type="dxa"/>
            <w:vAlign w:val="bottom"/>
          </w:tcPr>
          <w:p>
            <w:pPr>
              <w:jc w:val="center"/>
              <w:ind w:right="890"/>
              <w:spacing w:after="0"/>
              <w:rPr>
                <w:sz w:val="20"/>
                <w:szCs w:val="20"/>
                <w:color w:val="auto"/>
              </w:rPr>
            </w:pPr>
            <w:r>
              <w:rPr>
                <w:rFonts w:ascii="Arial" w:cs="Arial" w:eastAsia="Arial" w:hAnsi="Arial"/>
                <w:sz w:val="18"/>
                <w:szCs w:val="18"/>
                <w:color w:val="auto"/>
                <w:w w:val="94"/>
              </w:rPr>
              <w:t>FREQUENCY ELECTRONICS, INC. and SUBSIDIARIES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40" w:type="dxa"/>
            <w:vAlign w:val="bottom"/>
          </w:tcPr>
          <w:p>
            <w:pPr>
              <w:jc w:val="center"/>
              <w:ind w:right="870"/>
              <w:spacing w:after="0"/>
              <w:rPr>
                <w:sz w:val="20"/>
                <w:szCs w:val="20"/>
                <w:color w:val="auto"/>
              </w:rPr>
            </w:pPr>
            <w:r>
              <w:rPr>
                <w:rFonts w:ascii="Arial" w:cs="Arial" w:eastAsia="Arial" w:hAnsi="Arial"/>
                <w:sz w:val="18"/>
                <w:szCs w:val="18"/>
                <w:color w:val="auto"/>
              </w:rPr>
              <w:t>INDEX</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FFCC"/>
          </w:tcPr>
          <w:p>
            <w:pPr>
              <w:spacing w:after="0"/>
              <w:rPr>
                <w:sz w:val="18"/>
                <w:szCs w:val="18"/>
                <w:color w:val="auto"/>
              </w:rPr>
            </w:pPr>
          </w:p>
        </w:tc>
        <w:tc>
          <w:tcPr>
            <w:tcW w:w="8840" w:type="dxa"/>
            <w:vAlign w:val="bottom"/>
            <w:shd w:val="clear" w:color="auto" w:fill="CCFFCC"/>
          </w:tcPr>
          <w:p>
            <w:pPr>
              <w:jc w:val="center"/>
              <w:ind w:right="890"/>
              <w:spacing w:after="0"/>
              <w:rPr>
                <w:sz w:val="20"/>
                <w:szCs w:val="20"/>
                <w:color w:val="auto"/>
              </w:rPr>
            </w:pPr>
            <w:r>
              <w:rPr>
                <w:rFonts w:ascii="Arial" w:cs="Arial" w:eastAsia="Arial" w:hAnsi="Arial"/>
                <w:sz w:val="18"/>
                <w:szCs w:val="18"/>
                <w:color w:val="auto"/>
                <w:w w:val="92"/>
              </w:rPr>
              <w:t>PART I</w:t>
            </w:r>
          </w:p>
        </w:tc>
        <w:tc>
          <w:tcPr>
            <w:tcW w:w="8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Item I.</w:t>
            </w:r>
          </w:p>
        </w:tc>
        <w:tc>
          <w:tcPr>
            <w:tcW w:w="8840" w:type="dxa"/>
            <w:vAlign w:val="bottom"/>
            <w:shd w:val="clear" w:color="auto" w:fill="CCFFCC"/>
          </w:tcPr>
          <w:p>
            <w:pPr>
              <w:ind w:left="60"/>
              <w:spacing w:after="0"/>
              <w:rPr>
                <w:sz w:val="20"/>
                <w:szCs w:val="20"/>
                <w:color w:val="auto"/>
              </w:rPr>
            </w:pPr>
            <w:r>
              <w:rPr>
                <w:rFonts w:ascii="Arial" w:cs="Arial" w:eastAsia="Arial" w:hAnsi="Arial"/>
                <w:sz w:val="18"/>
                <w:szCs w:val="18"/>
                <w:color w:val="auto"/>
              </w:rPr>
              <w:t>Business.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tcPr>
          <w:p>
            <w:pPr>
              <w:ind w:left="60"/>
              <w:spacing w:after="0"/>
              <w:rPr>
                <w:sz w:val="20"/>
                <w:szCs w:val="20"/>
                <w:color w:val="auto"/>
              </w:rPr>
            </w:pPr>
            <w:r>
              <w:rPr>
                <w:rFonts w:ascii="Arial" w:cs="Arial" w:eastAsia="Arial" w:hAnsi="Arial"/>
                <w:sz w:val="18"/>
                <w:szCs w:val="18"/>
                <w:color w:val="auto"/>
              </w:rPr>
              <w:t>Properties.</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8840" w:type="dxa"/>
            <w:vAlign w:val="bottom"/>
            <w:shd w:val="clear" w:color="auto" w:fill="CCFFCC"/>
          </w:tcPr>
          <w:p>
            <w:pPr>
              <w:ind w:left="60"/>
              <w:spacing w:after="0"/>
              <w:rPr>
                <w:sz w:val="20"/>
                <w:szCs w:val="20"/>
                <w:color w:val="auto"/>
              </w:rPr>
            </w:pPr>
            <w:r>
              <w:rPr>
                <w:rFonts w:ascii="Arial" w:cs="Arial" w:eastAsia="Arial" w:hAnsi="Arial"/>
                <w:sz w:val="18"/>
                <w:szCs w:val="18"/>
                <w:color w:val="auto"/>
              </w:rPr>
              <w:t>Legal Proceedings.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Item 4.</w:t>
            </w:r>
          </w:p>
        </w:tc>
        <w:tc>
          <w:tcPr>
            <w:tcW w:w="8840" w:type="dxa"/>
            <w:vAlign w:val="bottom"/>
          </w:tcPr>
          <w:p>
            <w:pPr>
              <w:ind w:left="60"/>
              <w:spacing w:after="0"/>
              <w:rPr>
                <w:sz w:val="20"/>
                <w:szCs w:val="20"/>
                <w:color w:val="auto"/>
              </w:rPr>
            </w:pPr>
            <w:r>
              <w:rPr>
                <w:rFonts w:ascii="Arial" w:cs="Arial" w:eastAsia="Arial" w:hAnsi="Arial"/>
                <w:sz w:val="18"/>
                <w:szCs w:val="18"/>
                <w:color w:val="auto"/>
              </w:rPr>
              <w:t>[Removed and Reserved]</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FFCC"/>
          </w:tcPr>
          <w:p>
            <w:pPr>
              <w:spacing w:after="0"/>
              <w:rPr>
                <w:sz w:val="18"/>
                <w:szCs w:val="18"/>
                <w:color w:val="auto"/>
              </w:rPr>
            </w:pPr>
          </w:p>
        </w:tc>
        <w:tc>
          <w:tcPr>
            <w:tcW w:w="88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40" w:type="dxa"/>
            <w:vAlign w:val="bottom"/>
          </w:tcPr>
          <w:p>
            <w:pPr>
              <w:jc w:val="center"/>
              <w:ind w:right="870"/>
              <w:spacing w:after="0"/>
              <w:rPr>
                <w:sz w:val="20"/>
                <w:szCs w:val="20"/>
                <w:color w:val="auto"/>
              </w:rPr>
            </w:pPr>
            <w:r>
              <w:rPr>
                <w:rFonts w:ascii="Arial" w:cs="Arial" w:eastAsia="Arial" w:hAnsi="Arial"/>
                <w:sz w:val="18"/>
                <w:szCs w:val="18"/>
                <w:color w:val="auto"/>
                <w:w w:val="95"/>
              </w:rPr>
              <w:t>PART II</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shd w:val="clear" w:color="auto" w:fill="CCFFCC"/>
          </w:tcPr>
          <w:p>
            <w:pPr>
              <w:spacing w:after="0"/>
              <w:rPr>
                <w:sz w:val="18"/>
                <w:szCs w:val="18"/>
                <w:color w:val="auto"/>
              </w:rPr>
            </w:pPr>
          </w:p>
        </w:tc>
        <w:tc>
          <w:tcPr>
            <w:tcW w:w="88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Item 5.</w:t>
            </w:r>
          </w:p>
        </w:tc>
        <w:tc>
          <w:tcPr>
            <w:tcW w:w="8840" w:type="dxa"/>
            <w:vAlign w:val="bottom"/>
          </w:tcPr>
          <w:p>
            <w:pPr>
              <w:ind w:left="60"/>
              <w:spacing w:after="0"/>
              <w:rPr>
                <w:sz w:val="20"/>
                <w:szCs w:val="20"/>
                <w:color w:val="auto"/>
              </w:rPr>
            </w:pPr>
            <w:r>
              <w:rPr>
                <w:rFonts w:ascii="Arial" w:cs="Arial" w:eastAsia="Arial" w:hAnsi="Arial"/>
                <w:sz w:val="18"/>
                <w:szCs w:val="18"/>
                <w:color w:val="auto"/>
                <w:w w:val="97"/>
              </w:rPr>
              <w:t>Market For Registrant’s Common Equity, Related Stockholder Matters and Issuer Purchases of Equity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Item 7.</w:t>
            </w:r>
          </w:p>
        </w:tc>
        <w:tc>
          <w:tcPr>
            <w:tcW w:w="8840" w:type="dxa"/>
            <w:vAlign w:val="bottom"/>
            <w:shd w:val="clear" w:color="auto" w:fill="CCFFCC"/>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Item 8.</w:t>
            </w:r>
          </w:p>
        </w:tc>
        <w:tc>
          <w:tcPr>
            <w:tcW w:w="8840" w:type="dxa"/>
            <w:vAlign w:val="bottom"/>
          </w:tcPr>
          <w:p>
            <w:pPr>
              <w:ind w:left="60"/>
              <w:spacing w:after="0"/>
              <w:rPr>
                <w:sz w:val="20"/>
                <w:szCs w:val="20"/>
                <w:color w:val="auto"/>
              </w:rPr>
            </w:pPr>
            <w:r>
              <w:rPr>
                <w:rFonts w:ascii="Arial" w:cs="Arial" w:eastAsia="Arial" w:hAnsi="Arial"/>
                <w:sz w:val="18"/>
                <w:szCs w:val="18"/>
                <w:color w:val="auto"/>
              </w:rPr>
              <w:t>Financial Statements and Supplementary Data.</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Item 9.</w:t>
            </w:r>
          </w:p>
        </w:tc>
        <w:tc>
          <w:tcPr>
            <w:tcW w:w="8840" w:type="dxa"/>
            <w:vAlign w:val="bottom"/>
            <w:shd w:val="clear" w:color="auto" w:fill="CCFFCC"/>
          </w:tcPr>
          <w:p>
            <w:pPr>
              <w:ind w:left="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Item 9A(T)</w:t>
            </w:r>
          </w:p>
        </w:tc>
        <w:tc>
          <w:tcPr>
            <w:tcW w:w="8840" w:type="dxa"/>
            <w:vAlign w:val="bottom"/>
          </w:tcPr>
          <w:p>
            <w:pPr>
              <w:ind w:left="6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Item 9B.</w:t>
            </w:r>
          </w:p>
        </w:tc>
        <w:tc>
          <w:tcPr>
            <w:tcW w:w="8840" w:type="dxa"/>
            <w:vAlign w:val="bottom"/>
            <w:shd w:val="clear" w:color="auto" w:fill="CCFFCC"/>
          </w:tcPr>
          <w:p>
            <w:pPr>
              <w:ind w:left="60"/>
              <w:spacing w:after="0"/>
              <w:rPr>
                <w:sz w:val="20"/>
                <w:szCs w:val="20"/>
                <w:color w:val="auto"/>
              </w:rPr>
            </w:pPr>
            <w:r>
              <w:rPr>
                <w:rFonts w:ascii="Arial" w:cs="Arial" w:eastAsia="Arial" w:hAnsi="Arial"/>
                <w:sz w:val="18"/>
                <w:szCs w:val="18"/>
                <w:color w:val="auto"/>
              </w:rPr>
              <w:t>Other Information</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FFCC"/>
          </w:tcPr>
          <w:p>
            <w:pPr>
              <w:spacing w:after="0"/>
              <w:rPr>
                <w:sz w:val="18"/>
                <w:szCs w:val="18"/>
                <w:color w:val="auto"/>
              </w:rPr>
            </w:pPr>
          </w:p>
        </w:tc>
        <w:tc>
          <w:tcPr>
            <w:tcW w:w="8840" w:type="dxa"/>
            <w:vAlign w:val="bottom"/>
            <w:shd w:val="clear" w:color="auto" w:fill="CCFFCC"/>
          </w:tcPr>
          <w:p>
            <w:pPr>
              <w:jc w:val="center"/>
              <w:ind w:right="890"/>
              <w:spacing w:after="0"/>
              <w:rPr>
                <w:sz w:val="20"/>
                <w:szCs w:val="20"/>
                <w:color w:val="auto"/>
              </w:rPr>
            </w:pPr>
            <w:r>
              <w:rPr>
                <w:rFonts w:ascii="Arial" w:cs="Arial" w:eastAsia="Arial" w:hAnsi="Arial"/>
                <w:sz w:val="18"/>
                <w:szCs w:val="18"/>
                <w:color w:val="auto"/>
                <w:w w:val="96"/>
              </w:rPr>
              <w:t>PART III</w:t>
            </w:r>
          </w:p>
        </w:tc>
        <w:tc>
          <w:tcPr>
            <w:tcW w:w="8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Item 10.</w:t>
            </w:r>
          </w:p>
        </w:tc>
        <w:tc>
          <w:tcPr>
            <w:tcW w:w="8840" w:type="dxa"/>
            <w:vAlign w:val="bottom"/>
            <w:shd w:val="clear" w:color="auto" w:fill="CCFFCC"/>
          </w:tcPr>
          <w:p>
            <w:pPr>
              <w:ind w:left="60"/>
              <w:spacing w:after="0"/>
              <w:rPr>
                <w:sz w:val="20"/>
                <w:szCs w:val="20"/>
                <w:color w:val="auto"/>
              </w:rPr>
            </w:pPr>
            <w:r>
              <w:rPr>
                <w:rFonts w:ascii="Arial" w:cs="Arial" w:eastAsia="Arial" w:hAnsi="Arial"/>
                <w:sz w:val="18"/>
                <w:szCs w:val="18"/>
                <w:color w:val="auto"/>
              </w:rPr>
              <w:t>Directors, Executive Officers and Corporation Governance.</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Item 11.</w:t>
            </w:r>
          </w:p>
        </w:tc>
        <w:tc>
          <w:tcPr>
            <w:tcW w:w="8840" w:type="dxa"/>
            <w:vAlign w:val="bottom"/>
          </w:tcPr>
          <w:p>
            <w:pPr>
              <w:ind w:left="60"/>
              <w:spacing w:after="0"/>
              <w:rPr>
                <w:sz w:val="20"/>
                <w:szCs w:val="20"/>
                <w:color w:val="auto"/>
              </w:rPr>
            </w:pPr>
            <w:r>
              <w:rPr>
                <w:rFonts w:ascii="Arial" w:cs="Arial" w:eastAsia="Arial" w:hAnsi="Arial"/>
                <w:sz w:val="18"/>
                <w:szCs w:val="18"/>
                <w:color w:val="auto"/>
              </w:rPr>
              <w:t>Executive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Item 12.</w:t>
            </w:r>
          </w:p>
        </w:tc>
        <w:tc>
          <w:tcPr>
            <w:tcW w:w="8840" w:type="dxa"/>
            <w:vAlign w:val="bottom"/>
            <w:shd w:val="clear" w:color="auto" w:fill="CCFFCC"/>
          </w:tcPr>
          <w:p>
            <w:pPr>
              <w:ind w:left="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Item 13.</w:t>
            </w:r>
          </w:p>
        </w:tc>
        <w:tc>
          <w:tcPr>
            <w:tcW w:w="8840" w:type="dxa"/>
            <w:vAlign w:val="bottom"/>
          </w:tcPr>
          <w:p>
            <w:pPr>
              <w:ind w:left="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Item 14.</w:t>
            </w:r>
          </w:p>
        </w:tc>
        <w:tc>
          <w:tcPr>
            <w:tcW w:w="8840" w:type="dxa"/>
            <w:vAlign w:val="bottom"/>
            <w:shd w:val="clear" w:color="auto" w:fill="CCFFCC"/>
          </w:tcPr>
          <w:p>
            <w:pPr>
              <w:ind w:left="60"/>
              <w:spacing w:after="0"/>
              <w:rPr>
                <w:sz w:val="20"/>
                <w:szCs w:val="20"/>
                <w:color w:val="auto"/>
              </w:rPr>
            </w:pPr>
            <w:r>
              <w:rPr>
                <w:rFonts w:ascii="Arial" w:cs="Arial" w:eastAsia="Arial" w:hAnsi="Arial"/>
                <w:sz w:val="18"/>
                <w:szCs w:val="18"/>
                <w:color w:val="auto"/>
              </w:rPr>
              <w:t>Principal Accountant Fees and Services.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FFCC"/>
          </w:tcPr>
          <w:p>
            <w:pPr>
              <w:spacing w:after="0"/>
              <w:rPr>
                <w:sz w:val="18"/>
                <w:szCs w:val="18"/>
                <w:color w:val="auto"/>
              </w:rPr>
            </w:pPr>
          </w:p>
        </w:tc>
        <w:tc>
          <w:tcPr>
            <w:tcW w:w="8840" w:type="dxa"/>
            <w:vAlign w:val="bottom"/>
            <w:shd w:val="clear" w:color="auto" w:fill="CCFFCC"/>
          </w:tcPr>
          <w:p>
            <w:pPr>
              <w:jc w:val="center"/>
              <w:ind w:right="890"/>
              <w:spacing w:after="0"/>
              <w:rPr>
                <w:sz w:val="20"/>
                <w:szCs w:val="20"/>
                <w:color w:val="auto"/>
              </w:rPr>
            </w:pPr>
            <w:r>
              <w:rPr>
                <w:rFonts w:ascii="Arial" w:cs="Arial" w:eastAsia="Arial" w:hAnsi="Arial"/>
                <w:sz w:val="18"/>
                <w:szCs w:val="18"/>
                <w:color w:val="auto"/>
                <w:w w:val="94"/>
              </w:rPr>
              <w:t>PART IV</w:t>
            </w:r>
          </w:p>
        </w:tc>
        <w:tc>
          <w:tcPr>
            <w:tcW w:w="8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Item 15.</w:t>
            </w:r>
          </w:p>
        </w:tc>
        <w:tc>
          <w:tcPr>
            <w:tcW w:w="8840" w:type="dxa"/>
            <w:vAlign w:val="bottom"/>
            <w:shd w:val="clear" w:color="auto" w:fill="CCFFCC"/>
          </w:tcPr>
          <w:p>
            <w:pPr>
              <w:ind w:left="60"/>
              <w:spacing w:after="0"/>
              <w:rPr>
                <w:sz w:val="20"/>
                <w:szCs w:val="20"/>
                <w:color w:val="auto"/>
              </w:rPr>
            </w:pPr>
            <w:r>
              <w:rPr>
                <w:rFonts w:ascii="Arial" w:cs="Arial" w:eastAsia="Arial" w:hAnsi="Arial"/>
                <w:sz w:val="18"/>
                <w:szCs w:val="18"/>
                <w:color w:val="auto"/>
              </w:rPr>
              <w:t>Exhibits and Financial Statement Schedules.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SIGNATURES</w:t>
            </w:r>
          </w:p>
        </w:tc>
        <w:tc>
          <w:tcPr>
            <w:tcW w:w="88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INDEX TO EXHIBITS</w:t>
            </w:r>
          </w:p>
        </w:tc>
        <w:tc>
          <w:tcPr>
            <w:tcW w:w="88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40" w:type="dxa"/>
            <w:vAlign w:val="bottom"/>
          </w:tcPr>
          <w:p>
            <w:pPr>
              <w:jc w:val="center"/>
              <w:ind w:right="890"/>
              <w:spacing w:after="0"/>
              <w:rPr>
                <w:sz w:val="20"/>
                <w:szCs w:val="20"/>
                <w:color w:val="auto"/>
              </w:rPr>
            </w:pPr>
            <w:r>
              <w:rPr>
                <w:rFonts w:ascii="Arial" w:cs="Arial" w:eastAsia="Arial" w:hAnsi="Arial"/>
                <w:sz w:val="18"/>
                <w:szCs w:val="18"/>
                <w:color w:val="auto"/>
                <w:w w:val="99"/>
              </w:rPr>
              <w:t>2</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88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DISCUSSION</w:t>
      </w:r>
    </w:p>
    <w:p>
      <w:pPr>
        <w:spacing w:after="0" w:line="252"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Frequency Electronics, Inc. (sometimes referred to as "Registrant", "Frequency Electronics" or the "Company") was founded in 1961 as a research and development firm in the technology of time and frequency control. Unless the context indicates otherwise, references to the Registrant or the Company are to Frequency Electronics, Inc. and its subsidiaries. References to “FEI” are to the parent company alone and do not refer to any of the subsidiaries.</w:t>
      </w:r>
    </w:p>
    <w:p>
      <w:pPr>
        <w:spacing w:after="0" w:line="17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Frequency Electronics was incorporated in Delaware in 1968 and became the successor to the business of Frequency Electronics, Inc., a New York corporation, organized in 1961. The principal executive office of Frequency Electronics is located at 55 Charles Lindbergh Boulevard, Mitchel Field, New York 11553. Its telephone number is 516-794-4500 and its website is </w:t>
      </w:r>
      <w:r>
        <w:rPr>
          <w:rFonts w:ascii="Arial" w:cs="Arial" w:eastAsia="Arial" w:hAnsi="Arial"/>
          <w:sz w:val="18"/>
          <w:szCs w:val="18"/>
          <w:i w:val="1"/>
          <w:iCs w:val="1"/>
          <w:u w:val="single" w:color="auto"/>
          <w:color w:val="auto"/>
        </w:rPr>
        <w:t>www.frequencyelectronics.com</w:t>
      </w:r>
      <w:r>
        <w:rPr>
          <w:rFonts w:ascii="Arial" w:cs="Arial" w:eastAsia="Arial" w:hAnsi="Arial"/>
          <w:sz w:val="18"/>
          <w:szCs w:val="18"/>
          <w:i w:val="1"/>
          <w:iCs w:val="1"/>
          <w:color w:val="auto"/>
        </w:rPr>
        <w:t>.</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the mid-1990’s, the Company transformed itself from primarily a defense contract manufacturer into a high-tech provider of precision time and frequency products for commercial applications found in both ground-based communication stations and on-board satellites. The Company also continues to support the United States government with products for defense and space applications.</w:t>
      </w:r>
    </w:p>
    <w:p>
      <w:pPr>
        <w:spacing w:after="0" w:line="20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is a world leader in the design, development and manufacture of high-technology frequency, timing and synchronization products for satellite and terrestrial voice, video and data telecommunications. The Company’s technologies provide unique solutions that are essential building blocks for the next generations of broadband wireless and for the ongoing expansion of existing wireless and wireline networks. The Company’s mission is to provide the most advanced control of frequency and time - essential factors for synchronizing communication networks and for providing reference frequencies for certain military, commercial and scientific, terrestrial and space applications.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identified the following major markets for its products and technology:</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Satellite Payloads</w:t>
      </w:r>
    </w:p>
    <w:p>
      <w:pPr>
        <w:spacing w:after="0" w:line="256" w:lineRule="exact"/>
        <w:rPr>
          <w:sz w:val="20"/>
          <w:szCs w:val="20"/>
          <w:color w:val="auto"/>
        </w:rPr>
      </w:pPr>
    </w:p>
    <w:p>
      <w:pPr>
        <w:ind w:firstLine="494"/>
        <w:spacing w:after="0" w:line="277" w:lineRule="auto"/>
        <w:tabs>
          <w:tab w:leader="none" w:pos="75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 communication satellites- The globe is encircled by multiple satellites used for communication, TV and video broadcasting, and data transmission. These satellites go through replacement and augmentation cycles over a period of many years.</w:t>
      </w:r>
    </w:p>
    <w:p>
      <w:pPr>
        <w:spacing w:after="0" w:line="197" w:lineRule="exact"/>
        <w:rPr>
          <w:rFonts w:ascii="Arial" w:cs="Arial" w:eastAsia="Arial" w:hAnsi="Arial"/>
          <w:sz w:val="18"/>
          <w:szCs w:val="18"/>
          <w:color w:val="auto"/>
        </w:rPr>
      </w:pPr>
    </w:p>
    <w:p>
      <w:pPr>
        <w:jc w:val="both"/>
        <w:ind w:firstLine="494"/>
        <w:spacing w:after="0" w:line="264" w:lineRule="auto"/>
        <w:tabs>
          <w:tab w:leader="none" w:pos="778" w:val="left"/>
        </w:tabs>
        <w:numPr>
          <w:ilvl w:val="0"/>
          <w:numId w:val="3"/>
        </w:numPr>
        <w:rPr>
          <w:rFonts w:ascii="Arial" w:cs="Arial" w:eastAsia="Arial" w:hAnsi="Arial"/>
          <w:sz w:val="18"/>
          <w:szCs w:val="18"/>
          <w:color w:val="auto"/>
        </w:rPr>
      </w:pPr>
      <w:r>
        <w:rPr>
          <w:rFonts w:ascii="Arial" w:cs="Arial" w:eastAsia="Arial" w:hAnsi="Arial"/>
          <w:sz w:val="18"/>
          <w:szCs w:val="18"/>
          <w:color w:val="auto"/>
        </w:rPr>
        <w:t>Satellites for the U.S. Department of Defense (“DOD”), National Aeronautics and Space Administrations (“NASA”) and other government agencies- Such satellites, which may be in geostationary, mid- and low-earth orbits, are used for secure communications, surveillance, guidance, global positioning (GPS) and weather tracking in addition to scientific missions and deep space exploration.</w:t>
      </w:r>
    </w:p>
    <w:p>
      <w:pPr>
        <w:spacing w:after="0" w:line="20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 xml:space="preserve">Industry estimates predict over 1,100 additional and replacement satellites will be built over the next decade. (See </w:t>
      </w:r>
      <w:r>
        <w:rPr>
          <w:rFonts w:ascii="Arial" w:cs="Arial" w:eastAsia="Arial" w:hAnsi="Arial"/>
          <w:sz w:val="18"/>
          <w:szCs w:val="18"/>
          <w:i w:val="1"/>
          <w:iCs w:val="1"/>
          <w:u w:val="single" w:color="auto"/>
          <w:color w:val="auto"/>
        </w:rPr>
        <w:t>SPACENEWS</w:t>
      </w:r>
      <w:r>
        <w:rPr>
          <w:rFonts w:ascii="Arial" w:cs="Arial" w:eastAsia="Arial" w:hAnsi="Arial"/>
          <w:sz w:val="18"/>
          <w:szCs w:val="18"/>
          <w:color w:val="auto"/>
        </w:rPr>
        <w:t>, June 15, 2009, citing a Euroconsult study.)</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U.S. Government &amp; DOD (non-space)</w:t>
      </w:r>
    </w:p>
    <w:p>
      <w:pPr>
        <w:spacing w:after="0" w:line="256" w:lineRule="exact"/>
        <w:rPr>
          <w:sz w:val="20"/>
          <w:szCs w:val="20"/>
          <w:color w:val="auto"/>
        </w:rPr>
      </w:pPr>
    </w:p>
    <w:p>
      <w:pPr>
        <w:jc w:val="both"/>
        <w:ind w:firstLine="494"/>
        <w:spacing w:after="0" w:line="264" w:lineRule="auto"/>
        <w:tabs>
          <w:tab w:leader="none" w:pos="761"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Government applications- In addition to satellites, the U.S. Government is in need of ever more secure communication capabilities and is developing a secure radio for all branches of the military. The military is also increasing its use of unmanned aerial vehicles (UAVs) and improving the accuracy of the radar and guidance systems on all moving platforms.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Telecommunications Networks</w:t>
      </w:r>
    </w:p>
    <w:p>
      <w:pPr>
        <w:spacing w:after="0" w:line="256" w:lineRule="exact"/>
        <w:rPr>
          <w:sz w:val="20"/>
          <w:szCs w:val="20"/>
          <w:color w:val="auto"/>
        </w:rPr>
      </w:pPr>
    </w:p>
    <w:p>
      <w:pPr>
        <w:jc w:val="both"/>
        <w:ind w:firstLine="494"/>
        <w:spacing w:after="0" w:line="264" w:lineRule="auto"/>
        <w:tabs>
          <w:tab w:leader="none" w:pos="749" w:val="left"/>
        </w:tabs>
        <w:numPr>
          <w:ilvl w:val="0"/>
          <w:numId w:val="5"/>
        </w:numPr>
        <w:rPr>
          <w:rFonts w:ascii="Arial" w:cs="Arial" w:eastAsia="Arial" w:hAnsi="Arial"/>
          <w:sz w:val="18"/>
          <w:szCs w:val="18"/>
          <w:color w:val="auto"/>
        </w:rPr>
      </w:pPr>
      <w:r>
        <w:rPr>
          <w:rFonts w:ascii="Arial" w:cs="Arial" w:eastAsia="Arial" w:hAnsi="Arial"/>
          <w:sz w:val="18"/>
          <w:szCs w:val="18"/>
          <w:color w:val="auto"/>
        </w:rPr>
        <w:t>Wireless communications- Cellular telephone infrastructure requires precise signal synchronization. In the architecture of many cellular systems, this synchronization is obtained through oscillators provided by the Company. As more services are added and more users come online, the need for synchronization is increased to maintain quality of service.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jc w:val="both"/>
        <w:ind w:firstLine="494"/>
        <w:spacing w:after="0" w:line="264" w:lineRule="auto"/>
        <w:tabs>
          <w:tab w:leader="none" w:pos="746" w:val="left"/>
        </w:tabs>
        <w:numPr>
          <w:ilvl w:val="0"/>
          <w:numId w:val="6"/>
        </w:numPr>
        <w:rPr>
          <w:rFonts w:ascii="Arial" w:cs="Arial" w:eastAsia="Arial" w:hAnsi="Arial"/>
          <w:sz w:val="18"/>
          <w:szCs w:val="18"/>
          <w:color w:val="auto"/>
        </w:rPr>
      </w:pPr>
      <w:r>
        <w:rPr>
          <w:rFonts w:ascii="Arial" w:cs="Arial" w:eastAsia="Arial" w:hAnsi="Arial"/>
          <w:sz w:val="18"/>
          <w:szCs w:val="18"/>
          <w:color w:val="auto"/>
        </w:rPr>
        <w:t>WiMAX/LTE- Nascent Internet access technologies are part of new wireless communications alternatives. The consortium of Motorola, Intel and Sprint, for example, are currently building WiMax networks in select cities in the United States as well as in other countries. For mobile WiMax or LTE (“Long Term Evolution”) networks, precise signal synchronization is provided by Frequency’s oscillators.</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Wireline synchronization- World-wide, a vast infrastructure supports the wired communications networks. These networks also require significant synchronization equipment which is housed in thousands of Central Offices operated by telephone companies. These equipments require upgrade and replacement to maintain the integrity of the wireline networks and inter-connectivity.</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Other Industrial Applications</w:t>
      </w:r>
    </w:p>
    <w:p>
      <w:pPr>
        <w:spacing w:after="0" w:line="256" w:lineRule="exact"/>
        <w:rPr>
          <w:sz w:val="20"/>
          <w:szCs w:val="20"/>
          <w:color w:val="auto"/>
        </w:rPr>
      </w:pPr>
    </w:p>
    <w:p>
      <w:pPr>
        <w:ind w:left="740" w:hanging="246"/>
        <w:spacing w:after="0"/>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Remote management of networks, such as power grids and gas lines, can be accomplished through the Company’s LYNX SCADA system.</w:t>
      </w:r>
    </w:p>
    <w:p>
      <w:pPr>
        <w:spacing w:after="0" w:line="263" w:lineRule="exact"/>
        <w:rPr>
          <w:rFonts w:ascii="Arial" w:cs="Arial" w:eastAsia="Arial" w:hAnsi="Arial"/>
          <w:sz w:val="17"/>
          <w:szCs w:val="17"/>
          <w:color w:val="auto"/>
        </w:rPr>
      </w:pPr>
    </w:p>
    <w:p>
      <w:pPr>
        <w:ind w:right="20" w:firstLine="494"/>
        <w:spacing w:after="0" w:line="277" w:lineRule="auto"/>
        <w:tabs>
          <w:tab w:leader="none" w:pos="76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Deep earth drilling for oil and gas in harsh environments can be done more efficiently through utilization of the Company’s high temperature tolerant oscillators and GPS timing technology.</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To address these markets, the Company has formed several corporate entities which operate under three reportable segments. (See also the section entitled REPORTABLE SEGMENTS below):</w:t>
      </w:r>
    </w:p>
    <w:p>
      <w:pPr>
        <w:spacing w:after="0" w:line="193" w:lineRule="exact"/>
        <w:rPr>
          <w:sz w:val="20"/>
          <w:szCs w:val="20"/>
          <w:color w:val="auto"/>
        </w:rPr>
      </w:pPr>
    </w:p>
    <w:p>
      <w:pPr>
        <w:jc w:val="both"/>
        <w:ind w:left="500" w:hanging="492"/>
        <w:spacing w:after="0" w:line="289"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FEI-NY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space and terrestrial commercial communications products are designed, developed and manufactured by its wholly-owned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FEI Communications, Inc. (“FEIC”). FEIC was incorporated in Delaware in December 1991, as a separate subsidiary company to provide ownership and management of assets and other services appropriate for commercial clients, both domestic and foreign.</w:t>
      </w:r>
    </w:p>
    <w:p>
      <w:pPr>
        <w:spacing w:after="0" w:line="189" w:lineRule="exact"/>
        <w:rPr>
          <w:rFonts w:ascii="Arial" w:cs="Arial" w:eastAsia="Arial" w:hAnsi="Arial"/>
          <w:sz w:val="17"/>
          <w:szCs w:val="17"/>
          <w:color w:val="auto"/>
        </w:rPr>
      </w:pPr>
    </w:p>
    <w:p>
      <w:pPr>
        <w:jc w:val="both"/>
        <w:ind w:left="500"/>
        <w:spacing w:after="0" w:line="264" w:lineRule="auto"/>
        <w:rPr>
          <w:rFonts w:ascii="Arial" w:cs="Arial" w:eastAsia="Arial" w:hAnsi="Arial"/>
          <w:sz w:val="17"/>
          <w:szCs w:val="17"/>
          <w:color w:val="auto"/>
        </w:rPr>
      </w:pPr>
      <w:r>
        <w:rPr>
          <w:rFonts w:ascii="Arial" w:cs="Arial" w:eastAsia="Arial" w:hAnsi="Arial"/>
          <w:sz w:val="18"/>
          <w:szCs w:val="18"/>
          <w:color w:val="auto"/>
        </w:rPr>
        <w:t>Frequency Electronics, Inc. Asia (“FEI-Asia”) was established in fiscal year 2002 to be the Company’s Asian-based low cost manufacturer of certain commercial communications products used primarily in the wireless and wireline markets. FEI-Asia is located in the Free-Trade Zone in Tianjin, China.</w:t>
      </w:r>
    </w:p>
    <w:p>
      <w:pPr>
        <w:spacing w:after="0" w:line="208" w:lineRule="exact"/>
        <w:rPr>
          <w:rFonts w:ascii="Arial" w:cs="Arial" w:eastAsia="Arial" w:hAnsi="Arial"/>
          <w:sz w:val="17"/>
          <w:szCs w:val="17"/>
          <w:color w:val="auto"/>
        </w:rPr>
      </w:pPr>
    </w:p>
    <w:p>
      <w:pPr>
        <w:ind w:left="500"/>
        <w:spacing w:after="0" w:line="277" w:lineRule="auto"/>
        <w:rPr>
          <w:rFonts w:ascii="Arial" w:cs="Arial" w:eastAsia="Arial" w:hAnsi="Arial"/>
          <w:sz w:val="17"/>
          <w:szCs w:val="17"/>
          <w:color w:val="auto"/>
        </w:rPr>
      </w:pPr>
      <w:r>
        <w:rPr>
          <w:rFonts w:ascii="Arial" w:cs="Arial" w:eastAsia="Arial" w:hAnsi="Arial"/>
          <w:sz w:val="18"/>
          <w:szCs w:val="18"/>
          <w:color w:val="auto"/>
        </w:rPr>
        <w:t>The Company’s subsidiary, FEI Government Systems, Inc. (“FEI-GSI”), was formed in fiscal year 2002 to focus on supplying the Company’s technology and legacy proprietary products to the United States military and other U.S. Government agencies.</w:t>
      </w:r>
    </w:p>
    <w:p>
      <w:pPr>
        <w:spacing w:after="0" w:line="193" w:lineRule="exact"/>
        <w:rPr>
          <w:rFonts w:ascii="Arial" w:cs="Arial" w:eastAsia="Arial" w:hAnsi="Arial"/>
          <w:sz w:val="17"/>
          <w:szCs w:val="17"/>
          <w:color w:val="auto"/>
        </w:rPr>
      </w:pPr>
    </w:p>
    <w:p>
      <w:pPr>
        <w:jc w:val="both"/>
        <w:ind w:left="500" w:hanging="492"/>
        <w:spacing w:after="0" w:line="266"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Gillam-FEI</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Company’s Belgian subsidiary, acquired in September 2000, develops and manufactures products for wireline and network</w:t>
      </w:r>
      <w:r>
        <w:rPr>
          <w:rFonts w:ascii="Arial" w:cs="Arial" w:eastAsia="Arial" w:hAnsi="Arial"/>
          <w:sz w:val="18"/>
          <w:szCs w:val="18"/>
          <w:b w:val="1"/>
          <w:bCs w:val="1"/>
          <w:color w:val="auto"/>
        </w:rPr>
        <w:t xml:space="preserve"> </w:t>
      </w:r>
      <w:r>
        <w:rPr>
          <w:rFonts w:ascii="Arial" w:cs="Arial" w:eastAsia="Arial" w:hAnsi="Arial"/>
          <w:sz w:val="18"/>
          <w:szCs w:val="18"/>
          <w:color w:val="auto"/>
        </w:rPr>
        <w:t>synchronization systems. Products delivered by Gillam-FEI provide essential network management and wireline synchronization for a variety of industries and telecommunications providers in Europe, Africa, the Middle East and Asia.</w:t>
      </w:r>
    </w:p>
    <w:p>
      <w:pPr>
        <w:spacing w:after="0" w:line="203" w:lineRule="exact"/>
        <w:rPr>
          <w:rFonts w:ascii="Arial" w:cs="Arial" w:eastAsia="Arial" w:hAnsi="Arial"/>
          <w:sz w:val="18"/>
          <w:szCs w:val="18"/>
          <w:color w:val="auto"/>
        </w:rPr>
      </w:pPr>
    </w:p>
    <w:p>
      <w:pPr>
        <w:jc w:val="both"/>
        <w:ind w:left="500" w:hanging="492"/>
        <w:spacing w:after="0" w:line="303"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FEI-Zyfer</w:t>
      </w:r>
      <w:r>
        <w:rPr>
          <w:rFonts w:ascii="Arial" w:cs="Arial" w:eastAsia="Arial" w:hAnsi="Arial"/>
          <w:sz w:val="16"/>
          <w:szCs w:val="16"/>
          <w:b w:val="1"/>
          <w:bCs w:val="1"/>
          <w:color w:val="auto"/>
        </w:rPr>
        <w:t xml:space="preserve"> </w:t>
      </w:r>
      <w:r>
        <w:rPr>
          <w:rFonts w:ascii="Arial" w:cs="Arial" w:eastAsia="Arial" w:hAnsi="Arial"/>
          <w:sz w:val="16"/>
          <w:szCs w:val="16"/>
          <w:color w:val="auto"/>
        </w:rPr>
        <w:t>- Precision time and frequency generation and synchronization products that incorporate global positioning systems (“GPS”) technology are</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manufactured by the Company’s subsidiary FEI-Zyfer, Inc. (“FEI-Zyfer”), which was acquired in fiscal year 2004. FEI-Zyfer’s GPS capability complements the Company’s existing technologies and permits the combined entities to provide a broader range of embedded systems for a variety of timing functions. FEI-Zyfer also provides sales and support for the Company’s wireline telecommunications family of products including US5G.</w:t>
      </w:r>
    </w:p>
    <w:p>
      <w:pPr>
        <w:spacing w:after="0" w:line="18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addition to the operating segments, the Company has made a strategic investment in Morion, Inc. (“Morion”), a Russian crystal oscillator manufacturer located in St. Petersburg, Russia. The Company’s ownership of 4.6% of the outstanding shares of Morion’s common stock permits the Company to secure a cost-effective source for high precision quartz resonators and crystal oscillators, many of which are based on the Company’s design and development work. The Morion investment is accounted for under the cost method. (See Note 9 to the Consolidated Financial Statements)</w:t>
      </w:r>
    </w:p>
    <w:p>
      <w:pPr>
        <w:spacing w:after="0" w:line="19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December 2006, the Company acquired a 25% interest (20% on a fully-diluted basis) in Elcom Technologies, Inc. (“Elcom”), a domestic U.S., privately-held RF microwave company. Elcom designs and manufactures high switching speed, low phase noise microwave synthesizers, up-down converters, receivers, ceramic resonant oscillators and dielectric resonant oscillators up to 40 GHz. These instruments and components are critical for communication, surveillance, signal intelligence, automatic testing, satellite ground stations and satellite payloads. The Company accounts for its Elcom investment on the equity basis and the Company’s statement of operations includes its proportionate share of Elcom’s operating results. (See Note 11 to the Consolidated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FISCAL 2010 SIGNIFICANT MATTERS</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Tax Benefit and Deferred Tax Asset Valuation Allowance</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November 2009, tax law related to corporate net operating losses (“NOL”) was changed which enabled the Company to carryback the full tax loss recorded in fiscal year 2009 to an earlier fiscal year. As a consequence, in fiscal year 2010, the Company was able to record an additional $1.8 million tax benefit which offset the tax provision on current year earnings.</w:t>
      </w:r>
    </w:p>
    <w:p>
      <w:pPr>
        <w:spacing w:after="0" w:line="20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prior year, the Company increased its valuation allowance against deferred tax assets by $7.6 million. This non-cash change in valuation allowance was included in the Company’s provision for income taxes and is part of the net loss recorded in fiscal year 2009. At April 30, 2010, the remaining valuation allowance is $8.0 million. If in future periods the Company records pre-tax profits and is able to assess the realizability of its deferred tax assets as “more likely than not”, the need for all or some of such valuation allowance could be overcome based on consideration of then available evidence. Such valuation allowance reductions, if they materialize, would reduce future income tax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SEGMENTS</w:t>
      </w:r>
    </w:p>
    <w:p>
      <w:pPr>
        <w:spacing w:after="0" w:line="25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operates under three reportable segments, primarily aligned with the geographical locations of its subsidiaries: (1) FEI-NY, (2) Gillam-FEI; and (3)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limiting the number of segments to the three indicated above appropriately reflects the way the Company’s management views the business.</w:t>
      </w:r>
    </w:p>
    <w:p>
      <w:pPr>
        <w:spacing w:after="0" w:line="20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reports its segment information on essentially a geographic basis. The FEI-NY segment, which operates out of the Company’s New York headquarters facility also includes the operations of the Company’s wholly-owned subsidiary, FEI-Asia. FEI-Asia functions primarily as a manufacturing facility for the FEI-NY segment with minimal sales to outside customers.</w:t>
      </w:r>
    </w:p>
    <w:p>
      <w:pPr>
        <w:spacing w:after="0" w:line="20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products for the FEI-NY segment are principally marketed to wireless communications networks, to the commercial and U.S. Government satellite markets and to other U.S. Department of Defense programs. The Gillam-FEI segment operates out of Belgium and France and designs, develops and manufactures products for wireline and network synchronization. Its products are currently sold to non-U.S. customers and its US5G system has recently been introduced to the domestic U.S. market through the Company’s FEI-Zyfer segment which provides sales and support for the US5G family of products. The primary business of the FEI-Zyfer segment, which operates out of California, is the design and manufacture of products which incorporate GPS technologies. FEI-Zyfer sells its products to both commercial and U.S. Government customers and collaborates with other FEI segments on joint product development activities.</w:t>
      </w:r>
    </w:p>
    <w:p>
      <w:pPr>
        <w:spacing w:after="0" w:line="2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fiscal years 2010 and 2009 approximately 59% and 68%, respectively, of the Company’s consolidated revenues were from products sold by the FEI-NY segment. Sales by Gillam-FEI were approximately 26% and 22% of fiscal years 2010 and 2009 consolidated revenues, respectively. In fiscal years 2010 and 2009, sales for the FEI-Zyfer segment were 23% and 18% of consolidated revenues, respectively. (The sum of annual sales percentages exceed 100% due to intersegment sales.)</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Consolidated revenues include sales to end-users in countries located outside of the United States. During fiscal years 2010 and 2009, foreign sales comprised 25% and 34%, respectively, of consolidated revenues. Segment information regarding revenues, including foreign sales, operating profits, depreciation and assets is more fully disclosed in Note 15 to the accompanying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FEI-NY </w:t>
      </w:r>
      <w:r>
        <w:rPr>
          <w:rFonts w:ascii="Arial" w:cs="Arial" w:eastAsia="Arial" w:hAnsi="Arial"/>
          <w:sz w:val="12"/>
          <w:szCs w:val="12"/>
          <w:b w:val="1"/>
          <w:bCs w:val="1"/>
          <w:color w:val="auto"/>
        </w:rPr>
        <w:t>SEGMENT</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provides precision time, frequency and synchronization products that are found in ground-based communication stations, on-board satellites and imbedded in moving platforms operated by the U.S. military. The Company has made a substantial investment in research and development to apply its core technologies to telecommunication and satellite payload markets. Revenues for this segment have varied considerably over the past nine fiscal years, based on infrastructure spending patterns by wireless telecommunication companies and demand for new satellites. Over this nine-year time frame, the Company initially experienced accelerated growth in wireless infrastructure revenues followed by a “telecom trough” in fiscal years 2002 and 2003. Accelerated growth began again in late fiscal year 2004 and continued through early fiscal year 2005, to be followed by another slow down into the first two quarters of fiscal year 2006. Beginning in the latter portion of fiscal year 2006, revenues from satellite payloads, both for commercial and U.S. Government applications, began to accelerate. The Company expects to continue to generate substantial revenues from deployment of new and replacement satellites.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Satellite Payloads</w:t>
      </w:r>
    </w:p>
    <w:p>
      <w:pPr>
        <w:spacing w:after="0" w:line="25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use of satellites launched for communications, navigation, weather forecasting, video and data transmissions has expanded the need to transmit increasing amounts of voice, video, and data to earth-based receivers. This requires more precise timing and frequency control at the satellite. The Company manufactures the master clocks (quartz, rubidium and cesium) and other significant timing and frequency generation products for many satellite communication systems,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clocks suited for high-end performance required in satellite transmissions, airborne telephony and geophysical survey positioning systems. Newly developed frequency generators, synthesizers, and up/down converters and receivers have augmented the Company’s product offerings and positioned the Company to provide a greater share of a typical satellite’s payload. Commercial satellite programs such as ICO, TerreStar, Intelsat, ANIK, Eutelsat, Inmarsat and Worldstar have utilized the Company’s space-qualified products.</w:t>
      </w:r>
    </w:p>
    <w:p>
      <w:pPr>
        <w:spacing w:after="0" w:line="22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the years ahead, the Company expects that the U.S. DOD will require more secure communication capabilities, more assets in space and greater bandwidth. The Global Positioning Satellite System, the MILSTAR Satellite System and the AEHF Satellite System are examples of the programs in which the Company participates. The Company has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U.S. Government- non-space:</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to space-based programs, the Company’s proprietary products have been used in airborne and ground-based guidance, navigation, communications, radar, sonar surveillance and electronic countermeasure and timing systems. The Company has recently developed a low g-sensitivity (gravity) oscillator which offers a 100-fold improvement in accuracy for certain guidance and targeting systems. The Company has demonstrated the functionality of its oscillators on over a dozen U.S. Government platforms and anticipates that many of these programs will be a source of substantial future revenue. Products are built in accordance with DOD standards and are in use on many of the United States’ most sophisticated military aircraft, satellites and missiles.</w:t>
      </w:r>
    </w:p>
    <w:p>
      <w:pPr>
        <w:spacing w:after="0" w:line="220"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Company’s sales on U.S. Government programs for both space and non-space applications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negotiated on terms under which the Company bears the risk of cost overruns and derives the benefit from cost savings.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both"/>
        <w:ind w:right="20" w:firstLine="486"/>
        <w:spacing w:after="0" w:line="308" w:lineRule="auto"/>
        <w:rPr>
          <w:sz w:val="20"/>
          <w:szCs w:val="20"/>
          <w:color w:val="auto"/>
        </w:rPr>
      </w:pPr>
      <w:r>
        <w:rPr>
          <w:rFonts w:ascii="Arial" w:cs="Arial" w:eastAsia="Arial" w:hAnsi="Arial"/>
          <w:sz w:val="17"/>
          <w:szCs w:val="17"/>
          <w:color w:val="auto"/>
        </w:rPr>
        <w:t>Recently the Company has also received several cost-plus-fee contracts. Under these contracts, the Company may be able to recover all of its direct and indirect costs related to the programs plus a pre-determined fee. In the event of substantial cost overruns, the fee may be reduced.</w:t>
      </w:r>
    </w:p>
    <w:p>
      <w:pPr>
        <w:spacing w:after="0" w:line="17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Negotiations on U.S. Government contracts are sometimes based in part on Certificates of Current Costs. An inaccuracy in such certificates may entitle the government to an appropriate recovery. From time to time, the Defense Contracts Audit Agency ("DCAA") audits the Company's accounts with respect to these contracts. The Company is not aware of any basis for recovery with respect to past certificates.</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All U.S.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Terrestrial Communications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7"/>
          <w:szCs w:val="17"/>
          <w:color w:val="auto"/>
        </w:rPr>
        <w:t>The development of new and enhanced technologies bring expanded and more reliable telecommunications services to the public. As digital cellular systems and PCS networks grow they require more base stations to meet the demand for better connectivity, higher data rates and dependable high quality for cell phone service. Cellular infrastructure integrators and original equipment manufacturers, consisting of some of the world’s largest telecommunications companies, are building out existing networks even as they develop new technologies for future systems. These new technologies include advances such as EDGE (Enhanced Data rates for Global Evolution), 3G (3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Generation) and others, that can provide not only improved voice connectivity but also Internet, video and data transmission. A full buildout of WiMAX networks in the United States alone, contemplates hundreds of thousands of base stations. Mobile WiMAX would require high levels of synchronization such as that provided by Frequency Electronics.</w:t>
      </w:r>
    </w:p>
    <w:p>
      <w:pPr>
        <w:spacing w:after="0" w:line="21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Wireless communication networks consist of numerous installations located throughout a service area, each with its own base station connected by wire or microwave radio through a network switch. Network operators are in the process of converting older networks to new digital technology and enhanced systems such as CDMA (Code Division Multiple Access), WiMax, LTE, etc. These upgrades require more precise frequency control at the base stations to achieve a higher dependability and quality of services.</w:t>
      </w:r>
    </w:p>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Over the past seven years, in conjunction with its European subsidiary, Gillam-FEI, the Company has developed a new, state-of-the-art signal synchronization unit identified as the US5G. This unit is intended to provide synchronization for wireline networks within the United States where approximately 35,000 “shelves” are located in 25,000 Central Offices around the country. The current equipment in these Central Offices is old and in need of upgrade or replacement. After completing the validation phase in fiscal year 2008 at two of the Regional Bell Operating Companies (“RBOC”), during fiscal year 2009, the Company recorded meaningful sales of its US5G products in the United States. In fiscal year 2010, sales of the US5G products increased by more than 50% over fiscal year 2009. The Company expects to realize increasing sales of this product line and derivative products during fiscal year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ILLAM</w:t>
      </w:r>
      <w:r>
        <w:rPr>
          <w:rFonts w:ascii="Arial" w:cs="Arial" w:eastAsia="Arial" w:hAnsi="Arial"/>
          <w:sz w:val="18"/>
          <w:szCs w:val="18"/>
          <w:b w:val="1"/>
          <w:bCs w:val="1"/>
          <w:color w:val="auto"/>
        </w:rPr>
        <w:t xml:space="preserve">-FEI </w:t>
      </w:r>
      <w:r>
        <w:rPr>
          <w:rFonts w:ascii="Arial" w:cs="Arial" w:eastAsia="Arial" w:hAnsi="Arial"/>
          <w:sz w:val="12"/>
          <w:szCs w:val="12"/>
          <w:b w:val="1"/>
          <w:bCs w:val="1"/>
          <w:color w:val="auto"/>
        </w:rPr>
        <w:t>SEGMENT</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Gillam-FEI extends the Company’s competencies into wireline synchronization, network management, and specialized test equipment. With the advent of new digital broadband transmission technologies, reliable synchronization has become the warranty to quality of service for telecommunications operators. Gillam-FEI is among the world leaders in the field of wireline synchronization technology, and its products are targeted for telecommunication operators and network equipment manufacturers that utilize modular and flexible platforms to build reliable digital-network-systems worldwide. Telecommunications operators such as Belgacom, France Telecom, Telefonica and other service providers are among Gillam-FEI’s major customers. With the development of the US5G unit for the FEI-Zyfer segment and the U.S. market, Gillam-FEI also developed a state-of-the-art US5Ge unit and ancillary products intended for deployment in the European, Middle Eastern, Asian and African markets.</w:t>
      </w:r>
    </w:p>
    <w:p>
      <w:pPr>
        <w:spacing w:after="0" w:line="20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Network management systems marketed under the brand name LYNX, are a flexible suite of complementary software modules that are arranged to satisfy the specific needs of telecom operators, electrical utilities, and other operators of distribution networks. The multi-task capability of the LYNX system allows operators to supervise and manage the distribution of electricity, gas, video cables, public lighting, and other networks. Deregulation of utilities, especially in Europe, has created a greater demand for the LYNX product. Major customers presently using LYNX include SIG Electrical Services of Geneva, Switzerland; Electricity Distribution Management for the city of Lausanne, Switzerland; UEM Electricity Distribution Management for the city of Metz, France; Brussels International Airport and Belgian Railways.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500"/>
        <w:spacing w:after="0"/>
        <w:rPr>
          <w:sz w:val="20"/>
          <w:szCs w:val="20"/>
          <w:color w:val="auto"/>
        </w:rPr>
      </w:pPr>
      <w:r>
        <w:rPr>
          <w:rFonts w:ascii="Arial" w:cs="Arial" w:eastAsia="Arial" w:hAnsi="Arial"/>
          <w:sz w:val="18"/>
          <w:szCs w:val="18"/>
          <w:color w:val="auto"/>
        </w:rPr>
        <w:t>Gillam-FEI’s specialized test equipment is mainly targeted for the telecommunications industry.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FEI-Z</w:t>
      </w:r>
      <w:r>
        <w:rPr>
          <w:rFonts w:ascii="Arial" w:cs="Arial" w:eastAsia="Arial" w:hAnsi="Arial"/>
          <w:sz w:val="12"/>
          <w:szCs w:val="12"/>
          <w:b w:val="1"/>
          <w:bCs w:val="1"/>
          <w:color w:val="auto"/>
        </w:rPr>
        <w:t>YFER SEGMENT</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60% of revenues are derived from sales where the end user is the U.S. Government. FEI-Zyfer’s products are an important extension of FEI’s core product line, specifically in the area of GPS capabilities. In addition, FEI-Zyfer provides sales and support for the Company’s family of wireline telecommunications US5G and derivative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PRODUCTS</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products are manufactured from raw material which, when combined with conventional electronic parts available from multiple sources, become finished products used for commercial wireless and wireline communications, satellite applications, space exploration, position location, radar, sonar and electronic counter-measures. These products are employed in ground-based earth stations, fixed, transportable, portable and mobile communications installations, domestic and international satellites, as well as aircraft, ships, submarines and missiles. The Company’s products are marketed as components, assemblies, instruments, or complete systems. Prices are determined based upon the complexity, design requirement, purchased quantity and delivery schedule.</w:t>
      </w:r>
    </w:p>
    <w:p>
      <w:pPr>
        <w:spacing w:after="0" w:line="216"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7"/>
          <w:szCs w:val="17"/>
          <w:b w:val="1"/>
          <w:bCs w:val="1"/>
          <w:u w:val="single" w:color="auto"/>
          <w:color w:val="auto"/>
        </w:rPr>
        <w:t>Components</w:t>
      </w:r>
      <w:r>
        <w:rPr>
          <w:rFonts w:ascii="Arial" w:cs="Arial" w:eastAsia="Arial" w:hAnsi="Arial"/>
          <w:sz w:val="17"/>
          <w:szCs w:val="17"/>
          <w:b w:val="1"/>
          <w:bCs w:val="1"/>
          <w:color w:val="auto"/>
        </w:rPr>
        <w:t xml:space="preserve"> </w:t>
      </w:r>
      <w:r>
        <w:rPr>
          <w:rFonts w:ascii="Arial" w:cs="Arial" w:eastAsia="Arial" w:hAnsi="Arial"/>
          <w:sz w:val="17"/>
          <w:szCs w:val="17"/>
          <w:color w:val="auto"/>
        </w:rPr>
        <w:t>- The Company's key technologies utilize quartz, rubidium and cesium to manufacture precision time and frequency standards and higher</w:t>
      </w:r>
      <w:r>
        <w:rPr>
          <w:rFonts w:ascii="Arial" w:cs="Arial" w:eastAsia="Arial" w:hAnsi="Arial"/>
          <w:sz w:val="17"/>
          <w:szCs w:val="17"/>
          <w:b w:val="1"/>
          <w:bCs w:val="1"/>
          <w:color w:val="auto"/>
        </w:rPr>
        <w:t xml:space="preserve"> </w:t>
      </w:r>
      <w:r>
        <w:rPr>
          <w:rFonts w:ascii="Arial" w:cs="Arial" w:eastAsia="Arial" w:hAnsi="Arial"/>
          <w:sz w:val="17"/>
          <w:szCs w:val="17"/>
          <w:color w:val="auto"/>
        </w:rPr>
        <w:t>level assemblies which allow the users to generate, transmit, and receive synchronous signals in order to communicate effectively, locate position accurately, secure a communications system, or guide a missile. The components class of the Company's products includes crystal filters and discriminators, surface acoustic wave resonators, and high-reliability thick and thin film hybrid assemblies for space and other applications.</w:t>
      </w:r>
    </w:p>
    <w:p>
      <w:pPr>
        <w:spacing w:after="0" w:line="1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Precision quartz oscillators use quartz resonators in conjunction with electronic circuitry to produce signals with accurate and stable frequency. The Company's products include several types of quartz oscillators, suited to a wide range of applications, including ultrastable and low-g sensitivity units for moving platforms and satellite systems. These products also feature fast warm-up and low power consumption for mobile applications, including voice and data communications.</w:t>
      </w: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ovenized quartz oscillator is the most accurate of the Company’s crystal oscillators. The crystal is enclosed in a temperature controlled environment called a proportional oven. The Company manufactures several varieties of temperature controlling devices and ovens.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voltage-controlled quartz oscillator features electronic controls for frequency stabilization or modulation, depending upon the application.</w:t>
      </w:r>
    </w:p>
    <w:p>
      <w:pPr>
        <w:spacing w:after="0" w:line="26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temperature compensated quartz oscillator is controlled using a temperature sensitive device to directly compensate for the effect of temperature on the oscillator's frequency.</w:t>
      </w:r>
    </w:p>
    <w:p>
      <w:pPr>
        <w:spacing w:after="0" w:line="197"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rubidium lamp, filter and resonance cell provide the optical subassembly for the manufacture of the Company's optically pumped atomic rubidium frequency standards. The cesium tube resonator is used in the manufacture of the Company's cesium primary standard atomic clocks.</w:t>
      </w:r>
    </w:p>
    <w:p>
      <w:pPr>
        <w:spacing w:after="0" w:line="17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High reliability hybrid assemblies are manufactured in thick and thin film technologies for applications from DC to 44 GHz. These hybrids are used in manufacturing the Company's products and also supplied directly to customers, for use in space and other high reliability systems.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both"/>
        <w:ind w:firstLine="486"/>
        <w:spacing w:after="0" w:line="277" w:lineRule="auto"/>
        <w:rPr>
          <w:sz w:val="20"/>
          <w:szCs w:val="20"/>
          <w:color w:val="auto"/>
        </w:rPr>
      </w:pPr>
      <w:r>
        <w:rPr>
          <w:rFonts w:ascii="Arial" w:cs="Arial" w:eastAsia="Arial" w:hAnsi="Arial"/>
          <w:sz w:val="18"/>
          <w:szCs w:val="18"/>
          <w:color w:val="auto"/>
        </w:rPr>
        <w:t>Efficient and reliable DC-DC power converters are manufactured for the Company's own instruments and as stand alone products, for space applications.</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manufactures filters and discriminators using its crystal resonators for its own radio-frequency and microwave receiver, signal conditioner and signal processor products.</w:t>
      </w:r>
    </w:p>
    <w:p>
      <w:pPr>
        <w:spacing w:after="0" w:line="193" w:lineRule="exact"/>
        <w:rPr>
          <w:sz w:val="20"/>
          <w:szCs w:val="20"/>
          <w:color w:val="auto"/>
        </w:rPr>
      </w:pPr>
    </w:p>
    <w:p>
      <w:pPr>
        <w:jc w:val="both"/>
        <w:ind w:firstLine="486"/>
        <w:spacing w:after="0" w:line="347" w:lineRule="auto"/>
        <w:rPr>
          <w:sz w:val="20"/>
          <w:szCs w:val="20"/>
          <w:color w:val="auto"/>
        </w:rPr>
      </w:pPr>
      <w:r>
        <w:rPr>
          <w:rFonts w:ascii="Arial" w:cs="Arial" w:eastAsia="Arial" w:hAnsi="Arial"/>
          <w:sz w:val="16"/>
          <w:szCs w:val="16"/>
          <w:b w:val="1"/>
          <w:bCs w:val="1"/>
          <w:u w:val="single" w:color="auto"/>
          <w:color w:val="auto"/>
        </w:rPr>
        <w:t>Assemblies</w:t>
      </w:r>
      <w:r>
        <w:rPr>
          <w:rFonts w:ascii="Arial" w:cs="Arial" w:eastAsia="Arial" w:hAnsi="Arial"/>
          <w:sz w:val="16"/>
          <w:szCs w:val="16"/>
          <w:b w:val="1"/>
          <w:bCs w:val="1"/>
          <w:color w:val="auto"/>
        </w:rPr>
        <w:t xml:space="preserve"> </w:t>
      </w:r>
      <w:r>
        <w:rPr>
          <w:rFonts w:ascii="Arial" w:cs="Arial" w:eastAsia="Arial" w:hAnsi="Arial"/>
          <w:sz w:val="16"/>
          <w:szCs w:val="16"/>
          <w:color w:val="auto"/>
        </w:rPr>
        <w:t>- - The Company's assemblies consist of three basic time and frequency generating standards: quartz frequency standard, rubidium atomic</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 and cesium beam atomic standard. The Company also supplies specialized RF microwave assemblies primarily for satellite applications.</w:t>
      </w:r>
    </w:p>
    <w:p>
      <w:pPr>
        <w:spacing w:after="0" w:line="1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quartz frequency standard is an electronically controlled solid-state device which utilizes a quartz crystal oscillator to produce a highly stable output signal at a standardized frequency. These frequency standards are used in communications, guidance and navigation and time synchronization systems. The Company's products also include a precision frequency standard with battery back-up and memory capability enabling it to remain in operation if a loss of power has occurred.</w:t>
      </w:r>
    </w:p>
    <w:p>
      <w:pPr>
        <w:spacing w:after="0" w:line="21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optically pumped atomic rubidium frequency standard is a solid-state product which provides both timing and low phase noise frequency references used in commercial communications systems. Rubidium oscillators combine sophisticated glassware, light detection devices and electronics packages to generate a highly stable frequency output. Rubidium, when energized by a specific radio frequency, will absorb less light. The oscillator’s electronics package generates this specific frequency and the light detection device ensures, through monitoring the decreased absorption of light by the rubidium and the use of feedback control loops, that this specific frequency is maintained. This highly stable frequency is then captured by the electronics package and generated as an output signal. Rubidium oscillators provide atomic oscillator stability, at lower costs and in smaller packages.</w:t>
      </w:r>
    </w:p>
    <w:p>
      <w:pPr>
        <w:spacing w:after="0" w:line="20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cesium beam atomic standard utilizes the atomic resonance characteristics of cesium atoms to generate precise frequency several orders of magnitude more accurate and stable than other types of quartz frequency generators. The Company’s atomic standard is a compact, militarized solid-state device which generates these precision frequencies for use with advanced communications and navigation equipment. A digital time-of-day clock is incorporated which provides visual universal time display and digital timing for systems use. The atomic standard manufactured by the Company is a primary standard, capable of producing time accuracies of better than one second in several hundred thousand years.</w:t>
      </w:r>
    </w:p>
    <w:p>
      <w:pPr>
        <w:spacing w:after="0" w:line="20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the demands on communications systems increase, the requirement for precise frequency signals to drive a multitude of electronic equipment is greatly expanded. To meet this growing requirement, the Company manufactures a distribution amplifier which is an electronically controlled solid-state device that receives a base frequency from a frequency standard and provides multiple signal outputs of the input frequency. A distribution amplifier enables many items of electronic equipment in a single facility, aircraft or ship to receive a standardized frequency and/or time signal from a quartz, rubidium or cesium atomic standard.</w:t>
      </w:r>
    </w:p>
    <w:p>
      <w:pPr>
        <w:spacing w:after="0" w:line="21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u w:val="single" w:color="auto"/>
          <w:color w:val="auto"/>
        </w:rPr>
        <w:t>Systems</w:t>
      </w:r>
      <w:r>
        <w:rPr>
          <w:rFonts w:ascii="Arial" w:cs="Arial" w:eastAsia="Arial" w:hAnsi="Arial"/>
          <w:sz w:val="18"/>
          <w:szCs w:val="18"/>
          <w:b w:val="1"/>
          <w:bCs w:val="1"/>
          <w:color w:val="auto"/>
        </w:rPr>
        <w:t xml:space="preserve"> </w:t>
      </w:r>
      <w:r>
        <w:rPr>
          <w:rFonts w:ascii="Arial" w:cs="Arial" w:eastAsia="Arial" w:hAnsi="Arial"/>
          <w:sz w:val="18"/>
          <w:szCs w:val="18"/>
          <w:color w:val="auto"/>
        </w:rPr>
        <w:t>- The systems portion of the Company's business includes manufacturing and integrating selections of its specialized components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assemblies into higher level subsystems and systems that meet customer-defined needs. The Company has a unique knowledge and demonstrated capability to interface these technologies and experience in applying them to a wide range of systems. The systems generate electronic frequencies of predetermined value and then divide, multiply, mix, convert, modulate, demodulate, filter, distribute, combine, separate, switch, measure, analyze, and/or compare these signals depending on the system application.</w:t>
      </w:r>
    </w:p>
    <w:p>
      <w:pPr>
        <w:spacing w:after="0" w:line="21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portion of the Company’s business includes a complete line of time and frequency control systems, capable of generating many frequencies and time scales that may be distributed to widely dispersed users, or within the confines of a facility or platform, or for a single dedicated purpose. Time and frequency control systems combine the Company's cesium, rubidium and/or crystal instruments with its other components, to provide systems for wireless, wireline, space and defense applications.</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the wireless industry, the Company integrates its core components such as quartz oscillators and rubidium atomic standards with software applications, microprocessors, and other digital circuitry into complete subsystems. These subsystems supply frequency and time reference signals that facilitate wireless communications and are necessary for the various wireless technologies to operate properly. The customers for these subsystems are global wireless infrastructure manufacturers.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ind w:firstLine="486"/>
        <w:spacing w:after="0" w:line="255" w:lineRule="auto"/>
        <w:rPr>
          <w:sz w:val="20"/>
          <w:szCs w:val="20"/>
          <w:color w:val="auto"/>
        </w:rPr>
      </w:pPr>
      <w:r>
        <w:rPr>
          <w:rFonts w:ascii="Arial" w:cs="Arial" w:eastAsia="Arial" w:hAnsi="Arial"/>
          <w:sz w:val="18"/>
          <w:szCs w:val="18"/>
          <w:color w:val="auto"/>
        </w:rPr>
        <w:t>For the wireline industry, the Company integrates its core components with other electronic modules into high-level platforms that provide a total synchronization solution. These signal synchronization units (“SSUs”) are designed and manufactured by Gillam-FEI. SSUs are inserted into digital telecommunication networks and provide reliable synchronization for proper operation of the network. The systems are primarily sold to telecommunication operators and vary from a few SSUs for a simple network to hundreds of units for complex networks. For operators of distribution networks such as electrical utilities and telecommunications operators, the Company offers the LYNX system—a flexible suite of complementary software modules that are distinctively combined to satisfy the requirements of the users. With the advent of digital broadband transmission technologies, reliable synchronization has become the Quality of Service for telecommunications operators world-wide.</w:t>
      </w:r>
    </w:p>
    <w:p>
      <w:pPr>
        <w:spacing w:after="0" w:line="21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For the space and defense sectors the Company combines its core products in a wide range of diverse applications that provide systems for space and ground based communications, space exploration, satellite tracking stations, satellite-based navigation and position location, secure communication, submarine and ship navigation, calibration, and electronic counter-measures applications. These time and frequency control systems can provide up to quadruple redundancy to assure operational longevity and dependability. The past experience of major contactors in these sectors has led satellite integrators to outsource increasing amounts of these systems to highly qualified producers who have validated their capabilities through extensive successful participation in past defense and space programs. Historically, the Company ranks among the top producers in this category.</w:t>
      </w:r>
    </w:p>
    <w:p>
      <w:pPr>
        <w:spacing w:after="0" w:line="20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subsidiary, FEI-Zyfer, manufactures products incorporating GPS technology by utilizing GPS signals to provide required performance in conjunction with precision time and frequency information. These systems and subsystems are used in secure government programs such as SAASM (Selective Acquisition Anti-spoofing Module) and commercial communications and other applications.</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GPS expertise of FEI-Zyfer has been joined with the technological capabilities and experience of the FEI-NY segment in building crystal oscillators for harsh environments, to jointly develop a new system to be utilized to enhance seismic data in deep earth and other exploratory drilling for natural resources.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5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of April 30, 2010, the Company's consolidated backlog amounted to approximately $30 million as compared to approximately $36 million at the beginning of the fiscal year. (See Item 7. Management’s Discussion and Analysis of Financial Condition and Results of Operations). Approximately 75% of this backlog is expected to be filled during the Company’s fiscal year ending April 30, 2011. Included in the backlog at April 30, 2010 is approximately $8.2 million under cost plus fee contracts which the Company believes represent firm commitments from its customers for which the Company has not received full funding to date.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 AND SUPPLIERS</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markets its products both directly and through approximately 50 independent sales representative organizations located in the United States, Europe and Asia. Sales to non-U.S. end-users, including the revenues of its overseas subsidiaries, totaled approximately 25% and 34% of net revenues in fiscal years 2010 and 2009, respectively.</w:t>
      </w:r>
    </w:p>
    <w:p>
      <w:pPr>
        <w:spacing w:after="0" w:line="20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Company's products are sold to both commercial and governmental customers. For the years ended April 30, 2010 and 2009, approximately 54% and 44%, respectively, of the Company's sales were made under contracts to the U.S. Government or subcontracts for U.S. Government end-use.</w:t>
      </w:r>
    </w:p>
    <w:p>
      <w:pPr>
        <w:spacing w:after="0" w:line="174"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During fiscal year 2010, Northrop Grumman Corporation (“Northrop”) and Lockheed Martin Corporation (“Lockheed”) each accounted for more than 10% of consolidated revenues and together aggregated approximately 25% of consolidated revenues and 39% of the FEI-NY segment’s sales.</w:t>
      </w:r>
    </w:p>
    <w:p>
      <w:pPr>
        <w:spacing w:after="0" w:line="17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fiscal year 2009, none of the Company’s customers accounted for more than 10% of consolidated revenues. Motorola Corp. (“Motorola”), Boeing Corporation (“Boeing”), Lockheed and Northrop were major customers of the FEI-NY segment, accounting for an aggregate of 48% of that segment’s revenues for the year ended April 30, 2009.</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ind w:firstLine="486"/>
        <w:spacing w:after="0" w:line="277" w:lineRule="auto"/>
        <w:rPr>
          <w:sz w:val="20"/>
          <w:szCs w:val="20"/>
          <w:color w:val="auto"/>
        </w:rPr>
      </w:pPr>
      <w:r>
        <w:rPr>
          <w:rFonts w:ascii="Arial" w:cs="Arial" w:eastAsia="Arial" w:hAnsi="Arial"/>
          <w:sz w:val="18"/>
          <w:szCs w:val="18"/>
          <w:color w:val="auto"/>
        </w:rPr>
        <w:t>During fiscal year 2010 Belgacom was a major customer of the Gillam-FEI segment, accounting for 30% of that segment’s revenues. For the year ended April 30, 2009, France Telecom and Belgacom accounted for an aggregate of 34% of Gillam-FEI’s revenues.</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the FEI-Zyfer segment, for the year ended April 30, 2010, AT&amp;T and the State of California accounted for an aggregate of 24% of that segment’s revenues. During fiscal year 2009, Northrop and Raytheon Company accounted for an aggregate of 27% of the segment’s revenue.</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loss by the Company of any one of these customers could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20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technological expertise continues to be an important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improving product manufacturability by seeking to reduce its production costs through product redesign and process improvements and other measures to take advantage of lower cost components.</w:t>
      </w:r>
    </w:p>
    <w:p>
      <w:pPr>
        <w:spacing w:after="0" w:line="19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continues to focus a significant portion of its own resources and efforts on developing hardware for satellite (commercial and U.S. Government) and terrestrial commercial communications systems, including wireless, wireline and GPS-related systems. During fiscal years 2010 and 2009, the Company expended $5.3 million and $4.7 million of its own funds, respectively, on such research and development activity. (See also Item 7. Management’s Discussion and Analysis of Financial Condition and Results of Operations.) During fiscal years 2010 and 2009, many of the Company’s development resources were applied to certain cost-plus-fee satellite payload programs. As a result, some of the Company’s development efforts were customer-funded and the costs appear in cost of revenues resulting in reduced internal research and development spending. For fiscal year 2011, the Company is targeting to spend between $4.0 million and $5.0 million on internal research and development projects. The actual amount spent in fiscal year 2011 will depend on market conditions and identification of new opportunities.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AND LICENSES</w:t>
      </w:r>
    </w:p>
    <w:p>
      <w:pPr>
        <w:spacing w:after="0" w:line="25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new, proprietary quartz oscillator technology which the Company intends to exploit in both legacy and new applications. In 2006, the Company obtained a basic patent for its low-g technology.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5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experiences competition in all areas of its business. The Company competes primarily on the basis of the accuracy, performance and reliability of its products, the ability of its products to function under severe conditions, such as in space or other extreme hostile environments, prompt and responsive contract performance, technical competence and price. The Company has a unique and broad product line which includes quartz, rubidium, and cesium based timing references and specialized RF microwave technology. Because of the very high precision of certain of its products, the Company has few competitors. For lower precision components there is significant competition from a number of suppliers.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ind w:firstLine="486"/>
        <w:spacing w:after="0" w:line="257" w:lineRule="auto"/>
        <w:rPr>
          <w:sz w:val="20"/>
          <w:szCs w:val="20"/>
          <w:color w:val="auto"/>
        </w:rPr>
      </w:pPr>
      <w:r>
        <w:rPr>
          <w:rFonts w:ascii="Arial" w:cs="Arial" w:eastAsia="Arial" w:hAnsi="Arial"/>
          <w:sz w:val="18"/>
          <w:szCs w:val="18"/>
          <w:color w:val="auto"/>
        </w:rPr>
        <w:t>In recent years, the Company has successfully outsourced certain component manufacturing processes to third parties and to its wholly-owned subsidiary, FEI-Asia in Tianjin, China and to Russian-based Morion, Inc., in which the Company is a minority shareholder. The Company expects this outsourcing to enhance its competitive position on cost while maintaining its high quality standards. The Company believes its ability to obtain raw materials, manufacture finished products, integrate them into systems and sub-systems and interface these systems with end-user applications provides a strong competitive advantage.</w:t>
      </w:r>
    </w:p>
    <w:p>
      <w:pPr>
        <w:spacing w:after="0" w:line="21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Certain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w:t>
      </w:r>
    </w:p>
    <w:p>
      <w:pPr>
        <w:spacing w:after="0" w:line="20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With respect to its instruments and systems for timing and synchronization, the Company competes with Agilent Technologies, Symmetricom, Inc., E. G. and G., Inc., Vectron, Inc. and others. Systems for the wireline industry produced by the Gillam-FEI segment compete with Symmetricom, Inc. and Oscilloquartz, a division of Swatch. The Company’s principal competition for space products is the in-house capability of its major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employs approximately 365 full-time persons worldwide. None of the U.S. employees are represented by labor unions; in Europe approximately five employees in one facility are represented by a French labor union.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ASPECTS</w:t>
      </w:r>
    </w:p>
    <w:p>
      <w:pPr>
        <w:spacing w:after="0" w:line="25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Company's business is not seasonal although it expects to experience some fluctuation in revenues during the second fiscal quarter as a result of extended holiday periods in August. No unusual working capital requirements exist.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COMPANY</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executive officers hold office until the annual meeting of the Board of Directors following the annual meeting of stockholders, subject to earlier removal by the Board of Directors.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names of all executive officers of the Company and all positions and offices with the Company which they presently hold are as follows:</w:t>
      </w:r>
    </w:p>
    <w:p>
      <w:pPr>
        <w:spacing w:after="0" w:line="27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900" w:type="dxa"/>
            <w:vAlign w:val="bottom"/>
            <w:shd w:val="clear" w:color="auto" w:fill="CCFFCC"/>
          </w:tcPr>
          <w:p>
            <w:pPr>
              <w:spacing w:after="0"/>
              <w:rPr>
                <w:sz w:val="20"/>
                <w:szCs w:val="20"/>
                <w:color w:val="auto"/>
              </w:rPr>
            </w:pPr>
            <w:r>
              <w:rPr>
                <w:rFonts w:ascii="Arial" w:cs="Arial" w:eastAsia="Arial" w:hAnsi="Arial"/>
                <w:sz w:val="18"/>
                <w:szCs w:val="18"/>
                <w:color w:val="auto"/>
              </w:rPr>
              <w:t>Joseph P. Franklin</w:t>
            </w:r>
          </w:p>
        </w:tc>
        <w:tc>
          <w:tcPr>
            <w:tcW w:w="8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58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Martin B. Bloch</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860" w:type="dxa"/>
            <w:vAlign w:val="bottom"/>
          </w:tcPr>
          <w:p>
            <w:pPr>
              <w:ind w:left="360"/>
              <w:spacing w:after="0"/>
              <w:rPr>
                <w:sz w:val="20"/>
                <w:szCs w:val="20"/>
                <w:color w:val="auto"/>
              </w:rPr>
            </w:pPr>
            <w:r>
              <w:rPr>
                <w:rFonts w:ascii="Arial" w:cs="Arial" w:eastAsia="Arial" w:hAnsi="Arial"/>
                <w:sz w:val="18"/>
                <w:szCs w:val="18"/>
                <w:color w:val="auto"/>
              </w:rPr>
              <w:t>President, Chief Executive Officer and Director</w:t>
            </w:r>
          </w:p>
        </w:tc>
      </w:tr>
      <w:tr>
        <w:trPr>
          <w:trHeight w:val="202"/>
        </w:trPr>
        <w:tc>
          <w:tcPr>
            <w:tcW w:w="19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Markus Hechler</w:t>
            </w:r>
          </w:p>
        </w:tc>
        <w:tc>
          <w:tcPr>
            <w:tcW w:w="840" w:type="dxa"/>
            <w:vAlign w:val="bottom"/>
            <w:shd w:val="clear" w:color="auto" w:fill="CCFFCC"/>
          </w:tcPr>
          <w:p>
            <w:pPr>
              <w:jc w:val="right"/>
              <w:ind w:right="270"/>
              <w:spacing w:after="0" w:line="201" w:lineRule="exact"/>
              <w:rPr>
                <w:sz w:val="20"/>
                <w:szCs w:val="20"/>
                <w:color w:val="auto"/>
              </w:rPr>
            </w:pPr>
            <w:r>
              <w:rPr>
                <w:rFonts w:ascii="Arial" w:cs="Arial" w:eastAsia="Arial" w:hAnsi="Arial"/>
                <w:sz w:val="18"/>
                <w:szCs w:val="18"/>
                <w:color w:val="auto"/>
              </w:rPr>
              <w:t>-</w:t>
            </w:r>
          </w:p>
        </w:tc>
        <w:tc>
          <w:tcPr>
            <w:tcW w:w="5860" w:type="dxa"/>
            <w:vAlign w:val="bottom"/>
            <w:shd w:val="clear" w:color="auto" w:fill="CCFFCC"/>
          </w:tcPr>
          <w:p>
            <w:pPr>
              <w:ind w:left="360"/>
              <w:spacing w:after="0" w:line="201" w:lineRule="exact"/>
              <w:rPr>
                <w:sz w:val="20"/>
                <w:szCs w:val="20"/>
                <w:color w:val="auto"/>
              </w:rPr>
            </w:pPr>
            <w:r>
              <w:rPr>
                <w:rFonts w:ascii="Arial" w:cs="Arial" w:eastAsia="Arial" w:hAnsi="Arial"/>
                <w:sz w:val="18"/>
                <w:szCs w:val="18"/>
                <w:color w:val="auto"/>
                <w:w w:val="92"/>
              </w:rPr>
              <w:t>Executive Vice President, President of FEI Government Systems, Inc. and</w:t>
            </w:r>
          </w:p>
        </w:tc>
      </w:tr>
      <w:tr>
        <w:trPr>
          <w:trHeight w:val="230"/>
        </w:trPr>
        <w:tc>
          <w:tcPr>
            <w:tcW w:w="190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5860" w:type="dxa"/>
            <w:vAlign w:val="bottom"/>
            <w:shd w:val="clear" w:color="auto" w:fill="CCFFCC"/>
          </w:tcPr>
          <w:p>
            <w:pPr>
              <w:ind w:left="1180"/>
              <w:spacing w:after="0"/>
              <w:rPr>
                <w:sz w:val="20"/>
                <w:szCs w:val="20"/>
                <w:color w:val="auto"/>
              </w:rPr>
            </w:pPr>
            <w:r>
              <w:rPr>
                <w:rFonts w:ascii="Arial" w:cs="Arial" w:eastAsia="Arial" w:hAnsi="Arial"/>
                <w:sz w:val="18"/>
                <w:szCs w:val="18"/>
                <w:color w:val="auto"/>
              </w:rPr>
              <w:t>Assistant Secretary</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Steven Strang</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860" w:type="dxa"/>
            <w:vAlign w:val="bottom"/>
          </w:tcPr>
          <w:p>
            <w:pPr>
              <w:ind w:left="360"/>
              <w:spacing w:after="0"/>
              <w:rPr>
                <w:sz w:val="20"/>
                <w:szCs w:val="20"/>
                <w:color w:val="auto"/>
              </w:rPr>
            </w:pPr>
            <w:r>
              <w:rPr>
                <w:rFonts w:ascii="Arial" w:cs="Arial" w:eastAsia="Arial" w:hAnsi="Arial"/>
                <w:sz w:val="18"/>
                <w:szCs w:val="18"/>
                <w:color w:val="auto"/>
              </w:rPr>
              <w:t>President, FEI-Zyfer</w:t>
            </w:r>
          </w:p>
        </w:tc>
      </w:tr>
      <w:tr>
        <w:trPr>
          <w:trHeight w:val="216"/>
        </w:trPr>
        <w:tc>
          <w:tcPr>
            <w:tcW w:w="1900" w:type="dxa"/>
            <w:vAlign w:val="bottom"/>
            <w:shd w:val="clear" w:color="auto" w:fill="CCFFCC"/>
          </w:tcPr>
          <w:p>
            <w:pPr>
              <w:spacing w:after="0"/>
              <w:rPr>
                <w:sz w:val="20"/>
                <w:szCs w:val="20"/>
                <w:color w:val="auto"/>
              </w:rPr>
            </w:pPr>
            <w:r>
              <w:rPr>
                <w:rFonts w:ascii="Arial" w:cs="Arial" w:eastAsia="Arial" w:hAnsi="Arial"/>
                <w:sz w:val="18"/>
                <w:szCs w:val="18"/>
                <w:color w:val="auto"/>
              </w:rPr>
              <w:t>Leonard Martire</w:t>
            </w:r>
          </w:p>
        </w:tc>
        <w:tc>
          <w:tcPr>
            <w:tcW w:w="8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58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Vice President, Program Management</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Oleandro Mancini</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860" w:type="dxa"/>
            <w:vAlign w:val="bottom"/>
          </w:tcPr>
          <w:p>
            <w:pPr>
              <w:ind w:left="360"/>
              <w:spacing w:after="0"/>
              <w:rPr>
                <w:sz w:val="20"/>
                <w:szCs w:val="20"/>
                <w:color w:val="auto"/>
              </w:rPr>
            </w:pPr>
            <w:r>
              <w:rPr>
                <w:rFonts w:ascii="Arial" w:cs="Arial" w:eastAsia="Arial" w:hAnsi="Arial"/>
                <w:sz w:val="18"/>
                <w:szCs w:val="18"/>
                <w:color w:val="auto"/>
              </w:rPr>
              <w:t>Vice President, Business Development</w:t>
            </w:r>
          </w:p>
        </w:tc>
      </w:tr>
      <w:tr>
        <w:trPr>
          <w:trHeight w:val="216"/>
        </w:trPr>
        <w:tc>
          <w:tcPr>
            <w:tcW w:w="1900" w:type="dxa"/>
            <w:vAlign w:val="bottom"/>
            <w:shd w:val="clear" w:color="auto" w:fill="CCFFCC"/>
          </w:tcPr>
          <w:p>
            <w:pPr>
              <w:spacing w:after="0"/>
              <w:rPr>
                <w:sz w:val="20"/>
                <w:szCs w:val="20"/>
                <w:color w:val="auto"/>
              </w:rPr>
            </w:pPr>
            <w:r>
              <w:rPr>
                <w:rFonts w:ascii="Arial" w:cs="Arial" w:eastAsia="Arial" w:hAnsi="Arial"/>
                <w:sz w:val="18"/>
                <w:szCs w:val="18"/>
                <w:color w:val="auto"/>
              </w:rPr>
              <w:t>Thomas McClelland</w:t>
            </w:r>
          </w:p>
        </w:tc>
        <w:tc>
          <w:tcPr>
            <w:tcW w:w="8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58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Vice President, Commercial Products</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Adrian Lalicata</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860" w:type="dxa"/>
            <w:vAlign w:val="bottom"/>
          </w:tcPr>
          <w:p>
            <w:pPr>
              <w:ind w:left="360"/>
              <w:spacing w:after="0"/>
              <w:rPr>
                <w:sz w:val="20"/>
                <w:szCs w:val="20"/>
                <w:color w:val="auto"/>
              </w:rPr>
            </w:pPr>
            <w:r>
              <w:rPr>
                <w:rFonts w:ascii="Arial" w:cs="Arial" w:eastAsia="Arial" w:hAnsi="Arial"/>
                <w:sz w:val="18"/>
                <w:szCs w:val="18"/>
                <w:color w:val="auto"/>
              </w:rPr>
              <w:t>Vice President, RF &amp; Microwave Systems</w:t>
            </w:r>
          </w:p>
        </w:tc>
      </w:tr>
      <w:tr>
        <w:trPr>
          <w:trHeight w:val="216"/>
        </w:trPr>
        <w:tc>
          <w:tcPr>
            <w:tcW w:w="1900" w:type="dxa"/>
            <w:vAlign w:val="bottom"/>
            <w:shd w:val="clear" w:color="auto" w:fill="CCFFCC"/>
          </w:tcPr>
          <w:p>
            <w:pPr>
              <w:spacing w:after="0"/>
              <w:rPr>
                <w:sz w:val="20"/>
                <w:szCs w:val="20"/>
                <w:color w:val="auto"/>
              </w:rPr>
            </w:pPr>
            <w:r>
              <w:rPr>
                <w:rFonts w:ascii="Arial" w:cs="Arial" w:eastAsia="Arial" w:hAnsi="Arial"/>
                <w:sz w:val="18"/>
                <w:szCs w:val="18"/>
                <w:color w:val="auto"/>
              </w:rPr>
              <w:t>Alan Miller</w:t>
            </w:r>
          </w:p>
        </w:tc>
        <w:tc>
          <w:tcPr>
            <w:tcW w:w="8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58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Secretary/Treasurer and Chief Financial Officer</w:t>
            </w:r>
          </w:p>
        </w:tc>
      </w:tr>
      <w:tr>
        <w:trPr>
          <w:trHeight w:val="218"/>
        </w:trPr>
        <w:tc>
          <w:tcPr>
            <w:tcW w:w="1900" w:type="dxa"/>
            <w:vAlign w:val="bottom"/>
          </w:tcPr>
          <w:p>
            <w:pPr>
              <w:spacing w:after="0"/>
              <w:rPr>
                <w:sz w:val="20"/>
                <w:szCs w:val="20"/>
                <w:color w:val="auto"/>
              </w:rPr>
            </w:pPr>
            <w:r>
              <w:rPr>
                <w:rFonts w:ascii="Arial" w:cs="Arial" w:eastAsia="Arial" w:hAnsi="Arial"/>
                <w:sz w:val="18"/>
                <w:szCs w:val="18"/>
                <w:color w:val="auto"/>
              </w:rPr>
              <w:t>Robert Klomp</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860" w:type="dxa"/>
            <w:vAlign w:val="bottom"/>
          </w:tcPr>
          <w:p>
            <w:pPr>
              <w:ind w:left="360"/>
              <w:spacing w:after="0"/>
              <w:rPr>
                <w:sz w:val="20"/>
                <w:szCs w:val="20"/>
                <w:color w:val="auto"/>
              </w:rPr>
            </w:pPr>
            <w:r>
              <w:rPr>
                <w:rFonts w:ascii="Arial" w:cs="Arial" w:eastAsia="Arial" w:hAnsi="Arial"/>
                <w:sz w:val="18"/>
                <w:szCs w:val="18"/>
                <w:color w:val="auto"/>
              </w:rPr>
              <w:t>Assistant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wp:posOffset>
            </wp:positionV>
            <wp:extent cx="546290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62905" cy="13716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8"/>
          <w:szCs w:val="18"/>
          <w:color w:val="auto"/>
        </w:rPr>
        <w:t>None of the officers and directors is related.</w:t>
      </w:r>
    </w:p>
    <w:p>
      <w:pPr>
        <w:spacing w:after="0" w:line="2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Joseph P. Franklin, age 76, has served as a Director of the Company since March 1990. In December 1993 he was elected Chairman of the Board of Directors. He also served as Chief Executive Officer from December 1993 through October 1998 and as Chief Financial Officer from September 1996 through October 1998. From August 1987 to November 1993, he was the Chief Executive Officer of Franklin S.A., a Spanish business consulting company located in Madrid, Spain, specializing in joint ventures, and was a director of several prominent Spanish companies. General Franklin was a Major General in the United States Army until he retired in July 1987.</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ind w:firstLine="648"/>
        <w:spacing w:after="0" w:line="259" w:lineRule="auto"/>
        <w:rPr>
          <w:sz w:val="20"/>
          <w:szCs w:val="20"/>
          <w:color w:val="auto"/>
        </w:rPr>
      </w:pPr>
      <w:r>
        <w:rPr>
          <w:rFonts w:ascii="Arial" w:cs="Arial" w:eastAsia="Arial" w:hAnsi="Arial"/>
          <w:sz w:val="18"/>
          <w:szCs w:val="18"/>
          <w:color w:val="auto"/>
        </w:rPr>
        <w:t>Martin B. Bloch, age 74,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Markus Hechler, age 64,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Steven Strang, age 46, was named President of FEI-Zyfer, Inc., effective May 1, 2005. Previously, Mr. Strang was Executive Vice President of this subsidiary and its predecessor companies where he has served for 17 years in various technical and management positions.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Leonard Martire, age 73, joined the Company in August 1987 and served as Executive Vice President of FEI Microwave, Inc., the Company's wholly-owned subsidiary, until May 1993 when he was elected Vice President, Marketing and Sales. In fiscal year 2007, Mr. Martire assumed a new role as Vice President Program Management.</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Oleandro Mancini, age 61, joined the Company in August 2000 as Vice President, Business Development.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Thomas McClelland, age 55, joined the Company as an engineer in 1984 and was elected Vice President, Commercial Products in March 1999.</w:t>
      </w:r>
    </w:p>
    <w:p>
      <w:pPr>
        <w:spacing w:after="0" w:line="2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Adrian Lalicata, age 63, joined the Company in 2006 as Vice President, RF &amp; Microwave Systems. Prior to joining the Company, Mr. Lalicata served as Vice President of Engineering at Herley-CTI and Communication Techniques, a Dover Company. Mr Lalicata has served as Director of Engineering at Microphase Corp. and Adcomm, Inc. He also held leading engineering positions at Loral Electronic Systems, Cardion Electronics, and Airborne Instruments Laboratories.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Alan Miller, age 61, joined the Company in November 1995 as its corporate controller and was elected to the position of Treasurer and Chief Financial Officer in October 1998. In May 2010, Mr. Miller was also named corporate Secretary. Prior to joining the Company, Mr. Miller served as an operations manager and a consultant to small businesses from 1992 through 1995 and as a Senior Audit Manager with Ernst &amp; Young, L.L.P. from 1980 to 1991.</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Robert Klomp, age 66, Assistant Secretary, has been employed by the Company since 1989 as its Director of Human Resources. Prior to joining the Company Mr. Klomp served as Director of Personnel at several technology companies including a division of GEC Marconi Company, Deutsch Relays, Inc. and Lafayette Radio Electronics. Mr. Klomp was elected Assistant Secretary to the Company during fiscal year 2009.</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Item 2. Properties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5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Location</w:t>
            </w:r>
          </w:p>
        </w:tc>
        <w:tc>
          <w:tcPr>
            <w:tcW w:w="340" w:type="dxa"/>
            <w:vAlign w:val="bottom"/>
          </w:tcPr>
          <w:p>
            <w:pPr>
              <w:spacing w:after="0"/>
              <w:rPr>
                <w:sz w:val="20"/>
                <w:szCs w:val="20"/>
                <w:color w:val="auto"/>
              </w:rPr>
            </w:pPr>
          </w:p>
        </w:tc>
        <w:tc>
          <w:tcPr>
            <w:tcW w:w="18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Size (sq. ft.)</w:t>
            </w:r>
          </w:p>
        </w:tc>
        <w:tc>
          <w:tcPr>
            <w:tcW w:w="320" w:type="dxa"/>
            <w:vAlign w:val="bottom"/>
          </w:tcPr>
          <w:p>
            <w:pPr>
              <w:spacing w:after="0"/>
              <w:rPr>
                <w:sz w:val="20"/>
                <w:szCs w:val="20"/>
                <w:color w:val="auto"/>
              </w:rPr>
            </w:pPr>
          </w:p>
        </w:tc>
        <w:tc>
          <w:tcPr>
            <w:tcW w:w="19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Own or Lease</w:t>
            </w:r>
          </w:p>
        </w:tc>
      </w:tr>
      <w:tr>
        <w:trPr>
          <w:trHeight w:val="216"/>
        </w:trPr>
        <w:tc>
          <w:tcPr>
            <w:tcW w:w="20" w:type="dxa"/>
            <w:vAlign w:val="bottom"/>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Long Island, NY</w:t>
            </w:r>
          </w:p>
        </w:tc>
        <w:tc>
          <w:tcPr>
            <w:tcW w:w="248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93,000</w:t>
            </w:r>
          </w:p>
        </w:tc>
        <w:tc>
          <w:tcPr>
            <w:tcW w:w="19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Lease</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Garden Grove, CA</w:t>
            </w:r>
          </w:p>
        </w:tc>
        <w:tc>
          <w:tcPr>
            <w:tcW w:w="2480" w:type="dxa"/>
            <w:vAlign w:val="bottom"/>
            <w:gridSpan w:val="3"/>
          </w:tcPr>
          <w:p>
            <w:pPr>
              <w:jc w:val="right"/>
              <w:ind w:right="320"/>
              <w:spacing w:after="0"/>
              <w:rPr>
                <w:sz w:val="20"/>
                <w:szCs w:val="20"/>
                <w:color w:val="auto"/>
              </w:rPr>
            </w:pPr>
            <w:r>
              <w:rPr>
                <w:rFonts w:ascii="Arial" w:cs="Arial" w:eastAsia="Arial" w:hAnsi="Arial"/>
                <w:sz w:val="18"/>
                <w:szCs w:val="18"/>
                <w:color w:val="auto"/>
              </w:rPr>
              <w:t>27,850</w:t>
            </w:r>
          </w:p>
        </w:tc>
        <w:tc>
          <w:tcPr>
            <w:tcW w:w="1980" w:type="dxa"/>
            <w:vAlign w:val="bottom"/>
          </w:tcPr>
          <w:p>
            <w:pPr>
              <w:ind w:left="480"/>
              <w:spacing w:after="0"/>
              <w:rPr>
                <w:sz w:val="20"/>
                <w:szCs w:val="20"/>
                <w:color w:val="auto"/>
              </w:rPr>
            </w:pPr>
            <w:r>
              <w:rPr>
                <w:rFonts w:ascii="Arial" w:cs="Arial" w:eastAsia="Arial" w:hAnsi="Arial"/>
                <w:sz w:val="18"/>
                <w:szCs w:val="18"/>
                <w:color w:val="auto"/>
              </w:rPr>
              <w:t>Lease</w:t>
            </w:r>
          </w:p>
        </w:tc>
      </w:tr>
      <w:tr>
        <w:trPr>
          <w:trHeight w:val="216"/>
        </w:trPr>
        <w:tc>
          <w:tcPr>
            <w:tcW w:w="20" w:type="dxa"/>
            <w:vAlign w:val="bottom"/>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Liege, Belgium</w:t>
            </w:r>
          </w:p>
        </w:tc>
        <w:tc>
          <w:tcPr>
            <w:tcW w:w="248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34,000</w:t>
            </w:r>
          </w:p>
        </w:tc>
        <w:tc>
          <w:tcPr>
            <w:tcW w:w="19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Own</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Chalon Sur Saone, France</w:t>
            </w:r>
          </w:p>
        </w:tc>
        <w:tc>
          <w:tcPr>
            <w:tcW w:w="2480" w:type="dxa"/>
            <w:vAlign w:val="bottom"/>
            <w:gridSpan w:val="3"/>
          </w:tcPr>
          <w:p>
            <w:pPr>
              <w:jc w:val="right"/>
              <w:ind w:right="320"/>
              <w:spacing w:after="0"/>
              <w:rPr>
                <w:sz w:val="20"/>
                <w:szCs w:val="20"/>
                <w:color w:val="auto"/>
              </w:rPr>
            </w:pPr>
            <w:r>
              <w:rPr>
                <w:rFonts w:ascii="Arial" w:cs="Arial" w:eastAsia="Arial" w:hAnsi="Arial"/>
                <w:sz w:val="18"/>
                <w:szCs w:val="18"/>
                <w:color w:val="auto"/>
              </w:rPr>
              <w:t>5,000</w:t>
            </w:r>
          </w:p>
        </w:tc>
        <w:tc>
          <w:tcPr>
            <w:tcW w:w="1980" w:type="dxa"/>
            <w:vAlign w:val="bottom"/>
          </w:tcPr>
          <w:p>
            <w:pPr>
              <w:ind w:left="480"/>
              <w:spacing w:after="0"/>
              <w:rPr>
                <w:sz w:val="20"/>
                <w:szCs w:val="20"/>
                <w:color w:val="auto"/>
              </w:rPr>
            </w:pPr>
            <w:r>
              <w:rPr>
                <w:rFonts w:ascii="Arial" w:cs="Arial" w:eastAsia="Arial" w:hAnsi="Arial"/>
                <w:sz w:val="18"/>
                <w:szCs w:val="18"/>
                <w:color w:val="auto"/>
              </w:rPr>
              <w:t>Lease</w:t>
            </w:r>
          </w:p>
        </w:tc>
      </w:tr>
      <w:tr>
        <w:trPr>
          <w:trHeight w:val="216"/>
        </w:trPr>
        <w:tc>
          <w:tcPr>
            <w:tcW w:w="20" w:type="dxa"/>
            <w:vAlign w:val="bottom"/>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Tianjin, China</w:t>
            </w:r>
          </w:p>
        </w:tc>
        <w:tc>
          <w:tcPr>
            <w:tcW w:w="248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27,000</w:t>
            </w:r>
          </w:p>
        </w:tc>
        <w:tc>
          <w:tcPr>
            <w:tcW w:w="19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Lease</w:t>
            </w: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20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Company leased its manufacturing and office space from Reckson under an initial 11-year lease at an annual rental of $400,000 per year with the Company paying its pro rata share of real estate taxes along with the costs of utilities and insurance. During fiscal year 2009, the Company renewed the lease with Reckson for the first 5-year renewal period at an annual rental of $600,000. The lease will end in January 2014 unless the Company exercises its option to continue the lease for a second 5-year renewal period with annual rental of $800,000. The leased space is adequate to meet the Company’s domestic operational needs which encompass the principal operations of the FEI-NY segment and also serves as the Company’s world-wide corporate headquarters.</w:t>
      </w:r>
    </w:p>
    <w:p>
      <w:pPr>
        <w:spacing w:after="0" w:line="18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sale of its building to Reckson, a real estate investment trust (“REIT”) whose shares were then traded on the New York Stock Exchange, was effected through a tax-deferred exchange of the building for approximately 513,000 participation units of Reckson Operating Partnership, L.P. (“REIT units”) which were valued at closing at $12 million. In March 2005, the Company exercised its option to convert all of the REIT units into 513,000 shares of the REIT which were subsequently sold. Upon conversion of the REIT units, the Company recognized a gain of $4.6 million and deferred an additional $1.3 million gain. The deferred gain was recognized into income over the remaining term of the initial leaseback period which ended in January 2009. (See Note 6 to the accompanying financial statements.)</w:t>
      </w:r>
    </w:p>
    <w:p>
      <w:pPr>
        <w:spacing w:after="0" w:line="22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Company’s subsidiary, Gillam-FEI, owns a manufacturing and office facility in Liege, Belgium. Gillam-FEI’s French operation leases space in Chalon Sur Saone, France. These facilities are adequate to meet the present and future operational requirements of Gillam-FEI.</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Tianjin, China facility is the location of the Company’s wholly-owned subsidiary, FEI-Asia. In late fiscal year 2005, the subsidiary acquired additional leased space within a manufacturing facility located in the Tianjin Free-Trade Zone. The lease is renewable annually with monthly rent of $6,200 through February 2011. The facility is adequate for the near-term manufacturing expectations for the Company.</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Garden Grove, California facility is leased by the Company’s subsidiary, FEI-Zyfer, Inc. The facility consists of a combination office and manufacturing space. The lease, which expires in August 2017, currently requires monthly payments of $26,186 and will increase each year over the remaining 88 months of the lease term.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From time to time, the Company is a defendant in litigation arising out of the ordinary course of business. The Company is not a party to any material, pending legal proceeding other than routine litigation incidental to its business.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u w:val="single" w:color="auto"/>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Common Stock of the Company is listed on The Nasdaq Global Market (“NASDAQ”) under the ticker symbol “FEIM.” (Prior to August 1, 2006, the Company’s shares were traded on the American Stock Exchange under the symbol "FEI".)</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shows the high and low sale price for the Company's Common Stock for the quarters indicated, as reported on the NASDAQ.</w:t>
      </w:r>
    </w:p>
    <w:p>
      <w:pPr>
        <w:spacing w:after="0" w:line="264"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586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HIGH SALE</w:t>
            </w:r>
          </w:p>
        </w:tc>
        <w:tc>
          <w:tcPr>
            <w:tcW w:w="8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LOW SALE</w:t>
            </w:r>
          </w:p>
        </w:tc>
      </w:tr>
      <w:tr>
        <w:trPr>
          <w:trHeight w:val="216"/>
        </w:trPr>
        <w:tc>
          <w:tcPr>
            <w:tcW w:w="20" w:type="dxa"/>
            <w:vAlign w:val="bottom"/>
          </w:tcPr>
          <w:p>
            <w:pPr>
              <w:spacing w:after="0"/>
              <w:rPr>
                <w:sz w:val="18"/>
                <w:szCs w:val="18"/>
                <w:color w:val="auto"/>
              </w:rPr>
            </w:pPr>
          </w:p>
        </w:tc>
        <w:tc>
          <w:tcPr>
            <w:tcW w:w="58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2010–</w:t>
            </w:r>
          </w:p>
        </w:tc>
        <w:tc>
          <w:tcPr>
            <w:tcW w:w="80" w:type="dxa"/>
            <w:vAlign w:val="bottom"/>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580" w:type="dxa"/>
            <w:vAlign w:val="bottom"/>
            <w:tcBorders>
              <w:top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560" w:type="dxa"/>
            <w:vAlign w:val="bottom"/>
            <w:tcBorders>
              <w:top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00"/>
              <w:spacing w:after="0"/>
              <w:rPr>
                <w:sz w:val="20"/>
                <w:szCs w:val="20"/>
                <w:color w:val="auto"/>
              </w:rPr>
            </w:pPr>
            <w:r>
              <w:rPr>
                <w:rFonts w:ascii="Arial" w:cs="Arial" w:eastAsia="Arial" w:hAnsi="Arial"/>
                <w:sz w:val="18"/>
                <w:szCs w:val="18"/>
                <w:color w:val="auto"/>
              </w:rPr>
              <w:t>FIRST QUARTER</w:t>
            </w: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58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SECOND QUARTER</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2.99</w:t>
            </w:r>
          </w:p>
        </w:tc>
      </w:tr>
      <w:tr>
        <w:trPr>
          <w:trHeight w:val="216"/>
        </w:trPr>
        <w:tc>
          <w:tcPr>
            <w:tcW w:w="20" w:type="dxa"/>
            <w:vAlign w:val="bottom"/>
          </w:tcPr>
          <w:p>
            <w:pPr>
              <w:spacing w:after="0"/>
              <w:rPr>
                <w:sz w:val="18"/>
                <w:szCs w:val="18"/>
                <w:color w:val="auto"/>
              </w:rPr>
            </w:pPr>
          </w:p>
        </w:tc>
        <w:tc>
          <w:tcPr>
            <w:tcW w:w="5840" w:type="dxa"/>
            <w:vAlign w:val="bottom"/>
          </w:tcPr>
          <w:p>
            <w:pPr>
              <w:ind w:left="300"/>
              <w:spacing w:after="0"/>
              <w:rPr>
                <w:sz w:val="20"/>
                <w:szCs w:val="20"/>
                <w:color w:val="auto"/>
              </w:rPr>
            </w:pPr>
            <w:r>
              <w:rPr>
                <w:rFonts w:ascii="Arial" w:cs="Arial" w:eastAsia="Arial" w:hAnsi="Arial"/>
                <w:sz w:val="18"/>
                <w:szCs w:val="18"/>
                <w:color w:val="auto"/>
              </w:rPr>
              <w:t>THIRD QUARTER</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r>
      <w:tr>
        <w:trPr>
          <w:trHeight w:val="216"/>
        </w:trPr>
        <w:tc>
          <w:tcPr>
            <w:tcW w:w="20" w:type="dxa"/>
            <w:vAlign w:val="bottom"/>
          </w:tcPr>
          <w:p>
            <w:pPr>
              <w:spacing w:after="0"/>
              <w:rPr>
                <w:sz w:val="18"/>
                <w:szCs w:val="18"/>
                <w:color w:val="auto"/>
              </w:rPr>
            </w:pPr>
          </w:p>
        </w:tc>
        <w:tc>
          <w:tcPr>
            <w:tcW w:w="58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FOURTH QUARTER</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4.75</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2009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FIRST QUARTER</w:t>
            </w:r>
          </w:p>
        </w:tc>
        <w:tc>
          <w:tcPr>
            <w:tcW w:w="4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9.18</w:t>
            </w:r>
          </w:p>
        </w:tc>
        <w:tc>
          <w:tcPr>
            <w:tcW w:w="4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5.23</w:t>
            </w:r>
          </w:p>
        </w:tc>
      </w:tr>
      <w:tr>
        <w:trPr>
          <w:trHeight w:val="216"/>
        </w:trPr>
        <w:tc>
          <w:tcPr>
            <w:tcW w:w="20" w:type="dxa"/>
            <w:vAlign w:val="bottom"/>
          </w:tcPr>
          <w:p>
            <w:pPr>
              <w:spacing w:after="0"/>
              <w:rPr>
                <w:sz w:val="18"/>
                <w:szCs w:val="18"/>
                <w:color w:val="auto"/>
              </w:rPr>
            </w:pPr>
          </w:p>
        </w:tc>
        <w:tc>
          <w:tcPr>
            <w:tcW w:w="5840" w:type="dxa"/>
            <w:vAlign w:val="bottom"/>
          </w:tcPr>
          <w:p>
            <w:pPr>
              <w:ind w:left="300"/>
              <w:spacing w:after="0"/>
              <w:rPr>
                <w:sz w:val="20"/>
                <w:szCs w:val="20"/>
                <w:color w:val="auto"/>
              </w:rPr>
            </w:pPr>
            <w:r>
              <w:rPr>
                <w:rFonts w:ascii="Arial" w:cs="Arial" w:eastAsia="Arial" w:hAnsi="Arial"/>
                <w:sz w:val="18"/>
                <w:szCs w:val="18"/>
                <w:color w:val="auto"/>
              </w:rPr>
              <w:t>SECOND QUARTER</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r>
      <w:tr>
        <w:trPr>
          <w:trHeight w:val="216"/>
        </w:trPr>
        <w:tc>
          <w:tcPr>
            <w:tcW w:w="20" w:type="dxa"/>
            <w:vAlign w:val="bottom"/>
          </w:tcPr>
          <w:p>
            <w:pPr>
              <w:spacing w:after="0"/>
              <w:rPr>
                <w:sz w:val="18"/>
                <w:szCs w:val="18"/>
                <w:color w:val="auto"/>
              </w:rPr>
            </w:pPr>
          </w:p>
        </w:tc>
        <w:tc>
          <w:tcPr>
            <w:tcW w:w="58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2.16</w:t>
            </w:r>
          </w:p>
        </w:tc>
      </w:tr>
      <w:tr>
        <w:trPr>
          <w:trHeight w:val="230"/>
        </w:trPr>
        <w:tc>
          <w:tcPr>
            <w:tcW w:w="20" w:type="dxa"/>
            <w:vAlign w:val="bottom"/>
          </w:tcPr>
          <w:p>
            <w:pPr>
              <w:spacing w:after="0"/>
              <w:rPr>
                <w:sz w:val="20"/>
                <w:szCs w:val="20"/>
                <w:color w:val="auto"/>
              </w:rPr>
            </w:pPr>
          </w:p>
        </w:tc>
        <w:tc>
          <w:tcPr>
            <w:tcW w:w="5840" w:type="dxa"/>
            <w:vAlign w:val="bottom"/>
          </w:tcPr>
          <w:p>
            <w:pPr>
              <w:ind w:left="300"/>
              <w:spacing w:after="0"/>
              <w:rPr>
                <w:sz w:val="20"/>
                <w:szCs w:val="20"/>
                <w:color w:val="auto"/>
              </w:rPr>
            </w:pPr>
            <w:r>
              <w:rPr>
                <w:rFonts w:ascii="Arial" w:cs="Arial" w:eastAsia="Arial" w:hAnsi="Arial"/>
                <w:sz w:val="18"/>
                <w:szCs w:val="18"/>
                <w:color w:val="auto"/>
              </w:rPr>
              <w:t>FOURTH QUARTER</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r>
    </w:tbl>
    <w:p>
      <w:pPr>
        <w:spacing w:after="0" w:line="21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July 23, 2010, the approximate number of holders of record of common stock was 430. The closing share price of the Company’s stock on April 30, 2010 was $5.54. The closing share price of the Company’s stock on July 23, 2010 was $5.00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DIVIDEND POLICY</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1997, the Company initiated a policy of paying a cash dividend to stockholders of record as of April 30 and October 31 of each year subject to prevailing financial conditions. The Board of Directors determines dividend amounts prior to each declaration. In March 2008, in the context of extraordinary uncertainties in credit and capital markets and the importance of preserving capital, the Board determined that no cash dividend would be paid in June 2008. The Board of Directors did not declare a dividend during fiscal year 2009 or 2010. The Board of Directors reviews the Company’s dividend policy at each quarterly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BUYBACK PROGRAM</w:t>
      </w:r>
    </w:p>
    <w:p>
      <w:pPr>
        <w:spacing w:after="0" w:line="25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March 2005, the Company’s Board of Directors authorized a stock repurchase program for up to $5 million of the Company’s outstanding common stock.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2009, the Company repurchased 724,632 shares under the buyback program, including a block purchase of 615,000 shares from its former largest institutional shareholder. The average purchase price was $4.29 per share or an aggregate amount of approximately $3.1 million. With these purchases, the Company has acquired approximately $4 million of its common stock out of the total authorization of $5 million. The Company did not make any purchases of stock for the treasury during fiscal year 2010.</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780" w:type="dxa"/>
            <w:vAlign w:val="bottom"/>
            <w:gridSpan w:val="3"/>
          </w:tcPr>
          <w:p>
            <w:pPr>
              <w:spacing w:after="0"/>
              <w:rPr>
                <w:sz w:val="20"/>
                <w:szCs w:val="20"/>
                <w:color w:val="auto"/>
              </w:rPr>
            </w:pPr>
            <w:r>
              <w:rPr>
                <w:rFonts w:ascii="Arial" w:cs="Arial" w:eastAsia="Arial" w:hAnsi="Arial"/>
                <w:sz w:val="18"/>
                <w:szCs w:val="18"/>
                <w:color w:val="auto"/>
              </w:rPr>
              <w:t>EQUITY COMPENSATION PLAN INFORMATION</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90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Number of securities to</w:t>
            </w:r>
          </w:p>
        </w:tc>
        <w:tc>
          <w:tcPr>
            <w:tcW w:w="16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Weighted-average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be issued upon exercise</w:t>
            </w:r>
          </w:p>
        </w:tc>
        <w:tc>
          <w:tcPr>
            <w:tcW w:w="1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exercise price of</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equity 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of outstanding options</w:t>
            </w:r>
          </w:p>
        </w:tc>
        <w:tc>
          <w:tcPr>
            <w:tcW w:w="1620" w:type="dxa"/>
            <w:vAlign w:val="bottom"/>
            <w:gridSpan w:val="3"/>
          </w:tcPr>
          <w:p>
            <w:pPr>
              <w:spacing w:after="0"/>
              <w:rPr>
                <w:sz w:val="20"/>
                <w:szCs w:val="20"/>
                <w:color w:val="auto"/>
              </w:rPr>
            </w:pPr>
            <w:r>
              <w:rPr>
                <w:rFonts w:ascii="Arial" w:cs="Arial" w:eastAsia="Arial" w:hAnsi="Arial"/>
                <w:sz w:val="18"/>
                <w:szCs w:val="18"/>
                <w:color w:val="auto"/>
              </w:rPr>
              <w:t>outstanding options</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(excluding securities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gridSpan w:val="2"/>
          </w:tcPr>
          <w:p>
            <w:pPr>
              <w:ind w:left="2360"/>
              <w:spacing w:after="0"/>
              <w:rPr>
                <w:sz w:val="20"/>
                <w:szCs w:val="20"/>
                <w:color w:val="auto"/>
              </w:rPr>
            </w:pPr>
            <w:r>
              <w:rPr>
                <w:rFonts w:ascii="Arial" w:cs="Arial" w:eastAsia="Arial" w:hAnsi="Arial"/>
                <w:sz w:val="18"/>
                <w:szCs w:val="18"/>
                <w:color w:val="auto"/>
              </w:rPr>
              <w:t>Plan Category</w:t>
            </w:r>
          </w:p>
        </w:tc>
        <w:tc>
          <w:tcPr>
            <w:tcW w:w="100" w:type="dxa"/>
            <w:vAlign w:val="bottom"/>
          </w:tcPr>
          <w:p>
            <w:pPr>
              <w:spacing w:after="0"/>
              <w:rPr>
                <w:sz w:val="20"/>
                <w:szCs w:val="20"/>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warrants and rights</w:t>
            </w:r>
          </w:p>
        </w:tc>
        <w:tc>
          <w:tcPr>
            <w:tcW w:w="1620" w:type="dxa"/>
            <w:vAlign w:val="bottom"/>
            <w:gridSpan w:val="3"/>
          </w:tcPr>
          <w:p>
            <w:pPr>
              <w:spacing w:after="0"/>
              <w:rPr>
                <w:sz w:val="20"/>
                <w:szCs w:val="20"/>
                <w:color w:val="auto"/>
              </w:rPr>
            </w:pPr>
            <w:r>
              <w:rPr>
                <w:rFonts w:ascii="Arial" w:cs="Arial" w:eastAsia="Arial" w:hAnsi="Arial"/>
                <w:sz w:val="18"/>
                <w:szCs w:val="18"/>
                <w:color w:val="auto"/>
              </w:rPr>
              <w:t>warrants and rights</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reflected in column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0"/>
              </w:rPr>
              <w:t>(b)</w:t>
            </w:r>
          </w:p>
        </w:tc>
        <w:tc>
          <w:tcPr>
            <w:tcW w:w="22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20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1,116,775</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8.28</w:t>
            </w:r>
          </w:p>
        </w:tc>
        <w:tc>
          <w:tcPr>
            <w:tcW w:w="2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Compensation Plans Not Approved by Security Holders (1)</w:t>
            </w:r>
          </w:p>
        </w:tc>
        <w:tc>
          <w:tcPr>
            <w:tcW w:w="100" w:type="dxa"/>
            <w:vAlign w:val="bottom"/>
            <w:shd w:val="clear" w:color="auto" w:fill="CCFFCC"/>
          </w:tcPr>
          <w:p>
            <w:pPr>
              <w:spacing w:after="0"/>
              <w:rPr>
                <w:sz w:val="19"/>
                <w:szCs w:val="19"/>
                <w:color w:val="auto"/>
              </w:rPr>
            </w:pPr>
          </w:p>
        </w:tc>
        <w:tc>
          <w:tcPr>
            <w:tcW w:w="19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338,000</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16.38</w:t>
            </w:r>
          </w:p>
        </w:tc>
        <w:tc>
          <w:tcPr>
            <w:tcW w:w="2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top w:val="single" w:sz="8" w:color="CCFFCC"/>
            </w:tcBorders>
            <w:gridSpan w:val="2"/>
          </w:tcPr>
          <w:p>
            <w:pPr>
              <w:ind w:left="3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FFCC"/>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1,454,775</w:t>
            </w:r>
          </w:p>
        </w:tc>
        <w:tc>
          <w:tcPr>
            <w:tcW w:w="2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10.17</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81,342</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920" w:firstLine="332"/>
        <w:spacing w:after="0" w:line="577" w:lineRule="auto"/>
        <w:tabs>
          <w:tab w:leader="none" w:pos="648"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Company’s equity compensation plans are described in Note 12 of the consolidated financial statements. </w:t>
      </w:r>
      <w:r>
        <w:rPr>
          <w:rFonts w:ascii="Arial" w:cs="Arial" w:eastAsia="Arial" w:hAnsi="Arial"/>
          <w:sz w:val="17"/>
          <w:szCs w:val="17"/>
          <w:u w:val="single" w:color="auto"/>
          <w:color w:val="auto"/>
        </w:rPr>
        <w:t>Item 7. Management’s Discussion and Analysis of Financial Condition and Results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5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7" w:name="page18"/>
    <w:bookmarkEnd w:id="17"/>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customer orders are made in the period in which they become determinable.</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and obsolete items and are based upon management’s experience and expectations for future business. Any changes arising from revised expectations are reflected in cost of sales in the period the revision is made.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below sets forth for the fiscal years ended April 30, 2010 and 2009, the percentage of consolidated net sales represented by certain items in the Company’s consolidated statements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3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Arial" w:cs="Arial" w:eastAsia="Arial" w:hAnsi="Arial"/>
                <w:sz w:val="18"/>
                <w:szCs w:val="18"/>
                <w:color w:val="auto"/>
              </w:rPr>
              <w:t>FEI-NY</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59.1%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67.9%</w:t>
            </w:r>
          </w:p>
        </w:tc>
        <w:tc>
          <w:tcPr>
            <w:tcW w:w="43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Gillam-FEI</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26.5</w:t>
            </w:r>
          </w:p>
        </w:tc>
        <w:tc>
          <w:tcPr>
            <w:tcW w:w="8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21.5</w:t>
            </w:r>
          </w:p>
        </w:tc>
        <w:tc>
          <w:tcPr>
            <w:tcW w:w="43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Arial" w:cs="Arial" w:eastAsia="Arial" w:hAnsi="Arial"/>
                <w:sz w:val="18"/>
                <w:szCs w:val="18"/>
                <w:color w:val="auto"/>
              </w:rPr>
              <w:t>FEI-Zyfer</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43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Less intersegment revenues</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w:t>
            </w:r>
          </w:p>
        </w:tc>
        <w:tc>
          <w:tcPr>
            <w:tcW w:w="4380" w:type="dxa"/>
            <w:vAlign w:val="bottom"/>
          </w:tcPr>
          <w:p>
            <w:pPr>
              <w:spacing w:after="0"/>
              <w:rPr>
                <w:sz w:val="18"/>
                <w:szCs w:val="18"/>
                <w:color w:val="auto"/>
              </w:rPr>
            </w:pPr>
          </w:p>
        </w:tc>
      </w:tr>
      <w:tr>
        <w:trPr>
          <w:trHeight w:val="27"/>
        </w:trPr>
        <w:tc>
          <w:tcPr>
            <w:tcW w:w="500" w:type="dxa"/>
            <w:vAlign w:val="bottom"/>
          </w:tcPr>
          <w:p>
            <w:pPr>
              <w:spacing w:after="0"/>
              <w:rPr>
                <w:sz w:val="2"/>
                <w:szCs w:val="2"/>
                <w:color w:val="auto"/>
              </w:rPr>
            </w:pPr>
          </w:p>
        </w:tc>
        <w:tc>
          <w:tcPr>
            <w:tcW w:w="484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380" w:type="dxa"/>
            <w:vAlign w:val="bottom"/>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43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1</w:t>
            </w:r>
          </w:p>
        </w:tc>
        <w:tc>
          <w:tcPr>
            <w:tcW w:w="2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w:t>
            </w:r>
            <w:r>
              <w:rPr>
                <w:rFonts w:ascii="Arial" w:cs="Arial" w:eastAsia="Arial" w:hAnsi="Arial"/>
                <w:sz w:val="18"/>
                <w:szCs w:val="18"/>
                <w:u w:val="single" w:color="auto"/>
                <w:color w:val="auto"/>
              </w:rPr>
              <w:t>7</w:t>
            </w:r>
          </w:p>
        </w:tc>
        <w:tc>
          <w:tcPr>
            <w:tcW w:w="4380" w:type="dxa"/>
            <w:vAlign w:val="bottom"/>
          </w:tcPr>
          <w:p>
            <w:pPr>
              <w:spacing w:after="0"/>
              <w:rPr>
                <w:sz w:val="18"/>
                <w:szCs w:val="18"/>
                <w:color w:val="auto"/>
              </w:rPr>
            </w:pPr>
          </w:p>
        </w:tc>
      </w:tr>
      <w:tr>
        <w:trPr>
          <w:trHeight w:val="27"/>
        </w:trPr>
        <w:tc>
          <w:tcPr>
            <w:tcW w:w="500" w:type="dxa"/>
            <w:vAlign w:val="bottom"/>
          </w:tcPr>
          <w:p>
            <w:pPr>
              <w:spacing w:after="0"/>
              <w:rPr>
                <w:sz w:val="2"/>
                <w:szCs w:val="2"/>
                <w:color w:val="auto"/>
              </w:rPr>
            </w:pPr>
          </w:p>
        </w:tc>
        <w:tc>
          <w:tcPr>
            <w:tcW w:w="484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380" w:type="dxa"/>
            <w:vAlign w:val="bottom"/>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Gross Margin</w:t>
            </w:r>
          </w:p>
        </w:tc>
        <w:tc>
          <w:tcPr>
            <w:tcW w:w="64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43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21.5</w:t>
            </w:r>
          </w:p>
        </w:tc>
        <w:tc>
          <w:tcPr>
            <w:tcW w:w="8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21.7</w:t>
            </w:r>
          </w:p>
        </w:tc>
        <w:tc>
          <w:tcPr>
            <w:tcW w:w="43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8</w:t>
            </w: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4380" w:type="dxa"/>
            <w:vAlign w:val="bottom"/>
          </w:tcPr>
          <w:p>
            <w:pPr>
              <w:spacing w:after="0"/>
              <w:rPr>
                <w:sz w:val="18"/>
                <w:szCs w:val="18"/>
                <w:color w:val="auto"/>
              </w:rPr>
            </w:pPr>
          </w:p>
        </w:tc>
      </w:tr>
      <w:tr>
        <w:trPr>
          <w:trHeight w:val="27"/>
        </w:trPr>
        <w:tc>
          <w:tcPr>
            <w:tcW w:w="5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Operating Profit (Loss)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w:t>
            </w:r>
          </w:p>
        </w:tc>
        <w:tc>
          <w:tcPr>
            <w:tcW w:w="43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43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(Benefit) Provision for Income Taxes</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w:t>
            </w:r>
          </w:p>
        </w:tc>
        <w:tc>
          <w:tcPr>
            <w:tcW w:w="8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0</w:t>
            </w:r>
          </w:p>
        </w:tc>
        <w:tc>
          <w:tcPr>
            <w:tcW w:w="4380" w:type="dxa"/>
            <w:vAlign w:val="bottom"/>
          </w:tcPr>
          <w:p>
            <w:pPr>
              <w:spacing w:after="0"/>
              <w:rPr>
                <w:sz w:val="18"/>
                <w:szCs w:val="18"/>
                <w:color w:val="auto"/>
              </w:rPr>
            </w:pPr>
          </w:p>
        </w:tc>
      </w:tr>
      <w:tr>
        <w:trPr>
          <w:trHeight w:val="27"/>
        </w:trPr>
        <w:tc>
          <w:tcPr>
            <w:tcW w:w="500" w:type="dxa"/>
            <w:vAlign w:val="bottom"/>
          </w:tcPr>
          <w:p>
            <w:pPr>
              <w:spacing w:after="0"/>
              <w:rPr>
                <w:sz w:val="2"/>
                <w:szCs w:val="2"/>
                <w:color w:val="auto"/>
              </w:rPr>
            </w:pPr>
          </w:p>
        </w:tc>
        <w:tc>
          <w:tcPr>
            <w:tcW w:w="484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380" w:type="dxa"/>
            <w:vAlign w:val="bottom"/>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4380" w:type="dxa"/>
            <w:vAlign w:val="bottom"/>
          </w:tcPr>
          <w:p>
            <w:pPr>
              <w:spacing w:after="0"/>
              <w:rPr>
                <w:sz w:val="18"/>
                <w:szCs w:val="18"/>
                <w:color w:val="auto"/>
              </w:rPr>
            </w:pPr>
          </w:p>
        </w:tc>
      </w:tr>
      <w:tr>
        <w:trPr>
          <w:trHeight w:val="21"/>
        </w:trPr>
        <w:tc>
          <w:tcPr>
            <w:tcW w:w="5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601"/>
        </w:trPr>
        <w:tc>
          <w:tcPr>
            <w:tcW w:w="5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left="500"/>
        <w:spacing w:after="0"/>
        <w:rPr>
          <w:sz w:val="20"/>
          <w:szCs w:val="20"/>
          <w:color w:val="auto"/>
        </w:rPr>
      </w:pPr>
      <w:r>
        <w:rPr>
          <w:rFonts w:ascii="Arial" w:cs="Arial" w:eastAsia="Arial" w:hAnsi="Arial"/>
          <w:sz w:val="18"/>
          <w:szCs w:val="18"/>
          <w:b w:val="1"/>
          <w:bCs w:val="1"/>
          <w:u w:val="single" w:color="auto"/>
          <w:color w:val="auto"/>
        </w:rPr>
        <w:t>Significant Matters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November 2009, tax law related to corporate net operating losses (“NOL”) was changed which enabled the Company to carryback the tax loss recorded in fiscal year 2009 to an earlier fiscal year. As a consequence, the Company was able to record an additional $1.8 million benefit in fiscal year 2010 which offset the tax provision on current year earnings. In the prior year, since the fiscal year 2009 operating loss followed two previous fiscal years of operating losses, in accordance with generally accepted accounting principles (GAAP), the Company recorded a $7.6 million valuation allowance against its deferred tax assets. This non-cash change in valuation allowance was included in the Company’s provision for income taxes and is part of the net loss recorded in fiscal year 2009. (See the section on Income Taxes later in this section.)</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Revenues</w:t>
      </w: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11"/>
          </w:tcPr>
          <w:p>
            <w:pPr>
              <w:ind w:left="660"/>
              <w:spacing w:after="0"/>
              <w:rPr>
                <w:sz w:val="20"/>
                <w:szCs w:val="20"/>
                <w:color w:val="auto"/>
              </w:rPr>
            </w:pPr>
            <w:r>
              <w:rPr>
                <w:rFonts w:ascii="Arial" w:cs="Arial" w:eastAsia="Arial" w:hAnsi="Arial"/>
                <w:sz w:val="18"/>
                <w:szCs w:val="18"/>
                <w:color w:val="auto"/>
              </w:rPr>
              <w:t>Fiscal years ended April 30,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4"/>
          </w:tcPr>
          <w:p>
            <w:pPr>
              <w:jc w:val="right"/>
              <w:ind w:right="50"/>
              <w:spacing w:after="0"/>
              <w:rPr>
                <w:sz w:val="20"/>
                <w:szCs w:val="20"/>
                <w:color w:val="auto"/>
              </w:rPr>
            </w:pPr>
            <w:r>
              <w:rPr>
                <w:rFonts w:ascii="Arial" w:cs="Arial" w:eastAsia="Arial" w:hAnsi="Arial"/>
                <w:sz w:val="18"/>
                <w:szCs w:val="18"/>
                <w:color w:val="auto"/>
              </w:rPr>
              <w:t>(in millions)</w:t>
            </w:r>
          </w:p>
        </w:tc>
        <w:tc>
          <w:tcPr>
            <w:tcW w:w="720" w:type="dxa"/>
            <w:vAlign w:val="bottom"/>
            <w:gridSpan w:val="3"/>
            <w:vMerge w:val="restart"/>
          </w:tcPr>
          <w:p>
            <w:pPr>
              <w:ind w:left="80"/>
              <w:spacing w:after="0"/>
              <w:rPr>
                <w:sz w:val="20"/>
                <w:szCs w:val="20"/>
                <w:color w:val="auto"/>
              </w:rPr>
            </w:pPr>
            <w:r>
              <w:rPr>
                <w:rFonts w:ascii="Arial" w:cs="Arial" w:eastAsia="Arial" w:hAnsi="Arial"/>
                <w:sz w:val="18"/>
                <w:szCs w:val="18"/>
                <w:color w:val="auto"/>
                <w:w w:val="98"/>
              </w:rPr>
              <w:t>Change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FEI-NY</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29.2</w:t>
            </w:r>
          </w:p>
        </w:tc>
        <w:tc>
          <w:tcPr>
            <w:tcW w:w="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35.8</w:t>
            </w:r>
          </w:p>
        </w:tc>
        <w:tc>
          <w:tcPr>
            <w:tcW w:w="540" w:type="dxa"/>
            <w:vAlign w:val="bottom"/>
            <w:gridSpan w:val="2"/>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(6.6)</w:t>
            </w:r>
          </w:p>
        </w:tc>
        <w:tc>
          <w:tcPr>
            <w:tcW w:w="2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Gillam-FEI</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FEI-Zyfer</w:t>
            </w: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Intersegment sales</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52.7</w:t>
            </w:r>
          </w:p>
        </w:tc>
        <w:tc>
          <w:tcPr>
            <w:tcW w:w="540" w:type="dxa"/>
            <w:vAlign w:val="bottom"/>
            <w:gridSpan w:val="2"/>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(3.3)</w:t>
            </w:r>
          </w:p>
        </w:tc>
        <w:tc>
          <w:tcPr>
            <w:tcW w:w="2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6% decrease in revenues for fiscal year 2010 compared to fiscal year 2009, was the result of lower revenues from sales of wireless infrastructure products and other commercial products recorded in the FEI-NY segment. As discussed in fiscal year 2009, future revenues for wireless telecommunications products are uncertain as OEMs slow installation of new network equipment or migrate to different technologies supporting shorter independent timing capabilities or reduced quality of service which do not require the precision timing devices that the Company supplies. These lower revenues were partially offset by increased sales from the Company’s US5G productline for the U.S. domestic wireline market which are generated by the FEI-Zyfer segment. Many of the US5G products are produced and sold by Gillam-FEI to FEI-Zyfer accounting for a significant element of intersegment sales. Revenues from satellite payload programs were moderately lower in fiscal year 2010 compared to fiscal year 2009. Revenues from U.S. Government space programs increased by 6% year-over-year but these increases were offset by continued low levels of activity in commercial satellite space programs. Revenues from U.S. Government/DOD non-space programs, which are recorded in the FEI-NY and FEI-Zyfer segments, increased by more than 25% year-over-year and accounted for approximately 27% of consolidated revenue in fiscal year 2010 compared to 20% in fiscal year 2009.</w:t>
      </w:r>
    </w:p>
    <w:p>
      <w:pPr>
        <w:spacing w:after="0" w:line="19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Revenues in fiscal year 2009 were 18% less than fiscal year 2008. The decrease in revenues for fiscal year 2009 compared to fiscal year 2008 was the result of lower revenues in two of the Company’s major business areas, telecommunications infrastructure and satellite payloads, which declined in fiscal year 2009 by 22% and 26%, respectively, compared to fiscal year 2008. These revenue declines affected results primarily for the FEI-NY segment. Satellite payload revenue was particularly impacted in fiscal year 2009 by a decline in commercial satellite projects reflecting uncertain economic conditions which were partially offset by a rise in U.S. Government satellite revenues. Revenues for the FEI-Zyfer segment increased in fiscal year 2009 over fiscal year 2008 due to sales of the Company’s new wireline telecommunication synchronization equipment. Revenues from U.S. Government/DOD non-space customers, which are recorded in both the FEI-NY and FEI-Zyfer segments, were lower in fiscal year 2009 compared to fiscal year 2008.</w:t>
      </w:r>
    </w:p>
    <w:p>
      <w:pPr>
        <w:spacing w:after="0" w:line="19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fiscal year 2011, the Company expects revenues from wireless telecommunication infrastructure products to remain at approximately the same levels as in fiscal year 2010 but expects revenues from its other major business areas to increase. The Company expected to be awarded contracts for certain commercial and U.S. Government satellite programs during fiscal year 2010 but the award of these contracts has been delayed. Recently, the prime contractors were awarded contracts or received funding for these programs. Since the Company’s products are designed into the satellites, Frequency expects to be awarded significant contracts and to begin to realize revenues on these programs during fiscal year 2011. Proposal activity on other satellite programs remains high. In addition, following the end of fiscal year 2010, the Company was awarded follow on production contracts for its low g-sensitivity and ruggedized rubidium products which will augment revenues in its U.S. Government/DOD non-space business area. The Company also expects increases in revenue from wireline telecommunication products which were initially introduced to the U.S. market in fiscal year 2009.</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ind w:left="500"/>
        <w:spacing w:after="0"/>
        <w:rPr>
          <w:sz w:val="20"/>
          <w:szCs w:val="20"/>
          <w:color w:val="auto"/>
        </w:rPr>
      </w:pPr>
      <w:r>
        <w:rPr>
          <w:rFonts w:ascii="Arial" w:cs="Arial" w:eastAsia="Arial" w:hAnsi="Arial"/>
          <w:sz w:val="18"/>
          <w:szCs w:val="18"/>
          <w:b w:val="1"/>
          <w:bCs w:val="1"/>
          <w:u w:val="single" w:color="auto"/>
          <w:color w:val="auto"/>
        </w:rPr>
        <w:t>Gross Margin Rates</w:t>
      </w:r>
    </w:p>
    <w:p>
      <w:pPr>
        <w:spacing w:after="0" w:line="25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20" w:type="dxa"/>
            <w:vAlign w:val="bottom"/>
            <w:gridSpan w:val="9"/>
          </w:tcPr>
          <w:p>
            <w:pPr>
              <w:jc w:val="center"/>
              <w:ind w:left="210"/>
              <w:spacing w:after="0"/>
              <w:rPr>
                <w:sz w:val="20"/>
                <w:szCs w:val="20"/>
                <w:color w:val="auto"/>
              </w:rPr>
            </w:pPr>
            <w:r>
              <w:rPr>
                <w:rFonts w:ascii="Arial" w:cs="Arial" w:eastAsia="Arial" w:hAnsi="Arial"/>
                <w:sz w:val="18"/>
                <w:szCs w:val="18"/>
                <w:color w:val="auto"/>
                <w:w w:val="90"/>
              </w:rPr>
              <w:t>Fiscal years ended April 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gridSpan w:val="6"/>
          </w:tcPr>
          <w:p>
            <w:pPr>
              <w:jc w:val="center"/>
              <w:ind w:right="500"/>
              <w:spacing w:after="0"/>
              <w:rPr>
                <w:sz w:val="20"/>
                <w:szCs w:val="20"/>
                <w:color w:val="auto"/>
              </w:rPr>
            </w:pPr>
            <w:r>
              <w:rPr>
                <w:rFonts w:ascii="Arial" w:cs="Arial" w:eastAsia="Arial" w:hAnsi="Arial"/>
                <w:sz w:val="18"/>
                <w:szCs w:val="18"/>
                <w:color w:val="auto"/>
                <w:w w:val="89"/>
              </w:rPr>
              <w:t>(in thousands)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color w:val="auto"/>
                <w:w w:val="85"/>
              </w:rPr>
              <w:t>Change</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$17,722</w:t>
            </w:r>
          </w:p>
        </w:tc>
        <w:tc>
          <w:tcPr>
            <w:tcW w:w="1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5"/>
              </w:rPr>
              <w:t>$10,180</w:t>
            </w:r>
          </w:p>
        </w:tc>
        <w:tc>
          <w:tcPr>
            <w:tcW w:w="18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9"/>
              </w:rPr>
              <w:t>$ 7,542</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w:t>
            </w: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GM Rate</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35.9%</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1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For the year ended April 30, 2010, gross margin increased both in total and as a percentage of revenues as compared to the prior year. The 36% gross margin rate in fiscal year 2010 approaches the Company’s expected rate at current revenue levels. During fiscal years 2010 and 2009, cost of sales includes inventory write downs of $1.3 million and $3.4 million, respectively, which reduced gross margin rates by 2.7% and 6.4%, respectively. A portion of the fiscal year 2010 write down and most of the fiscal year 2009 write down were related to inventory for the wireless telecommunication market for which sales were no longer expected to be realized. In addition, during fiscal year 2010, the Company reached an agreement with a customer and received $650,000 representing a portion of the cost of certain unique inventory items that the customer no longer required and recorded this amount as a reduction to cost of goods sold during the period. The fiscal year 2010 inventory writedowns included the unique inventory items. During fiscal year 2009, the Company’s gross margin rate was also impacted by higher levels of engineering and manufacturing costs on certain satellite payload programs that were completed during fiscal year 2009. The challenging satellite programs were completed in the first half of fiscal year 2009 and gross margin rates, exclusive of inventory write downs, began to improve in the last half of that year. With the current mix of programs and orders in its backlog, the Company expects to realize gross margin rates in the mid-30% range during fiscal year 2011. As revenues increase in future periods, the Company expects to realize a higher gross margin as more of its fixed costs are covered.</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6"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7"/>
          </w:tcPr>
          <w:p>
            <w:pPr>
              <w:jc w:val="center"/>
              <w:ind w:right="480"/>
              <w:spacing w:after="0"/>
              <w:rPr>
                <w:sz w:val="20"/>
                <w:szCs w:val="20"/>
                <w:color w:val="auto"/>
              </w:rPr>
            </w:pPr>
            <w:r>
              <w:rPr>
                <w:rFonts w:ascii="Arial" w:cs="Arial" w:eastAsia="Arial" w:hAnsi="Arial"/>
                <w:sz w:val="18"/>
                <w:szCs w:val="18"/>
                <w:color w:val="auto"/>
                <w:w w:val="90"/>
              </w:rPr>
              <w:t>Fiscal years ended April 30,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(in thousands)</w:t>
            </w:r>
          </w:p>
        </w:tc>
        <w:tc>
          <w:tcPr>
            <w:tcW w:w="980" w:type="dxa"/>
            <w:vAlign w:val="bottom"/>
            <w:gridSpan w:val="3"/>
            <w:vMerge w:val="restart"/>
          </w:tcPr>
          <w:p>
            <w:pPr>
              <w:ind w:left="320"/>
              <w:spacing w:after="0"/>
              <w:rPr>
                <w:sz w:val="20"/>
                <w:szCs w:val="20"/>
                <w:color w:val="auto"/>
              </w:rPr>
            </w:pPr>
            <w:r>
              <w:rPr>
                <w:rFonts w:ascii="Arial" w:cs="Arial" w:eastAsia="Arial" w:hAnsi="Arial"/>
                <w:sz w:val="18"/>
                <w:szCs w:val="18"/>
                <w:color w:val="auto"/>
              </w:rPr>
              <w:t>Change</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10,621</w:t>
            </w:r>
          </w:p>
        </w:tc>
        <w:tc>
          <w:tcPr>
            <w:tcW w:w="34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11,431</w:t>
            </w:r>
          </w:p>
        </w:tc>
        <w:tc>
          <w:tcPr>
            <w:tcW w:w="5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(810)</w:t>
            </w:r>
          </w:p>
        </w:tc>
        <w:tc>
          <w:tcPr>
            <w:tcW w:w="3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For the fiscal year ended April 30, 2010, selling and administrative costs declined from fiscal year 2009 due to decreases in sales commissions and personnel costs including decreased employee benefits resulting from reductions in personnel that took place during the latter portion of fiscal year 2009. Such decreases were partially offset by higher incentive compensation expense as a result of the Company’s improved profitability. For the years ended April 30, 2010 and 2009, selling and administrative expenses include stock compensation expense of $235,700 and $238,400, respectively.</w:t>
      </w:r>
    </w:p>
    <w:p>
      <w:pPr>
        <w:spacing w:after="0" w:line="19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For the fiscal year ended April 30, 2009 selling and administrative costs declined from fiscal year 2008 principally as a result of decreased personnel costs including reduced incentive compensation, lower deferred compensation expense and decreased employee benefits due to a reduction of personnel.</w:t>
      </w:r>
    </w:p>
    <w:p>
      <w:pPr>
        <w:spacing w:after="0" w:line="15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a percentage of sales, selling and administrative expenses were 21.5% and 21.7% in fiscal years 2010 and 2009, respectively. The Company targets selling and administrative expenses at 20% of consolidated sales. For fiscal year 2011, the Company expects to incur selling and administrative expenses at approximately the same rate as fiscal year 2010.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ind w:left="500"/>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56"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7"/>
          </w:tcPr>
          <w:p>
            <w:pPr>
              <w:jc w:val="center"/>
              <w:ind w:right="500"/>
              <w:spacing w:after="0"/>
              <w:rPr>
                <w:sz w:val="20"/>
                <w:szCs w:val="20"/>
                <w:color w:val="auto"/>
              </w:rPr>
            </w:pPr>
            <w:r>
              <w:rPr>
                <w:rFonts w:ascii="Arial" w:cs="Arial" w:eastAsia="Arial" w:hAnsi="Arial"/>
                <w:sz w:val="18"/>
                <w:szCs w:val="18"/>
                <w:color w:val="auto"/>
                <w:w w:val="90"/>
              </w:rPr>
              <w:t>Fiscal years ended April 30,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(in thousands)</w:t>
            </w:r>
          </w:p>
        </w:tc>
        <w:tc>
          <w:tcPr>
            <w:tcW w:w="1000" w:type="dxa"/>
            <w:vAlign w:val="bottom"/>
            <w:gridSpan w:val="3"/>
            <w:vMerge w:val="restart"/>
          </w:tcPr>
          <w:p>
            <w:pPr>
              <w:ind w:left="320"/>
              <w:spacing w:after="0"/>
              <w:rPr>
                <w:sz w:val="20"/>
                <w:szCs w:val="20"/>
                <w:color w:val="auto"/>
              </w:rPr>
            </w:pPr>
            <w:r>
              <w:rPr>
                <w:rFonts w:ascii="Arial" w:cs="Arial" w:eastAsia="Arial" w:hAnsi="Arial"/>
                <w:sz w:val="18"/>
                <w:szCs w:val="18"/>
                <w:color w:val="auto"/>
              </w:rPr>
              <w:t>Change</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5,350</w:t>
            </w:r>
          </w:p>
        </w:tc>
        <w:tc>
          <w:tcPr>
            <w:tcW w:w="34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4,666</w:t>
            </w:r>
          </w:p>
        </w:tc>
        <w:tc>
          <w:tcPr>
            <w:tcW w:w="5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Research and development expenditures represent investments intended to keep the Company’s products at the leading edge of time and frequency technology and enhance competitiveness for future sales. During the fiscal year ended April 30, 2010, R&amp;D spending increased in comparison to fiscal year 2009. This increase was the result of the Company’s added emphasis on the development of new space hardware including development of new C and Ku band beacon/telemetry transceivers and a new family of frequency generators and converters. In addition to internal research and development spending, the Company continues to apply resources to cost-plus-fee satellite payload programs. The expenditures incurred on these programs are recorded in cost of revenues.</w:t>
      </w:r>
    </w:p>
    <w:p>
      <w:pPr>
        <w:spacing w:after="0" w:line="22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fiscal year 2009, research and development spending decreased in comparison to fiscal year 2008. This decrease was the result of a greater proportion of the Company’s development resources being applied to certain cost-plus-fee satellite payload programs with an aggregate contract value exceeding $20 million. As a consequence, as in fiscal year 2010, some of the Company’s development expenditures were customer-funded and the costs appeared in cost of revenues, thus reducing the level of internal research and development spending. R&amp;D spending was 10.8% and 8.8% of consolidated revenues in fiscal years 2010 and 2009, respectively, approximately in line with the Company’s target of 10% of revenues for such efforts.</w:t>
      </w:r>
    </w:p>
    <w:p>
      <w:pPr>
        <w:spacing w:after="0" w:line="20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will continue to focus its research and development activities on those products which it expects will provide the best return on investment and greatest prospects for the future growth of the Company. For fiscal year 2011, the Company will continue to make investments in improved satellite payload products, develop and improve miniaturized rubidium atomic clocks, develop new GPS-based synchronization products and further enhance the capabilities of its line of low g-sensitivity and ruggedized rubidium oscillators. The Company will also be engaged in development efforts that are funded by its customers, the results of which will enhance its own product offerings. Thus, the Company’s target for fiscal year 2011 is to spend approximately 10% of revenues on research and development activities, although the actual level of spending is dependent on new opportunites and the rate at which it succeeds in bringing new products to market. Internally generated cash and cash reserves will be adequate to fund these development efforts.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Operating Profit (Loss)</w:t>
      </w:r>
    </w:p>
    <w:p>
      <w:pPr>
        <w:spacing w:after="0" w:line="256"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7"/>
          </w:tcPr>
          <w:p>
            <w:pPr>
              <w:jc w:val="center"/>
              <w:ind w:right="540"/>
              <w:spacing w:after="0"/>
              <w:rPr>
                <w:sz w:val="20"/>
                <w:szCs w:val="20"/>
                <w:color w:val="auto"/>
              </w:rPr>
            </w:pPr>
            <w:r>
              <w:rPr>
                <w:rFonts w:ascii="Arial" w:cs="Arial" w:eastAsia="Arial" w:hAnsi="Arial"/>
                <w:sz w:val="18"/>
                <w:szCs w:val="18"/>
                <w:color w:val="auto"/>
                <w:w w:val="91"/>
              </w:rPr>
              <w:t>Fiscal years ended April 30,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(in thousands)</w:t>
            </w:r>
          </w:p>
        </w:tc>
        <w:tc>
          <w:tcPr>
            <w:tcW w:w="1000" w:type="dxa"/>
            <w:vAlign w:val="bottom"/>
            <w:gridSpan w:val="3"/>
            <w:vMerge w:val="restart"/>
          </w:tcPr>
          <w:p>
            <w:pPr>
              <w:ind w:left="320"/>
              <w:spacing w:after="0"/>
              <w:rPr>
                <w:sz w:val="20"/>
                <w:szCs w:val="20"/>
                <w:color w:val="auto"/>
              </w:rPr>
            </w:pPr>
            <w:r>
              <w:rPr>
                <w:rFonts w:ascii="Arial" w:cs="Arial" w:eastAsia="Arial" w:hAnsi="Arial"/>
                <w:sz w:val="18"/>
                <w:szCs w:val="18"/>
                <w:color w:val="auto"/>
              </w:rPr>
              <w:t>Change</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1,751</w:t>
            </w:r>
          </w:p>
        </w:tc>
        <w:tc>
          <w:tcPr>
            <w:tcW w:w="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(5,917) $</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7,668</w:t>
            </w:r>
          </w:p>
        </w:tc>
        <w:tc>
          <w:tcPr>
            <w:tcW w:w="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8"/>
          <w:szCs w:val="18"/>
          <w:color w:val="auto"/>
        </w:rPr>
        <w:t>(NM = Not meaningful)</w:t>
      </w:r>
    </w:p>
    <w:p>
      <w:pPr>
        <w:spacing w:after="0" w:line="2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Substantially improved gross margin rates and lower operating expenses in fiscal year 2010 enabled the Company to record an operating profit for the year. As discussed above, the operating loss incurred in fiscal year 2009 includes higher than anticipated engineering and manufacturing costs on certain satellite payload products and programs that were completed during that year as well as the $3.4 million write down of wireless telecommunications inventory as compared to $1.3 million in inventory writedowns in fiscal year 2010.</w:t>
      </w:r>
    </w:p>
    <w:p>
      <w:pPr>
        <w:spacing w:after="0" w:line="214"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Based on recently received low g-sensitivity and ruggedized rubidium product contracts, expected new bookings for satellite programs and continuing new orders for wireline telecommunication products, in fiscal year 2011, the Company expects to realize improved gross margins while maintaining other operating expenses within their targeted amounts. Thus, the Company expects to report higher operating profits in the coming fiscal year.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40" w:type="dxa"/>
            <w:vAlign w:val="bottom"/>
            <w:gridSpan w:val="3"/>
          </w:tcPr>
          <w:p>
            <w:pPr>
              <w:ind w:left="48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10"/>
          </w:tcPr>
          <w:p>
            <w:pPr>
              <w:jc w:val="center"/>
              <w:ind w:left="290"/>
              <w:spacing w:after="0"/>
              <w:rPr>
                <w:sz w:val="20"/>
                <w:szCs w:val="20"/>
                <w:color w:val="auto"/>
              </w:rPr>
            </w:pPr>
            <w:r>
              <w:rPr>
                <w:rFonts w:ascii="Arial" w:cs="Arial" w:eastAsia="Arial" w:hAnsi="Arial"/>
                <w:sz w:val="18"/>
                <w:szCs w:val="18"/>
                <w:color w:val="auto"/>
                <w:w w:val="90"/>
              </w:rPr>
              <w:t>Fiscal years ended April 30,</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7"/>
          </w:tcPr>
          <w:p>
            <w:pPr>
              <w:jc w:val="center"/>
              <w:ind w:right="560"/>
              <w:spacing w:after="0"/>
              <w:rPr>
                <w:sz w:val="20"/>
                <w:szCs w:val="20"/>
                <w:color w:val="auto"/>
              </w:rPr>
            </w:pPr>
            <w:r>
              <w:rPr>
                <w:rFonts w:ascii="Arial" w:cs="Arial" w:eastAsia="Arial" w:hAnsi="Arial"/>
                <w:sz w:val="18"/>
                <w:szCs w:val="18"/>
                <w:color w:val="auto"/>
                <w:w w:val="89"/>
              </w:rPr>
              <w:t>(in thousands)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w w:val="91"/>
              </w:rPr>
              <w:t>Change</w:t>
            </w: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613</w:t>
            </w:r>
          </w:p>
        </w:tc>
        <w:tc>
          <w:tcPr>
            <w:tcW w:w="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Equity loss</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(288)</w:t>
            </w: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190</w:t>
            </w:r>
          </w:p>
        </w:tc>
        <w:tc>
          <w:tcPr>
            <w:tcW w:w="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(712)</w:t>
            </w:r>
          </w:p>
        </w:tc>
        <w:tc>
          <w:tcPr>
            <w:tcW w:w="2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(375)%</w:t>
            </w:r>
          </w:p>
        </w:tc>
      </w:tr>
    </w:tbl>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Investment income includes interest and dividend income on marketable securities. Due to the low interest rate environment, fiscal year 2010 income was lower than fiscal year 2009. In addition, during fiscal year 2010, the Company recorded approximately $45,000 in losses upon the sale or redemption of certain marketable securities in its portfolio. During fiscal year 2011, unless interest rates begin to increase, the Company anticipates that investment income will be approximately the same as that earned in fiscal year 2010.</w:t>
      </w:r>
    </w:p>
    <w:p>
      <w:pPr>
        <w:spacing w:after="0" w:line="21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equity loss in fiscal years 2010 and 2009 represents the Company’s share of the income or loss recorded by Elcom in which the Company owns a 25% interest. Also, during fiscal year 2010, based on comparisons to comparable companies as well as Elcom’s forecasts of future financial results, the Company recorded impairment charges in the amount of $550,000 in addition to its equity share in Elcom’s income or loss.</w:t>
      </w:r>
    </w:p>
    <w:p>
      <w:pPr>
        <w:spacing w:after="0" w:line="193"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In fiscal years 2010 and 2009, interest expense was incurred on borrowings under short-term credit obligations, on deferred compensation payments and a capital lease for equipment. For the year ended April 30, 2010, interest expense decreased from the prior year primarily due to the pay down of its bank line of credit and the declining balance of the capital lease obligation. The Company anticipates that interest expense in fiscal year 2011 will decrease as a result of continuing reductions in debt levels.</w:t>
      </w:r>
    </w:p>
    <w:p>
      <w:pPr>
        <w:spacing w:after="0" w:line="21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the year ended April 30, 2010, other expense included royalty expenses, foreign exchange losses at the Company’s overseas subsidiaries and other non-operating expenses. During fiscal year 2009, this category included the recognition of $235,000 of income from amortization of a deferred gain from the 1998 sale of the Company’s corporate headquarters building in New York. The deferred gain was amortized over the remaining life of the original eleven-year lease. Also, in fiscal year 2009 other income included realized gains of approximately $217,000 from the excess of proceeds over the cash values of life insurance policies on the life of a former officer/employee. Such non-operating income items were not repeated in fiscal year 2010. The Company anticipates that in future years items in this category will not be significant to pretax earnings.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Income Tax (Benefit) Provision</w:t>
      </w:r>
    </w:p>
    <w:p>
      <w:pPr>
        <w:spacing w:after="0" w:line="256"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20" w:type="dxa"/>
            <w:vAlign w:val="bottom"/>
            <w:gridSpan w:val="7"/>
          </w:tcPr>
          <w:p>
            <w:pPr>
              <w:jc w:val="center"/>
              <w:ind w:right="540"/>
              <w:spacing w:after="0"/>
              <w:rPr>
                <w:sz w:val="20"/>
                <w:szCs w:val="20"/>
                <w:color w:val="auto"/>
              </w:rPr>
            </w:pPr>
            <w:r>
              <w:rPr>
                <w:rFonts w:ascii="Arial" w:cs="Arial" w:eastAsia="Arial" w:hAnsi="Arial"/>
                <w:sz w:val="18"/>
                <w:szCs w:val="18"/>
                <w:color w:val="auto"/>
                <w:w w:val="91"/>
              </w:rPr>
              <w:t>Fiscal years ended April 30,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(in thousands)</w:t>
            </w:r>
          </w:p>
        </w:tc>
        <w:tc>
          <w:tcPr>
            <w:tcW w:w="1000" w:type="dxa"/>
            <w:vAlign w:val="bottom"/>
            <w:gridSpan w:val="3"/>
            <w:vMerge w:val="restart"/>
          </w:tcPr>
          <w:p>
            <w:pPr>
              <w:ind w:left="340"/>
              <w:spacing w:after="0"/>
              <w:rPr>
                <w:sz w:val="20"/>
                <w:szCs w:val="20"/>
                <w:color w:val="auto"/>
              </w:rPr>
            </w:pPr>
            <w:r>
              <w:rPr>
                <w:rFonts w:ascii="Arial" w:cs="Arial" w:eastAsia="Arial" w:hAnsi="Arial"/>
                <w:sz w:val="18"/>
                <w:szCs w:val="18"/>
                <w:color w:val="auto"/>
              </w:rPr>
              <w:t>Change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(1,520)</w:t>
            </w:r>
          </w:p>
        </w:tc>
        <w:tc>
          <w:tcPr>
            <w:tcW w:w="2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5,309 $</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(6,829)</w:t>
            </w:r>
          </w:p>
        </w:tc>
        <w:tc>
          <w:tcPr>
            <w:tcW w:w="28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November 2009, the United States enacted legislation which permits corporations to carryback net operating losses up to 5 years versus the previous 2-year limitation. As a result, the Company filed a claim to carryback the entire amount of its fiscal year 2009 tax loss to an earlier year and received a tax refund of approximately $2.8 million. Before this legislation was enacted, the Company anticipated receiving a tax benefit of approximately $800,000 and recorded a receivable on that basis. Due to the change in tax law, the Company recognized a net tax benefit of $1.52 million of which $1.8 million is attributable to the effect of the new law.</w:t>
      </w:r>
    </w:p>
    <w:p>
      <w:pPr>
        <w:spacing w:after="0" w:line="2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fiscal year 2009, the Company recorded an operating loss which, along with the challenging economic environment, reduced the likelihood that the Company would be able to realize the benefits of its deferred tax assets. Based on its cumulative losses in recent years, the Company increased its valuation allowance by the amount of $7.6 million during the year ended April 30, 2009. If in future periods the Company records pre-tax profits and is able to assess the realizability of its deferred tax assets as “more likely than not”, the need for all or some of such valuation allowance could be overcome based on then available evidence. Valuation allowance reductions would reduce future income tax provisions. As of April 30, 2010, the valuation allowance is approximately $8.0 million.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2" w:name="page23"/>
    <w:bookmarkEnd w:id="22"/>
    <w:p>
      <w:pPr>
        <w:jc w:val="both"/>
        <w:ind w:firstLine="486"/>
        <w:spacing w:after="0" w:line="302" w:lineRule="auto"/>
        <w:rPr>
          <w:sz w:val="20"/>
          <w:szCs w:val="20"/>
          <w:color w:val="auto"/>
        </w:rPr>
      </w:pPr>
      <w:r>
        <w:rPr>
          <w:rFonts w:ascii="Arial" w:cs="Arial" w:eastAsia="Arial" w:hAnsi="Arial"/>
          <w:sz w:val="16"/>
          <w:szCs w:val="16"/>
          <w:color w:val="auto"/>
        </w:rPr>
        <w:t>The Company is subject to taxation in several countries. The statutory federal rates are 34% in the United States, 33% in Europe and 25% in China. In fiscal year 2010, the $2.8 million tax refund created a large current benefit that offset the current tax provision and the increase in the valuation allowance. In fiscal year 2009, the valuation allowance created a net tax provision rather than a tax benefit from that year’s tax loss. The Company utilizes the availability of research and development tax credits in the United States to lower its tax rate. (See Note 13 to the Consolidated Financial Statements.)</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European subsidiaries have available net operating loss carryforwards of approximately $1.3 million to offset future taxable income. These loss carryforwards have no expiration date. For state income tax purposes, the Company has tax loss carryforwards of approximately $2.3 million in California and $8.4 million in New York.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highly liquid position with working capital of $53.3 million at April 30, 2010. Included in working capital at April 30, 2010 is $20.4 million consisting of cash, cash equivalents and short-term investments. The Company’s current ratio at April 30, 2010 is 8.3 to 1 compared to 7 to 1 at the end of the prior fiscal year.</w:t>
      </w:r>
    </w:p>
    <w:p>
      <w:pPr>
        <w:spacing w:after="0" w:line="20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Net cash provided by operating activities for the year ended April 30, 2010, was $7.6 million. In addition to the Company’s return to profitability, this amount includes the $2.8 million income tax refund. During fiscal year 2010, the Company incurred $5.0 million in non-cash charges to earnings, including depreciation and amortization expense, the equity loss on its Elcom investment, and certain employee benefit plan expenses, including accounting for stock options. For the year ended April 30, 2009, the Company generated $7.2 million in cash from operations compared to $1.8 million used in operations in fiscal year 2008. The primary source for the increased positive cash flow was the billing and collection of unbilled receivables on certain long-term contracts during fiscal year 2009. Such collections were partially offset by the operating loss generated by higher operating expenses. In fiscal year 2011, the Company anticipates that it will maintain positive cash flow from operations by continuing to generate operating profits.</w:t>
      </w:r>
    </w:p>
    <w:p>
      <w:pPr>
        <w:spacing w:after="0" w:line="20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used in investing activities was $552,000 which consists of net proceeds on the sale or redemption of marketable securities of $514,000, the repayment of a note receivable from Elcom of $217,000 offset by a new note from Elcom in the amount of $308,000 and the purchase of property, plant and equipment for $975,000. In fiscal year 2009, net cash used in investing activities was $6.4 million of which approximately $5.6 million was derived from the net cumulative purchase of marketable securities during the year. During the year ended April 30, 2009, the Company acquired property, plant and equipment of $627,000 and provided a $220,000 working capital loan to Elcom Technologies (See Note 11 to the Consolidated Financial Statements).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between $1 million and $1.5 million on capital equipment during fiscal year 2011. Internally generated cash is expected to be adequate to acquire this property, plant and equipment.</w:t>
      </w:r>
    </w:p>
    <w:p>
      <w:pPr>
        <w:spacing w:after="0" w:line="20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Company has a $7.4 million line of credit with the financial institution which also manages a substantial portion of its investment in marketable securities. The line is secured by its investments in marketable securities. Rather than liquidate some of these investments to meet short-term working capital requirements, the Company borrowed against the line of credit at variable interest rates between 1.49% and 5.82%, generally below the interest earned on the marketable securities which secure the line. The highest level of borrowing was $6.0 million in fiscal year 2009 which was decreased to $1.1 million by the end of that fiscal year. During fiscal year 2010, this amount was paid and the Company had no outstanding borrowings under the line of credit as of April 30, 2010. In addition, the Company’s European subsidiaries have available approximately $2.5 million in bank credit lines to meet short-term cash flow requirements. The rate of interest on these borrowings is based on the one month EURO Interbank Offered Rate (EURIBOR). The European subsidiaries had no borrowings under these lines of credit during fiscal years 2010 and 2009.</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ind w:firstLine="486"/>
        <w:spacing w:after="0" w:line="271" w:lineRule="auto"/>
        <w:rPr>
          <w:sz w:val="20"/>
          <w:szCs w:val="20"/>
          <w:color w:val="auto"/>
        </w:rPr>
      </w:pPr>
      <w:r>
        <w:rPr>
          <w:rFonts w:ascii="Arial" w:cs="Arial" w:eastAsia="Arial" w:hAnsi="Arial"/>
          <w:sz w:val="17"/>
          <w:szCs w:val="17"/>
          <w:color w:val="auto"/>
        </w:rPr>
        <w:t>During the year ended April 30, 2010, cash used in financing activities was $1.4 million, all of which was for the repayment of debt, including $1.1 million for the line of credit discussed above and $300,000 in principal payments on a capital equipment lease. During the year ended April 30, 2009, cash used in financing activities was $7.4 million. The principal use of cash in fiscal year 2009, was the $4.2 million net activity involving its line of credit as described above and the purchase of 725,000 shares of the Company’s stock for treasury for $3.1 million at an average price of $4.29 per share. The Company will continue to use treasury shares to satisfy the future exercise of stock options granted to officers and employees. 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the end of fiscal year 2010, the Company has repurchased approximately $4 million of its common stock out of the $5 million authorization.</w:t>
      </w:r>
    </w:p>
    <w:p>
      <w:pPr>
        <w:spacing w:after="0" w:line="20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2011, the Company intends to make a substantial investment of capital and technical resources to develop and acquire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April 30, 2010, the Company's consolidated backlog amounted to approximately $30 million (see Item 1). Approximately 75% of this backlog is expected to be filled during the Company’s fiscal year ending April 30, 2011. Included in the backlog at April 30, 2010 is approximately $8.2 million under cost-plus-fee contracts which the Company believes represent firm commitments from its customers for which the Company has not received full funding to date.</w:t>
      </w:r>
    </w:p>
    <w:p>
      <w:pPr>
        <w:spacing w:after="0" w:line="21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liquidity is adequate to meet its operating and investment needs through at least April 30,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June 2009, the FASB issued standards which modified how a company determines when an entity that is insufficiently capitalized or is not controlled through voting (or similar rights) should be consolidated. These standards clarify that the determination of whether a company is required to consolidate an entity is based on, among other things, an entity’s purpose and design and a company’s ability to direct the activities of the entity that most significantly impact the entity’s economic performance. These standards require an ongoing reassessment of whether a company is the primary beneficiary of a variable interest entity. These standards also require additional disclosures about a company’s involvement in variable interest entities and any significant changes in risk exposure due to that involvement. These standards are effective for fiscal years beginning after November 15, 2009 and are effective for the Company on May 1, 2010. The Company is currently evaluating the impact that the adoption of these standards will have on the financial condition, results of operations, and disclosures.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ind w:firstLine="486"/>
        <w:spacing w:after="0" w:line="276" w:lineRule="auto"/>
        <w:rPr>
          <w:sz w:val="20"/>
          <w:szCs w:val="20"/>
          <w:color w:val="auto"/>
        </w:rPr>
      </w:pPr>
      <w:r>
        <w:rPr>
          <w:rFonts w:ascii="Arial" w:cs="Arial" w:eastAsia="Arial" w:hAnsi="Arial"/>
          <w:sz w:val="17"/>
          <w:szCs w:val="17"/>
          <w:color w:val="auto"/>
        </w:rPr>
        <w:t>In May 2009, the FASB issued standards which provide guidance to establish accounting for and disclosures of events that occur after the balance sheet date but before financial statements are issued or are available to be issued. These standards also require entities to disclose the date through which subsequent events were evaluated as well as the rationale for why that date was selected. These standards are effective for interim and annual periods ending after June 15, 2009. These standards were effective for the Company during the quarter ending July 31, 2009. The adoption of these standards did not have a material impact on the financial condition, results of operations, and cash flows of the Company.</w:t>
      </w:r>
    </w:p>
    <w:p>
      <w:pPr>
        <w:spacing w:after="0" w:line="20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April 2009, the FASB issued standards that provide guidelines for making fair value measurements more consistent with the principles presented in existing standards. These standards provide additional authoritative guidance in determining whether a market is active or inactive, and whether a transaction is distressed, is applicable to all assets and liabilities (i.e. financial and nonfinancial) and will require enhanced disclosures. These standards are effective for periods ending after June 15, 2009. The adoption of these standards did not have a material impact on the financial condition, results of operations or cash flows of the Company.</w:t>
      </w:r>
    </w:p>
    <w:p>
      <w:pPr>
        <w:spacing w:after="0" w:line="21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April 2009, the FASB issued standards that provide additional guidance to provide greater clarity about the credit and noncredit component of an other-than-temporary impairment event and to more effectively communicate when an other-than-temporary impairment event has occurred. These standards apply to debt securities. These standards are effective for periods ending after June 15, 2009. The adoption of these standards did not have a material impact on the financial condition, results of operations or cash flows of the Company.</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April 2009, the FASB issued standards to require disclosures about fair value of financial instruments in interim as well as in annual financial statements. These standards also amend existing standards to require those disclosures in all interim financial statements. These standards are effective for periods ending after June 15, 2009. The adoption of these standards did not have a material impact on the financial condition, results of operations or cash flows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financial information reported herein is not necessarily indicative of future operating results or of the future financial condition of the Company. Except as noted, management is unaware of any impending transactions or internal events that are likely to have a material adverse effect on results from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2010, as in fiscal year 2009, the impact of inflation on the Company's business has not been materially significant.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Frequency Electronics, Inc. and subsidiaries (the "Company") as of April 30, 2010 and 2009, and the related consolidated statements of operations, cash flows and changes in stockholders' equity for each of the years then ended. These financial statements are the responsibility of the Company's management. Our responsibility is to express an opinion on these financial statements based on our audits.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Frequency Electronics, Inc. and subsidiaries as of April 30, 2010 and 2009, and the consolidated results of their operations and their consolidated cash flows for each of the years then ended in conformity with accounting principles generally accepted in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Eisner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EISNER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2010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238125</wp:posOffset>
            </wp:positionV>
            <wp:extent cx="1106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96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9,954</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10,418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receivable, net of allowance for doubtful accounts of $266 in 2010 and $285 in 2009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 refundable</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60,640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Goodwill and other intangible assets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Investment in and loans receivable from affiliates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3,813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81,420</w:t>
            </w:r>
          </w:p>
        </w:tc>
        <w:tc>
          <w:tcPr>
            <w:tcW w:w="140" w:type="dxa"/>
            <w:vAlign w:val="bottom"/>
            <w:shd w:val="clear" w:color="auto" w:fill="CCFFCC"/>
          </w:tcPr>
          <w:p>
            <w:pPr>
              <w:spacing w:after="0"/>
              <w:rPr>
                <w:sz w:val="22"/>
                <w:szCs w:val="22"/>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77,920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236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Short-term credit and lease obligations</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7,308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Lease obligation- noncurrent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9,624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rent and other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18,037</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Preferred stock - authorized 600,000 shares of $1.00 par value; no shares issued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stock - authorized 20,000,000 shares of $1.00 par value; issued – 9,163,940 shares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5,271</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6"/>
              </w:rPr>
              <w:t>Common stock reacquired and held in treasury - at cost (946,172 shares in 2010 and 1,021,159 shares in 2009)</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(4,651)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63,383</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59,166</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81,420</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77,920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238125</wp:posOffset>
            </wp:positionV>
            <wp:extent cx="11061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w w:val="84"/>
              </w:rPr>
              <w:t>except share data)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5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49,416</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Cost of revenues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31,694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Gross margin</w:t>
            </w:r>
          </w:p>
        </w:tc>
        <w:tc>
          <w:tcPr>
            <w:tcW w:w="2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17,722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10,621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2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5,350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shd w:val="clear" w:color="auto" w:fill="CCFFCC"/>
          </w:tcPr>
          <w:p>
            <w:pPr>
              <w:spacing w:after="0"/>
              <w:rPr>
                <w:sz w:val="2"/>
                <w:szCs w:val="2"/>
                <w:color w:val="auto"/>
              </w:rPr>
            </w:pPr>
          </w:p>
        </w:tc>
        <w:tc>
          <w:tcPr>
            <w:tcW w:w="23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Operating profit (loss)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1,751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Equity loss</w:t>
            </w:r>
          </w:p>
        </w:tc>
        <w:tc>
          <w:tcPr>
            <w:tcW w:w="2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Impairment of investment in affiliate</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expense</w:t>
            </w:r>
          </w:p>
        </w:tc>
        <w:tc>
          <w:tcPr>
            <w:tcW w:w="2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Other income (expense), net</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Income (Loss) before (benefit) provision for income taxes</w:t>
            </w:r>
          </w:p>
        </w:tc>
        <w:tc>
          <w:tcPr>
            <w:tcW w:w="2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1,229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Net income (loss)</w:t>
            </w:r>
          </w:p>
        </w:tc>
        <w:tc>
          <w:tcPr>
            <w:tcW w:w="25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2,749</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Net income (loss) per common share:`</w:t>
            </w:r>
          </w:p>
        </w:tc>
        <w:tc>
          <w:tcPr>
            <w:tcW w:w="23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25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0.34</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FFCC"/>
            </w:tcBorders>
            <w:shd w:val="clear" w:color="auto" w:fill="CCFFCC"/>
          </w:tcPr>
          <w:p>
            <w:pPr>
              <w:spacing w:after="0" w:line="20" w:lineRule="exact"/>
              <w:rPr>
                <w:sz w:val="1"/>
                <w:szCs w:val="1"/>
                <w:color w:val="auto"/>
              </w:rPr>
            </w:pPr>
          </w:p>
        </w:tc>
        <w:tc>
          <w:tcPr>
            <w:tcW w:w="2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Diluted</w:t>
            </w:r>
          </w:p>
        </w:tc>
        <w:tc>
          <w:tcPr>
            <w:tcW w:w="2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0.33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Average shares outstanding:</w:t>
            </w:r>
          </w:p>
        </w:tc>
        <w:tc>
          <w:tcPr>
            <w:tcW w:w="2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Basic</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8,181,867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8,315,571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23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8,211,878</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8,315,571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FFCC"/>
            </w:tcBorders>
            <w:shd w:val="clear" w:color="auto" w:fill="CCFFCC"/>
          </w:tcPr>
          <w:p>
            <w:pPr>
              <w:spacing w:after="0" w:line="20" w:lineRule="exact"/>
              <w:rPr>
                <w:sz w:val="1"/>
                <w:szCs w:val="1"/>
                <w:color w:val="auto"/>
              </w:rPr>
            </w:pPr>
          </w:p>
        </w:tc>
        <w:tc>
          <w:tcPr>
            <w:tcW w:w="2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228600</wp:posOffset>
            </wp:positionV>
            <wp:extent cx="1106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2,749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income (loss) to net cash provided in operating activities:</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Deferred income tax provision (benefit)</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1,938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Deferred lease obligation</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Provision for losses on accounts receivable and inventories</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821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Gain on REIT conversion</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(Gain) loss on marketable securities and other assets, net</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Equity loss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Impairment of investment in affiliate</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Liability for employee benefit plans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receivable</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2,362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Prepaid expenses and other</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payable - trade</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taxes refundable/payable</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1,180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7,633</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Affiliate repayment of loan</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Loan to affiliate</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Purchase of marketable securities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Proceeds from sale or redemption of marketable securities</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1,514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shd w:val="clear" w:color="auto" w:fill="CCFFCC"/>
          </w:tcPr>
          <w:p>
            <w:pPr>
              <w:spacing w:after="0"/>
              <w:rPr>
                <w:sz w:val="2"/>
                <w:szCs w:val="2"/>
                <w:color w:val="auto"/>
              </w:rPr>
            </w:pPr>
          </w:p>
        </w:tc>
        <w:tc>
          <w:tcPr>
            <w:tcW w:w="1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228600</wp:posOffset>
            </wp:positionV>
            <wp:extent cx="11061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Proceeds from short-term credit obligations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Payment of short-term credit and lease obligations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Repurchase of stock for treasury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(1,399)</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 before effect of exchange rate changes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5,682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5,043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4,911</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9,954</w:t>
            </w:r>
          </w:p>
        </w:tc>
        <w:tc>
          <w:tcPr>
            <w:tcW w:w="140" w:type="dxa"/>
            <w:vAlign w:val="bottom"/>
            <w:shd w:val="clear" w:color="auto" w:fill="CCFFCC"/>
          </w:tcPr>
          <w:p>
            <w:pPr>
              <w:spacing w:after="0"/>
              <w:rPr>
                <w:sz w:val="22"/>
                <w:szCs w:val="22"/>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FFCC"/>
          </w:tcPr>
          <w:p>
            <w:pPr>
              <w:spacing w:after="0"/>
              <w:rPr>
                <w:sz w:val="20"/>
                <w:szCs w:val="20"/>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taxes (Does not include $2,900 of income tax refunds received in fiscal year 2010.)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center"/>
        <w:ind w:left="660"/>
        <w:spacing w:after="0"/>
        <w:rPr>
          <w:sz w:val="20"/>
          <w:szCs w:val="20"/>
          <w:color w:val="auto"/>
        </w:rPr>
      </w:pPr>
      <w:r>
        <w:rPr>
          <w:rFonts w:ascii="Arial" w:cs="Arial" w:eastAsia="Arial" w:hAnsi="Arial"/>
          <w:sz w:val="17"/>
          <w:szCs w:val="17"/>
          <w:color w:val="auto"/>
        </w:rPr>
        <w:t>FREQUENCY ELECTRONICS, INC. AND SUBSIDIARIES</w:t>
      </w:r>
    </w:p>
    <w:p>
      <w:pPr>
        <w:spacing w:after="0" w:line="35"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Consolidated Statements of Changes in Stockholders' Equity</w:t>
      </w:r>
    </w:p>
    <w:p>
      <w:pPr>
        <w:spacing w:after="0" w:line="32"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Years ended April 30, 2010 and 2009</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(In thousands, except share data)</w:t>
      </w:r>
    </w:p>
    <w:p>
      <w:pPr>
        <w:sectPr>
          <w:pgSz w:w="11900" w:h="16838" w:orient="portrait"/>
          <w:cols w:equalWidth="0" w:num="1">
            <w:col w:w="11360"/>
          </w:cols>
          <w:pgMar w:left="240" w:top="51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Balance at April 30, 2008</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Contribution of stock to 401(k) plan</w:t>
      </w:r>
    </w:p>
    <w:p>
      <w:pPr>
        <w:ind w:right="1400"/>
        <w:spacing w:after="0" w:line="314" w:lineRule="auto"/>
        <w:rPr>
          <w:sz w:val="20"/>
          <w:szCs w:val="20"/>
          <w:color w:val="auto"/>
        </w:rPr>
      </w:pPr>
      <w:r>
        <w:rPr>
          <w:rFonts w:ascii="Arial" w:cs="Arial" w:eastAsia="Arial" w:hAnsi="Arial"/>
          <w:sz w:val="12"/>
          <w:szCs w:val="12"/>
          <w:color w:val="auto"/>
        </w:rPr>
        <w:t>Stock compensation expense Purchase of stock for treasury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Comprehensive Loss:</w:t>
      </w:r>
    </w:p>
    <w:p>
      <w:pPr>
        <w:ind w:left="180" w:hanging="89"/>
        <w:spacing w:after="0" w:line="221" w:lineRule="auto"/>
        <w:rPr>
          <w:sz w:val="20"/>
          <w:szCs w:val="20"/>
          <w:color w:val="auto"/>
        </w:rPr>
      </w:pPr>
      <w:r>
        <w:rPr>
          <w:rFonts w:ascii="Arial" w:cs="Arial" w:eastAsia="Arial" w:hAnsi="Arial"/>
          <w:sz w:val="14"/>
          <w:szCs w:val="14"/>
          <w:color w:val="auto"/>
        </w:rPr>
        <w:t>Change in unrealized gains and losses on marketable securities, net of tax effect of $3</w:t>
      </w:r>
    </w:p>
    <w:p>
      <w:pPr>
        <w:spacing w:after="0" w:line="1" w:lineRule="exact"/>
        <w:rPr>
          <w:sz w:val="20"/>
          <w:szCs w:val="20"/>
          <w:color w:val="auto"/>
        </w:rPr>
      </w:pPr>
    </w:p>
    <w:p>
      <w:pPr>
        <w:ind w:left="80" w:right="740"/>
        <w:spacing w:after="0" w:line="237" w:lineRule="auto"/>
        <w:rPr>
          <w:sz w:val="20"/>
          <w:szCs w:val="20"/>
          <w:color w:val="auto"/>
        </w:rPr>
      </w:pPr>
      <w:r>
        <w:rPr>
          <w:rFonts w:ascii="Arial" w:cs="Arial" w:eastAsia="Arial" w:hAnsi="Arial"/>
          <w:sz w:val="14"/>
          <w:szCs w:val="14"/>
          <w:color w:val="auto"/>
        </w:rPr>
        <w:t>Foreign currency translation adjustment Net Loss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Comprehensive loss- 2009</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Balance at April 30, 2009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Contribution of stock to 401(k) plan</w:t>
      </w:r>
    </w:p>
    <w:p>
      <w:pPr>
        <w:spacing w:after="0"/>
        <w:rPr>
          <w:sz w:val="20"/>
          <w:szCs w:val="20"/>
          <w:color w:val="auto"/>
        </w:rPr>
      </w:pPr>
      <w:r>
        <w:rPr>
          <w:rFonts w:ascii="Arial" w:cs="Arial" w:eastAsia="Arial" w:hAnsi="Arial"/>
          <w:sz w:val="14"/>
          <w:szCs w:val="14"/>
          <w:color w:val="auto"/>
        </w:rPr>
        <w:t>Stock compensation expense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Comprehensive Income:</w:t>
      </w:r>
    </w:p>
    <w:p>
      <w:pPr>
        <w:ind w:left="180" w:hanging="89"/>
        <w:spacing w:after="0" w:line="221" w:lineRule="auto"/>
        <w:rPr>
          <w:sz w:val="20"/>
          <w:szCs w:val="20"/>
          <w:color w:val="auto"/>
        </w:rPr>
      </w:pPr>
      <w:r>
        <w:rPr>
          <w:rFonts w:ascii="Arial" w:cs="Arial" w:eastAsia="Arial" w:hAnsi="Arial"/>
          <w:sz w:val="14"/>
          <w:szCs w:val="14"/>
          <w:color w:val="auto"/>
        </w:rPr>
        <w:t>Change in unrealized gains and losses on marketable securities</w:t>
      </w:r>
    </w:p>
    <w:p>
      <w:pPr>
        <w:spacing w:after="0" w:line="1" w:lineRule="exact"/>
        <w:rPr>
          <w:sz w:val="20"/>
          <w:szCs w:val="20"/>
          <w:color w:val="auto"/>
        </w:rPr>
      </w:pPr>
    </w:p>
    <w:p>
      <w:pPr>
        <w:ind w:left="80" w:right="740"/>
        <w:spacing w:after="0" w:line="237" w:lineRule="auto"/>
        <w:rPr>
          <w:sz w:val="20"/>
          <w:szCs w:val="20"/>
          <w:color w:val="auto"/>
        </w:rPr>
      </w:pPr>
      <w:r>
        <w:rPr>
          <w:rFonts w:ascii="Arial" w:cs="Arial" w:eastAsia="Arial" w:hAnsi="Arial"/>
          <w:sz w:val="14"/>
          <w:szCs w:val="14"/>
          <w:color w:val="auto"/>
        </w:rPr>
        <w:t>Foreign currency translation adjustment Net Income</w:t>
      </w:r>
    </w:p>
    <w:p>
      <w:pPr>
        <w:spacing w:after="0" w:line="89" w:lineRule="exact"/>
        <w:rPr>
          <w:sz w:val="20"/>
          <w:szCs w:val="20"/>
          <w:color w:val="auto"/>
        </w:rPr>
      </w:pPr>
    </w:p>
    <w:p>
      <w:pPr>
        <w:ind w:right="1380"/>
        <w:spacing w:after="0" w:line="377" w:lineRule="auto"/>
        <w:rPr>
          <w:sz w:val="20"/>
          <w:szCs w:val="20"/>
          <w:color w:val="auto"/>
        </w:rPr>
      </w:pPr>
      <w:r>
        <w:rPr>
          <w:rFonts w:ascii="Arial" w:cs="Arial" w:eastAsia="Arial" w:hAnsi="Arial"/>
          <w:sz w:val="13"/>
          <w:szCs w:val="13"/>
          <w:color w:val="auto"/>
        </w:rPr>
        <w:t xml:space="preserve">Comprehensive income- 2010 </w:t>
      </w:r>
      <w:r>
        <w:rPr>
          <w:rFonts w:ascii="Arial" w:cs="Arial" w:eastAsia="Arial" w:hAnsi="Arial"/>
          <w:sz w:val="13"/>
          <w:szCs w:val="13"/>
          <w:u w:val="single" w:color="auto"/>
          <w:color w:val="auto"/>
        </w:rPr>
        <w:t>Balance at April 30, 2010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Treasury stock</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2080" w:type="dxa"/>
            <w:vAlign w:val="bottom"/>
            <w:gridSpan w:val="5"/>
          </w:tcPr>
          <w:p>
            <w:pPr>
              <w:ind w:left="480"/>
              <w:spacing w:after="0"/>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paid in</w:t>
            </w:r>
          </w:p>
        </w:tc>
        <w:tc>
          <w:tcPr>
            <w:tcW w:w="12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w w:val="92"/>
              </w:rPr>
              <w:t>Retained</w:t>
            </w:r>
          </w:p>
        </w:tc>
        <w:tc>
          <w:tcPr>
            <w:tcW w:w="1380" w:type="dxa"/>
            <w:vAlign w:val="bottom"/>
            <w:gridSpan w:val="4"/>
          </w:tcPr>
          <w:p>
            <w:pPr>
              <w:jc w:val="right"/>
              <w:ind w:right="168"/>
              <w:spacing w:after="0"/>
              <w:rPr>
                <w:sz w:val="20"/>
                <w:szCs w:val="20"/>
                <w:color w:val="auto"/>
              </w:rPr>
            </w:pPr>
            <w:r>
              <w:rPr>
                <w:rFonts w:ascii="Arial" w:cs="Arial" w:eastAsia="Arial" w:hAnsi="Arial"/>
                <w:sz w:val="14"/>
                <w:szCs w:val="14"/>
                <w:color w:val="auto"/>
              </w:rPr>
              <w:t>(at cost)</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color w:val="auto"/>
                <w:w w:val="92"/>
              </w:rPr>
              <w:t>comprehensive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800" w:type="dxa"/>
            <w:vAlign w:val="bottom"/>
            <w:tcBorders>
              <w:top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Shares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3"/>
                <w:szCs w:val="13"/>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3"/>
              </w:rPr>
              <w:t>earnings</w:t>
            </w:r>
          </w:p>
        </w:tc>
        <w:tc>
          <w:tcPr>
            <w:tcW w:w="920" w:type="dxa"/>
            <w:vAlign w:val="bottom"/>
            <w:tcBorders>
              <w:top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Shares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ind w:right="88"/>
              <w:spacing w:after="0" w:line="149" w:lineRule="exact"/>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3"/>
                <w:szCs w:val="13"/>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income (loss)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Total</w:t>
            </w:r>
          </w:p>
        </w:tc>
      </w:tr>
      <w:tr>
        <w:trPr>
          <w:trHeight w:val="157"/>
        </w:trPr>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9,163,940</w:t>
            </w:r>
          </w:p>
        </w:tc>
        <w:tc>
          <w:tcPr>
            <w:tcW w:w="240" w:type="dxa"/>
            <w:vAlign w:val="bottom"/>
          </w:tcPr>
          <w:p>
            <w:pPr>
              <w:spacing w:after="0"/>
              <w:rPr>
                <w:sz w:val="13"/>
                <w:szCs w:val="13"/>
                <w:color w:val="auto"/>
              </w:rPr>
            </w:pPr>
          </w:p>
        </w:tc>
        <w:tc>
          <w:tcPr>
            <w:tcW w:w="1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9,164</w:t>
            </w:r>
          </w:p>
        </w:tc>
        <w:tc>
          <w:tcPr>
            <w:tcW w:w="2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48,213</w:t>
            </w:r>
          </w:p>
        </w:tc>
        <w:tc>
          <w:tcPr>
            <w:tcW w:w="200" w:type="dxa"/>
            <w:vAlign w:val="bottom"/>
          </w:tcPr>
          <w:p>
            <w:pPr>
              <w:spacing w:after="0"/>
              <w:rPr>
                <w:sz w:val="13"/>
                <w:szCs w:val="13"/>
                <w:color w:val="auto"/>
              </w:rPr>
            </w:pPr>
          </w:p>
        </w:tc>
        <w:tc>
          <w:tcPr>
            <w:tcW w:w="1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13,558</w:t>
            </w:r>
          </w:p>
        </w:tc>
        <w:tc>
          <w:tcPr>
            <w:tcW w:w="24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427,366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w w:val="90"/>
              </w:rPr>
              <w:t>(2,175)</w:t>
            </w:r>
          </w:p>
        </w:tc>
        <w:tc>
          <w:tcPr>
            <w:tcW w:w="20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4,850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73,610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(130,839)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310</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528</w:t>
            </w:r>
          </w:p>
        </w:tc>
        <w:tc>
          <w:tcPr>
            <w:tcW w:w="2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566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566</w:t>
            </w:r>
          </w:p>
        </w:tc>
        <w:tc>
          <w:tcPr>
            <w:tcW w:w="20" w:type="dxa"/>
            <w:vAlign w:val="bottom"/>
          </w:tcPr>
          <w:p>
            <w:pPr>
              <w:spacing w:after="0"/>
              <w:rPr>
                <w:sz w:val="12"/>
                <w:szCs w:val="12"/>
                <w:color w:val="auto"/>
              </w:rPr>
            </w:pPr>
          </w:p>
        </w:tc>
      </w:tr>
      <w:tr>
        <w:trPr>
          <w:trHeight w:val="182"/>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724,632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2"/>
          </w:tcPr>
          <w:p>
            <w:pPr>
              <w:jc w:val="right"/>
              <w:ind w:right="119"/>
              <w:spacing w:after="0"/>
              <w:rPr>
                <w:sz w:val="20"/>
                <w:szCs w:val="20"/>
                <w:color w:val="auto"/>
              </w:rPr>
            </w:pPr>
            <w:r>
              <w:rPr>
                <w:rFonts w:ascii="Arial" w:cs="Arial" w:eastAsia="Arial" w:hAnsi="Arial"/>
                <w:sz w:val="14"/>
                <w:szCs w:val="14"/>
                <w:color w:val="auto"/>
                <w:w w:val="99"/>
              </w:rPr>
              <w:t>(3,107)</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(3,107)</w:t>
            </w:r>
          </w:p>
        </w:tc>
      </w:tr>
      <w:tr>
        <w:trPr>
          <w:trHeight w:val="561"/>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4"/>
                <w:szCs w:val="24"/>
                <w:color w:val="auto"/>
              </w:rPr>
            </w:pPr>
          </w:p>
        </w:tc>
      </w:tr>
      <w:tr>
        <w:trPr>
          <w:trHeight w:val="149"/>
        </w:trPr>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(1,398)</w:t>
            </w:r>
          </w:p>
        </w:tc>
      </w:tr>
      <w:tr>
        <w:trPr>
          <w:trHeight w:val="167"/>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(11,036)</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(11,036)</w:t>
            </w:r>
          </w:p>
        </w:tc>
      </w:tr>
      <w:tr>
        <w:trPr>
          <w:trHeight w:val="27"/>
        </w:trPr>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(12,431)</w:t>
            </w:r>
          </w:p>
        </w:tc>
      </w:tr>
      <w:tr>
        <w:trPr>
          <w:trHeight w:val="157"/>
        </w:trPr>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9,163,940</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9,164</w:t>
            </w: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48,997</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2,522</w:t>
            </w:r>
          </w:p>
        </w:tc>
        <w:tc>
          <w:tcPr>
            <w:tcW w:w="24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1,021,159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w w:val="90"/>
              </w:rPr>
              <w:t>(4,972)</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3,455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59,166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(74,987)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321</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348</w:t>
            </w:r>
          </w:p>
        </w:tc>
        <w:tc>
          <w:tcPr>
            <w:tcW w:w="20" w:type="dxa"/>
            <w:vAlign w:val="bottom"/>
          </w:tcPr>
          <w:p>
            <w:pPr>
              <w:spacing w:after="0"/>
              <w:rPr>
                <w:sz w:val="12"/>
                <w:szCs w:val="12"/>
                <w:color w:val="auto"/>
              </w:rPr>
            </w:pPr>
          </w:p>
        </w:tc>
      </w:tr>
      <w:tr>
        <w:trPr>
          <w:trHeight w:val="182"/>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556</w:t>
            </w:r>
          </w:p>
        </w:tc>
        <w:tc>
          <w:tcPr>
            <w:tcW w:w="20" w:type="dxa"/>
            <w:vAlign w:val="bottom"/>
          </w:tcPr>
          <w:p>
            <w:pPr>
              <w:spacing w:after="0"/>
              <w:rPr>
                <w:sz w:val="15"/>
                <w:szCs w:val="15"/>
                <w:color w:val="auto"/>
              </w:rPr>
            </w:pPr>
          </w:p>
        </w:tc>
      </w:tr>
      <w:tr>
        <w:trPr>
          <w:trHeight w:val="561"/>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979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979</w:t>
            </w:r>
          </w:p>
        </w:tc>
        <w:tc>
          <w:tcPr>
            <w:tcW w:w="20" w:type="dxa"/>
            <w:vAlign w:val="bottom"/>
          </w:tcPr>
          <w:p>
            <w:pPr>
              <w:spacing w:after="0"/>
              <w:rPr>
                <w:sz w:val="24"/>
                <w:szCs w:val="24"/>
                <w:color w:val="auto"/>
              </w:rPr>
            </w:pPr>
          </w:p>
        </w:tc>
      </w:tr>
      <w:tr>
        <w:trPr>
          <w:trHeight w:val="149"/>
        </w:trPr>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(415)</w:t>
            </w:r>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2,749</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2,749</w:t>
            </w:r>
          </w:p>
        </w:tc>
        <w:tc>
          <w:tcPr>
            <w:tcW w:w="20" w:type="dxa"/>
            <w:vAlign w:val="bottom"/>
          </w:tcPr>
          <w:p>
            <w:pPr>
              <w:spacing w:after="0"/>
              <w:rPr>
                <w:sz w:val="15"/>
                <w:szCs w:val="15"/>
                <w:color w:val="auto"/>
              </w:rPr>
            </w:pPr>
          </w:p>
        </w:tc>
      </w:tr>
      <w:tr>
        <w:trPr>
          <w:trHeight w:val="250"/>
        </w:trPr>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3,313</w:t>
            </w:r>
          </w:p>
        </w:tc>
        <w:tc>
          <w:tcPr>
            <w:tcW w:w="20" w:type="dxa"/>
            <w:vAlign w:val="bottom"/>
          </w:tcPr>
          <w:p>
            <w:pPr>
              <w:spacing w:after="0"/>
              <w:rPr>
                <w:sz w:val="21"/>
                <w:szCs w:val="21"/>
                <w:color w:val="auto"/>
              </w:rPr>
            </w:pPr>
          </w:p>
        </w:tc>
      </w:tr>
      <w:tr>
        <w:trPr>
          <w:trHeight w:val="149"/>
        </w:trPr>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9,163,940</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9,164</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49,580</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5,271</w:t>
            </w: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946,172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(4,651</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4,019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63,383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-2331720</wp:posOffset>
            </wp:positionV>
            <wp:extent cx="7246620" cy="111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-2125980</wp:posOffset>
            </wp:positionV>
            <wp:extent cx="724662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-1937385</wp:posOffset>
            </wp:positionV>
            <wp:extent cx="724662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-1748790</wp:posOffset>
            </wp:positionV>
            <wp:extent cx="72466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-1465580</wp:posOffset>
            </wp:positionV>
            <wp:extent cx="7246620" cy="111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-1183005</wp:posOffset>
            </wp:positionV>
            <wp:extent cx="7246620" cy="111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-977265</wp:posOffset>
            </wp:positionV>
            <wp:extent cx="724662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-788035</wp:posOffset>
            </wp:positionV>
            <wp:extent cx="72466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-505460</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-299720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3120" w:space="220"/>
            <w:col w:w="8020"/>
          </w:cols>
          <w:pgMar w:left="240" w:top="517"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w:t>
      </w:r>
    </w:p>
    <w:p>
      <w:pPr>
        <w:spacing w:after="0" w:line="25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15 for information regarding the Company’s FEI-NY (which includes the subsidiaries FEI Government Systems, Inc., FEI Communications, Inc., and FEI-Asia, Inc.), Gillam-FEI, and FEI-Zyfer business segments. Intercompany accounts and significant intercompany transactions are eliminated in consolidation. To accommodate the different fiscal periods of Gillam-FEI, the Company recognizes its share of net income or loss on a one month lag. Any material events which may occur during the intervening month at Gillam-FEI will be accounted for in the consolidated financial statements.</w:t>
      </w:r>
    </w:p>
    <w:p>
      <w:pPr>
        <w:spacing w:after="0" w:line="19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These financial statements have been prepared in conformity with United States generally accepted accounting principles and require management to make estimates and assumptions that affect amounts reported and disclosed in the financial statements and related notes. Actual results could differ from these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Certain prior year amounts have been reclassified to conform to current year presentation. These reclassifications had no effect on reported consolidated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56"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Company considers certificates of deposit and other highly liquid investments with original maturities of three months or less when purchased to be cash equivalents. The Company places its temporary cash investments with high credit quality financial institutions. Such investments may be in excess of the FDIC insurance limit. No losses have been experienced on such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Marketable securities consist of investments in common stocks, corporate debt securities and debt securities of U.S. government agencies. Substantially all marketable securities at April 30, 2010 and 2009 were held in the custody of two financial institutions.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5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Losses from uncollectible accounts receivable are provided for by utilizing the allowance for doubtful accounts method based upon management’s estimate of uncollectible accounts. Management specifically analyzes accounts receivable and the potential for bad debts, customer concentrations, credit worthiness, current economic trends and changes in customer payment terms when evaluating the allowance for doubtful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Inventories, which consist of finished goods, work-in-process, raw materials and components, are accounted for at the lower of cost (specific and average) or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Depreciation of fixed assets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Amortization of identifiable intangible assets is based upon the expected lives of the assets and is recorded at a rate which approximates the Company’s utilization of the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Intangible assets consist of customer lists which result from the excess purchase price over the fair value of acquired tangible assets. The customer lists are measured at fair value and amortized over the estimated useful life of 3 to 6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records goodwill as the excess of purchase price over the fair value of identifiable net assets acquired. Goodwill is tested for impairment on at least an annual basis at year end. When it is determined that the carrying value of investments may not be recoverable, the Company writes down the related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Costs and estimated earnings in excess of billings on uncompleted contracts are included in current assets.</w:t>
      </w:r>
    </w:p>
    <w:p>
      <w:pPr>
        <w:spacing w:after="0" w:line="21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production-type orders, revenue is recorded as units are delivered with the related cost of sales recognized on each shipment based upon a percentage of estimated final program costs. Changes in job performance may result in revisions to costs and revenue and are recognized in the period in which revisions are determined to be required. Provisions for anticipated losses are made in the period in which they become determinable.</w:t>
      </w:r>
    </w:p>
    <w:p>
      <w:pPr>
        <w:spacing w:after="0" w:line="193"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5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Comprehensive income consists of net income and other comprehensive income. Other comprehensive income includes changes in unrealized gains or losses, net of tax, on securities available for sale during the year and the effects of foreign currency translation adjustments.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 In the normal course of business the Company is also contracted to perform research and development for others. The costs incurred under such contracts are recorded in cost of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when necessary to reduce deferred tax assets to the amount expected to be realized.</w:t>
      </w:r>
    </w:p>
    <w:p>
      <w:pPr>
        <w:spacing w:after="0" w:line="19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5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Cash and cash equivalents and short-term credit obligations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minority interests in two privately-held companies, Morion, Inc. (“Morion”) and Elcom Technologies, Inc. (“Elcom”). The Company is unable to reasonably estimate a fair value for these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 and Foreign Currency Adjustments:</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non-monetary items and equity accounts, which are translated at historical rates, are translated into US dollars at the rates of exchange in effect on the date of the balance sheet. As a result, similar results in local currency can vary significantly upon translation into US dollars if exchange rates fluctuate significantly from one period to the next.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values its share-based payment transactions using the Black-Scholes valuation model. Such value is recognized as expense on a straight-line basis over the service period of the awards, which is generally the vesting period, net of estimated forfeitures.</w:t>
      </w:r>
    </w:p>
    <w:p>
      <w:pPr>
        <w:spacing w:after="0" w:line="19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weighted average fair value of each option or stock appreciation right has been estimated on the date of grant using the Black-Scholes option pricing model with the following weighted average assumptions used for grants in each of the years ended April 30, 2010 and 2009: dividend yield of 0.0%; expected volatility of 36.6% and 40%; respectively, risk-free interest rate of 3.06% and 3.05%; and expected lives of ten years.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expected life assumption was determined based on the Company’s historical experience. The expected volatility assumption was based on the historical volatility of the Company’s common stock. The dividend yield assumption was determined based upon the Company’s past history of dividend payments and the Company’s current decision to suspend payment of dividends. The risk-free interest rate assumption was determined using the implied yield currently available for zero-coupon U.S. government issues with a remaining term equal to the expected life of the stock options.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principally of trade receivables. Concentration of credit risk with respect to these receivables is generally diversified due to the large number of entities comprising the Company’s customer base and their dispersion across geographic areas principally within the United States. The Company routinely addresses the financial strength of its customers and, as a consequence, believes that its receivable credit risk exposure is limited. The Company does not require customers to post collateral.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June 2009, the FASB issued standards which modified how a company determines when an entity that is insufficiently capitalized or is not controlled through voting (or similar rights) should be consolidated. These standards clarify that the determination of whether a company is required to consolidate an entity is based on, among other things, an entity’s purpose and design and a company’s ability to direct the activities of the entity that most significantly impact the entity’s economic performance. These standards require an ongoing reassessment of whether a company is the primary beneficiary of a variable interest entity. These standards also require additional disclosures about a company’s involvement in variable interest entities and any significant changes in risk exposure due to that involvement. These standards are effective for fiscal years beginning after November 15, 2009 and are effective for the Company on May 1, 2010. The Company is currently evaluating the impact that the adoption of these standards will have on the financial condition, results of operations, and disclosures.</w:t>
      </w:r>
    </w:p>
    <w:p>
      <w:pPr>
        <w:spacing w:after="0" w:line="21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May 2009, the FASB issued standards which provide guidance to establish accounting for and disclosures of events that occur after the balance sheet date but before financial statements are issued or are available to be issued. These standards also require entities to disclose the date through which subsequent events were evaluated as well as the rationale for why that date was selected. These standards are effective for interim and annual periods ending after June 15, 2009. These standards were effective for the Company during the quarter ending July 31, 2009. The adoption of these standards did not have a material impact on the financial condition, results of operations, and cash flows of the Company.</w:t>
      </w:r>
    </w:p>
    <w:p>
      <w:pPr>
        <w:spacing w:after="0" w:line="20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April 2009, the FASB issued standards that provide guidelines for making fair value measurements more consistent with the principles presented in existing standards. These standards provide additional authoritative guidance in determining whether a market is active or inactive, and whether a transaction is distressed, is applicable to all assets and liabilities (i.e. financial and nonfinancial) and will require enhanced disclosures. These standards are effective for periods ending after June 15, 2009. The adoption of these standards did not have a material impact on the financial condition, results of operations or cash flows of the Company.</w:t>
      </w:r>
    </w:p>
    <w:p>
      <w:pPr>
        <w:spacing w:after="0" w:line="21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April 2009, the FASB issued standards that provide additional guidance to provide greater clarity about the credit and noncredit component of an other-than-temporary impairment event and to more effectively communicate when an other-than-temporary impairment event has occurred. These standards apply to debt securities. These standards are effective for periods ending after June 15, 2009. The adoption of these standards did not have a material impact on the financial condition, results of operations or cash flows of the Company.</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April 2009, the FASB issued standards to require disclosures about fair value of financial instruments in interim as well as in annual financial statements. These standards also amend existing standards to require those disclosures in all interim financial statements. These standards are effective for periods ending after June 15, 2009. The adoption of these standards did not have a material impact on the financial condition, results of operations or cash flows of the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Reconciliations of the weighted average shares outstanding for basic and diluted Earnings Per Share are as follows:</w:t>
      </w:r>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gridSpan w:val="4"/>
          </w:tcPr>
          <w:p>
            <w:pPr>
              <w:ind w:left="440"/>
              <w:spacing w:after="0"/>
              <w:rPr>
                <w:sz w:val="20"/>
                <w:szCs w:val="20"/>
                <w:color w:val="auto"/>
              </w:rPr>
            </w:pPr>
            <w:r>
              <w:rPr>
                <w:rFonts w:ascii="Arial" w:cs="Arial" w:eastAsia="Arial" w:hAnsi="Arial"/>
                <w:sz w:val="18"/>
                <w:szCs w:val="18"/>
                <w:color w:val="auto"/>
              </w:rPr>
              <w:t>Years ended April 30,</w:t>
            </w: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w:t>
            </w:r>
          </w:p>
        </w:tc>
        <w:tc>
          <w:tcPr>
            <w:tcW w:w="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(weighted average)</w:t>
            </w:r>
          </w:p>
        </w:tc>
        <w:tc>
          <w:tcPr>
            <w:tcW w:w="14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8,181,867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8,315,571</w:t>
            </w:r>
          </w:p>
        </w:tc>
        <w:tc>
          <w:tcPr>
            <w:tcW w:w="8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w:t>
            </w:r>
          </w:p>
        </w:tc>
        <w:tc>
          <w:tcPr>
            <w:tcW w:w="1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8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8,211,878</w:t>
            </w:r>
          </w:p>
        </w:tc>
        <w:tc>
          <w:tcPr>
            <w:tcW w:w="180" w:type="dxa"/>
            <w:vAlign w:val="bottom"/>
            <w:tcBorders>
              <w:bottom w:val="single" w:sz="8" w:color="CCFFCC"/>
            </w:tcBorders>
            <w:shd w:val="clear" w:color="auto" w:fill="CCFFCC"/>
          </w:tcPr>
          <w:p>
            <w:pPr>
              <w:spacing w:after="0"/>
              <w:rPr>
                <w:sz w:val="22"/>
                <w:szCs w:val="22"/>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8,315,571</w:t>
            </w:r>
          </w:p>
        </w:tc>
        <w:tc>
          <w:tcPr>
            <w:tcW w:w="80" w:type="dxa"/>
            <w:vAlign w:val="bottom"/>
            <w:tcBorders>
              <w:bottom w:val="single" w:sz="8" w:color="CCFFCC"/>
            </w:tcBorders>
            <w:shd w:val="clear" w:color="auto" w:fill="CCFFCC"/>
          </w:tcPr>
          <w:p>
            <w:pPr>
              <w:spacing w:after="0"/>
              <w:rPr>
                <w:sz w:val="22"/>
                <w:szCs w:val="22"/>
                <w:color w:val="auto"/>
              </w:rPr>
            </w:pPr>
          </w:p>
        </w:tc>
      </w:tr>
    </w:tbl>
    <w:p>
      <w:pPr>
        <w:spacing w:after="0" w:line="229" w:lineRule="exact"/>
        <w:rPr>
          <w:sz w:val="20"/>
          <w:szCs w:val="20"/>
          <w:color w:val="auto"/>
        </w:rPr>
      </w:pPr>
    </w:p>
    <w:p>
      <w:pPr>
        <w:ind w:left="880" w:hanging="386"/>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Dilutive securities are excluded for fiscal year 2009 since the inclusion of such shares would be antidilutive due to the net loss for that year. These dilutive securities represent options or rights to acquire 1,428,325 shares of the Company’s common stock.</w:t>
      </w:r>
    </w:p>
    <w:p>
      <w:pPr>
        <w:spacing w:after="0" w:line="19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Of the outstanding options to purchase shares of common stock during the year ended April 30, 2010, 1,225,775 were not included in the computation of diluted earnings per share because the exercise price of the options was greater than the average market price of the Company’s common shares during the year. Since the inclusion of such options would have been antidilutive they are excluded from the computation.</w:t>
      </w:r>
    </w:p>
    <w:p>
      <w:pPr>
        <w:spacing w:after="0" w:line="19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Costs and Estimated Earnings in Excess of Billings</w:t>
      </w:r>
    </w:p>
    <w:p>
      <w:pPr>
        <w:spacing w:after="0" w:line="252"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Net costs and estimated earnings in excess of billings on uncompleted contracts accounted for on the percentage of completion basis were approximately $1,667,000 at April 30, 2010 and $2,193,000 at April 30, 2009. Such amounts represent revenue recognized on long-term contracts that has not been billed, pursuant to contract terms, and was not billable at the balance sheet date, net of amounts billed in excess of the revenue recognized.</w:t>
      </w:r>
    </w:p>
    <w:p>
      <w:pPr>
        <w:spacing w:after="0" w:line="17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Inventories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at April 30, 2010 and 2009, respectively, consisted of the following (in thousands):</w:t>
      </w:r>
    </w:p>
    <w:p>
      <w:pPr>
        <w:spacing w:after="0" w:line="252"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13,192</w:t>
            </w: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12,542</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10,613</w:t>
            </w: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2,744</w:t>
            </w:r>
          </w:p>
        </w:tc>
        <w:tc>
          <w:tcPr>
            <w:tcW w:w="14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2,896</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26,975</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26,051</w:t>
            </w: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April 30, 2010 and 2009, approximately $18.2 million and $18.0 million, respectively, of total inventory is located in the United States, approximately $7.9 million and $6.8 million, respectively, is located in Belgium and approximately $0.9 million and $1.2 million, respectively, is located in China.</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year ended April 30, 2009, the Company acquired component parts with a value of approximately $27,000, from a division of a company in which one of the Company’s independent directors has an ownership interest. That company sold this division prior to fiscal year 2010 and the director no longer has an interest in that business.</w:t>
      </w:r>
    </w:p>
    <w:p>
      <w:pPr>
        <w:spacing w:after="0" w:line="20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p>
    <w:p>
      <w:pPr>
        <w:spacing w:after="0" w:line="25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April 30, 2010 and 2009 are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color w:val="auto"/>
              </w:rPr>
              <w:t>April 30, 2010</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84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Unrealized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c>
          <w:tcPr>
            <w:tcW w:w="218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318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9,606</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w:t>
            </w: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9,777</w:t>
            </w:r>
          </w:p>
        </w:tc>
        <w:tc>
          <w:tcPr>
            <w:tcW w:w="21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Equity securities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641</w:t>
            </w:r>
          </w:p>
        </w:tc>
        <w:tc>
          <w:tcPr>
            <w:tcW w:w="2180" w:type="dxa"/>
            <w:vAlign w:val="bottom"/>
          </w:tcPr>
          <w:p>
            <w:pPr>
              <w:spacing w:after="0"/>
              <w:rPr>
                <w:sz w:val="18"/>
                <w:szCs w:val="18"/>
                <w:color w:val="auto"/>
              </w:rPr>
            </w:pPr>
          </w:p>
        </w:tc>
      </w:tr>
      <w:tr>
        <w:trPr>
          <w:trHeight w:val="27"/>
        </w:trPr>
        <w:tc>
          <w:tcPr>
            <w:tcW w:w="5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7"/>
        </w:trPr>
        <w:tc>
          <w:tcPr>
            <w:tcW w:w="500" w:type="dxa"/>
            <w:vAlign w:val="bottom"/>
          </w:tcPr>
          <w:p>
            <w:pPr>
              <w:spacing w:after="0"/>
              <w:rPr>
                <w:sz w:val="22"/>
                <w:szCs w:val="22"/>
                <w:color w:val="auto"/>
              </w:rPr>
            </w:pPr>
          </w:p>
        </w:tc>
        <w:tc>
          <w:tcPr>
            <w:tcW w:w="3180" w:type="dxa"/>
            <w:vAlign w:val="bottom"/>
            <w:shd w:val="clear" w:color="auto" w:fill="CCFFCC"/>
          </w:tcPr>
          <w:p>
            <w:pPr>
              <w:spacing w:after="0"/>
              <w:rPr>
                <w:sz w:val="22"/>
                <w:szCs w:val="22"/>
                <w:color w:val="auto"/>
              </w:rPr>
            </w:pPr>
          </w:p>
        </w:tc>
        <w:tc>
          <w:tcPr>
            <w:tcW w:w="1460" w:type="dxa"/>
            <w:vAlign w:val="bottom"/>
            <w:shd w:val="clear" w:color="auto" w:fill="CCFFCC"/>
          </w:tcPr>
          <w:p>
            <w:pPr>
              <w:spacing w:after="0"/>
              <w:rPr>
                <w:sz w:val="22"/>
                <w:szCs w:val="22"/>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10,056</w:t>
            </w:r>
          </w:p>
        </w:tc>
        <w:tc>
          <w:tcPr>
            <w:tcW w:w="80" w:type="dxa"/>
            <w:vAlign w:val="bottom"/>
            <w:shd w:val="clear" w:color="auto" w:fill="CCFFCC"/>
          </w:tcPr>
          <w:p>
            <w:pPr>
              <w:spacing w:after="0"/>
              <w:rPr>
                <w:sz w:val="22"/>
                <w:szCs w:val="22"/>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w:t>
            </w: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10,418</w:t>
            </w:r>
          </w:p>
        </w:tc>
        <w:tc>
          <w:tcPr>
            <w:tcW w:w="2180" w:type="dxa"/>
            <w:vAlign w:val="bottom"/>
          </w:tcPr>
          <w:p>
            <w:pPr>
              <w:spacing w:after="0"/>
              <w:rPr>
                <w:sz w:val="22"/>
                <w:szCs w:val="22"/>
                <w:color w:val="auto"/>
              </w:rPr>
            </w:pPr>
          </w:p>
        </w:tc>
      </w:tr>
      <w:tr>
        <w:trPr>
          <w:trHeight w:val="601"/>
        </w:trPr>
        <w:tc>
          <w:tcPr>
            <w:tcW w:w="500" w:type="dxa"/>
            <w:vAlign w:val="bottom"/>
          </w:tcPr>
          <w:p>
            <w:pPr>
              <w:spacing w:after="0"/>
              <w:rPr>
                <w:sz w:val="24"/>
                <w:szCs w:val="24"/>
                <w:color w:val="auto"/>
              </w:rPr>
            </w:pPr>
          </w:p>
        </w:tc>
        <w:tc>
          <w:tcPr>
            <w:tcW w:w="3180" w:type="dxa"/>
            <w:vAlign w:val="bottom"/>
            <w:tcBorders>
              <w:top w:val="single" w:sz="8" w:color="CCFFCC"/>
            </w:tcBorders>
          </w:tcPr>
          <w:p>
            <w:pPr>
              <w:spacing w:after="0"/>
              <w:rPr>
                <w:sz w:val="24"/>
                <w:szCs w:val="24"/>
                <w:color w:val="auto"/>
              </w:rPr>
            </w:pPr>
          </w:p>
        </w:tc>
        <w:tc>
          <w:tcPr>
            <w:tcW w:w="1460" w:type="dxa"/>
            <w:vAlign w:val="bottom"/>
            <w:tcBorders>
              <w:top w:val="single" w:sz="8" w:color="CCFFC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180" w:type="dxa"/>
            <w:vAlign w:val="bottom"/>
          </w:tcPr>
          <w:p>
            <w:pPr>
              <w:spacing w:after="0"/>
              <w:rPr>
                <w:sz w:val="24"/>
                <w:szCs w:val="24"/>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tbl>
      <w:tblPr>
        <w:tblLayout w:type="fixed"/>
        <w:tblInd w:w="5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840" w:type="dxa"/>
            <w:vAlign w:val="bottom"/>
            <w:gridSpan w:val="12"/>
          </w:tcPr>
          <w:p>
            <w:pPr>
              <w:jc w:val="right"/>
              <w:spacing w:after="0"/>
              <w:rPr>
                <w:sz w:val="20"/>
                <w:szCs w:val="20"/>
                <w:color w:val="auto"/>
              </w:rPr>
            </w:pPr>
            <w:r>
              <w:rPr>
                <w:rFonts w:ascii="Arial" w:cs="Arial" w:eastAsia="Arial" w:hAnsi="Arial"/>
                <w:sz w:val="18"/>
                <w:szCs w:val="18"/>
                <w:color w:val="auto"/>
              </w:rPr>
              <w:t>NOTES TO CONSOLIDATED FINANCIAL STATEMENTS - Continued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color w:val="auto"/>
              </w:rPr>
              <w:t>April 30, 2009</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9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7"/>
                <w:szCs w:val="17"/>
                <w:color w:val="auto"/>
              </w:rPr>
            </w:pPr>
          </w:p>
        </w:tc>
        <w:tc>
          <w:tcPr>
            <w:tcW w:w="72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Market</w:t>
            </w:r>
          </w:p>
        </w:tc>
      </w:tr>
      <w:tr>
        <w:trPr>
          <w:trHeight w:val="237"/>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2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10,165</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9,640</w:t>
            </w: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Equity securities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( 92)</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080" w:type="dxa"/>
            <w:vAlign w:val="bottom"/>
            <w:shd w:val="clear" w:color="auto" w:fill="CCFFCC"/>
          </w:tcPr>
          <w:p>
            <w:pPr>
              <w:spacing w:after="0"/>
              <w:rPr>
                <w:sz w:val="20"/>
                <w:szCs w:val="20"/>
                <w:color w:val="auto"/>
              </w:rPr>
            </w:pPr>
          </w:p>
        </w:tc>
        <w:tc>
          <w:tcPr>
            <w:tcW w:w="254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10,615</w:t>
            </w:r>
          </w:p>
        </w:tc>
        <w:tc>
          <w:tcPr>
            <w:tcW w:w="80" w:type="dxa"/>
            <w:vAlign w:val="bottom"/>
            <w:shd w:val="clear" w:color="auto" w:fill="CCFFCC"/>
          </w:tcPr>
          <w:p>
            <w:pPr>
              <w:spacing w:after="0"/>
              <w:rPr>
                <w:sz w:val="20"/>
                <w:szCs w:val="20"/>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9,998</w:t>
            </w: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FFCC"/>
            </w:tcBorders>
            <w:shd w:val="clear" w:color="auto" w:fill="CCFFCC"/>
          </w:tcPr>
          <w:p>
            <w:pPr>
              <w:spacing w:after="0" w:line="20" w:lineRule="exact"/>
              <w:rPr>
                <w:sz w:val="1"/>
                <w:szCs w:val="1"/>
                <w:color w:val="auto"/>
              </w:rPr>
            </w:pPr>
          </w:p>
        </w:tc>
        <w:tc>
          <w:tcPr>
            <w:tcW w:w="25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w w:val="99"/>
              </w:rPr>
              <w:t>Less than 12 months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5"/>
          </w:tcPr>
          <w:p>
            <w:pPr>
              <w:ind w:left="60"/>
              <w:spacing w:after="0"/>
              <w:rPr>
                <w:sz w:val="20"/>
                <w:szCs w:val="20"/>
                <w:color w:val="auto"/>
              </w:rPr>
            </w:pPr>
            <w:r>
              <w:rPr>
                <w:rFonts w:ascii="Arial" w:cs="Arial" w:eastAsia="Arial" w:hAnsi="Arial"/>
                <w:sz w:val="18"/>
                <w:szCs w:val="18"/>
                <w:color w:val="auto"/>
              </w:rPr>
              <w:t>12 Months or more</w:t>
            </w:r>
          </w:p>
        </w:tc>
        <w:tc>
          <w:tcPr>
            <w:tcW w:w="1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00" w:type="dxa"/>
            <w:vAlign w:val="bottom"/>
            <w:tcBorders>
              <w:top w:val="single" w:sz="8" w:color="auto"/>
            </w:tcBorders>
          </w:tcPr>
          <w:p>
            <w:pPr>
              <w:jc w:val="right"/>
              <w:ind w:right="59"/>
              <w:spacing w:after="0" w:line="201" w:lineRule="exact"/>
              <w:rPr>
                <w:sz w:val="20"/>
                <w:szCs w:val="20"/>
                <w:color w:val="auto"/>
              </w:rPr>
            </w:pPr>
            <w:r>
              <w:rPr>
                <w:rFonts w:ascii="Arial" w:cs="Arial" w:eastAsia="Arial" w:hAnsi="Arial"/>
                <w:sz w:val="18"/>
                <w:szCs w:val="18"/>
                <w:color w:val="auto"/>
              </w:rPr>
              <w:t>Fair</w:t>
            </w: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0"/>
              </w:rPr>
              <w:t>Unrealized</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Fair</w:t>
            </w:r>
          </w:p>
        </w:tc>
        <w:tc>
          <w:tcPr>
            <w:tcW w:w="82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6"/>
              </w:rPr>
              <w:t>Fair</w:t>
            </w:r>
          </w:p>
        </w:tc>
        <w:tc>
          <w:tcPr>
            <w:tcW w:w="8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Losses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40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April 30, 2010</w:t>
            </w:r>
          </w:p>
        </w:tc>
        <w:tc>
          <w:tcPr>
            <w:tcW w:w="700" w:type="dxa"/>
            <w:vAlign w:val="bottom"/>
            <w:tcBorders>
              <w:top w:val="single" w:sz="8" w:color="auto"/>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720" w:type="dxa"/>
            <w:vAlign w:val="bottom"/>
            <w:tcBorders>
              <w:top w:val="single" w:sz="8" w:color="auto"/>
            </w:tcBorders>
            <w:shd w:val="clear" w:color="auto" w:fill="CCFFCC"/>
          </w:tcPr>
          <w:p>
            <w:pPr>
              <w:spacing w:after="0"/>
              <w:rPr>
                <w:sz w:val="15"/>
                <w:szCs w:val="15"/>
                <w:color w:val="auto"/>
              </w:rPr>
            </w:pPr>
          </w:p>
        </w:tc>
        <w:tc>
          <w:tcPr>
            <w:tcW w:w="120" w:type="dxa"/>
            <w:vAlign w:val="bottom"/>
            <w:tcBorders>
              <w:top w:val="single" w:sz="8" w:color="auto"/>
            </w:tcBorders>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spacing w:after="0"/>
              <w:rPr>
                <w:sz w:val="15"/>
                <w:szCs w:val="15"/>
                <w:color w:val="auto"/>
              </w:rPr>
            </w:pPr>
          </w:p>
        </w:tc>
        <w:tc>
          <w:tcPr>
            <w:tcW w:w="680" w:type="dxa"/>
            <w:vAlign w:val="bottom"/>
            <w:tcBorders>
              <w:top w:val="single" w:sz="8" w:color="auto"/>
            </w:tcBorders>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spacing w:after="0"/>
              <w:rPr>
                <w:sz w:val="15"/>
                <w:szCs w:val="15"/>
                <w:color w:val="auto"/>
              </w:rPr>
            </w:pPr>
          </w:p>
        </w:tc>
        <w:tc>
          <w:tcPr>
            <w:tcW w:w="680" w:type="dxa"/>
            <w:vAlign w:val="bottom"/>
            <w:tcBorders>
              <w:top w:val="single" w:sz="8" w:color="auto"/>
            </w:tcBorders>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spacing w:after="0"/>
              <w:rPr>
                <w:sz w:val="15"/>
                <w:szCs w:val="15"/>
                <w:color w:val="auto"/>
              </w:rPr>
            </w:pPr>
          </w:p>
        </w:tc>
        <w:tc>
          <w:tcPr>
            <w:tcW w:w="660" w:type="dxa"/>
            <w:vAlign w:val="bottom"/>
            <w:tcBorders>
              <w:top w:val="single" w:sz="8" w:color="auto"/>
            </w:tcBorders>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spacing w:after="0"/>
              <w:rPr>
                <w:sz w:val="15"/>
                <w:szCs w:val="15"/>
                <w:color w:val="auto"/>
              </w:rPr>
            </w:pPr>
          </w:p>
        </w:tc>
        <w:tc>
          <w:tcPr>
            <w:tcW w:w="680" w:type="dxa"/>
            <w:vAlign w:val="bottom"/>
            <w:tcBorders>
              <w:top w:val="single" w:sz="8" w:color="auto"/>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60" w:type="dxa"/>
            <w:vAlign w:val="bottom"/>
            <w:tcBorders>
              <w:top w:val="single" w:sz="8" w:color="CCFFCC"/>
            </w:tcBorders>
            <w:shd w:val="clear" w:color="auto" w:fill="CCFFCC"/>
          </w:tcPr>
          <w:p>
            <w:pPr>
              <w:spacing w:after="0"/>
              <w:rPr>
                <w:sz w:val="4"/>
                <w:szCs w:val="4"/>
                <w:color w:val="auto"/>
              </w:rPr>
            </w:pPr>
          </w:p>
        </w:tc>
        <w:tc>
          <w:tcPr>
            <w:tcW w:w="1040" w:type="dxa"/>
            <w:vAlign w:val="bottom"/>
            <w:tcBorders>
              <w:top w:val="single" w:sz="8" w:color="auto"/>
            </w:tcBorders>
            <w:shd w:val="clear" w:color="auto" w:fill="CCFFCC"/>
          </w:tcPr>
          <w:p>
            <w:pPr>
              <w:spacing w:after="0"/>
              <w:rPr>
                <w:sz w:val="4"/>
                <w:szCs w:val="4"/>
                <w:color w:val="auto"/>
              </w:rPr>
            </w:pPr>
          </w:p>
        </w:tc>
        <w:tc>
          <w:tcPr>
            <w:tcW w:w="3020" w:type="dxa"/>
            <w:vAlign w:val="bottom"/>
            <w:tcBorders>
              <w:top w:val="single" w:sz="8" w:color="CCFFCC"/>
            </w:tcBorders>
            <w:shd w:val="clear" w:color="auto" w:fill="CCFFCC"/>
          </w:tcPr>
          <w:p>
            <w:pPr>
              <w:spacing w:after="0"/>
              <w:rPr>
                <w:sz w:val="4"/>
                <w:szCs w:val="4"/>
                <w:color w:val="auto"/>
              </w:rPr>
            </w:pPr>
          </w:p>
        </w:tc>
        <w:tc>
          <w:tcPr>
            <w:tcW w:w="700" w:type="dxa"/>
            <w:vAlign w:val="bottom"/>
            <w:tcBorders>
              <w:top w:val="single" w:sz="8" w:color="CCFFCC"/>
            </w:tcBorders>
            <w:shd w:val="clear" w:color="auto" w:fill="CCFFCC"/>
          </w:tcPr>
          <w:p>
            <w:pPr>
              <w:spacing w:after="0"/>
              <w:rPr>
                <w:sz w:val="4"/>
                <w:szCs w:val="4"/>
                <w:color w:val="auto"/>
              </w:rPr>
            </w:pPr>
          </w:p>
        </w:tc>
        <w:tc>
          <w:tcPr>
            <w:tcW w:w="140" w:type="dxa"/>
            <w:vAlign w:val="bottom"/>
            <w:tcBorders>
              <w:top w:val="single" w:sz="8" w:color="CCFFCC"/>
            </w:tcBorders>
            <w:shd w:val="clear" w:color="auto" w:fill="CCFFCC"/>
          </w:tcPr>
          <w:p>
            <w:pPr>
              <w:spacing w:after="0"/>
              <w:rPr>
                <w:sz w:val="4"/>
                <w:szCs w:val="4"/>
                <w:color w:val="auto"/>
              </w:rPr>
            </w:pPr>
          </w:p>
        </w:tc>
        <w:tc>
          <w:tcPr>
            <w:tcW w:w="200" w:type="dxa"/>
            <w:vAlign w:val="bottom"/>
            <w:tcBorders>
              <w:top w:val="single" w:sz="8" w:color="CCFFCC"/>
            </w:tcBorders>
            <w:shd w:val="clear" w:color="auto" w:fill="CCFFCC"/>
          </w:tcPr>
          <w:p>
            <w:pPr>
              <w:spacing w:after="0"/>
              <w:rPr>
                <w:sz w:val="4"/>
                <w:szCs w:val="4"/>
                <w:color w:val="auto"/>
              </w:rPr>
            </w:pPr>
          </w:p>
        </w:tc>
        <w:tc>
          <w:tcPr>
            <w:tcW w:w="720" w:type="dxa"/>
            <w:vAlign w:val="bottom"/>
            <w:tcBorders>
              <w:top w:val="single" w:sz="8" w:color="CCFFCC"/>
            </w:tcBorders>
            <w:shd w:val="clear" w:color="auto" w:fill="CCFFCC"/>
          </w:tcPr>
          <w:p>
            <w:pPr>
              <w:spacing w:after="0"/>
              <w:rPr>
                <w:sz w:val="4"/>
                <w:szCs w:val="4"/>
                <w:color w:val="auto"/>
              </w:rPr>
            </w:pPr>
          </w:p>
        </w:tc>
        <w:tc>
          <w:tcPr>
            <w:tcW w:w="120" w:type="dxa"/>
            <w:vAlign w:val="bottom"/>
            <w:tcBorders>
              <w:top w:val="single" w:sz="8" w:color="CCFFCC"/>
            </w:tcBorders>
            <w:shd w:val="clear" w:color="auto" w:fill="CCFFCC"/>
          </w:tcPr>
          <w:p>
            <w:pPr>
              <w:spacing w:after="0"/>
              <w:rPr>
                <w:sz w:val="4"/>
                <w:szCs w:val="4"/>
                <w:color w:val="auto"/>
              </w:rPr>
            </w:pPr>
          </w:p>
        </w:tc>
        <w:tc>
          <w:tcPr>
            <w:tcW w:w="220" w:type="dxa"/>
            <w:vAlign w:val="bottom"/>
            <w:tcBorders>
              <w:top w:val="single" w:sz="8" w:color="CCFFCC"/>
            </w:tcBorders>
            <w:shd w:val="clear" w:color="auto" w:fill="CCFFCC"/>
          </w:tcPr>
          <w:p>
            <w:pPr>
              <w:spacing w:after="0"/>
              <w:rPr>
                <w:sz w:val="4"/>
                <w:szCs w:val="4"/>
                <w:color w:val="auto"/>
              </w:rPr>
            </w:pPr>
          </w:p>
        </w:tc>
        <w:tc>
          <w:tcPr>
            <w:tcW w:w="160" w:type="dxa"/>
            <w:vAlign w:val="bottom"/>
            <w:tcBorders>
              <w:top w:val="single" w:sz="8" w:color="CCFFCC"/>
            </w:tcBorders>
            <w:shd w:val="clear" w:color="auto" w:fill="CCFFCC"/>
          </w:tcPr>
          <w:p>
            <w:pPr>
              <w:spacing w:after="0"/>
              <w:rPr>
                <w:sz w:val="4"/>
                <w:szCs w:val="4"/>
                <w:color w:val="auto"/>
              </w:rPr>
            </w:pPr>
          </w:p>
        </w:tc>
        <w:tc>
          <w:tcPr>
            <w:tcW w:w="68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CCFFCC"/>
            </w:tcBorders>
            <w:shd w:val="clear" w:color="auto" w:fill="CCFFCC"/>
          </w:tcPr>
          <w:p>
            <w:pPr>
              <w:spacing w:after="0"/>
              <w:rPr>
                <w:sz w:val="4"/>
                <w:szCs w:val="4"/>
                <w:color w:val="auto"/>
              </w:rPr>
            </w:pPr>
          </w:p>
        </w:tc>
        <w:tc>
          <w:tcPr>
            <w:tcW w:w="140" w:type="dxa"/>
            <w:vAlign w:val="bottom"/>
            <w:tcBorders>
              <w:top w:val="single" w:sz="8" w:color="CCFFCC"/>
            </w:tcBorders>
            <w:shd w:val="clear" w:color="auto" w:fill="CCFFCC"/>
          </w:tcPr>
          <w:p>
            <w:pPr>
              <w:spacing w:after="0"/>
              <w:rPr>
                <w:sz w:val="4"/>
                <w:szCs w:val="4"/>
                <w:color w:val="auto"/>
              </w:rPr>
            </w:pPr>
          </w:p>
        </w:tc>
        <w:tc>
          <w:tcPr>
            <w:tcW w:w="68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CCFFCC"/>
            </w:tcBorders>
            <w:shd w:val="clear" w:color="auto" w:fill="CCFFCC"/>
          </w:tcPr>
          <w:p>
            <w:pPr>
              <w:spacing w:after="0"/>
              <w:rPr>
                <w:sz w:val="4"/>
                <w:szCs w:val="4"/>
                <w:color w:val="auto"/>
              </w:rPr>
            </w:pPr>
          </w:p>
        </w:tc>
        <w:tc>
          <w:tcPr>
            <w:tcW w:w="160" w:type="dxa"/>
            <w:vAlign w:val="bottom"/>
            <w:tcBorders>
              <w:top w:val="single" w:sz="8" w:color="CCFFCC"/>
            </w:tcBorders>
            <w:shd w:val="clear" w:color="auto" w:fill="CCFFCC"/>
          </w:tcPr>
          <w:p>
            <w:pPr>
              <w:spacing w:after="0"/>
              <w:rPr>
                <w:sz w:val="4"/>
                <w:szCs w:val="4"/>
                <w:color w:val="auto"/>
              </w:rPr>
            </w:pPr>
          </w:p>
        </w:tc>
        <w:tc>
          <w:tcPr>
            <w:tcW w:w="6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CCFFCC"/>
            </w:tcBorders>
            <w:shd w:val="clear" w:color="auto" w:fill="CCFFCC"/>
          </w:tcPr>
          <w:p>
            <w:pPr>
              <w:spacing w:after="0"/>
              <w:rPr>
                <w:sz w:val="4"/>
                <w:szCs w:val="4"/>
                <w:color w:val="auto"/>
              </w:rPr>
            </w:pPr>
          </w:p>
        </w:tc>
        <w:tc>
          <w:tcPr>
            <w:tcW w:w="140" w:type="dxa"/>
            <w:vAlign w:val="bottom"/>
            <w:tcBorders>
              <w:top w:val="single" w:sz="8" w:color="CCFFCC"/>
            </w:tcBorders>
            <w:shd w:val="clear" w:color="auto" w:fill="CCFFCC"/>
          </w:tcPr>
          <w:p>
            <w:pPr>
              <w:spacing w:after="0"/>
              <w:rPr>
                <w:sz w:val="4"/>
                <w:szCs w:val="4"/>
                <w:color w:val="auto"/>
              </w:rPr>
            </w:pPr>
          </w:p>
        </w:tc>
        <w:tc>
          <w:tcPr>
            <w:tcW w:w="680" w:type="dxa"/>
            <w:vAlign w:val="bottom"/>
            <w:tcBorders>
              <w:top w:val="single" w:sz="8" w:color="CCFFCC"/>
            </w:tcBorders>
            <w:shd w:val="clear" w:color="auto" w:fill="CCFFCC"/>
          </w:tcPr>
          <w:p>
            <w:pPr>
              <w:spacing w:after="0"/>
              <w:rPr>
                <w:sz w:val="4"/>
                <w:szCs w:val="4"/>
                <w:color w:val="auto"/>
              </w:rPr>
            </w:pPr>
          </w:p>
        </w:tc>
        <w:tc>
          <w:tcPr>
            <w:tcW w:w="100" w:type="dxa"/>
            <w:vAlign w:val="bottom"/>
            <w:tcBorders>
              <w:top w:val="single" w:sz="8" w:color="CCFFCC"/>
            </w:tcBorders>
            <w:shd w:val="clear" w:color="auto" w:fill="CCFFCC"/>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700" w:type="dxa"/>
            <w:vAlign w:val="bottom"/>
          </w:tcPr>
          <w:p>
            <w:pPr>
              <w:jc w:val="right"/>
              <w:ind w:right="539"/>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3,438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3,438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7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0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00" w:type="dxa"/>
            <w:vAlign w:val="bottom"/>
          </w:tcPr>
          <w:p>
            <w:pPr>
              <w:jc w:val="right"/>
              <w:ind w:right="539"/>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3,438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3,438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60" w:type="dxa"/>
            <w:vAlign w:val="bottom"/>
            <w:gridSpan w:val="2"/>
            <w:shd w:val="clear" w:color="auto" w:fill="CCFFCC"/>
          </w:tcPr>
          <w:p>
            <w:pPr>
              <w:spacing w:after="0" w:line="170" w:lineRule="exact"/>
              <w:rPr>
                <w:sz w:val="20"/>
                <w:szCs w:val="20"/>
                <w:color w:val="auto"/>
              </w:rPr>
            </w:pPr>
            <w:r>
              <w:rPr>
                <w:rFonts w:ascii="Arial" w:cs="Arial" w:eastAsia="Arial" w:hAnsi="Arial"/>
                <w:sz w:val="18"/>
                <w:szCs w:val="18"/>
                <w:color w:val="auto"/>
              </w:rPr>
              <w:t>April 30, 2009</w:t>
            </w:r>
          </w:p>
        </w:tc>
        <w:tc>
          <w:tcPr>
            <w:tcW w:w="7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60" w:type="dxa"/>
            <w:vAlign w:val="bottom"/>
            <w:tcBorders>
              <w:top w:val="single" w:sz="8" w:color="CCFFCC"/>
            </w:tcBorders>
            <w:shd w:val="clear" w:color="auto" w:fill="CCFFCC"/>
          </w:tcPr>
          <w:p>
            <w:pPr>
              <w:spacing w:after="0"/>
              <w:rPr>
                <w:sz w:val="4"/>
                <w:szCs w:val="4"/>
                <w:color w:val="auto"/>
              </w:rPr>
            </w:pPr>
          </w:p>
        </w:tc>
        <w:tc>
          <w:tcPr>
            <w:tcW w:w="1040" w:type="dxa"/>
            <w:vAlign w:val="bottom"/>
            <w:tcBorders>
              <w:top w:val="single" w:sz="8" w:color="auto"/>
            </w:tcBorders>
            <w:shd w:val="clear" w:color="auto" w:fill="CCFFCC"/>
          </w:tcPr>
          <w:p>
            <w:pPr>
              <w:spacing w:after="0"/>
              <w:rPr>
                <w:sz w:val="4"/>
                <w:szCs w:val="4"/>
                <w:color w:val="auto"/>
              </w:rPr>
            </w:pPr>
          </w:p>
        </w:tc>
        <w:tc>
          <w:tcPr>
            <w:tcW w:w="3020" w:type="dxa"/>
            <w:vAlign w:val="bottom"/>
            <w:tcBorders>
              <w:top w:val="single" w:sz="8" w:color="CCFFCC"/>
            </w:tcBorders>
            <w:shd w:val="clear" w:color="auto" w:fill="CCFFCC"/>
          </w:tcPr>
          <w:p>
            <w:pPr>
              <w:spacing w:after="0"/>
              <w:rPr>
                <w:sz w:val="4"/>
                <w:szCs w:val="4"/>
                <w:color w:val="auto"/>
              </w:rPr>
            </w:pPr>
          </w:p>
        </w:tc>
        <w:tc>
          <w:tcPr>
            <w:tcW w:w="700" w:type="dxa"/>
            <w:vAlign w:val="bottom"/>
            <w:tcBorders>
              <w:top w:val="single" w:sz="8" w:color="CCFFCC"/>
            </w:tcBorders>
            <w:shd w:val="clear" w:color="auto" w:fill="CCFFCC"/>
          </w:tcPr>
          <w:p>
            <w:pPr>
              <w:spacing w:after="0"/>
              <w:rPr>
                <w:sz w:val="4"/>
                <w:szCs w:val="4"/>
                <w:color w:val="auto"/>
              </w:rPr>
            </w:pPr>
          </w:p>
        </w:tc>
        <w:tc>
          <w:tcPr>
            <w:tcW w:w="140" w:type="dxa"/>
            <w:vAlign w:val="bottom"/>
            <w:tcBorders>
              <w:top w:val="single" w:sz="8" w:color="CCFFCC"/>
            </w:tcBorders>
            <w:shd w:val="clear" w:color="auto" w:fill="CCFFCC"/>
          </w:tcPr>
          <w:p>
            <w:pPr>
              <w:spacing w:after="0"/>
              <w:rPr>
                <w:sz w:val="4"/>
                <w:szCs w:val="4"/>
                <w:color w:val="auto"/>
              </w:rPr>
            </w:pPr>
          </w:p>
        </w:tc>
        <w:tc>
          <w:tcPr>
            <w:tcW w:w="200" w:type="dxa"/>
            <w:vAlign w:val="bottom"/>
            <w:tcBorders>
              <w:top w:val="single" w:sz="8" w:color="CCFFCC"/>
            </w:tcBorders>
            <w:shd w:val="clear" w:color="auto" w:fill="CCFFCC"/>
          </w:tcPr>
          <w:p>
            <w:pPr>
              <w:spacing w:after="0"/>
              <w:rPr>
                <w:sz w:val="4"/>
                <w:szCs w:val="4"/>
                <w:color w:val="auto"/>
              </w:rPr>
            </w:pPr>
          </w:p>
        </w:tc>
        <w:tc>
          <w:tcPr>
            <w:tcW w:w="720" w:type="dxa"/>
            <w:vAlign w:val="bottom"/>
            <w:tcBorders>
              <w:top w:val="single" w:sz="8" w:color="CCFFCC"/>
            </w:tcBorders>
            <w:shd w:val="clear" w:color="auto" w:fill="CCFFCC"/>
          </w:tcPr>
          <w:p>
            <w:pPr>
              <w:spacing w:after="0"/>
              <w:rPr>
                <w:sz w:val="4"/>
                <w:szCs w:val="4"/>
                <w:color w:val="auto"/>
              </w:rPr>
            </w:pPr>
          </w:p>
        </w:tc>
        <w:tc>
          <w:tcPr>
            <w:tcW w:w="120" w:type="dxa"/>
            <w:vAlign w:val="bottom"/>
            <w:tcBorders>
              <w:top w:val="single" w:sz="8" w:color="CCFFCC"/>
            </w:tcBorders>
            <w:shd w:val="clear" w:color="auto" w:fill="CCFFCC"/>
          </w:tcPr>
          <w:p>
            <w:pPr>
              <w:spacing w:after="0"/>
              <w:rPr>
                <w:sz w:val="4"/>
                <w:szCs w:val="4"/>
                <w:color w:val="auto"/>
              </w:rPr>
            </w:pPr>
          </w:p>
        </w:tc>
        <w:tc>
          <w:tcPr>
            <w:tcW w:w="220" w:type="dxa"/>
            <w:vAlign w:val="bottom"/>
            <w:tcBorders>
              <w:top w:val="single" w:sz="8" w:color="CCFFCC"/>
            </w:tcBorders>
            <w:shd w:val="clear" w:color="auto" w:fill="CCFFCC"/>
          </w:tcPr>
          <w:p>
            <w:pPr>
              <w:spacing w:after="0"/>
              <w:rPr>
                <w:sz w:val="4"/>
                <w:szCs w:val="4"/>
                <w:color w:val="auto"/>
              </w:rPr>
            </w:pPr>
          </w:p>
        </w:tc>
        <w:tc>
          <w:tcPr>
            <w:tcW w:w="160" w:type="dxa"/>
            <w:vAlign w:val="bottom"/>
            <w:tcBorders>
              <w:top w:val="single" w:sz="8" w:color="CCFFCC"/>
            </w:tcBorders>
            <w:shd w:val="clear" w:color="auto" w:fill="CCFFCC"/>
          </w:tcPr>
          <w:p>
            <w:pPr>
              <w:spacing w:after="0"/>
              <w:rPr>
                <w:sz w:val="4"/>
                <w:szCs w:val="4"/>
                <w:color w:val="auto"/>
              </w:rPr>
            </w:pPr>
          </w:p>
        </w:tc>
        <w:tc>
          <w:tcPr>
            <w:tcW w:w="68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CCFFCC"/>
            </w:tcBorders>
            <w:shd w:val="clear" w:color="auto" w:fill="CCFFCC"/>
          </w:tcPr>
          <w:p>
            <w:pPr>
              <w:spacing w:after="0"/>
              <w:rPr>
                <w:sz w:val="4"/>
                <w:szCs w:val="4"/>
                <w:color w:val="auto"/>
              </w:rPr>
            </w:pPr>
          </w:p>
        </w:tc>
        <w:tc>
          <w:tcPr>
            <w:tcW w:w="140" w:type="dxa"/>
            <w:vAlign w:val="bottom"/>
            <w:tcBorders>
              <w:top w:val="single" w:sz="8" w:color="CCFFCC"/>
            </w:tcBorders>
            <w:shd w:val="clear" w:color="auto" w:fill="CCFFCC"/>
          </w:tcPr>
          <w:p>
            <w:pPr>
              <w:spacing w:after="0"/>
              <w:rPr>
                <w:sz w:val="4"/>
                <w:szCs w:val="4"/>
                <w:color w:val="auto"/>
              </w:rPr>
            </w:pPr>
          </w:p>
        </w:tc>
        <w:tc>
          <w:tcPr>
            <w:tcW w:w="68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CCFFCC"/>
            </w:tcBorders>
            <w:shd w:val="clear" w:color="auto" w:fill="CCFFCC"/>
          </w:tcPr>
          <w:p>
            <w:pPr>
              <w:spacing w:after="0"/>
              <w:rPr>
                <w:sz w:val="4"/>
                <w:szCs w:val="4"/>
                <w:color w:val="auto"/>
              </w:rPr>
            </w:pPr>
          </w:p>
        </w:tc>
        <w:tc>
          <w:tcPr>
            <w:tcW w:w="160" w:type="dxa"/>
            <w:vAlign w:val="bottom"/>
            <w:tcBorders>
              <w:top w:val="single" w:sz="8" w:color="CCFFCC"/>
            </w:tcBorders>
            <w:shd w:val="clear" w:color="auto" w:fill="CCFFCC"/>
          </w:tcPr>
          <w:p>
            <w:pPr>
              <w:spacing w:after="0"/>
              <w:rPr>
                <w:sz w:val="4"/>
                <w:szCs w:val="4"/>
                <w:color w:val="auto"/>
              </w:rPr>
            </w:pPr>
          </w:p>
        </w:tc>
        <w:tc>
          <w:tcPr>
            <w:tcW w:w="6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CCFFCC"/>
            </w:tcBorders>
            <w:shd w:val="clear" w:color="auto" w:fill="CCFFCC"/>
          </w:tcPr>
          <w:p>
            <w:pPr>
              <w:spacing w:after="0"/>
              <w:rPr>
                <w:sz w:val="4"/>
                <w:szCs w:val="4"/>
                <w:color w:val="auto"/>
              </w:rPr>
            </w:pPr>
          </w:p>
        </w:tc>
        <w:tc>
          <w:tcPr>
            <w:tcW w:w="140" w:type="dxa"/>
            <w:vAlign w:val="bottom"/>
            <w:tcBorders>
              <w:top w:val="single" w:sz="8" w:color="CCFFCC"/>
            </w:tcBorders>
            <w:shd w:val="clear" w:color="auto" w:fill="CCFFCC"/>
          </w:tcPr>
          <w:p>
            <w:pPr>
              <w:spacing w:after="0"/>
              <w:rPr>
                <w:sz w:val="4"/>
                <w:szCs w:val="4"/>
                <w:color w:val="auto"/>
              </w:rPr>
            </w:pPr>
          </w:p>
        </w:tc>
        <w:tc>
          <w:tcPr>
            <w:tcW w:w="680" w:type="dxa"/>
            <w:vAlign w:val="bottom"/>
            <w:tcBorders>
              <w:top w:val="single" w:sz="8" w:color="CCFFCC"/>
            </w:tcBorders>
            <w:shd w:val="clear" w:color="auto" w:fill="CCFFCC"/>
          </w:tcPr>
          <w:p>
            <w:pPr>
              <w:spacing w:after="0"/>
              <w:rPr>
                <w:sz w:val="4"/>
                <w:szCs w:val="4"/>
                <w:color w:val="auto"/>
              </w:rPr>
            </w:pPr>
          </w:p>
        </w:tc>
        <w:tc>
          <w:tcPr>
            <w:tcW w:w="100" w:type="dxa"/>
            <w:vAlign w:val="bottom"/>
            <w:tcBorders>
              <w:top w:val="single" w:sz="8" w:color="CCFFCC"/>
            </w:tcBorders>
            <w:shd w:val="clear" w:color="auto" w:fill="CCFFCC"/>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700" w:type="dxa"/>
            <w:vAlign w:val="bottom"/>
          </w:tcPr>
          <w:p>
            <w:pPr>
              <w:jc w:val="right"/>
              <w:ind w:right="539"/>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7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0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00" w:type="dxa"/>
            <w:vAlign w:val="bottom"/>
          </w:tcPr>
          <w:p>
            <w:pPr>
              <w:jc w:val="right"/>
              <w:ind w:right="539"/>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2,626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April 30, 2010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Proceeds from the sale or redemption of available-for-sale securities and the resulting gross realized gains and losses included in the determination of net income (loss) are as follows (in thousands):</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ind w:left="20"/>
              <w:spacing w:after="0"/>
              <w:rPr>
                <w:sz w:val="20"/>
                <w:szCs w:val="20"/>
                <w:color w:val="auto"/>
              </w:rPr>
            </w:pPr>
            <w:r>
              <w:rPr>
                <w:rFonts w:ascii="Arial" w:cs="Arial" w:eastAsia="Arial" w:hAnsi="Arial"/>
                <w:sz w:val="18"/>
                <w:szCs w:val="18"/>
                <w:color w:val="auto"/>
                <w:w w:val="99"/>
              </w:rPr>
              <w:t>For the years ended April 30,</w:t>
            </w:r>
          </w:p>
        </w:tc>
      </w:tr>
      <w:tr>
        <w:trPr>
          <w:trHeight w:val="237"/>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r>
      <w:tr>
        <w:trPr>
          <w:trHeight w:val="237"/>
        </w:trPr>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Proceeds</w:t>
            </w:r>
          </w:p>
        </w:tc>
        <w:tc>
          <w:tcPr>
            <w:tcW w:w="226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1,514</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FFCC"/>
          </w:tcPr>
          <w:p>
            <w:pPr>
              <w:spacing w:after="0"/>
              <w:rPr>
                <w:sz w:val="20"/>
                <w:szCs w:val="20"/>
                <w:color w:val="auto"/>
              </w:rPr>
            </w:pPr>
          </w:p>
        </w:tc>
      </w:tr>
      <w:tr>
        <w:trPr>
          <w:trHeight w:val="20"/>
        </w:trPr>
        <w:tc>
          <w:tcPr>
            <w:tcW w:w="3760" w:type="dxa"/>
            <w:vAlign w:val="bottom"/>
            <w:tcBorders>
              <w:top w:val="single" w:sz="8" w:color="CCFFCC"/>
            </w:tcBorders>
            <w:shd w:val="clear" w:color="auto" w:fill="CCFFCC"/>
          </w:tcPr>
          <w:p>
            <w:pPr>
              <w:spacing w:after="0" w:line="20" w:lineRule="exact"/>
              <w:rPr>
                <w:sz w:val="1"/>
                <w:szCs w:val="1"/>
                <w:color w:val="auto"/>
              </w:rPr>
            </w:pPr>
          </w:p>
        </w:tc>
        <w:tc>
          <w:tcPr>
            <w:tcW w:w="2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Gross realized gains</w:t>
            </w:r>
          </w:p>
        </w:tc>
        <w:tc>
          <w:tcPr>
            <w:tcW w:w="2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1"/>
        </w:trPr>
        <w:tc>
          <w:tcPr>
            <w:tcW w:w="3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Gross realized losses</w:t>
            </w:r>
          </w:p>
        </w:tc>
        <w:tc>
          <w:tcPr>
            <w:tcW w:w="226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r>
      <w:tr>
        <w:trPr>
          <w:trHeight w:val="20"/>
        </w:trPr>
        <w:tc>
          <w:tcPr>
            <w:tcW w:w="3760" w:type="dxa"/>
            <w:vAlign w:val="bottom"/>
            <w:tcBorders>
              <w:top w:val="single" w:sz="8" w:color="CCFFCC"/>
            </w:tcBorders>
            <w:shd w:val="clear" w:color="auto" w:fill="CCFFCC"/>
          </w:tcPr>
          <w:p>
            <w:pPr>
              <w:spacing w:after="0" w:line="20" w:lineRule="exact"/>
              <w:rPr>
                <w:sz w:val="1"/>
                <w:szCs w:val="1"/>
                <w:color w:val="auto"/>
              </w:rPr>
            </w:pPr>
          </w:p>
        </w:tc>
        <w:tc>
          <w:tcPr>
            <w:tcW w:w="2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fixed income securities classified as available-for-sale at April 30, 2010 are as follows (at cost, in thousands):</w:t>
      </w:r>
    </w:p>
    <w:p>
      <w:pPr>
        <w:spacing w:after="0" w:line="26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7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9,606</w:t>
            </w:r>
          </w:p>
        </w:tc>
        <w:tc>
          <w:tcPr>
            <w:tcW w:w="60" w:type="dxa"/>
            <w:vAlign w:val="bottom"/>
          </w:tcPr>
          <w:p>
            <w:pPr>
              <w:spacing w:after="0"/>
              <w:rPr>
                <w:sz w:val="18"/>
                <w:szCs w:val="18"/>
                <w:color w:val="auto"/>
              </w:rPr>
            </w:pPr>
          </w:p>
        </w:tc>
      </w:tr>
      <w:tr>
        <w:trPr>
          <w:trHeight w:val="223"/>
        </w:trPr>
        <w:tc>
          <w:tcPr>
            <w:tcW w:w="6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70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16"/>
        </w:trPr>
        <w:tc>
          <w:tcPr>
            <w:tcW w:w="6220" w:type="dxa"/>
            <w:vAlign w:val="bottom"/>
          </w:tcPr>
          <w:p>
            <w:pPr>
              <w:spacing w:after="0"/>
              <w:rPr>
                <w:sz w:val="18"/>
                <w:szCs w:val="18"/>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9,606</w:t>
            </w:r>
          </w:p>
        </w:tc>
        <w:tc>
          <w:tcPr>
            <w:tcW w:w="60" w:type="dxa"/>
            <w:vAlign w:val="bottom"/>
          </w:tcPr>
          <w:p>
            <w:pPr>
              <w:spacing w:after="0"/>
              <w:rPr>
                <w:sz w:val="18"/>
                <w:szCs w:val="18"/>
                <w:color w:val="auto"/>
              </w:rPr>
            </w:pPr>
          </w:p>
        </w:tc>
      </w:tr>
      <w:tr>
        <w:trPr>
          <w:trHeight w:val="21"/>
        </w:trPr>
        <w:tc>
          <w:tcPr>
            <w:tcW w:w="6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ind w:left="2980"/>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three levels of the fair value hierarchy are described below:</w:t>
      </w:r>
    </w:p>
    <w:p>
      <w:pPr>
        <w:spacing w:after="0" w:line="252" w:lineRule="exact"/>
        <w:rPr>
          <w:sz w:val="20"/>
          <w:szCs w:val="20"/>
          <w:color w:val="auto"/>
        </w:rPr>
      </w:pPr>
    </w:p>
    <w:p>
      <w:pPr>
        <w:ind w:left="1460" w:right="20" w:hanging="971"/>
        <w:spacing w:after="0" w:line="277" w:lineRule="auto"/>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50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500"/>
        <w:spacing w:after="0"/>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20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Property, Plant and Equipment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plant and equipment at April 30, 2010 and 2009, consists of the following (in thousands):</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Buildings and building improvements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4,322</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4,128</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Machinery, equipment and furniture</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38,639</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37,828</w:t>
            </w: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42,961</w:t>
            </w:r>
          </w:p>
        </w:tc>
        <w:tc>
          <w:tcPr>
            <w:tcW w:w="2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41,956</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35,946</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33,995</w:t>
            </w: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60" w:type="dxa"/>
            <w:vAlign w:val="bottom"/>
            <w:shd w:val="clear" w:color="auto" w:fill="CCFFCC"/>
          </w:tcPr>
          <w:p>
            <w:pPr>
              <w:spacing w:after="0"/>
              <w:rPr>
                <w:sz w:val="20"/>
                <w:szCs w:val="20"/>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7,015</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7,961</w:t>
            </w: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for the years ended April 30, 2010 and 2009 was $1,938,000 and $1,975,000 respectively.</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Maintenance and repairs charged to operations for the years ended April 30, 2010 and 2009 was approximately $526,000 and $583,000, respectively.</w:t>
      </w:r>
    </w:p>
    <w:p>
      <w:pPr>
        <w:spacing w:after="0" w:line="2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January 1998, the Company sold the Long Island, New York building that it occupies to Reckson Associates Realty Corp., a real estate investment trust (“REIT”) whose shares were then traded on the New York Stock Exchange. The sale involved a tax-deferred exchange of the building for approximately 513,000 participation units of Reckson Operating Partnership, L.P. (“REIT units”) which were valued at closing at $12 million. Each REIT unit was convertible into one share of the common stock of the REIT.</w:t>
      </w:r>
    </w:p>
    <w:p>
      <w:pPr>
        <w:spacing w:after="0" w:line="21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leased back approximately 43% of the building from the purchaser (the "Reckson lease"). Under the accounting provisions for sale and leaseback transactions, the sale of this building was initially considered a financing until the REIT units were converted to Reckson stock in March 2005, which was subsequently sold. Upon conversion of the REIT units, the Company recognized a gain of $4.6 million and deferred an additional $1.3 million gain. The deferred gain was recognized into income over the remaining term of the initial leaseback period with $235,000 recognized in income during the year ended April 30, 2009. Annual rental payments were $400,000 for the initial 11-year term which ended in January 2009. The Reckson lease contains two five-year renewal periods at the option of the Company. On May 16, 2007, the Company exercised its option to renew the lease for the first five-year period and, in February 2009, began paying annual rent of $600,000. Under the terms of the lease, the Company is required to pay its proportional share of real estate taxes, insurance and other charges.</w:t>
      </w:r>
    </w:p>
    <w:p>
      <w:pPr>
        <w:spacing w:after="0" w:line="21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addition, the Company’s subsidiaries in China, France and California lease their office and manufacturing facilities. The lease for the FEI-Asia facility is for a one-year term with monthly rent of $6,200 through February 2011. In fiscal year 2008, FEI-Zyfer moved into leased space encompassing 27,850 square feet. Monthly rental payments are currently $26,186 and increase each year over the remaining 88 months of the lease term. Satel-FEI, a wholly-owned subsidiary of Gillam-FEI, occupies office space under a 9-year lease, cancelable after three years, at an approximate rate of $2,000 per month.</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Rent expense under operating leases for the fiscal years ended April 30, 2010 and 2009 was approximately $1.0 million each year. The Company records rent expense on its New York building and FEI-Zyfer facility on the straightline method over the lives of the respective leases. As a result, as of April 30, 2010 and 2009, the Company’s balance sheet includes deferred rent of approximately $466,000 and $549,000, respectively, which will be amortized over the respective rental periods.</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fiscal year 2008, the Company acquired manufacturing equipment of approximately $1.2 million. This acquisition was financed by entering into a 5-year capital lease payable in monthly installments of approximately $24,000, including interest at 6.57%. At the end of the lease term, the Company may retain the equipment for a nominal charge.</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minimum lease payments required by the leases are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60" w:type="dxa"/>
            <w:vAlign w:val="bottom"/>
          </w:tcPr>
          <w:p>
            <w:pPr>
              <w:jc w:val="center"/>
              <w:ind w:right="2170"/>
              <w:spacing w:after="0"/>
              <w:rPr>
                <w:sz w:val="20"/>
                <w:szCs w:val="20"/>
                <w:color w:val="auto"/>
              </w:rPr>
            </w:pPr>
            <w:r>
              <w:rPr>
                <w:rFonts w:ascii="Arial" w:cs="Arial" w:eastAsia="Arial" w:hAnsi="Arial"/>
                <w:sz w:val="18"/>
                <w:szCs w:val="18"/>
                <w:color w:val="auto"/>
                <w:w w:val="86"/>
              </w:rPr>
              <w:t>Years ending</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center"/>
              <w:ind w:right="2170"/>
              <w:spacing w:after="0"/>
              <w:rPr>
                <w:sz w:val="20"/>
                <w:szCs w:val="20"/>
                <w:color w:val="auto"/>
              </w:rPr>
            </w:pPr>
            <w:r>
              <w:rPr>
                <w:rFonts w:ascii="Arial" w:cs="Arial" w:eastAsia="Arial" w:hAnsi="Arial"/>
                <w:sz w:val="18"/>
                <w:szCs w:val="18"/>
                <w:color w:val="auto"/>
                <w:w w:val="96"/>
              </w:rPr>
              <w:t>April 30,</w:t>
            </w:r>
          </w:p>
        </w:tc>
        <w:tc>
          <w:tcPr>
            <w:tcW w:w="80" w:type="dxa"/>
            <w:vAlign w:val="bottom"/>
          </w:tcPr>
          <w:p>
            <w:pPr>
              <w:spacing w:after="0"/>
              <w:rPr>
                <w:sz w:val="20"/>
                <w:szCs w:val="20"/>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Operating Leases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Capital Lease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3"/>
            <w:shd w:val="clear" w:color="auto" w:fill="CCFFCC"/>
          </w:tcPr>
          <w:p>
            <w:pPr>
              <w:jc w:val="center"/>
              <w:spacing w:after="0"/>
              <w:rPr>
                <w:sz w:val="20"/>
                <w:szCs w:val="20"/>
                <w:color w:val="auto"/>
              </w:rPr>
            </w:pPr>
            <w:r>
              <w:rPr>
                <w:rFonts w:ascii="Arial" w:cs="Arial" w:eastAsia="Arial" w:hAnsi="Arial"/>
                <w:sz w:val="18"/>
                <w:szCs w:val="18"/>
                <w:color w:val="auto"/>
                <w:w w:val="89"/>
              </w:rPr>
              <w:t>2011</w:t>
            </w:r>
          </w:p>
        </w:tc>
        <w:tc>
          <w:tcPr>
            <w:tcW w:w="5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3"/>
          </w:tcPr>
          <w:p>
            <w:pPr>
              <w:jc w:val="center"/>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3"/>
            <w:shd w:val="clear" w:color="auto" w:fill="CCFFCC"/>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3"/>
          </w:tcPr>
          <w:p>
            <w:pPr>
              <w:jc w:val="center"/>
              <w:spacing w:after="0"/>
              <w:rPr>
                <w:sz w:val="20"/>
                <w:szCs w:val="20"/>
                <w:color w:val="auto"/>
              </w:rPr>
            </w:pPr>
            <w:r>
              <w:rPr>
                <w:rFonts w:ascii="Arial" w:cs="Arial" w:eastAsia="Arial" w:hAnsi="Arial"/>
                <w:sz w:val="18"/>
                <w:szCs w:val="18"/>
                <w:color w:val="auto"/>
                <w:w w:val="89"/>
              </w:rPr>
              <w:t>2014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3"/>
            <w:shd w:val="clear" w:color="auto" w:fill="CCFFCC"/>
          </w:tcPr>
          <w:p>
            <w:pPr>
              <w:jc w:val="center"/>
              <w:spacing w:after="0"/>
              <w:rPr>
                <w:sz w:val="20"/>
                <w:szCs w:val="20"/>
                <w:color w:val="auto"/>
              </w:rPr>
            </w:pPr>
            <w:r>
              <w:rPr>
                <w:rFonts w:ascii="Arial" w:cs="Arial" w:eastAsia="Arial" w:hAnsi="Arial"/>
                <w:sz w:val="18"/>
                <w:szCs w:val="18"/>
                <w:color w:val="auto"/>
                <w:w w:val="89"/>
              </w:rPr>
              <w:t>2015</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60" w:type="dxa"/>
            <w:vAlign w:val="bottom"/>
          </w:tcPr>
          <w:p>
            <w:pPr>
              <w:jc w:val="center"/>
              <w:ind w:right="2170"/>
              <w:spacing w:after="0"/>
              <w:rPr>
                <w:sz w:val="20"/>
                <w:szCs w:val="20"/>
                <w:color w:val="auto"/>
              </w:rPr>
            </w:pPr>
            <w:r>
              <w:rPr>
                <w:rFonts w:ascii="Arial" w:cs="Arial" w:eastAsia="Arial" w:hAnsi="Arial"/>
                <w:sz w:val="18"/>
                <w:szCs w:val="18"/>
                <w:color w:val="auto"/>
                <w:w w:val="91"/>
              </w:rPr>
              <w:t>Thereafter</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Less amounts representing interest</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2100" w:type="dxa"/>
            <w:vAlign w:val="bottom"/>
            <w:shd w:val="clear" w:color="auto" w:fill="CCFFCC"/>
          </w:tcPr>
          <w:p>
            <w:pPr>
              <w:spacing w:after="0"/>
              <w:rPr>
                <w:sz w:val="2"/>
                <w:szCs w:val="2"/>
                <w:color w:val="auto"/>
              </w:rPr>
            </w:pPr>
          </w:p>
        </w:tc>
        <w:tc>
          <w:tcPr>
            <w:tcW w:w="36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Present value of future minimum lease payments</w:t>
            </w:r>
          </w:p>
        </w:tc>
        <w:tc>
          <w:tcPr>
            <w:tcW w:w="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5760" w:type="dxa"/>
            <w:vAlign w:val="bottom"/>
            <w:tcBorders>
              <w:bottom w:val="single" w:sz="8" w:color="CCFFCC"/>
            </w:tcBorders>
            <w:gridSpan w:val="2"/>
            <w:shd w:val="clear" w:color="auto" w:fill="CCFFCC"/>
          </w:tcPr>
          <w:p>
            <w:pPr>
              <w:ind w:left="1140"/>
              <w:spacing w:after="0"/>
              <w:rPr>
                <w:sz w:val="20"/>
                <w:szCs w:val="20"/>
                <w:color w:val="auto"/>
              </w:rPr>
            </w:pPr>
            <w:r>
              <w:rPr>
                <w:rFonts w:ascii="Arial" w:cs="Arial" w:eastAsia="Arial" w:hAnsi="Arial"/>
                <w:sz w:val="18"/>
                <w:szCs w:val="18"/>
                <w:color w:val="auto"/>
              </w:rPr>
              <w:t>Less: Current portion</w:t>
            </w:r>
          </w:p>
        </w:tc>
        <w:tc>
          <w:tcPr>
            <w:tcW w:w="8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2"/>
          </w:tcPr>
          <w:p>
            <w:pPr>
              <w:ind w:left="1140"/>
              <w:spacing w:after="0"/>
              <w:rPr>
                <w:sz w:val="20"/>
                <w:szCs w:val="20"/>
                <w:color w:val="auto"/>
              </w:rPr>
            </w:pPr>
            <w:r>
              <w:rPr>
                <w:rFonts w:ascii="Arial" w:cs="Arial" w:eastAsia="Arial" w:hAnsi="Arial"/>
                <w:sz w:val="18"/>
                <w:szCs w:val="18"/>
                <w:color w:val="auto"/>
              </w:rPr>
              <w:t>Long-term portion, lease obligation</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7.</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Short-Term Debt Obligations</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has a $7.4 million line of credit with the financial institution which also manages a substantial portion of its investment in marketable securities. The line is secured by the investments and has no maturity date so long as the Company maintains its investments with the financial institution. During fiscal year 2010, the Company paid off the remaining $1.1 million balance and has not borrowed against it since. During fiscal year 2009, the Company had borrowings under the line which varied between $1.1 million and $6 million. During fiscal year 2010, advances against the line of credit bore interest at variable interest rates between 1.51% and 1.66%.</w:t>
      </w:r>
    </w:p>
    <w:p>
      <w:pPr>
        <w:spacing w:after="0" w:line="215"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The Company’s European subsidiaries have available approximately 1.9 million Euros (approximately $2.5 million based on current rates of exchange between the dollar and the Euro) in bank credit lines to meet short-term cash flow requirements. As of April 30, 2010, no amount was outstanding under such lines of credit. Borrowings under the bank credit lines, if any, must be repaid within one year of receipt of funds. Interest on these credit lines varies from 0.5% to 1.5% over the EURO Interbank Offered rate (EURIBOR). At April 30, 2010 and 2009, the rate was 0.411% and 0.944%, respectively, based on the 1 month EURIBOR.</w:t>
      </w:r>
    </w:p>
    <w:p>
      <w:pPr>
        <w:spacing w:after="0" w:line="215"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Accrued Liabilities</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Accrued liabilities at April 30, 2010 and 2009 consist of the following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16"/>
        </w:trPr>
        <w:tc>
          <w:tcPr>
            <w:tcW w:w="82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Payroll taxes</w:t>
            </w:r>
          </w:p>
        </w:tc>
        <w:tc>
          <w:tcPr>
            <w:tcW w:w="18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1,464</w:t>
            </w: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1,483</w:t>
            </w:r>
          </w:p>
        </w:tc>
        <w:tc>
          <w:tcPr>
            <w:tcW w:w="31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Advances from customers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1,119</w:t>
            </w:r>
          </w:p>
        </w:tc>
        <w:tc>
          <w:tcPr>
            <w:tcW w:w="31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Vacation and other compensation</w:t>
            </w:r>
          </w:p>
        </w:tc>
        <w:tc>
          <w:tcPr>
            <w:tcW w:w="16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1,156</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1,033</w:t>
            </w:r>
          </w:p>
        </w:tc>
        <w:tc>
          <w:tcPr>
            <w:tcW w:w="31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773</w:t>
            </w:r>
          </w:p>
        </w:tc>
        <w:tc>
          <w:tcPr>
            <w:tcW w:w="3180" w:type="dxa"/>
            <w:vAlign w:val="bottom"/>
          </w:tcPr>
          <w:p>
            <w:pPr>
              <w:spacing w:after="0"/>
              <w:rPr>
                <w:sz w:val="18"/>
                <w:szCs w:val="18"/>
                <w:color w:val="auto"/>
              </w:rPr>
            </w:pPr>
          </w:p>
        </w:tc>
      </w:tr>
      <w:tr>
        <w:trPr>
          <w:trHeight w:val="27"/>
        </w:trPr>
        <w:tc>
          <w:tcPr>
            <w:tcW w:w="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7"/>
        </w:trPr>
        <w:tc>
          <w:tcPr>
            <w:tcW w:w="820" w:type="dxa"/>
            <w:vAlign w:val="bottom"/>
          </w:tcPr>
          <w:p>
            <w:pPr>
              <w:spacing w:after="0"/>
              <w:rPr>
                <w:sz w:val="22"/>
                <w:szCs w:val="22"/>
                <w:color w:val="auto"/>
              </w:rPr>
            </w:pPr>
          </w:p>
        </w:tc>
        <w:tc>
          <w:tcPr>
            <w:tcW w:w="3600" w:type="dxa"/>
            <w:vAlign w:val="bottom"/>
            <w:shd w:val="clear" w:color="auto" w:fill="CCFFCC"/>
          </w:tcPr>
          <w:p>
            <w:pPr>
              <w:spacing w:after="0"/>
              <w:rPr>
                <w:sz w:val="22"/>
                <w:szCs w:val="22"/>
                <w:color w:val="auto"/>
              </w:rPr>
            </w:pPr>
          </w:p>
        </w:tc>
        <w:tc>
          <w:tcPr>
            <w:tcW w:w="1660" w:type="dxa"/>
            <w:vAlign w:val="bottom"/>
            <w:shd w:val="clear" w:color="auto" w:fill="CCFFCC"/>
          </w:tcPr>
          <w:p>
            <w:pPr>
              <w:spacing w:after="0"/>
              <w:rPr>
                <w:sz w:val="22"/>
                <w:szCs w:val="22"/>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5,047</w:t>
            </w:r>
          </w:p>
        </w:tc>
        <w:tc>
          <w:tcPr>
            <w:tcW w:w="60" w:type="dxa"/>
            <w:vAlign w:val="bottom"/>
            <w:shd w:val="clear" w:color="auto" w:fill="CCFFCC"/>
          </w:tcPr>
          <w:p>
            <w:pPr>
              <w:spacing w:after="0"/>
              <w:rPr>
                <w:sz w:val="22"/>
                <w:szCs w:val="22"/>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4,408</w:t>
            </w:r>
          </w:p>
        </w:tc>
        <w:tc>
          <w:tcPr>
            <w:tcW w:w="3180" w:type="dxa"/>
            <w:vAlign w:val="bottom"/>
          </w:tcPr>
          <w:p>
            <w:pPr>
              <w:spacing w:after="0"/>
              <w:rPr>
                <w:sz w:val="22"/>
                <w:szCs w:val="22"/>
                <w:color w:val="auto"/>
              </w:rPr>
            </w:pPr>
          </w:p>
        </w:tc>
      </w:tr>
      <w:tr>
        <w:trPr>
          <w:trHeight w:val="601"/>
        </w:trPr>
        <w:tc>
          <w:tcPr>
            <w:tcW w:w="820" w:type="dxa"/>
            <w:vAlign w:val="bottom"/>
          </w:tcPr>
          <w:p>
            <w:pPr>
              <w:spacing w:after="0"/>
              <w:rPr>
                <w:sz w:val="24"/>
                <w:szCs w:val="24"/>
                <w:color w:val="auto"/>
              </w:rPr>
            </w:pPr>
          </w:p>
        </w:tc>
        <w:tc>
          <w:tcPr>
            <w:tcW w:w="3600" w:type="dxa"/>
            <w:vAlign w:val="bottom"/>
            <w:tcBorders>
              <w:top w:val="single" w:sz="8" w:color="CCFFCC"/>
            </w:tcBorders>
          </w:tcPr>
          <w:p>
            <w:pPr>
              <w:spacing w:after="0"/>
              <w:rPr>
                <w:sz w:val="24"/>
                <w:szCs w:val="24"/>
                <w:color w:val="auto"/>
              </w:rPr>
            </w:pPr>
          </w:p>
        </w:tc>
        <w:tc>
          <w:tcPr>
            <w:tcW w:w="1660" w:type="dxa"/>
            <w:vAlign w:val="bottom"/>
            <w:tcBorders>
              <w:top w:val="single" w:sz="8" w:color="CCFFCC"/>
            </w:tcBorders>
          </w:tcPr>
          <w:p>
            <w:pPr>
              <w:jc w:val="right"/>
              <w:ind w:right="190"/>
              <w:spacing w:after="0"/>
              <w:rPr>
                <w:sz w:val="20"/>
                <w:szCs w:val="20"/>
                <w:color w:val="auto"/>
              </w:rPr>
            </w:pPr>
            <w:r>
              <w:rPr>
                <w:rFonts w:ascii="Arial" w:cs="Arial" w:eastAsia="Arial" w:hAnsi="Arial"/>
                <w:sz w:val="18"/>
                <w:szCs w:val="18"/>
                <w:color w:val="auto"/>
              </w:rPr>
              <w:t>38</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3180" w:type="dxa"/>
            <w:vAlign w:val="bottom"/>
          </w:tcPr>
          <w:p>
            <w:pPr>
              <w:spacing w:after="0"/>
              <w:rPr>
                <w:sz w:val="24"/>
                <w:szCs w:val="24"/>
                <w:color w:val="auto"/>
              </w:rPr>
            </w:pPr>
          </w:p>
        </w:tc>
      </w:tr>
      <w:tr>
        <w:trPr>
          <w:trHeight w:val="118"/>
        </w:trPr>
        <w:tc>
          <w:tcPr>
            <w:tcW w:w="82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Investment in Morion, Inc.</w:t>
      </w:r>
    </w:p>
    <w:p>
      <w:pPr>
        <w:spacing w:after="0" w:line="252"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Company has an investment in Morion, Inc., a privately-held Russian company, which manufactures high precision quartz resonators and crystal oscillators. The Company’s investment consists of 4.6% of Morion’s outstanding shares, accordingly, the Company accounts for its investment in Morion on the cost basis.</w:t>
      </w:r>
    </w:p>
    <w:p>
      <w:pPr>
        <w:spacing w:after="0" w:line="20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the fiscal years ended April 30, 2010 and 2009, the Company acquired product from Morion in the aggregate amount of approximately $232,500 and $1,016,000, respectively, and the Company sold product to Morion in the aggregate amount of approximately $103,000 and $106,000, respectively. At April 30, 2010, accounts receivable included $59,000 due from Morion and accounts payable included $26,000 due to Morion.</w:t>
      </w:r>
    </w:p>
    <w:p>
      <w:pPr>
        <w:spacing w:after="0" w:line="193"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5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During fiscal year 2004 the Company acquired FEI-Zyfer, Inc. (“FEI-Zyfer”). This acquisition resulted in the recording of $218,000 in goodwill. Management has determined that this goodwill is not impaired as of April 30, 2010 and 2009.</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the Company acquired customer lists in the FEI-Zyfer acquisition with a value of $600,000 which was amortized over 6 years. Amortization expense related to these customer lists for the year ended April 30, 2009 was approximately $186,000. There was no amortization expense in the year ended April 30, 2010, as the customer lists are fully amortized.</w:t>
      </w:r>
    </w:p>
    <w:p>
      <w:pPr>
        <w:spacing w:after="0" w:line="208"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Investment in Elcom Technologies, Inc.</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a 25% interest (20% on a fully-diluted basis) in the outstanding shares of Elcom Technologies, Inc., a privately-held company which designs and manufactures advanced RF microwave devices. The Company and Elcom have also entered into a mutual business and facilities support agreement and Frequency Electronics obtained an exclusive license to use Elcom’s technology in space-borne applications. The Company’s investment consists of preferred stock, a five-year $1.5 million convertible note, with interest payable at the prime rate, and a 10-year warrant to purchase additional stock. The Company accounts for this investment on the equity method. During fiscal year 2009, the Company repurchased from Elcom 29,651 shares of the Company’s outstanding common stock at an aggregate cost of approximately $150,000. The amount paid was at the market value of the Company’s common stock on the date of purchase.</w:t>
      </w:r>
    </w:p>
    <w:p>
      <w:pPr>
        <w:spacing w:after="0" w:line="2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year ended April 30, 2010, the Company reviewed Elcom’s financial condition and operating results as compared to similar companies and determined that its debt and equity investments in Elcom were impaired. The Company recorded impairment charges of $550,000 in addition to its equity share in the income or loss of Elcom during fiscal year 2010. At March 31, 2010, Elcom had total assets of approximately $6.8 million, total liabilities of approximately $4.5 million and stockholders’ equity of $2.3 million.</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fiscal years ended April 30, 2010 and 2009, the Company acquired technical services from Elcom in the aggregate amount of approximately $41,000 and $254,000, respectively; sold product to Elcom in the amount of approximately $12,000 and $72,000, respectively; and the Company recorded interest income on Elcom’s convertible note and short-term loan in the amount of approximately $82,000 and $63,000, respectively. At April 30, 2010, accounts receivable included $17,000 due from Elcom and no amounts were payable to Elcom. In addition, during fiscal year 2009, the Company, in coordination with two other major investors, provided Elcom with a short-term working capital loan. The Company’s share of the loan was $217,000, which was repaid in November 2009 and bore interest at 21.8%. In March 2010, the Company and the other two major investors provided Elcom with an 18-month note which is junior to the Company’s 5-year convertible note. The new note, of which the Company’s share is $308,000, bears interest at 12%.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Plan:</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adopted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2010 and 2009, the Company contributed 74,987 and 130,839 shares of common stock, respectively. The approximate value of these shares at the date of contribution was $348,000 in fiscal year 2010 and $528,000 in fiscal year 2009. Contributed shares are drawn from the Company’s common stock held in treasury and are removed at the Company’s original cost of acquisition of such shares on a specific identification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Incentive Pool:</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The Company charged $195,000 and $80,000 to operations under these plans for the fiscal years ended April 30, 2010 and 2009,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r>
        <w:rPr>
          <w:rFonts w:ascii="Arial" w:cs="Arial" w:eastAsia="Arial" w:hAnsi="Arial"/>
          <w:sz w:val="18"/>
          <w:szCs w:val="18"/>
          <w:color w:val="auto"/>
        </w:rPr>
        <w:t>:</w:t>
      </w:r>
    </w:p>
    <w:p>
      <w:pPr>
        <w:spacing w:after="0" w:line="2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 (“NQSO”) plans, Incentive Stock Option ("ISO”) plans and Stock Appreciation Rights (“SARS”). Under these plans, options or SARS are granted at the discretion of the Stock Option Committee at an exercise price not less than the fair market value of the Company's common stock on the date of grant. Under one NQSO plan, the options were exercisable one year after the date of grant. Under the remaining plans, the options and SARS are exercisable over a four-year period beginning one year after the date of grant. The options and SARS expire ten years after the date of grant and are subject to certain restrictions on transferability of the shares obtained on exercise. As of April 30, 2010, eligible employees had been granted options to purchase 1,182,500 shares of Company stock under ISO plans of which approximately 345,000 options with a weighted average exercise price of $10.51 are both outstanding and exercisable. Through April 30, 2010, eligible employees have been granted options to acquire 1,090,000 shares of Company stock under NQSO plans. Of the NQSO options, approximately 302,000 with a weighted average exercise price of $16.55 are both outstanding and exercisable (see tables below). As of April 30, 2010, eligible employees and directors have been granted SARS based on approximately 756,000 shares of Company stock, all of which are outstanding and approximately 271,000 with a weighted average exercise price of $9.91 are exercisable. When the SARS become exercisable, the Company will settle the SARS by issuing to exercising recipients the number of shares of stock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Company’s stock plan.</w:t>
      </w:r>
    </w:p>
    <w:p>
      <w:pPr>
        <w:spacing w:after="0" w:line="1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excess of the consideration received over the par value of the common stock or cost of treasury stock issued under both types of option plans will be recognized as an increase in additional paid-in capital.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tbl>
      <w:tblPr>
        <w:tblLayout w:type="fixed"/>
        <w:tblInd w:w="18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6060" w:type="dxa"/>
            <w:vAlign w:val="bottom"/>
            <w:gridSpan w:val="8"/>
          </w:tcPr>
          <w:p>
            <w:pPr>
              <w:ind w:left="340"/>
              <w:spacing w:after="0"/>
              <w:rPr>
                <w:sz w:val="20"/>
                <w:szCs w:val="20"/>
                <w:color w:val="auto"/>
              </w:rPr>
            </w:pPr>
            <w:r>
              <w:rPr>
                <w:rFonts w:ascii="Arial" w:cs="Arial" w:eastAsia="Arial" w:hAnsi="Arial"/>
                <w:sz w:val="18"/>
                <w:szCs w:val="18"/>
                <w:color w:val="auto"/>
              </w:rPr>
              <w:t>NOTES TO CONSOLIDATED FINANCIAL STATEMENTS - Continued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8520" w:type="dxa"/>
            <w:vAlign w:val="bottom"/>
            <w:gridSpan w:val="9"/>
          </w:tcPr>
          <w:p>
            <w:pPr>
              <w:ind w:left="320"/>
              <w:spacing w:after="0"/>
              <w:rPr>
                <w:sz w:val="20"/>
                <w:szCs w:val="20"/>
                <w:color w:val="auto"/>
              </w:rPr>
            </w:pPr>
            <w:r>
              <w:rPr>
                <w:rFonts w:ascii="Arial" w:cs="Arial" w:eastAsia="Arial" w:hAnsi="Arial"/>
                <w:sz w:val="18"/>
                <w:szCs w:val="18"/>
                <w:color w:val="auto"/>
              </w:rPr>
              <w:t>The following table summarizes information about stock option activity for the years ended April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2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8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8"/>
                <w:szCs w:val="18"/>
                <w:color w:val="auto"/>
              </w:rPr>
              <w:t>Stock Options and Stock Appreciation Rights</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Aggregate</w:t>
            </w:r>
          </w:p>
        </w:tc>
      </w:tr>
      <w:tr>
        <w:trPr>
          <w:trHeight w:val="237"/>
        </w:trPr>
        <w:tc>
          <w:tcPr>
            <w:tcW w:w="2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Term</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Intrinsic Value</w:t>
            </w:r>
          </w:p>
        </w:tc>
        <w:tc>
          <w:tcPr>
            <w:tcW w:w="80" w:type="dxa"/>
            <w:vAlign w:val="bottom"/>
          </w:tcPr>
          <w:p>
            <w:pPr>
              <w:spacing w:after="0"/>
              <w:rPr>
                <w:sz w:val="20"/>
                <w:szCs w:val="20"/>
                <w:color w:val="auto"/>
              </w:rPr>
            </w:pPr>
          </w:p>
        </w:tc>
      </w:tr>
      <w:tr>
        <w:trPr>
          <w:trHeight w:val="216"/>
        </w:trPr>
        <w:tc>
          <w:tcPr>
            <w:tcW w:w="2460" w:type="dxa"/>
            <w:vAlign w:val="bottom"/>
            <w:shd w:val="clear" w:color="auto" w:fill="CCFFCC"/>
          </w:tcPr>
          <w:p>
            <w:pPr>
              <w:spacing w:after="0"/>
              <w:rPr>
                <w:sz w:val="20"/>
                <w:szCs w:val="20"/>
                <w:color w:val="auto"/>
              </w:rPr>
            </w:pPr>
            <w:r>
              <w:rPr>
                <w:rFonts w:ascii="Arial" w:cs="Arial" w:eastAsia="Arial" w:hAnsi="Arial"/>
                <w:sz w:val="18"/>
                <w:szCs w:val="18"/>
                <w:color w:val="auto"/>
              </w:rPr>
              <w:t>Outstanding – May 1, 2008</w:t>
            </w:r>
          </w:p>
        </w:tc>
        <w:tc>
          <w:tcPr>
            <w:tcW w:w="3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1,426,775</w:t>
            </w:r>
          </w:p>
        </w:tc>
        <w:tc>
          <w:tcPr>
            <w:tcW w:w="14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11.33</w:t>
            </w:r>
          </w:p>
        </w:tc>
        <w:tc>
          <w:tcPr>
            <w:tcW w:w="1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6"/>
              </w:rPr>
              <w:t>4.5 years</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Granted</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460" w:type="dxa"/>
            <w:vAlign w:val="bottom"/>
            <w:shd w:val="clear" w:color="auto" w:fill="CCFFCC"/>
          </w:tcPr>
          <w:p>
            <w:pPr>
              <w:spacing w:after="0"/>
              <w:rPr>
                <w:sz w:val="20"/>
                <w:szCs w:val="20"/>
                <w:color w:val="auto"/>
              </w:rPr>
            </w:pPr>
            <w:r>
              <w:rPr>
                <w:rFonts w:ascii="Arial" w:cs="Arial" w:eastAsia="Arial" w:hAnsi="Arial"/>
                <w:sz w:val="18"/>
                <w:szCs w:val="18"/>
                <w:color w:val="auto"/>
              </w:rPr>
              <w:t>Expired or Canceled</w:t>
            </w:r>
          </w:p>
        </w:tc>
        <w:tc>
          <w:tcPr>
            <w:tcW w:w="1600" w:type="dxa"/>
            <w:vAlign w:val="bottom"/>
            <w:shd w:val="clear" w:color="auto" w:fill="CCFFCC"/>
          </w:tcPr>
          <w:p>
            <w:pPr>
              <w:spacing w:after="0"/>
              <w:rPr>
                <w:sz w:val="19"/>
                <w:szCs w:val="19"/>
                <w:color w:val="auto"/>
              </w:rPr>
            </w:pPr>
          </w:p>
        </w:tc>
        <w:tc>
          <w:tcPr>
            <w:tcW w:w="15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(161,250)</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10.43</w:t>
            </w:r>
          </w:p>
        </w:tc>
        <w:tc>
          <w:tcPr>
            <w:tcW w:w="13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6"/>
        </w:trPr>
        <w:tc>
          <w:tcPr>
            <w:tcW w:w="24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Outstanding – April 30, 2009</w:t>
            </w:r>
          </w:p>
        </w:tc>
        <w:tc>
          <w:tcPr>
            <w:tcW w:w="1600" w:type="dxa"/>
            <w:vAlign w:val="bottom"/>
            <w:tcBorders>
              <w:top w:val="single" w:sz="8" w:color="CCFFCC"/>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1,365,525</w:t>
            </w:r>
          </w:p>
        </w:tc>
        <w:tc>
          <w:tcPr>
            <w:tcW w:w="1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10.83</w:t>
            </w:r>
          </w:p>
        </w:tc>
        <w:tc>
          <w:tcPr>
            <w:tcW w:w="1320" w:type="dxa"/>
            <w:vAlign w:val="bottom"/>
            <w:tcBorders>
              <w:top w:val="single" w:sz="8" w:color="CCFFCC"/>
            </w:tcBorders>
          </w:tcPr>
          <w:p>
            <w:pPr>
              <w:jc w:val="center"/>
              <w:spacing w:after="0"/>
              <w:rPr>
                <w:sz w:val="20"/>
                <w:szCs w:val="20"/>
                <w:color w:val="auto"/>
              </w:rPr>
            </w:pPr>
            <w:r>
              <w:rPr>
                <w:rFonts w:ascii="Arial" w:cs="Arial" w:eastAsia="Arial" w:hAnsi="Arial"/>
                <w:sz w:val="18"/>
                <w:szCs w:val="18"/>
                <w:color w:val="auto"/>
                <w:w w:val="86"/>
              </w:rPr>
              <w:t>4.1 years</w:t>
            </w:r>
          </w:p>
        </w:tc>
        <w:tc>
          <w:tcPr>
            <w:tcW w:w="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16"/>
        </w:trPr>
        <w:tc>
          <w:tcPr>
            <w:tcW w:w="2460" w:type="dxa"/>
            <w:vAlign w:val="bottom"/>
            <w:shd w:val="clear" w:color="auto" w:fill="CCFFCC"/>
          </w:tcPr>
          <w:p>
            <w:pPr>
              <w:spacing w:after="0"/>
              <w:rPr>
                <w:sz w:val="20"/>
                <w:szCs w:val="20"/>
                <w:color w:val="auto"/>
              </w:rPr>
            </w:pPr>
            <w:r>
              <w:rPr>
                <w:rFonts w:ascii="Arial" w:cs="Arial" w:eastAsia="Arial" w:hAnsi="Arial"/>
                <w:sz w:val="18"/>
                <w:szCs w:val="18"/>
                <w:color w:val="auto"/>
              </w:rPr>
              <w:t>Granted</w:t>
            </w:r>
          </w:p>
        </w:tc>
        <w:tc>
          <w:tcPr>
            <w:tcW w:w="3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283,000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4.51</w:t>
            </w: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Forfeited</w:t>
            </w:r>
          </w:p>
        </w:tc>
        <w:tc>
          <w:tcPr>
            <w:tcW w:w="3160" w:type="dxa"/>
            <w:vAlign w:val="bottom"/>
            <w:gridSpan w:val="3"/>
          </w:tcPr>
          <w:p>
            <w:pPr>
              <w:jc w:val="right"/>
              <w:ind w:right="8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460" w:type="dxa"/>
            <w:vAlign w:val="bottom"/>
            <w:shd w:val="clear" w:color="auto" w:fill="CCFFCC"/>
          </w:tcPr>
          <w:p>
            <w:pPr>
              <w:spacing w:after="0"/>
              <w:rPr>
                <w:sz w:val="20"/>
                <w:szCs w:val="20"/>
                <w:color w:val="auto"/>
              </w:rPr>
            </w:pPr>
            <w:r>
              <w:rPr>
                <w:rFonts w:ascii="Arial" w:cs="Arial" w:eastAsia="Arial" w:hAnsi="Arial"/>
                <w:sz w:val="18"/>
                <w:szCs w:val="18"/>
                <w:color w:val="auto"/>
              </w:rPr>
              <w:t>Expired or Canceled</w:t>
            </w:r>
          </w:p>
        </w:tc>
        <w:tc>
          <w:tcPr>
            <w:tcW w:w="1600" w:type="dxa"/>
            <w:vAlign w:val="bottom"/>
            <w:shd w:val="clear" w:color="auto" w:fill="CCFFCC"/>
          </w:tcPr>
          <w:p>
            <w:pPr>
              <w:spacing w:after="0"/>
              <w:rPr>
                <w:sz w:val="19"/>
                <w:szCs w:val="19"/>
                <w:color w:val="auto"/>
              </w:rPr>
            </w:pPr>
          </w:p>
        </w:tc>
        <w:tc>
          <w:tcPr>
            <w:tcW w:w="15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(229,750)</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7.42</w:t>
            </w:r>
          </w:p>
        </w:tc>
        <w:tc>
          <w:tcPr>
            <w:tcW w:w="13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6"/>
        </w:trPr>
        <w:tc>
          <w:tcPr>
            <w:tcW w:w="24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Outstanding – April 30, 2010</w:t>
            </w:r>
          </w:p>
        </w:tc>
        <w:tc>
          <w:tcPr>
            <w:tcW w:w="1600" w:type="dxa"/>
            <w:vAlign w:val="bottom"/>
            <w:tcBorders>
              <w:top w:val="single" w:sz="8" w:color="CCFFCC"/>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1,403,775</w:t>
            </w:r>
          </w:p>
        </w:tc>
        <w:tc>
          <w:tcPr>
            <w:tcW w:w="1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10.11</w:t>
            </w:r>
          </w:p>
        </w:tc>
        <w:tc>
          <w:tcPr>
            <w:tcW w:w="1320" w:type="dxa"/>
            <w:vAlign w:val="bottom"/>
            <w:tcBorders>
              <w:top w:val="single" w:sz="8" w:color="CCFFCC"/>
            </w:tcBorders>
          </w:tcPr>
          <w:p>
            <w:pPr>
              <w:jc w:val="center"/>
              <w:spacing w:after="0"/>
              <w:rPr>
                <w:sz w:val="20"/>
                <w:szCs w:val="20"/>
                <w:color w:val="auto"/>
              </w:rPr>
            </w:pPr>
            <w:r>
              <w:rPr>
                <w:rFonts w:ascii="Arial" w:cs="Arial" w:eastAsia="Arial" w:hAnsi="Arial"/>
                <w:sz w:val="18"/>
                <w:szCs w:val="18"/>
                <w:color w:val="auto"/>
                <w:w w:val="86"/>
              </w:rPr>
              <w:t>5.2 years</w:t>
            </w:r>
          </w:p>
        </w:tc>
        <w:tc>
          <w:tcPr>
            <w:tcW w:w="220" w:type="dxa"/>
            <w:vAlign w:val="bottom"/>
            <w:tcBorders>
              <w:top w:val="single" w:sz="8" w:color="CCFFC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FFCC"/>
            </w:tcBorders>
            <w:gridSpan w:val="2"/>
          </w:tcPr>
          <w:p>
            <w:pPr>
              <w:jc w:val="right"/>
              <w:ind w:right="80"/>
              <w:spacing w:after="0"/>
              <w:rPr>
                <w:sz w:val="20"/>
                <w:szCs w:val="20"/>
                <w:color w:val="auto"/>
              </w:rPr>
            </w:pPr>
            <w:r>
              <w:rPr>
                <w:rFonts w:ascii="Arial" w:cs="Arial" w:eastAsia="Arial" w:hAnsi="Arial"/>
                <w:sz w:val="18"/>
                <w:szCs w:val="18"/>
                <w:color w:val="auto"/>
              </w:rPr>
              <w:t>526,420</w:t>
            </w:r>
          </w:p>
        </w:tc>
      </w:tr>
      <w:tr>
        <w:trPr>
          <w:trHeight w:val="21"/>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460" w:type="dxa"/>
            <w:vAlign w:val="bottom"/>
            <w:shd w:val="clear" w:color="auto" w:fill="CCFFCC"/>
          </w:tcPr>
          <w:p>
            <w:pPr>
              <w:spacing w:after="0"/>
              <w:rPr>
                <w:sz w:val="20"/>
                <w:szCs w:val="20"/>
                <w:color w:val="auto"/>
              </w:rPr>
            </w:pPr>
            <w:r>
              <w:rPr>
                <w:rFonts w:ascii="Arial" w:cs="Arial" w:eastAsia="Arial" w:hAnsi="Arial"/>
                <w:sz w:val="18"/>
                <w:szCs w:val="18"/>
                <w:color w:val="auto"/>
              </w:rPr>
              <w:t>Exercisable</w:t>
            </w:r>
          </w:p>
        </w:tc>
        <w:tc>
          <w:tcPr>
            <w:tcW w:w="1600" w:type="dxa"/>
            <w:vAlign w:val="bottom"/>
            <w:shd w:val="clear" w:color="auto" w:fill="CCFFCC"/>
          </w:tcPr>
          <w:p>
            <w:pPr>
              <w:spacing w:after="0"/>
              <w:rPr>
                <w:sz w:val="21"/>
                <w:szCs w:val="21"/>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918,713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12.32</w:t>
            </w:r>
          </w:p>
        </w:tc>
        <w:tc>
          <w:tcPr>
            <w:tcW w:w="1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6"/>
              </w:rPr>
              <w:t>3.3 years</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59,300</w:t>
            </w:r>
          </w:p>
        </w:tc>
      </w:tr>
      <w:tr>
        <w:trPr>
          <w:trHeight w:val="210"/>
        </w:trPr>
        <w:tc>
          <w:tcPr>
            <w:tcW w:w="24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Available for future grants</w:t>
            </w:r>
          </w:p>
        </w:tc>
        <w:tc>
          <w:tcPr>
            <w:tcW w:w="1600" w:type="dxa"/>
            <w:vAlign w:val="bottom"/>
            <w:tcBorders>
              <w:top w:val="single" w:sz="8" w:color="CCFFCC"/>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81,342</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1"/>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As of April 30, 2010, total unrecognized compensation cost related to nonvested options and stock appreciation rights under the plans was approximately $951,000. These costs are expected to be recognized over a weighted average period of 2.7 years.</w:t>
      </w:r>
    </w:p>
    <w:p>
      <w:pPr>
        <w:spacing w:after="0" w:line="197"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During the years ended April 30, 2010 and 2009, 139,344 and 140,469 shares, respectively, vested the fair value of which was approximately $535,000 and $680,000, respectively. There were no stock option exercises during the years ended April 30, 2010 and 2009. The weighted average grant date fair value of stock appreciation rights granted during the years ended April 30, 2010 and 2009, were approximately $2.36 and $1.48, respectively.</w:t>
      </w:r>
    </w:p>
    <w:p>
      <w:pPr>
        <w:spacing w:after="0" w:line="174"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Stock-based compensation costs capitalized as part of work in process inventory or included in the cost of sales of programs on which the Company recognizes revenue under the percentage of completion method were approximately $321,000 and $328,000 for the years ended April 30, 2010 and 2009,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Contractor Stock Option Plan:</w:t>
      </w:r>
    </w:p>
    <w:p>
      <w:pPr>
        <w:spacing w:after="0" w:line="25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had an Independent Contractor Stock Option Plan under which up to 350,000 shares could be granted. This plan was terminated in fiscal year 2006. An Independent Contractor Stock Option Committee determined to whom options may be granted from among eligible participants, the timing and duration of option grants, the option price, and the number of shares of common stock subject to each option. Options were granted to certain independent contractors at a price equal to the then fair market value of the Company’s common stock. The options were exercisable over specified periods per terms of the individual agreements. No compensation expense was recorded during the years ended April 30, 2010 and 2009 as no other grants were made in those years and previous grants have been fully expensed. As a result of the adoption by the stockholders of the 2005 Stock Award Plan, the Independent Contractor Stock Option Plan was discontinued. No additional grants will be made under this plan.</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Transactions under this plan, including the weighted average exercise prices of the options,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2009</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0"/>
              <w:spacing w:after="0" w:line="201" w:lineRule="exact"/>
              <w:rPr>
                <w:sz w:val="20"/>
                <w:szCs w:val="20"/>
                <w:color w:val="auto"/>
              </w:rPr>
            </w:pPr>
            <w:r>
              <w:rPr>
                <w:rFonts w:ascii="Arial" w:cs="Arial" w:eastAsia="Arial" w:hAnsi="Arial"/>
                <w:sz w:val="18"/>
                <w:szCs w:val="18"/>
                <w:color w:val="auto"/>
                <w:w w:val="94"/>
              </w:rPr>
              <w:t>Wtd Avg</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0"/>
              <w:spacing w:after="0" w:line="201" w:lineRule="exact"/>
              <w:rPr>
                <w:sz w:val="20"/>
                <w:szCs w:val="20"/>
                <w:color w:val="auto"/>
              </w:rPr>
            </w:pPr>
            <w:r>
              <w:rPr>
                <w:rFonts w:ascii="Arial" w:cs="Arial" w:eastAsia="Arial" w:hAnsi="Arial"/>
                <w:sz w:val="18"/>
                <w:szCs w:val="18"/>
                <w:color w:val="auto"/>
                <w:w w:val="94"/>
              </w:rPr>
              <w:t>Wtd Avg</w:t>
            </w: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37"/>
        </w:trPr>
        <w:tc>
          <w:tcPr>
            <w:tcW w:w="3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Price</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Price</w:t>
            </w: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year</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40,300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14.29</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40,300</w:t>
            </w: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14.29</w:t>
            </w:r>
          </w:p>
        </w:tc>
        <w:tc>
          <w:tcPr>
            <w:tcW w:w="22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Expired</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(4,300)</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8.87</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Exercised</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36,000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14.93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40,300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14.29</w:t>
            </w:r>
          </w:p>
        </w:tc>
        <w:tc>
          <w:tcPr>
            <w:tcW w:w="2220" w:type="dxa"/>
            <w:vAlign w:val="bottom"/>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Exercisable at end of year</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36,000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14.93</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40,300</w:t>
            </w: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14.29</w:t>
            </w:r>
          </w:p>
        </w:tc>
        <w:tc>
          <w:tcPr>
            <w:tcW w:w="2220" w:type="dxa"/>
            <w:vAlign w:val="bottom"/>
          </w:tcPr>
          <w:p>
            <w:pPr>
              <w:spacing w:after="0"/>
              <w:rPr>
                <w:sz w:val="21"/>
                <w:szCs w:val="21"/>
                <w:color w:val="auto"/>
              </w:rPr>
            </w:pPr>
          </w:p>
        </w:tc>
      </w:tr>
      <w:tr>
        <w:trPr>
          <w:trHeight w:val="601"/>
        </w:trPr>
        <w:tc>
          <w:tcPr>
            <w:tcW w:w="340" w:type="dxa"/>
            <w:vAlign w:val="bottom"/>
          </w:tcPr>
          <w:p>
            <w:pPr>
              <w:spacing w:after="0"/>
              <w:rPr>
                <w:sz w:val="24"/>
                <w:szCs w:val="24"/>
                <w:color w:val="auto"/>
              </w:rPr>
            </w:pPr>
          </w:p>
        </w:tc>
        <w:tc>
          <w:tcPr>
            <w:tcW w:w="4700" w:type="dxa"/>
            <w:vAlign w:val="bottom"/>
            <w:tcBorders>
              <w:top w:val="single" w:sz="8" w:color="CCFFCC"/>
            </w:tcBorders>
          </w:tcPr>
          <w:p>
            <w:pPr>
              <w:spacing w:after="0"/>
              <w:rPr>
                <w:sz w:val="24"/>
                <w:szCs w:val="24"/>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w:t>
            </w:r>
          </w:p>
        </w:tc>
        <w:tc>
          <w:tcPr>
            <w:tcW w:w="16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7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78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220" w:type="dxa"/>
            <w:vAlign w:val="bottom"/>
          </w:tcPr>
          <w:p>
            <w:pPr>
              <w:spacing w:after="0"/>
              <w:rPr>
                <w:sz w:val="24"/>
                <w:szCs w:val="24"/>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w:t>
      </w:r>
    </w:p>
    <w:p>
      <w:pPr>
        <w:spacing w:after="0" w:line="25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During fiscal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As a result of the adoption by the Company’s stockholders of the 2005 Stock Award Plan, the Restricted Stock Plan was discontinued. No additional grants will be made under this plan. As of April 30, 2010 and 2009, grants for 15,000 and 22,500 restricted shares, respectively, are available to be purchased at a price of $4.00 per share.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Transferability of shares is restricted for a four-year period, except in the event of a change in control as defined.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Plan/Stock Bonus Plan:</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1990 the Company amended its Stock Bonus Plan to become an Employee Stock Ownership Plan (“ESOP”). By means of a bank note, subsequently repaid, the Company reacquired 561,652 shares of its common stock during fiscal 1990. These shares plus approximately 510,000 additional shares issued by the Company from its authorized, unissued shares were sold to the ESOP in May 1990. Shares were released for allocation to participants based on a formula as specified in the ESOP document. By the end of fiscal 2000, all shares (1,071,652) had been allocated to participant accounts of which 463,318 shares remain in the ESOP.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Agreements:</w:t>
      </w:r>
    </w:p>
    <w:p>
      <w:pPr>
        <w:spacing w:after="0" w:line="25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During the year ended April 30, 2009, a former employee eligible for retirement benefits, died. The Company received proceeds from the life insurance policies on this participant. The amounts received exceeded the cash surrender value of the policies and the Company recognized a gain of approximately $217,000 for the year ended April 30, 2009. Deferred compensation expense charged to operations during the years ended April 30, 2010 and 2009 was approximately $491,000 and $436,000,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Policies and Cash Held in Trust:</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the change of control.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income (loss) before (benefit) provision for income taxes consisted of (in thousands):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5"/>
          </w:tcPr>
          <w:p>
            <w:pPr>
              <w:jc w:val="right"/>
              <w:ind w:right="180"/>
              <w:spacing w:after="0"/>
              <w:rPr>
                <w:sz w:val="20"/>
                <w:szCs w:val="20"/>
                <w:color w:val="auto"/>
              </w:rPr>
            </w:pPr>
            <w:r>
              <w:rPr>
                <w:rFonts w:ascii="Arial" w:cs="Arial" w:eastAsia="Arial" w:hAnsi="Arial"/>
                <w:sz w:val="18"/>
                <w:szCs w:val="18"/>
                <w:color w:val="auto"/>
                <w:w w:val="91"/>
              </w:rPr>
              <w:t>Year Ended April 30,</w:t>
            </w: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902</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(6,042)</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Foreign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40" w:type="dxa"/>
            <w:vAlign w:val="bottom"/>
            <w:shd w:val="clear" w:color="auto" w:fill="CCFFCC"/>
          </w:tcPr>
          <w:p>
            <w:pPr>
              <w:spacing w:after="0"/>
              <w:rPr>
                <w:sz w:val="20"/>
                <w:szCs w:val="20"/>
                <w:color w:val="auto"/>
              </w:rPr>
            </w:pP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1,229</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(5,727)</w:t>
            </w: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8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(benefit) provision for income taxes consists of the following (in thousands):</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rPr>
              <w:t>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(1,620)</w:t>
            </w: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Foreign</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320" w:type="dxa"/>
            <w:vAlign w:val="bottom"/>
            <w:shd w:val="clear" w:color="auto" w:fill="CCFFCC"/>
          </w:tcPr>
          <w:p>
            <w:pPr>
              <w:ind w:left="620"/>
              <w:spacing w:after="0"/>
              <w:rPr>
                <w:sz w:val="20"/>
                <w:szCs w:val="20"/>
                <w:color w:val="auto"/>
              </w:rPr>
            </w:pPr>
            <w:r>
              <w:rPr>
                <w:rFonts w:ascii="Arial" w:cs="Arial" w:eastAsia="Arial" w:hAnsi="Arial"/>
                <w:sz w:val="18"/>
                <w:szCs w:val="18"/>
                <w:color w:val="auto"/>
              </w:rPr>
              <w:t>Current (benefit) provision</w:t>
            </w:r>
          </w:p>
        </w:tc>
        <w:tc>
          <w:tcPr>
            <w:tcW w:w="200" w:type="dxa"/>
            <w:vAlign w:val="bottom"/>
            <w:shd w:val="clear" w:color="auto" w:fill="CCFFCC"/>
          </w:tcPr>
          <w:p>
            <w:pPr>
              <w:spacing w:after="0"/>
              <w:rPr>
                <w:sz w:val="19"/>
                <w:szCs w:val="19"/>
                <w:color w:val="auto"/>
              </w:rPr>
            </w:pPr>
          </w:p>
        </w:tc>
        <w:tc>
          <w:tcPr>
            <w:tcW w:w="9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(1,520)</w:t>
            </w:r>
          </w:p>
        </w:tc>
        <w:tc>
          <w:tcPr>
            <w:tcW w:w="20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(1,820)</w:t>
            </w:r>
          </w:p>
        </w:tc>
      </w:tr>
      <w:tr>
        <w:trPr>
          <w:trHeight w:val="216"/>
        </w:trPr>
        <w:tc>
          <w:tcPr>
            <w:tcW w:w="20" w:type="dxa"/>
            <w:vAlign w:val="bottom"/>
          </w:tcPr>
          <w:p>
            <w:pPr>
              <w:spacing w:after="0"/>
              <w:rPr>
                <w:sz w:val="18"/>
                <w:szCs w:val="18"/>
                <w:color w:val="auto"/>
              </w:rPr>
            </w:pPr>
          </w:p>
        </w:tc>
        <w:tc>
          <w:tcPr>
            <w:tcW w:w="53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Deferred</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6,375</w:t>
            </w:r>
          </w:p>
        </w:tc>
      </w:tr>
      <w:tr>
        <w:trPr>
          <w:trHeight w:val="216"/>
        </w:trPr>
        <w:tc>
          <w:tcPr>
            <w:tcW w:w="2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right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975</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620"/>
              <w:spacing w:after="0"/>
              <w:rPr>
                <w:sz w:val="20"/>
                <w:szCs w:val="20"/>
                <w:color w:val="auto"/>
              </w:rPr>
            </w:pPr>
            <w:r>
              <w:rPr>
                <w:rFonts w:ascii="Arial" w:cs="Arial" w:eastAsia="Arial" w:hAnsi="Arial"/>
                <w:sz w:val="18"/>
                <w:szCs w:val="18"/>
                <w:color w:val="auto"/>
              </w:rPr>
              <w:t>Deferred provision</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6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3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Total (benefit) provision</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(1,520)</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5,309</w:t>
            </w: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reconciles the reported income tax (benefit) expense with the amount computed using the federal statutory income tax rate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Computed "expected" tax expense (benefit)</w:t>
            </w:r>
          </w:p>
        </w:tc>
        <w:tc>
          <w:tcPr>
            <w:tcW w:w="840" w:type="dxa"/>
            <w:vAlign w:val="bottom"/>
            <w:gridSpan w:val="3"/>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(1,947)</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State and local tax, net of federal benefit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 on deferred tax assets</w:t>
            </w:r>
          </w:p>
        </w:tc>
        <w:tc>
          <w:tcPr>
            <w:tcW w:w="5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7,624</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Nontaxable income from foreign subsidiaries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Nondeductible expenses</w:t>
            </w:r>
          </w:p>
        </w:tc>
        <w:tc>
          <w:tcPr>
            <w:tcW w:w="5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189</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Nontaxable life insurance cash value increase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Tax credits</w:t>
            </w:r>
          </w:p>
        </w:tc>
        <w:tc>
          <w:tcPr>
            <w:tcW w:w="5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(111)</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operating loss carryback</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(1,796)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Other items, net, none of which individually</w:t>
            </w:r>
          </w:p>
        </w:tc>
        <w:tc>
          <w:tcPr>
            <w:tcW w:w="5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exceeds 5% of federal taxes at statutory rates</w:t>
            </w:r>
          </w:p>
        </w:tc>
        <w:tc>
          <w:tcPr>
            <w:tcW w:w="5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70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FFCC"/>
            </w:tcBorders>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tcBorders>
              <w:right w:val="single" w:sz="8" w:color="CCFFCC"/>
            </w:tcBorders>
            <w:shd w:val="clear" w:color="auto" w:fill="000000"/>
          </w:tcPr>
          <w:p>
            <w:pPr>
              <w:spacing w:after="0"/>
              <w:rPr>
                <w:sz w:val="2"/>
                <w:szCs w:val="2"/>
                <w:color w:val="auto"/>
              </w:rPr>
            </w:pPr>
          </w:p>
        </w:tc>
        <w:tc>
          <w:tcPr>
            <w:tcW w:w="3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5,309</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60" w:type="dxa"/>
            <w:vAlign w:val="bottom"/>
            <w:gridSpan w:val="2"/>
            <w:vMerge w:val="restart"/>
          </w:tcPr>
          <w:p>
            <w:pPr>
              <w:ind w:left="500"/>
              <w:spacing w:after="0"/>
              <w:rPr>
                <w:sz w:val="20"/>
                <w:szCs w:val="20"/>
                <w:color w:val="auto"/>
              </w:rPr>
            </w:pPr>
            <w:r>
              <w:rPr>
                <w:rFonts w:ascii="Arial" w:cs="Arial" w:eastAsia="Arial" w:hAnsi="Arial"/>
                <w:sz w:val="18"/>
                <w:szCs w:val="18"/>
                <w:color w:val="auto"/>
                <w:w w:val="94"/>
              </w:rPr>
              <w:t>The components of deferred taxes are as follows (in thousands):</w:t>
            </w: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Deferred tax assets:</w:t>
            </w:r>
          </w:p>
        </w:tc>
        <w:tc>
          <w:tcPr>
            <w:tcW w:w="5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Employee benefits</w:t>
            </w: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4,248</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Inventory</w:t>
            </w:r>
          </w:p>
        </w:tc>
        <w:tc>
          <w:tcPr>
            <w:tcW w:w="5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1,850</w:t>
            </w:r>
          </w:p>
        </w:tc>
        <w:tc>
          <w:tcPr>
            <w:tcW w:w="20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1,470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Marketable securities</w:t>
            </w:r>
          </w:p>
        </w:tc>
        <w:tc>
          <w:tcPr>
            <w:tcW w:w="5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377</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Research &amp; development credits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1,505</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deferred tax asset</w:t>
            </w:r>
          </w:p>
        </w:tc>
        <w:tc>
          <w:tcPr>
            <w:tcW w:w="5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8,900</w:t>
            </w:r>
          </w:p>
        </w:tc>
        <w:tc>
          <w:tcPr>
            <w:tcW w:w="200" w:type="dxa"/>
            <w:vAlign w:val="bottom"/>
            <w:shd w:val="clear" w:color="auto" w:fill="CCFFCC"/>
          </w:tcPr>
          <w:p>
            <w:pPr>
              <w:spacing w:after="0"/>
              <w:rPr>
                <w:sz w:val="19"/>
                <w:szCs w:val="19"/>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9,797</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Deferred tax liabilities</w:t>
            </w:r>
          </w:p>
        </w:tc>
        <w:tc>
          <w:tcPr>
            <w:tcW w:w="56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Property, plant and equipment</w:t>
            </w:r>
          </w:p>
        </w:tc>
        <w:tc>
          <w:tcPr>
            <w:tcW w:w="56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FFCC"/>
              <w:right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1,052</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Net deferred tax asset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8,062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8,745</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w:t>
            </w:r>
          </w:p>
        </w:tc>
        <w:tc>
          <w:tcPr>
            <w:tcW w:w="5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(8,062)</w:t>
            </w:r>
          </w:p>
        </w:tc>
        <w:tc>
          <w:tcPr>
            <w:tcW w:w="200" w:type="dxa"/>
            <w:vAlign w:val="bottom"/>
            <w:shd w:val="clear" w:color="auto" w:fill="CCFFCC"/>
          </w:tcPr>
          <w:p>
            <w:pPr>
              <w:spacing w:after="0"/>
              <w:rPr>
                <w:sz w:val="19"/>
                <w:szCs w:val="19"/>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(8,745)</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total valuation allowance relates to deferred tax assets of both domestic and foreign subsidiaries. The change in valuation allowance during the year ended April 30, 2010 was a decrease of $683,000 whereas for the year ended April 30, 2009, the change was an increase of $7.44 million.</w:t>
      </w:r>
    </w:p>
    <w:p>
      <w:pPr>
        <w:spacing w:after="0" w:line="17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At April 30, 2010, the Company has available approximately $1.3 million in net operating losses available to offset future income of certain of its foreign subsidiaries. Due to a change in U.S. tax law effected in November 2009, the taxable loss for the year ended April 30, 2009 was carried back to a prior profitable year which resulted in a tax refund that exceeded by $1.8 million the income tax receivable which the Company recorded at the end of last fiscal year. For state income tax purposes, the Company has tax loss carryforwards of approximately $2.3 million in California and $8.4 million in New York.</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evaluated its tax positions and has concluded that the tax positions meet the more-likely-than-not recognition threshold as specified under accounting standards. As such, there is no impact on the Company’s financial position or results of operations. When and if the Company were to recognize interest or penalties related to unrecognized tax benefits, it would be reported net of the federal tax benefit in the tax provision. It is difficult to predict what would occur to change the Company’s unrecognized tax benefits over the next twelve months. The Company believes, however, that there should be no change during the next twelve months. The Company's tax returns for April 30, 2006 and 2007 have been examined by the Internal Revenue Service, which resulted in no material adjustments. The Company's tax years from April 30, 2005 through April 30, 2010 remain open to examination by state tax authorities and tax years from April 30, 2008 through April 30, 2010 remain open for examination by the Internal Revenue Service.</w:t>
      </w:r>
    </w:p>
    <w:p>
      <w:pPr>
        <w:spacing w:after="0" w:line="194"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Product Warranties</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6"/>
          </w:tcPr>
          <w:p>
            <w:pPr>
              <w:jc w:val="right"/>
              <w:ind w:right="380"/>
              <w:spacing w:after="0"/>
              <w:rPr>
                <w:sz w:val="20"/>
                <w:szCs w:val="20"/>
                <w:color w:val="auto"/>
              </w:rPr>
            </w:pPr>
            <w:r>
              <w:rPr>
                <w:rFonts w:ascii="Arial" w:cs="Arial" w:eastAsia="Arial" w:hAnsi="Arial"/>
                <w:sz w:val="18"/>
                <w:szCs w:val="18"/>
                <w:color w:val="auto"/>
                <w:w w:val="96"/>
              </w:rPr>
              <w:t>Year Ended April 30,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Balance at beginning of year</w:t>
            </w:r>
          </w:p>
        </w:tc>
        <w:tc>
          <w:tcPr>
            <w:tcW w:w="1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245</w:t>
            </w: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Warranty costs incurred</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Product warranty accrual</w:t>
            </w:r>
          </w:p>
        </w:tc>
        <w:tc>
          <w:tcPr>
            <w:tcW w:w="168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FFCC"/>
            </w:tcBorders>
            <w:shd w:val="clear" w:color="auto" w:fill="CCFFCC"/>
          </w:tcPr>
          <w:p>
            <w:pPr>
              <w:spacing w:after="0"/>
              <w:rPr>
                <w:sz w:val="19"/>
                <w:szCs w:val="19"/>
                <w:color w:val="auto"/>
              </w:rPr>
            </w:pPr>
          </w:p>
        </w:tc>
        <w:tc>
          <w:tcPr>
            <w:tcW w:w="4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Balance at end of year</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
        </w:trPr>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15.</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Segment Information</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52" w:lineRule="exact"/>
        <w:rPr>
          <w:sz w:val="20"/>
          <w:szCs w:val="20"/>
          <w:color w:val="auto"/>
        </w:rPr>
      </w:pPr>
    </w:p>
    <w:p>
      <w:pPr>
        <w:jc w:val="both"/>
        <w:ind w:left="1140" w:hanging="484"/>
        <w:spacing w:after="0" w:line="256"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140" w:hanging="484"/>
        <w:spacing w:after="0" w:line="250"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140" w:hanging="484"/>
        <w:spacing w:after="0" w:line="302" w:lineRule="auto"/>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FEI-Asia functions primarily as a manufacturing facility for the FEI-NY segment.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accounting policies of the three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European-based director of Gillam-FEI and the president of FEI-Zyfer manage the assets of these segments. All acquired assets, including intangible assets, are included in the assets of these two segments.</w:t>
      </w: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4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20"/>
                <w:szCs w:val="20"/>
                <w:color w:val="auto"/>
              </w:rPr>
            </w:pPr>
          </w:p>
        </w:tc>
      </w:tr>
      <w:tr>
        <w:trPr>
          <w:trHeight w:val="216"/>
        </w:trPr>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1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FEI-NY</w:t>
            </w:r>
          </w:p>
        </w:tc>
        <w:tc>
          <w:tcPr>
            <w:tcW w:w="19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29,206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35,793</w:t>
            </w:r>
          </w:p>
        </w:tc>
      </w:tr>
      <w:tr>
        <w:trPr>
          <w:trHeight w:val="216"/>
        </w:trPr>
        <w:tc>
          <w:tcPr>
            <w:tcW w:w="4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13,092**</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11,342**</w:t>
            </w: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11,430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9,360</w:t>
            </w:r>
          </w:p>
        </w:tc>
      </w:tr>
      <w:tr>
        <w:trPr>
          <w:trHeight w:val="216"/>
        </w:trPr>
        <w:tc>
          <w:tcPr>
            <w:tcW w:w="4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revenues</w:t>
            </w:r>
          </w:p>
        </w:tc>
        <w:tc>
          <w:tcPr>
            <w:tcW w:w="1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(4,312)**</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(3,755)**</w:t>
            </w:r>
          </w:p>
        </w:tc>
      </w:tr>
      <w:tr>
        <w:trPr>
          <w:trHeight w:val="27"/>
        </w:trPr>
        <w:tc>
          <w:tcPr>
            <w:tcW w:w="4420" w:type="dxa"/>
            <w:vAlign w:val="bottom"/>
            <w:shd w:val="clear" w:color="auto" w:fill="CCFFCC"/>
          </w:tcPr>
          <w:p>
            <w:pPr>
              <w:spacing w:after="0"/>
              <w:rPr>
                <w:sz w:val="2"/>
                <w:szCs w:val="2"/>
                <w:color w:val="auto"/>
              </w:rPr>
            </w:pPr>
          </w:p>
        </w:tc>
        <w:tc>
          <w:tcPr>
            <w:tcW w:w="17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Consolidated revenues</w:t>
            </w:r>
          </w:p>
        </w:tc>
        <w:tc>
          <w:tcPr>
            <w:tcW w:w="17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49,416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52,740</w:t>
            </w:r>
          </w:p>
        </w:tc>
      </w:tr>
      <w:tr>
        <w:trPr>
          <w:trHeight w:val="21"/>
        </w:trPr>
        <w:tc>
          <w:tcPr>
            <w:tcW w:w="4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4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Operating profit (loss):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FEI-NY</w:t>
            </w:r>
          </w:p>
        </w:tc>
        <w:tc>
          <w:tcPr>
            <w:tcW w:w="19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1,675</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(5,361)</w:t>
            </w: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16"/>
        </w:trPr>
        <w:tc>
          <w:tcPr>
            <w:tcW w:w="4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FEI-Zyfer</w:t>
            </w:r>
          </w:p>
        </w:tc>
        <w:tc>
          <w:tcPr>
            <w:tcW w:w="1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(192)</w:t>
            </w: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(465)</w:t>
            </w:r>
          </w:p>
        </w:tc>
      </w:tr>
      <w:tr>
        <w:trPr>
          <w:trHeight w:val="27"/>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4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Consolidated operating profit (loss)</w:t>
            </w:r>
          </w:p>
        </w:tc>
        <w:tc>
          <w:tcPr>
            <w:tcW w:w="1700" w:type="dxa"/>
            <w:vAlign w:val="bottom"/>
            <w:shd w:val="clear" w:color="auto" w:fill="CCFFCC"/>
          </w:tcPr>
          <w:p>
            <w:pPr>
              <w:spacing w:after="0"/>
              <w:rPr>
                <w:sz w:val="20"/>
                <w:szCs w:val="20"/>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1,751</w:t>
            </w: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(5,917)</w:t>
            </w:r>
          </w:p>
        </w:tc>
      </w:tr>
      <w:tr>
        <w:trPr>
          <w:trHeight w:val="20"/>
        </w:trPr>
        <w:tc>
          <w:tcPr>
            <w:tcW w:w="4420" w:type="dxa"/>
            <w:vAlign w:val="bottom"/>
            <w:tcBorders>
              <w:top w:val="single" w:sz="8" w:color="CCFFCC"/>
            </w:tcBorders>
            <w:shd w:val="clear" w:color="auto" w:fill="CCFFCC"/>
          </w:tcPr>
          <w:p>
            <w:pPr>
              <w:spacing w:after="0" w:line="20" w:lineRule="exact"/>
              <w:rPr>
                <w:sz w:val="1"/>
                <w:szCs w:val="1"/>
                <w:color w:val="auto"/>
              </w:rPr>
            </w:pPr>
          </w:p>
        </w:tc>
        <w:tc>
          <w:tcPr>
            <w:tcW w:w="17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the fiscal years ended April 30, 2010 and 2009, includes Gillam-FEI intersegment sales of $2.7 million and $1.8 million, respectively, to the FEI-NY and FEI-Zyfer segments. In fiscal years 2010 and 2009, such sales included final development costs and manufacture of assemblies and units of a wireline synchronization product for ultimate production and sale in the U.S. In the Gillam-FEI segment, these transactions increased the operating profit in each of the fiscal years.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16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FEI-NY (approximately $4 million in China)</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35,462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39,658</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 (all in Belgium or France)</w:t>
            </w:r>
          </w:p>
        </w:tc>
        <w:tc>
          <w:tcPr>
            <w:tcW w:w="16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19,594</w:t>
            </w: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17,615</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7,413</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8,672</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balances</w:t>
            </w:r>
          </w:p>
        </w:tc>
        <w:tc>
          <w:tcPr>
            <w:tcW w:w="16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(14,655)</w:t>
            </w: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(17,853)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33,606</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29,828</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80" w:type="dxa"/>
            <w:vAlign w:val="bottom"/>
          </w:tcPr>
          <w:p>
            <w:pPr>
              <w:spacing w:after="0"/>
              <w:rPr>
                <w:sz w:val="22"/>
                <w:szCs w:val="22"/>
                <w:color w:val="auto"/>
              </w:rPr>
            </w:pPr>
          </w:p>
        </w:tc>
        <w:tc>
          <w:tcPr>
            <w:tcW w:w="47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Consolidated identifiable assets</w:t>
            </w:r>
          </w:p>
        </w:tc>
        <w:tc>
          <w:tcPr>
            <w:tcW w:w="1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81,420</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77,920</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760" w:type="dxa"/>
            <w:vAlign w:val="bottom"/>
            <w:tcBorders>
              <w:top w:val="single" w:sz="8" w:color="CCFFCC"/>
            </w:tcBorders>
          </w:tcPr>
          <w:p>
            <w:pPr>
              <w:spacing w:after="0"/>
              <w:rPr>
                <w:sz w:val="18"/>
                <w:szCs w:val="18"/>
                <w:color w:val="auto"/>
              </w:rPr>
            </w:pPr>
          </w:p>
        </w:tc>
        <w:tc>
          <w:tcPr>
            <w:tcW w:w="16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 (allocated):</w:t>
            </w:r>
          </w:p>
        </w:tc>
        <w:tc>
          <w:tcPr>
            <w:tcW w:w="16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FEI-NY</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1,493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6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202</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Corporate</w:t>
            </w:r>
          </w:p>
        </w:tc>
        <w:tc>
          <w:tcPr>
            <w:tcW w:w="16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760" w:type="dxa"/>
            <w:vAlign w:val="bottom"/>
            <w:shd w:val="clear" w:color="auto" w:fill="CCFFCC"/>
          </w:tcPr>
          <w:p>
            <w:pPr>
              <w:spacing w:after="0"/>
              <w:rPr>
                <w:sz w:val="2"/>
                <w:szCs w:val="2"/>
                <w:color w:val="auto"/>
              </w:rPr>
            </w:pPr>
          </w:p>
        </w:tc>
        <w:tc>
          <w:tcPr>
            <w:tcW w:w="16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Consolidated depreciation and amortization expense</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2,168</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40" w:type="dxa"/>
            <w:vAlign w:val="bottom"/>
            <w:vMerge w:val="restart"/>
          </w:tcPr>
          <w:p>
            <w:pPr>
              <w:jc w:val="right"/>
              <w:ind w:right="690"/>
              <w:spacing w:after="0"/>
              <w:rPr>
                <w:sz w:val="20"/>
                <w:szCs w:val="20"/>
                <w:color w:val="auto"/>
              </w:rPr>
            </w:pPr>
            <w:r>
              <w:rPr>
                <w:rFonts w:ascii="Arial" w:cs="Arial" w:eastAsia="Arial" w:hAnsi="Arial"/>
                <w:sz w:val="18"/>
                <w:szCs w:val="18"/>
                <w:color w:val="auto"/>
              </w:rPr>
              <w:t>45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Major Customers</w:t>
      </w:r>
    </w:p>
    <w:p>
      <w:pPr>
        <w:spacing w:after="0" w:line="25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Company's products are sold to both commercial and governmental customers. For the years ended April 30, 2010 and 2009, approximately 54% and 44%, respectively, of the Company's sales were made under contracts to the U.S. Government or subcontracts for U.S. Government end-use.</w:t>
      </w:r>
    </w:p>
    <w:p>
      <w:pPr>
        <w:spacing w:after="0" w:line="17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fiscal year 2010, sales to five customers of the FEI-NY segment aggregated $17.9 million or 61% of that segment’s total sales. Two of these customers, when combined with sales from the FEI-Zyfer segment, accounted for 15% and 10%, respectively, of the Company’s consolidated revenues. During the year ended April 30, 2010, in the Gillam-FEI segment, sales to one customer aggregated $3.9 million or 30% of that segment’s revenues. In the FEI-Zyfer segment, two customers accounted for $2.7 million or 24% of that segment’s sales. None of the customers in the Gillam-FEI segment and no customer individually in the FEI-Zyfer segment accounted for more than 10% of consolidated revenues.</w:t>
      </w:r>
    </w:p>
    <w:p>
      <w:pPr>
        <w:spacing w:after="0" w:line="2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fiscal year 2009, sales to four customers of the FEI-NY segment aggregated $17.0 million or 48% of that segment’s total sales. During the year ended April 30, 2009, in the Gillam-FEI segment, sales to two customers aggregated $3.9 million or 34% of that segment’s revenues. In the FEI-Zyfer segment, two customers accounted for $2.5 million or 27% of that segment’s sales. None of the customers in the FEI-NY, Gillam-FEI or FEI-Zyfer segments accounted for more than 10% of fiscal year 2009 consolidated revenues.</w:t>
      </w: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loss by the Company of any one of these customers would have a material adverse effect on the Company’s business. The Company believes its relationship with these companies to be mutually satisfactory.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Sales</w:t>
      </w:r>
    </w:p>
    <w:p>
      <w:pPr>
        <w:spacing w:after="0" w:line="25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Revenues in each of the Company’s segments include sales to foreign governments or to companies located in foreign countries. Revenues, based on the location of the procurement entity, were derived from the following countries: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4"/>
          </w:tcPr>
          <w:p>
            <w:pPr>
              <w:jc w:val="right"/>
              <w:ind w:right="490"/>
              <w:spacing w:after="0"/>
              <w:rPr>
                <w:sz w:val="20"/>
                <w:szCs w:val="20"/>
                <w:color w:val="auto"/>
              </w:rPr>
            </w:pPr>
            <w:r>
              <w:rPr>
                <w:rFonts w:ascii="Arial" w:cs="Arial" w:eastAsia="Arial" w:hAnsi="Arial"/>
                <w:sz w:val="18"/>
                <w:szCs w:val="18"/>
                <w:color w:val="auto"/>
              </w:rPr>
              <w:t>(in thousands)</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00" w:type="dxa"/>
            <w:vAlign w:val="bottom"/>
            <w:shd w:val="clear" w:color="auto" w:fill="CCFFCC"/>
          </w:tcPr>
          <w:p>
            <w:pPr>
              <w:spacing w:after="0"/>
              <w:rPr>
                <w:sz w:val="20"/>
                <w:szCs w:val="20"/>
                <w:color w:val="auto"/>
              </w:rPr>
            </w:pPr>
            <w:r>
              <w:rPr>
                <w:rFonts w:ascii="Arial" w:cs="Arial" w:eastAsia="Arial" w:hAnsi="Arial"/>
                <w:sz w:val="18"/>
                <w:szCs w:val="18"/>
                <w:color w:val="auto"/>
              </w:rPr>
              <w:t>Belgium</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6,842</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4,689</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China</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5,746</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00" w:type="dxa"/>
            <w:vAlign w:val="bottom"/>
            <w:shd w:val="clear" w:color="auto" w:fill="CCFFCC"/>
          </w:tcPr>
          <w:p>
            <w:pPr>
              <w:spacing w:after="0"/>
              <w:rPr>
                <w:sz w:val="20"/>
                <w:szCs w:val="20"/>
                <w:color w:val="auto"/>
              </w:rPr>
            </w:pPr>
            <w:r>
              <w:rPr>
                <w:rFonts w:ascii="Arial" w:cs="Arial" w:eastAsia="Arial" w:hAnsi="Arial"/>
                <w:sz w:val="18"/>
                <w:szCs w:val="18"/>
                <w:color w:val="auto"/>
              </w:rPr>
              <w:t>France</w:t>
            </w: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2,509</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Pr>
          <w:p>
            <w:pPr>
              <w:spacing w:after="0"/>
              <w:rPr>
                <w:sz w:val="22"/>
                <w:szCs w:val="22"/>
                <w:color w:val="auto"/>
              </w:rPr>
            </w:pPr>
          </w:p>
        </w:tc>
        <w:tc>
          <w:tcPr>
            <w:tcW w:w="140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12,391</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17,675</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3440" w:type="dxa"/>
            <w:vAlign w:val="bottom"/>
          </w:tcPr>
          <w:p>
            <w:pPr>
              <w:spacing w:after="0"/>
              <w:rPr>
                <w:sz w:val="24"/>
                <w:szCs w:val="24"/>
                <w:color w:val="auto"/>
              </w:rPr>
            </w:pPr>
          </w:p>
        </w:tc>
        <w:tc>
          <w:tcPr>
            <w:tcW w:w="1400" w:type="dxa"/>
            <w:vAlign w:val="bottom"/>
            <w:tcBorders>
              <w:top w:val="single" w:sz="8" w:color="CCFFCC"/>
            </w:tcBorders>
          </w:tcPr>
          <w:p>
            <w:pPr>
              <w:spacing w:after="0"/>
              <w:rPr>
                <w:sz w:val="24"/>
                <w:szCs w:val="24"/>
                <w:color w:val="auto"/>
              </w:rPr>
            </w:pPr>
          </w:p>
        </w:tc>
        <w:tc>
          <w:tcPr>
            <w:tcW w:w="102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4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9A(T) Controls and Procedures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April 30, 2010, the Company’s disclosure controls and procedures were not effective for the reasons discussed below,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April 30, 2010. In making this assessment, management used the criteria established in Internal Control—Integrated Framework issued by the Committee of Sponsoring Organizations of the Treadway Commission (COSO). Based on this evaluation, management has concluded that the Company’s internal control over financial reporting was not effective as of April 30, 2010. The Company’s chief executive officer and chief financial officer have concluded that the Company has material weaknesses in its internal control over financial reporting.</w:t>
      </w:r>
    </w:p>
    <w:p>
      <w:pPr>
        <w:spacing w:after="0" w:line="21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Financial Reporting</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had inadequate resources and an insufficient number of personnel having adequate knowledge, experience and training to provide effective oversight and review of its internal controls within the prescribed timeframe. As a result, as of April 30, 2010, there was a material weakness in the Company’s internal control because management has not performed a self-assessment or completed the necessary documentation and testing of the internal controls at two of the Company’s subsidiaries, Gillam-FEI and FEI-Zyfer. The lack of documentation and testing of these subsidiaries constitutes a material weakness. In order to remediate this material weakness, management will continue to establish policies and procedures to provide for the necessary documentation and testing of such internal controls over the coming year. During fiscal year 2011, the Company plans to fully document and test the internal controls over financial reporting at its Gillam-FEI and FEI-Zyfer subsidiaries. If this process identifies material weaknesses or significant deficiencies over such internal controls, the Company will implement appropriate remediation efforts.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both"/>
        <w:ind w:firstLine="324"/>
        <w:spacing w:after="0" w:line="272" w:lineRule="auto"/>
        <w:rPr>
          <w:sz w:val="20"/>
          <w:szCs w:val="20"/>
          <w:color w:val="auto"/>
        </w:rPr>
      </w:pPr>
      <w:r>
        <w:rPr>
          <w:rFonts w:ascii="Arial" w:cs="Arial" w:eastAsia="Arial" w:hAnsi="Arial"/>
          <w:sz w:val="17"/>
          <w:szCs w:val="17"/>
          <w:color w:val="auto"/>
        </w:rPr>
        <w:t>In addition, due to its small size and lack of resources and staffing, the Chief Financial Officer is actively involved in the preparation of the financial statements and therefore, cannot provide an independent review and quality assurance function within the accounting and financial reporting group. The limited number of accounting personnel results in an inability to have independent review and approval by the Chief Financial Officer of financial accounting entries. There is a risk that a material misstatement of the financial statements could be caused, or at least not be detected in a timely manner, due to this limitation. The Company hired a new controller and is creating processes whereby personnel in its Accounting Department (other than the Chief Financial Officer) will create analysis and original accounting entries, which will subsequently be reviewed and approved by the Chief Financial Officer. The Company expects that such measures will remediate this material weakness.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were no changes, other than the hiring of a new controller as discussed above, in the Company’s internal control over financial reporting (as such term is defined in Rules 13a-15(f) and 15d-15(f) under the Exchange Act) during the quarter ending April 30, 2010 to which this report relates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and Executive Officers of the Company</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for the annual meeting of stockholders to be held on or about October 6, 2010. The information required to be furnished pursuant to this item with respect to Executive Officers is set forth, pursuant to General Instruction G of Form 10-K, under Part I of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October 6,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Stockholder Matters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October 6,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October 6,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October 6, 2010.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 w:name="page50"/>
    <w:bookmarkEnd w:id="49"/>
    <w:p>
      <w:pPr>
        <w:ind w:left="5380"/>
        <w:spacing w:after="0"/>
        <w:rPr>
          <w:sz w:val="20"/>
          <w:szCs w:val="20"/>
          <w:color w:val="auto"/>
        </w:rPr>
      </w:pPr>
      <w:r>
        <w:rPr>
          <w:rFonts w:ascii="Arial" w:cs="Arial" w:eastAsia="Arial" w:hAnsi="Arial"/>
          <w:sz w:val="18"/>
          <w:szCs w:val="18"/>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252" w:lineRule="exact"/>
        <w:rPr>
          <w:sz w:val="20"/>
          <w:szCs w:val="20"/>
          <w:color w:val="auto"/>
        </w:rPr>
      </w:pPr>
    </w:p>
    <w:p>
      <w:pPr>
        <w:ind w:left="820" w:hanging="812"/>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Index to Financial Statements and Exhibits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financial statements and exhibits are listed below and are filed as part of this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Included in Part II of this report:</w:t>
      </w:r>
    </w:p>
    <w:p>
      <w:pPr>
        <w:spacing w:after="0" w:line="252"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Page(s)</w:t>
            </w:r>
          </w:p>
        </w:tc>
        <w:tc>
          <w:tcPr>
            <w:tcW w:w="0" w:type="dxa"/>
            <w:vAlign w:val="bottom"/>
          </w:tcPr>
          <w:p>
            <w:pPr>
              <w:spacing w:after="0"/>
              <w:rPr>
                <w:sz w:val="1"/>
                <w:szCs w:val="1"/>
                <w:color w:val="auto"/>
              </w:rPr>
            </w:pPr>
          </w:p>
        </w:tc>
      </w:tr>
      <w:tr>
        <w:trPr>
          <w:trHeight w:val="216"/>
        </w:trPr>
        <w:tc>
          <w:tcPr>
            <w:tcW w:w="28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7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7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80" w:type="dxa"/>
            <w:vAlign w:val="bottom"/>
            <w:vMerge w:val="restart"/>
          </w:tcPr>
          <w:p>
            <w:pPr>
              <w:spacing w:after="0"/>
              <w:rPr>
                <w:sz w:val="18"/>
                <w:szCs w:val="18"/>
                <w:color w:val="auto"/>
              </w:rPr>
            </w:pPr>
          </w:p>
        </w:tc>
        <w:tc>
          <w:tcPr>
            <w:tcW w:w="74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7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7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4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April 30, 2010 and 2009</w:t>
            </w:r>
          </w:p>
        </w:tc>
        <w:tc>
          <w:tcPr>
            <w:tcW w:w="7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80" w:type="dxa"/>
            <w:vAlign w:val="bottom"/>
            <w:vMerge w:val="restart"/>
          </w:tcPr>
          <w:p>
            <w:pPr>
              <w:spacing w:after="0"/>
              <w:rPr>
                <w:sz w:val="18"/>
                <w:szCs w:val="18"/>
                <w:color w:val="auto"/>
              </w:rPr>
            </w:pPr>
          </w:p>
        </w:tc>
        <w:tc>
          <w:tcPr>
            <w:tcW w:w="74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7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Statements of Operations</w:t>
            </w:r>
          </w:p>
        </w:tc>
        <w:tc>
          <w:tcPr>
            <w:tcW w:w="7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4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-years ended April 30, 2010 and 2009</w:t>
            </w:r>
          </w:p>
        </w:tc>
        <w:tc>
          <w:tcPr>
            <w:tcW w:w="7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80" w:type="dxa"/>
            <w:vAlign w:val="bottom"/>
            <w:vMerge w:val="restart"/>
          </w:tcPr>
          <w:p>
            <w:pPr>
              <w:spacing w:after="0"/>
              <w:rPr>
                <w:sz w:val="18"/>
                <w:szCs w:val="18"/>
                <w:color w:val="auto"/>
              </w:rPr>
            </w:pPr>
          </w:p>
        </w:tc>
        <w:tc>
          <w:tcPr>
            <w:tcW w:w="74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7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7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4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 years ended April 30, 2010 and 2009</w:t>
            </w:r>
          </w:p>
        </w:tc>
        <w:tc>
          <w:tcPr>
            <w:tcW w:w="7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28-29</w:t>
            </w:r>
          </w:p>
        </w:tc>
        <w:tc>
          <w:tcPr>
            <w:tcW w:w="0" w:type="dxa"/>
            <w:vAlign w:val="bottom"/>
          </w:tcPr>
          <w:p>
            <w:pPr>
              <w:spacing w:after="0"/>
              <w:rPr>
                <w:sz w:val="1"/>
                <w:szCs w:val="1"/>
                <w:color w:val="auto"/>
              </w:rPr>
            </w:pPr>
          </w:p>
        </w:tc>
      </w:tr>
      <w:tr>
        <w:trPr>
          <w:trHeight w:val="216"/>
        </w:trPr>
        <w:tc>
          <w:tcPr>
            <w:tcW w:w="280" w:type="dxa"/>
            <w:vAlign w:val="bottom"/>
            <w:vMerge w:val="restart"/>
          </w:tcPr>
          <w:p>
            <w:pPr>
              <w:spacing w:after="0"/>
              <w:rPr>
                <w:sz w:val="18"/>
                <w:szCs w:val="18"/>
                <w:color w:val="auto"/>
              </w:rPr>
            </w:pPr>
          </w:p>
        </w:tc>
        <w:tc>
          <w:tcPr>
            <w:tcW w:w="74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7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7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4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 years ended April 30, 2010 and 2009</w:t>
            </w:r>
          </w:p>
        </w:tc>
        <w:tc>
          <w:tcPr>
            <w:tcW w:w="7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80" w:type="dxa"/>
            <w:vAlign w:val="bottom"/>
            <w:vMerge w:val="restart"/>
          </w:tcPr>
          <w:p>
            <w:pPr>
              <w:spacing w:after="0"/>
              <w:rPr>
                <w:sz w:val="18"/>
                <w:szCs w:val="18"/>
                <w:color w:val="auto"/>
              </w:rPr>
            </w:pPr>
          </w:p>
        </w:tc>
        <w:tc>
          <w:tcPr>
            <w:tcW w:w="74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7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7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31-46</w:t>
            </w:r>
          </w:p>
        </w:tc>
        <w:tc>
          <w:tcPr>
            <w:tcW w:w="0" w:type="dxa"/>
            <w:vAlign w:val="bottom"/>
          </w:tcPr>
          <w:p>
            <w:pPr>
              <w:spacing w:after="0"/>
              <w:rPr>
                <w:sz w:val="1"/>
                <w:szCs w:val="1"/>
                <w:color w:val="auto"/>
              </w:rPr>
            </w:pP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 EXHIBITS</w:t>
            </w:r>
          </w:p>
        </w:tc>
        <w:tc>
          <w:tcPr>
            <w:tcW w:w="6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Exhibit 21</w:t>
            </w:r>
          </w:p>
        </w:tc>
        <w:tc>
          <w:tcPr>
            <w:tcW w:w="6380" w:type="dxa"/>
            <w:vAlign w:val="bottom"/>
          </w:tcPr>
          <w:p>
            <w:pPr>
              <w:ind w:left="220"/>
              <w:spacing w:after="0"/>
              <w:rPr>
                <w:sz w:val="20"/>
                <w:szCs w:val="20"/>
                <w:color w:val="auto"/>
              </w:rPr>
            </w:pPr>
            <w:r>
              <w:rPr>
                <w:rFonts w:ascii="Arial" w:cs="Arial" w:eastAsia="Arial" w:hAnsi="Arial"/>
                <w:sz w:val="18"/>
                <w:szCs w:val="18"/>
                <w:color w:val="auto"/>
              </w:rPr>
              <w:t>List of Subsidiaries of Registrant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Exhibit 23.1</w:t>
            </w:r>
          </w:p>
        </w:tc>
        <w:tc>
          <w:tcPr>
            <w:tcW w:w="6380" w:type="dxa"/>
            <w:vAlign w:val="bottom"/>
          </w:tcPr>
          <w:p>
            <w:pPr>
              <w:ind w:left="220"/>
              <w:spacing w:after="0"/>
              <w:rPr>
                <w:sz w:val="20"/>
                <w:szCs w:val="20"/>
                <w:color w:val="auto"/>
              </w:rPr>
            </w:pPr>
            <w:r>
              <w:rPr>
                <w:rFonts w:ascii="Arial" w:cs="Arial" w:eastAsia="Arial" w:hAnsi="Arial"/>
                <w:sz w:val="18"/>
                <w:szCs w:val="18"/>
                <w:color w:val="auto"/>
              </w:rPr>
              <w:t>Consent of Independent Registered Public Accounting Firm</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Exhibit 31.1</w:t>
            </w:r>
          </w:p>
        </w:tc>
        <w:tc>
          <w:tcPr>
            <w:tcW w:w="7120" w:type="dxa"/>
            <w:vAlign w:val="bottom"/>
            <w:gridSpan w:val="2"/>
          </w:tcPr>
          <w:p>
            <w:pPr>
              <w:ind w:left="220"/>
              <w:spacing w:after="0"/>
              <w:rPr>
                <w:sz w:val="20"/>
                <w:szCs w:val="20"/>
                <w:color w:val="auto"/>
              </w:rPr>
            </w:pPr>
            <w:r>
              <w:rPr>
                <w:rFonts w:ascii="Arial" w:cs="Arial" w:eastAsia="Arial" w:hAnsi="Arial"/>
                <w:sz w:val="18"/>
                <w:szCs w:val="18"/>
                <w:color w:val="auto"/>
                <w:w w:val="92"/>
              </w:rPr>
              <w:t>Certification of the Chief Executive Officer pursuant to Section 302 of the Sarbanes-Oxley Act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of 2002</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Exhibit 31.2</w:t>
            </w:r>
          </w:p>
        </w:tc>
        <w:tc>
          <w:tcPr>
            <w:tcW w:w="7120" w:type="dxa"/>
            <w:vAlign w:val="bottom"/>
            <w:gridSpan w:val="2"/>
          </w:tcPr>
          <w:p>
            <w:pPr>
              <w:ind w:left="220"/>
              <w:spacing w:after="0"/>
              <w:rPr>
                <w:sz w:val="20"/>
                <w:szCs w:val="20"/>
                <w:color w:val="auto"/>
              </w:rPr>
            </w:pPr>
            <w:r>
              <w:rPr>
                <w:rFonts w:ascii="Arial" w:cs="Arial" w:eastAsia="Arial" w:hAnsi="Arial"/>
                <w:sz w:val="18"/>
                <w:szCs w:val="18"/>
                <w:color w:val="auto"/>
                <w:w w:val="93"/>
              </w:rPr>
              <w:t>Certification of the Chief Financial Officer pursuant to Section 302 of the Sarbanes-Oxley Act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of 2002</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Exhibit 32.1</w:t>
            </w:r>
          </w:p>
        </w:tc>
        <w:tc>
          <w:tcPr>
            <w:tcW w:w="7120" w:type="dxa"/>
            <w:vAlign w:val="bottom"/>
            <w:gridSpan w:val="2"/>
          </w:tcPr>
          <w:p>
            <w:pPr>
              <w:ind w:left="220"/>
              <w:spacing w:after="0"/>
              <w:rPr>
                <w:sz w:val="20"/>
                <w:szCs w:val="20"/>
                <w:color w:val="auto"/>
              </w:rPr>
            </w:pPr>
            <w:r>
              <w:rPr>
                <w:rFonts w:ascii="Arial" w:cs="Arial" w:eastAsia="Arial" w:hAnsi="Arial"/>
                <w:sz w:val="18"/>
                <w:szCs w:val="18"/>
                <w:color w:val="auto"/>
                <w:w w:val="92"/>
              </w:rPr>
              <w:t>Certification of the Chief Executive Officer pursuant to Section 906 of the Sarbanes-Oxley Act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of 2002</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Exhibit 32.2</w:t>
            </w:r>
          </w:p>
        </w:tc>
        <w:tc>
          <w:tcPr>
            <w:tcW w:w="7120" w:type="dxa"/>
            <w:vAlign w:val="bottom"/>
            <w:gridSpan w:val="2"/>
          </w:tcPr>
          <w:p>
            <w:pPr>
              <w:ind w:left="220"/>
              <w:spacing w:after="0"/>
              <w:rPr>
                <w:sz w:val="20"/>
                <w:szCs w:val="20"/>
                <w:color w:val="auto"/>
              </w:rPr>
            </w:pPr>
            <w:r>
              <w:rPr>
                <w:rFonts w:ascii="Arial" w:cs="Arial" w:eastAsia="Arial" w:hAnsi="Arial"/>
                <w:sz w:val="18"/>
                <w:szCs w:val="18"/>
                <w:color w:val="auto"/>
                <w:w w:val="93"/>
              </w:rPr>
              <w:t>Certification of the Chief Financial Officer pursuant to Section 906 of the Sarbanes-Oxley Act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of 2002</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The exhibits listed on the accompanying Index to Exhibits beginning on page 51 are filed as part of this annual report.</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FREQUENCY ELECTRONICS, INC.</w:t>
      </w:r>
    </w:p>
    <w:p>
      <w:pPr>
        <w:spacing w:after="0" w:line="252" w:lineRule="exact"/>
        <w:rPr>
          <w:sz w:val="20"/>
          <w:szCs w:val="20"/>
          <w:color w:val="auto"/>
        </w:rPr>
      </w:pPr>
    </w:p>
    <w:tbl>
      <w:tblPr>
        <w:tblLayout w:type="fixed"/>
        <w:tblInd w:w="7320" w:type="dxa"/>
        <w:tblCellMar>
          <w:top w:w="0" w:type="dxa"/>
          <w:left w:w="0" w:type="dxa"/>
          <w:bottom w:w="0" w:type="dxa"/>
          <w:right w:w="0" w:type="dxa"/>
        </w:tblCellMar>
      </w:tblP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Martin B. Bloch</w:t>
            </w:r>
          </w:p>
        </w:tc>
      </w:tr>
      <w:tr>
        <w:trPr>
          <w:trHeight w:val="202"/>
        </w:trPr>
        <w:tc>
          <w:tcPr>
            <w:tcW w:w="46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Martin B. Bloch</w:t>
            </w:r>
          </w:p>
        </w:tc>
      </w:tr>
      <w:tr>
        <w:trPr>
          <w:trHeight w:val="230"/>
        </w:trPr>
        <w:tc>
          <w:tcPr>
            <w:tcW w:w="4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Alan L. Miller</w:t>
            </w:r>
          </w:p>
        </w:tc>
      </w:tr>
      <w:tr>
        <w:trPr>
          <w:trHeight w:val="202"/>
        </w:trPr>
        <w:tc>
          <w:tcPr>
            <w:tcW w:w="46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Alan L. Miller</w:t>
            </w:r>
          </w:p>
        </w:tc>
      </w:tr>
      <w:tr>
        <w:trPr>
          <w:trHeight w:val="216"/>
        </w:trPr>
        <w:tc>
          <w:tcPr>
            <w:tcW w:w="4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and 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2010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6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Signature</w:t>
            </w:r>
          </w:p>
        </w:tc>
        <w:tc>
          <w:tcPr>
            <w:tcW w:w="800" w:type="dxa"/>
            <w:vAlign w:val="bottom"/>
          </w:tcPr>
          <w:p>
            <w:pPr>
              <w:spacing w:after="0"/>
              <w:rPr>
                <w:sz w:val="20"/>
                <w:szCs w:val="20"/>
                <w:color w:val="auto"/>
              </w:rPr>
            </w:pPr>
          </w:p>
        </w:tc>
        <w:tc>
          <w:tcPr>
            <w:tcW w:w="402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Title</w:t>
            </w:r>
          </w:p>
        </w:tc>
        <w:tc>
          <w:tcPr>
            <w:tcW w:w="104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39"/>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P. Franklin</w:t>
            </w:r>
          </w:p>
        </w:tc>
        <w:tc>
          <w:tcPr>
            <w:tcW w:w="8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Chairman of the Board</w:t>
            </w:r>
          </w:p>
        </w:tc>
        <w:tc>
          <w:tcPr>
            <w:tcW w:w="2440" w:type="dxa"/>
            <w:vAlign w:val="bottom"/>
            <w:gridSpan w:val="2"/>
          </w:tcPr>
          <w:p>
            <w:pPr>
              <w:jc w:val="center"/>
              <w:ind w:left="950"/>
              <w:spacing w:after="0"/>
              <w:rPr>
                <w:sz w:val="20"/>
                <w:szCs w:val="20"/>
                <w:color w:val="auto"/>
              </w:rPr>
            </w:pPr>
            <w:r>
              <w:rPr>
                <w:rFonts w:ascii="Arial" w:cs="Arial" w:eastAsia="Arial" w:hAnsi="Arial"/>
                <w:sz w:val="18"/>
                <w:szCs w:val="18"/>
                <w:color w:val="auto"/>
                <w:w w:val="93"/>
              </w:rPr>
              <w:t>7/29/10</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Joseph P. Franklin</w:t>
            </w:r>
          </w:p>
        </w:tc>
        <w:tc>
          <w:tcPr>
            <w:tcW w:w="8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Girsky</w:t>
            </w:r>
          </w:p>
        </w:tc>
        <w:tc>
          <w:tcPr>
            <w:tcW w:w="8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jc w:val="center"/>
              <w:ind w:left="950"/>
              <w:spacing w:after="0"/>
              <w:rPr>
                <w:sz w:val="20"/>
                <w:szCs w:val="20"/>
                <w:color w:val="auto"/>
              </w:rPr>
            </w:pPr>
            <w:r>
              <w:rPr>
                <w:rFonts w:ascii="Arial" w:cs="Arial" w:eastAsia="Arial" w:hAnsi="Arial"/>
                <w:sz w:val="18"/>
                <w:szCs w:val="18"/>
                <w:color w:val="auto"/>
                <w:w w:val="93"/>
              </w:rPr>
              <w:t>7/29/10</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Joel Girsky</w:t>
            </w:r>
          </w:p>
        </w:tc>
        <w:tc>
          <w:tcPr>
            <w:tcW w:w="8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Donald Shapiro</w:t>
            </w:r>
          </w:p>
        </w:tc>
        <w:tc>
          <w:tcPr>
            <w:tcW w:w="8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jc w:val="center"/>
              <w:ind w:left="950"/>
              <w:spacing w:after="0"/>
              <w:rPr>
                <w:sz w:val="20"/>
                <w:szCs w:val="20"/>
                <w:color w:val="auto"/>
              </w:rPr>
            </w:pPr>
            <w:r>
              <w:rPr>
                <w:rFonts w:ascii="Arial" w:cs="Arial" w:eastAsia="Arial" w:hAnsi="Arial"/>
                <w:sz w:val="18"/>
                <w:szCs w:val="18"/>
                <w:color w:val="auto"/>
                <w:w w:val="93"/>
              </w:rPr>
              <w:t>7/29/10</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E. Donald Shapiro</w:t>
            </w:r>
          </w:p>
        </w:tc>
        <w:tc>
          <w:tcPr>
            <w:tcW w:w="8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 Robert Foley</w:t>
            </w:r>
          </w:p>
        </w:tc>
        <w:tc>
          <w:tcPr>
            <w:tcW w:w="8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jc w:val="center"/>
              <w:ind w:left="950"/>
              <w:spacing w:after="0"/>
              <w:rPr>
                <w:sz w:val="20"/>
                <w:szCs w:val="20"/>
                <w:color w:val="auto"/>
              </w:rPr>
            </w:pPr>
            <w:r>
              <w:rPr>
                <w:rFonts w:ascii="Arial" w:cs="Arial" w:eastAsia="Arial" w:hAnsi="Arial"/>
                <w:sz w:val="18"/>
                <w:szCs w:val="18"/>
                <w:color w:val="auto"/>
                <w:w w:val="93"/>
              </w:rPr>
              <w:t>7/29/10</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S. Robert Foley</w:t>
            </w:r>
          </w:p>
        </w:tc>
        <w:tc>
          <w:tcPr>
            <w:tcW w:w="8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Schwartz</w:t>
            </w:r>
          </w:p>
        </w:tc>
        <w:tc>
          <w:tcPr>
            <w:tcW w:w="8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jc w:val="center"/>
              <w:ind w:left="950"/>
              <w:spacing w:after="0"/>
              <w:rPr>
                <w:sz w:val="20"/>
                <w:szCs w:val="20"/>
                <w:color w:val="auto"/>
              </w:rPr>
            </w:pPr>
            <w:r>
              <w:rPr>
                <w:rFonts w:ascii="Arial" w:cs="Arial" w:eastAsia="Arial" w:hAnsi="Arial"/>
                <w:sz w:val="18"/>
                <w:szCs w:val="18"/>
                <w:color w:val="auto"/>
                <w:w w:val="93"/>
              </w:rPr>
              <w:t>7/29/10</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Richard Schwartz</w:t>
            </w:r>
          </w:p>
        </w:tc>
        <w:tc>
          <w:tcPr>
            <w:tcW w:w="8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B. Bloch</w:t>
            </w:r>
          </w:p>
        </w:tc>
        <w:tc>
          <w:tcPr>
            <w:tcW w:w="8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 CEO</w:t>
            </w:r>
          </w:p>
        </w:tc>
        <w:tc>
          <w:tcPr>
            <w:tcW w:w="2440" w:type="dxa"/>
            <w:vAlign w:val="bottom"/>
            <w:gridSpan w:val="2"/>
          </w:tcPr>
          <w:p>
            <w:pPr>
              <w:jc w:val="center"/>
              <w:ind w:left="950"/>
              <w:spacing w:after="0"/>
              <w:rPr>
                <w:sz w:val="20"/>
                <w:szCs w:val="20"/>
                <w:color w:val="auto"/>
              </w:rPr>
            </w:pPr>
            <w:r>
              <w:rPr>
                <w:rFonts w:ascii="Arial" w:cs="Arial" w:eastAsia="Arial" w:hAnsi="Arial"/>
                <w:sz w:val="18"/>
                <w:szCs w:val="18"/>
                <w:color w:val="auto"/>
                <w:w w:val="93"/>
              </w:rPr>
              <w:t>7/29/10</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Martin B. Bloch</w:t>
            </w:r>
          </w:p>
        </w:tc>
        <w:tc>
          <w:tcPr>
            <w:tcW w:w="8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L. Miller</w:t>
            </w:r>
          </w:p>
        </w:tc>
        <w:tc>
          <w:tcPr>
            <w:tcW w:w="8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440" w:type="dxa"/>
            <w:vAlign w:val="bottom"/>
            <w:gridSpan w:val="2"/>
          </w:tcPr>
          <w:p>
            <w:pPr>
              <w:jc w:val="center"/>
              <w:ind w:left="950"/>
              <w:spacing w:after="0"/>
              <w:rPr>
                <w:sz w:val="20"/>
                <w:szCs w:val="20"/>
                <w:color w:val="auto"/>
              </w:rPr>
            </w:pPr>
            <w:r>
              <w:rPr>
                <w:rFonts w:ascii="Arial" w:cs="Arial" w:eastAsia="Arial" w:hAnsi="Arial"/>
                <w:sz w:val="18"/>
                <w:szCs w:val="18"/>
                <w:color w:val="auto"/>
                <w:w w:val="93"/>
              </w:rPr>
              <w:t>7/29/10</w:t>
            </w:r>
          </w:p>
        </w:tc>
      </w:tr>
      <w:tr>
        <w:trPr>
          <w:trHeight w:val="202"/>
        </w:trPr>
        <w:tc>
          <w:tcPr>
            <w:tcW w:w="4160" w:type="dxa"/>
            <w:vAlign w:val="bottom"/>
          </w:tcPr>
          <w:p>
            <w:pPr>
              <w:ind w:left="200"/>
              <w:spacing w:after="0" w:line="201" w:lineRule="exact"/>
              <w:rPr>
                <w:sz w:val="20"/>
                <w:szCs w:val="20"/>
                <w:color w:val="auto"/>
              </w:rPr>
            </w:pPr>
            <w:r>
              <w:rPr>
                <w:rFonts w:ascii="Arial" w:cs="Arial" w:eastAsia="Arial" w:hAnsi="Arial"/>
                <w:sz w:val="18"/>
                <w:szCs w:val="18"/>
                <w:color w:val="auto"/>
              </w:rPr>
              <w:t>Alan L. Miller</w:t>
            </w:r>
          </w:p>
        </w:tc>
        <w:tc>
          <w:tcPr>
            <w:tcW w:w="80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rPr>
              <w:t>and Treasurer</w:t>
            </w: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4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and</w:t>
            </w:r>
          </w:p>
        </w:tc>
        <w:tc>
          <w:tcPr>
            <w:tcW w:w="10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Accounting Officer)</w:t>
            </w: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08"/>
        </w:trPr>
        <w:tc>
          <w:tcPr>
            <w:tcW w:w="4160" w:type="dxa"/>
            <w:vAlign w:val="bottom"/>
          </w:tcPr>
          <w:p>
            <w:pPr>
              <w:spacing w:after="0"/>
              <w:rPr>
                <w:sz w:val="24"/>
                <w:szCs w:val="24"/>
                <w:color w:val="auto"/>
              </w:rPr>
            </w:pPr>
          </w:p>
        </w:tc>
        <w:tc>
          <w:tcPr>
            <w:tcW w:w="4820" w:type="dxa"/>
            <w:vAlign w:val="bottom"/>
            <w:gridSpan w:val="2"/>
          </w:tcPr>
          <w:p>
            <w:pPr>
              <w:jc w:val="right"/>
              <w:ind w:right="3090"/>
              <w:spacing w:after="0"/>
              <w:rPr>
                <w:sz w:val="20"/>
                <w:szCs w:val="20"/>
                <w:color w:val="auto"/>
              </w:rPr>
            </w:pPr>
            <w:r>
              <w:rPr>
                <w:rFonts w:ascii="Arial" w:cs="Arial" w:eastAsia="Arial" w:hAnsi="Arial"/>
                <w:sz w:val="18"/>
                <w:szCs w:val="18"/>
                <w:color w:val="auto"/>
              </w:rPr>
              <w:t>50</w:t>
            </w: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8"/>
        </w:trPr>
        <w:tc>
          <w:tcPr>
            <w:tcW w:w="4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INDEX TO EXHIBITS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15(a)(3)</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were filed with the Securities and Exchange Commission as exhibits, numbered as indicated below, to the Registration Statement or report specified below, which exhibits are incorporated herein by reference: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Exhibit No. in</w:t>
            </w:r>
          </w:p>
        </w:tc>
        <w:tc>
          <w:tcPr>
            <w:tcW w:w="6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this Form 10-K</w:t>
            </w:r>
          </w:p>
        </w:tc>
        <w:tc>
          <w:tcPr>
            <w:tcW w:w="680" w:type="dxa"/>
            <w:vAlign w:val="bottom"/>
          </w:tcPr>
          <w:p>
            <w:pPr>
              <w:spacing w:after="0"/>
              <w:rPr>
                <w:sz w:val="20"/>
                <w:szCs w:val="20"/>
                <w:color w:val="auto"/>
              </w:rPr>
            </w:pPr>
          </w:p>
        </w:tc>
        <w:tc>
          <w:tcPr>
            <w:tcW w:w="7540" w:type="dxa"/>
            <w:vAlign w:val="bottom"/>
            <w:tcBorders>
              <w:bottom w:val="single" w:sz="8" w:color="auto"/>
            </w:tcBorders>
          </w:tcPr>
          <w:p>
            <w:pPr>
              <w:ind w:left="2960"/>
              <w:spacing w:after="0"/>
              <w:rPr>
                <w:sz w:val="20"/>
                <w:szCs w:val="20"/>
                <w:color w:val="auto"/>
              </w:rPr>
            </w:pPr>
            <w:r>
              <w:rPr>
                <w:rFonts w:ascii="Arial" w:cs="Arial" w:eastAsia="Arial" w:hAnsi="Arial"/>
                <w:sz w:val="18"/>
                <w:szCs w:val="18"/>
                <w:color w:val="auto"/>
              </w:rPr>
              <w:t>Description of Exhibit</w:t>
            </w:r>
          </w:p>
        </w:tc>
        <w:tc>
          <w:tcPr>
            <w:tcW w:w="560" w:type="dxa"/>
            <w:vAlign w:val="bottom"/>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NOTE</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Copy of Certificate of Incorporation of the Registrant</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filed with the Secretary of State of Delaware</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(1)</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Amendment to Certificate of Incorporation of the</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Registrant filed with the Secretary of State</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of Delaware on March 27, 1981</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(2)</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Amendment to Certificate of Incorporation of the Registrant</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filed with Secretary of State of Delaware on October 26, 1984</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(5)</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Amendment to Certificate of Incorporation of the Registrant</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filed with the Secretary of State of Delaware on October 22, 1986</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(7)</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Amended and Restated Certificate of Incorporation of the</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Registrant filed with the Secretary of State of Delaware on</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October 26, 1987</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(9)</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Amended Certificate of Incorporation of the Company filed</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with the Secretary of State of Delaware on November 2, 1989</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(9)</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Copy of By-Laws of the Registrant, as amended to date</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(3)</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Specimen of Common Stock certificate</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(1)</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Registrant’s 1997 Independent Contractor Stock Option Plan</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(10)</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Employment agreement between Registrant and Harry Newman</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(4)</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Employment agreement between Registrant and Marcus Hechler</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(4)</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Employment agreement between Registrant and Charles Stone</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(8)</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Lease agreement between Registrant and Reckson Operating</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Partnership, L.P. dated January 6, 1998</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(11)</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Registrant’s Cash or Deferral Profit Sharing Plan and</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Trust under Internal Revenue Code Section 401,</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dated April 1, 1985</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(6)</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Form of Agreement concerning Executive Compensation</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(2)</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Registrant’s Senior Executive Stock Option Plan</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(8)</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Amendment dated Jan. 1, 1988 to Registrant’s Cash or</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Deferred Profit Sharing Plan and Trust under Section 401</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of Internal Revenue Code</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(8)</w:t>
            </w:r>
          </w:p>
        </w:tc>
      </w:tr>
      <w:tr>
        <w:trPr>
          <w:trHeight w:val="608"/>
        </w:trPr>
        <w:tc>
          <w:tcPr>
            <w:tcW w:w="1500" w:type="dxa"/>
            <w:vAlign w:val="bottom"/>
          </w:tcPr>
          <w:p>
            <w:pPr>
              <w:spacing w:after="0"/>
              <w:rPr>
                <w:sz w:val="24"/>
                <w:szCs w:val="24"/>
                <w:color w:val="auto"/>
              </w:rPr>
            </w:pPr>
          </w:p>
        </w:tc>
        <w:tc>
          <w:tcPr>
            <w:tcW w:w="8220" w:type="dxa"/>
            <w:vAlign w:val="bottom"/>
            <w:gridSpan w:val="2"/>
          </w:tcPr>
          <w:p>
            <w:pPr>
              <w:jc w:val="right"/>
              <w:ind w:right="383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5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75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Exhibit No. in</w:t>
            </w:r>
          </w:p>
        </w:tc>
        <w:tc>
          <w:tcPr>
            <w:tcW w:w="6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this Form 10-K</w:t>
            </w:r>
          </w:p>
        </w:tc>
        <w:tc>
          <w:tcPr>
            <w:tcW w:w="680" w:type="dxa"/>
            <w:vAlign w:val="bottom"/>
          </w:tcPr>
          <w:p>
            <w:pPr>
              <w:spacing w:after="0"/>
              <w:rPr>
                <w:sz w:val="20"/>
                <w:szCs w:val="20"/>
                <w:color w:val="auto"/>
              </w:rPr>
            </w:pPr>
          </w:p>
        </w:tc>
        <w:tc>
          <w:tcPr>
            <w:tcW w:w="7540" w:type="dxa"/>
            <w:vAlign w:val="bottom"/>
            <w:tcBorders>
              <w:bottom w:val="single" w:sz="8" w:color="auto"/>
            </w:tcBorders>
          </w:tcPr>
          <w:p>
            <w:pPr>
              <w:ind w:left="2960"/>
              <w:spacing w:after="0"/>
              <w:rPr>
                <w:sz w:val="20"/>
                <w:szCs w:val="20"/>
                <w:color w:val="auto"/>
              </w:rPr>
            </w:pPr>
            <w:r>
              <w:rPr>
                <w:rFonts w:ascii="Arial" w:cs="Arial" w:eastAsia="Arial" w:hAnsi="Arial"/>
                <w:sz w:val="18"/>
                <w:szCs w:val="18"/>
                <w:color w:val="auto"/>
              </w:rPr>
              <w:t>Description of Exhibit</w:t>
            </w:r>
          </w:p>
        </w:tc>
        <w:tc>
          <w:tcPr>
            <w:tcW w:w="5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NOTE</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Executive Incentive Compensation Plan between Registrant</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and various employees</w:t>
            </w:r>
          </w:p>
        </w:tc>
        <w:tc>
          <w:tcPr>
            <w:tcW w:w="170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(8)</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List of Subsidiaries of Registrant</w:t>
            </w:r>
          </w:p>
        </w:tc>
        <w:tc>
          <w:tcPr>
            <w:tcW w:w="5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to incorporation by reference of 2009 audit report in</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Registrant’s Form S-8 Registration Statement.</w:t>
            </w:r>
          </w:p>
        </w:tc>
        <w:tc>
          <w:tcPr>
            <w:tcW w:w="5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c>
          <w:tcPr>
            <w:tcW w:w="5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c>
          <w:tcPr>
            <w:tcW w:w="5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c>
          <w:tcPr>
            <w:tcW w:w="5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68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c>
          <w:tcPr>
            <w:tcW w:w="5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52" w:lineRule="exact"/>
        <w:rPr>
          <w:sz w:val="20"/>
          <w:szCs w:val="20"/>
          <w:color w:val="auto"/>
        </w:rPr>
      </w:pPr>
    </w:p>
    <w:p>
      <w:pPr>
        <w:ind w:left="920" w:hanging="655"/>
        <w:spacing w:after="0" w:line="258"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2-29609, which exhibit is incorporated herein by reference.</w:t>
      </w:r>
    </w:p>
    <w:p>
      <w:pPr>
        <w:spacing w:after="0" w:line="1" w:lineRule="exact"/>
        <w:rPr>
          <w:rFonts w:ascii="Arial" w:cs="Arial" w:eastAsia="Arial" w:hAnsi="Arial"/>
          <w:sz w:val="18"/>
          <w:szCs w:val="18"/>
          <w:color w:val="auto"/>
        </w:rPr>
      </w:pPr>
    </w:p>
    <w:p>
      <w:pPr>
        <w:ind w:left="920" w:hanging="655"/>
        <w:spacing w:after="0" w:line="250"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2-71727, which exhibit is incorporated herein by reference.</w:t>
      </w:r>
    </w:p>
    <w:p>
      <w:pPr>
        <w:ind w:left="920" w:right="20" w:hanging="655"/>
        <w:spacing w:after="0" w:line="250"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1981, which exhibit is incorporated herein by reference.</w:t>
      </w:r>
    </w:p>
    <w:p>
      <w:pPr>
        <w:ind w:left="920" w:hanging="655"/>
        <w:spacing w:after="0" w:line="250"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2-69527, which exhibit is incorporated herein by reference.</w:t>
      </w:r>
    </w:p>
    <w:p>
      <w:pPr>
        <w:ind w:left="920" w:hanging="655"/>
        <w:spacing w:after="0" w:line="250"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1985, which exhibit is incorporated herein by reference.</w:t>
      </w:r>
    </w:p>
    <w:p>
      <w:pPr>
        <w:ind w:left="920" w:hanging="655"/>
        <w:spacing w:after="0" w:line="250"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numbered as indicated above, to the annual report of Registrant on Form 10-K, File No. 1-8061, for the year ended April 30, 1986, which exhibit is incorporated herein by reference.</w:t>
      </w:r>
    </w:p>
    <w:p>
      <w:pPr>
        <w:ind w:left="920" w:hanging="655"/>
        <w:spacing w:after="0" w:line="250"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1987, which exhibit is incorporated herein by reference.</w:t>
      </w:r>
    </w:p>
    <w:p>
      <w:pPr>
        <w:ind w:left="920" w:hanging="655"/>
        <w:spacing w:after="0" w:line="250"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1989, which exhibit is incorporated herein by reference.</w:t>
      </w:r>
    </w:p>
    <w:p>
      <w:pPr>
        <w:ind w:left="920" w:hanging="655"/>
        <w:spacing w:after="0" w:line="250"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1990, which exhibit is incorporated herein by reference.</w:t>
      </w:r>
    </w:p>
    <w:p>
      <w:pPr>
        <w:ind w:left="920" w:hanging="655"/>
        <w:spacing w:after="0" w:line="250"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S-8, File No. 333-42233, which exhibit is incorporated herein by reference.</w:t>
      </w:r>
    </w:p>
    <w:p>
      <w:pPr>
        <w:ind w:left="920" w:hanging="655"/>
        <w:spacing w:after="0" w:line="261"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1998, which exhibit is incorporated herein by reference.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5640" w:type="dxa"/>
            <w:vAlign w:val="bottom"/>
            <w:gridSpan w:val="3"/>
          </w:tcPr>
          <w:p>
            <w:pPr>
              <w:jc w:val="center"/>
              <w:ind w:right="1130"/>
              <w:spacing w:after="0"/>
              <w:rPr>
                <w:sz w:val="20"/>
                <w:szCs w:val="20"/>
                <w:color w:val="auto"/>
              </w:rPr>
            </w:pPr>
            <w:r>
              <w:rPr>
                <w:rFonts w:ascii="Arial" w:cs="Arial" w:eastAsia="Arial" w:hAnsi="Arial"/>
                <w:sz w:val="18"/>
                <w:szCs w:val="18"/>
                <w:color w:val="auto"/>
                <w:w w:val="94"/>
              </w:rPr>
              <w:t>FREQUENCY ELECTRONICS, INC. and SUBSIDIARIES</w:t>
            </w:r>
          </w:p>
        </w:tc>
        <w:tc>
          <w:tcPr>
            <w:tcW w:w="2280" w:type="dxa"/>
            <w:vAlign w:val="bottom"/>
          </w:tcPr>
          <w:p>
            <w:pPr>
              <w:spacing w:after="0"/>
              <w:rPr>
                <w:sz w:val="20"/>
                <w:szCs w:val="20"/>
                <w:color w:val="auto"/>
              </w:rPr>
            </w:pPr>
          </w:p>
        </w:tc>
      </w:tr>
      <w:tr>
        <w:trPr>
          <w:trHeight w:val="459"/>
        </w:trPr>
        <w:tc>
          <w:tcPr>
            <w:tcW w:w="3500" w:type="dxa"/>
            <w:vAlign w:val="bottom"/>
          </w:tcPr>
          <w:p>
            <w:pPr>
              <w:spacing w:after="0"/>
              <w:rPr>
                <w:sz w:val="24"/>
                <w:szCs w:val="24"/>
                <w:color w:val="auto"/>
              </w:rPr>
            </w:pPr>
          </w:p>
        </w:tc>
        <w:tc>
          <w:tcPr>
            <w:tcW w:w="5640" w:type="dxa"/>
            <w:vAlign w:val="bottom"/>
            <w:gridSpan w:val="3"/>
          </w:tcPr>
          <w:p>
            <w:pPr>
              <w:jc w:val="center"/>
              <w:ind w:right="1130"/>
              <w:spacing w:after="0"/>
              <w:rPr>
                <w:sz w:val="20"/>
                <w:szCs w:val="20"/>
                <w:color w:val="auto"/>
              </w:rPr>
            </w:pPr>
            <w:r>
              <w:rPr>
                <w:rFonts w:ascii="Arial" w:cs="Arial" w:eastAsia="Arial" w:hAnsi="Arial"/>
                <w:sz w:val="18"/>
                <w:szCs w:val="18"/>
                <w:color w:val="auto"/>
                <w:w w:val="92"/>
              </w:rPr>
              <w:t>List of Subsidiaries of Registrant</w:t>
            </w:r>
          </w:p>
        </w:tc>
        <w:tc>
          <w:tcPr>
            <w:tcW w:w="2280" w:type="dxa"/>
            <w:vAlign w:val="bottom"/>
          </w:tcPr>
          <w:p>
            <w:pPr>
              <w:spacing w:after="0"/>
              <w:rPr>
                <w:sz w:val="24"/>
                <w:szCs w:val="24"/>
                <w:color w:val="auto"/>
              </w:rPr>
            </w:pPr>
          </w:p>
        </w:tc>
      </w:tr>
      <w:tr>
        <w:trPr>
          <w:trHeight w:val="445"/>
        </w:trPr>
        <w:tc>
          <w:tcPr>
            <w:tcW w:w="3500" w:type="dxa"/>
            <w:vAlign w:val="bottom"/>
          </w:tcPr>
          <w:p>
            <w:pPr>
              <w:ind w:left="1500"/>
              <w:spacing w:after="0"/>
              <w:rPr>
                <w:sz w:val="20"/>
                <w:szCs w:val="20"/>
                <w:color w:val="auto"/>
              </w:rPr>
            </w:pPr>
            <w:r>
              <w:rPr>
                <w:rFonts w:ascii="Arial" w:cs="Arial" w:eastAsia="Arial" w:hAnsi="Arial"/>
                <w:sz w:val="18"/>
                <w:szCs w:val="18"/>
                <w:color w:val="auto"/>
                <w:w w:val="96"/>
              </w:rPr>
              <w:t>Subsidiary &amp; Name under</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7"/>
        </w:trPr>
        <w:tc>
          <w:tcPr>
            <w:tcW w:w="35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1"/>
              </w:rPr>
              <w:t>which business is performed</w:t>
            </w:r>
          </w:p>
        </w:tc>
        <w:tc>
          <w:tcPr>
            <w:tcW w:w="1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Jurisdiction of Incorporation</w:t>
            </w:r>
          </w:p>
        </w:tc>
        <w:tc>
          <w:tcPr>
            <w:tcW w:w="22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Frequency Electronics, Inc.</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FEI Communications, Inc.</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FEI Government Systems, Inc.</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FEI Realty, Inc. (Inactive)</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Monitor Corp. (Inactive)</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FEI Zyfer, Inc.</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Gillam-FEI, s.a.</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228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Satel-FEI, s.a.</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228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Frequency Electronics, Inc. Asia</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People’s Republic of China</w:t>
            </w:r>
          </w:p>
        </w:tc>
        <w:tc>
          <w:tcPr>
            <w:tcW w:w="2280" w:type="dxa"/>
            <w:vAlign w:val="bottom"/>
          </w:tcPr>
          <w:p>
            <w:pPr>
              <w:spacing w:after="0"/>
              <w:rPr>
                <w:sz w:val="24"/>
                <w:szCs w:val="24"/>
                <w:color w:val="auto"/>
              </w:rPr>
            </w:pPr>
          </w:p>
        </w:tc>
      </w:tr>
      <w:tr>
        <w:trPr>
          <w:trHeight w:val="659"/>
        </w:trPr>
        <w:tc>
          <w:tcPr>
            <w:tcW w:w="35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333-42233) of Frequency Electronics, Inc. of our report dated July 29, 2010 with respect to our audits of the consolidated financial statements as of and for each of the years ended April 30, 2010 and 2009, which is included in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Eisner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640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Eisner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Chief Executive Officer, certify that:</w:t>
      </w:r>
    </w:p>
    <w:p>
      <w:pPr>
        <w:spacing w:after="0" w:line="252"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right="20" w:firstLine="8"/>
        <w:spacing w:after="0" w:line="277" w:lineRule="auto"/>
        <w:tabs>
          <w:tab w:leader="none" w:pos="2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9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2010</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188658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658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Chief Financial Officer, certify that:</w:t>
      </w:r>
    </w:p>
    <w:p>
      <w:pPr>
        <w:spacing w:after="0" w:line="252"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right="20" w:firstLine="8"/>
        <w:spacing w:after="0" w:line="277" w:lineRule="auto"/>
        <w:tabs>
          <w:tab w:leader="none" w:pos="2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9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2010</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03263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2010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208" w:lineRule="exact"/>
        <w:rPr>
          <w:sz w:val="20"/>
          <w:szCs w:val="20"/>
          <w:color w:val="auto"/>
        </w:rPr>
      </w:pPr>
    </w:p>
    <w:p>
      <w:pPr>
        <w:ind w:left="840" w:hanging="332"/>
        <w:spacing w:after="0"/>
        <w:tabs>
          <w:tab w:leader="none" w:pos="8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180"/>
        <w:spacing w:after="0"/>
        <w:tabs>
          <w:tab w:leader="none" w:pos="7600" w:val="left"/>
        </w:tabs>
        <w:rPr>
          <w:sz w:val="20"/>
          <w:szCs w:val="20"/>
          <w:color w:val="auto"/>
        </w:rPr>
      </w:pPr>
      <w:r>
        <w:rPr>
          <w:rFonts w:ascii="Arial" w:cs="Arial" w:eastAsia="Arial" w:hAnsi="Arial"/>
          <w:sz w:val="18"/>
          <w:szCs w:val="18"/>
          <w:color w:val="auto"/>
        </w:rPr>
        <w:t>/s/ Martin B. Bloch</w:t>
      </w:r>
      <w:r>
        <w:rPr>
          <w:sz w:val="20"/>
          <w:szCs w:val="20"/>
          <w:color w:val="auto"/>
        </w:rPr>
        <w:tab/>
      </w:r>
      <w:r>
        <w:rPr>
          <w:rFonts w:ascii="Arial" w:cs="Arial" w:eastAsia="Arial" w:hAnsi="Arial"/>
          <w:sz w:val="16"/>
          <w:szCs w:val="16"/>
          <w:color w:val="auto"/>
        </w:rPr>
        <w:t>July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2010 as filed with the Securities and Exchange Commission on the date hereof (the “Report”), I, Alan L. Miller, Chief Financial Officer of the Company, certify, pursuant to Section 18 U.S.C. 1350, as adopted pursuant to Section 906 of the Sarbanes-Oxley Act of 2002, that:</w:t>
      </w:r>
    </w:p>
    <w:p>
      <w:pPr>
        <w:spacing w:after="0" w:line="208" w:lineRule="exact"/>
        <w:rPr>
          <w:sz w:val="20"/>
          <w:szCs w:val="20"/>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180"/>
        <w:spacing w:after="0"/>
        <w:tabs>
          <w:tab w:leader="none" w:pos="7600" w:val="left"/>
        </w:tabs>
        <w:rPr>
          <w:sz w:val="20"/>
          <w:szCs w:val="20"/>
          <w:color w:val="auto"/>
        </w:rPr>
      </w:pPr>
      <w:r>
        <w:rPr>
          <w:rFonts w:ascii="Arial" w:cs="Arial" w:eastAsia="Arial" w:hAnsi="Arial"/>
          <w:sz w:val="18"/>
          <w:szCs w:val="18"/>
          <w:color w:val="auto"/>
        </w:rPr>
        <w:t>/s/ Alan L. Miller</w:t>
      </w:r>
      <w:r>
        <w:rPr>
          <w:sz w:val="20"/>
          <w:szCs w:val="20"/>
          <w:color w:val="auto"/>
        </w:rPr>
        <w:tab/>
      </w:r>
      <w:r>
        <w:rPr>
          <w:rFonts w:ascii="Arial" w:cs="Arial" w:eastAsia="Arial" w:hAnsi="Arial"/>
          <w:sz w:val="16"/>
          <w:szCs w:val="16"/>
          <w:color w:val="auto"/>
        </w:rPr>
        <w:t>July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5"/>
    </w:lvl>
  </w:abstractNum>
  <w:abstractNum w:abstractNumId="6">
    <w:nsid w:val="62BBD95A"/>
    <w:multiLevelType w:val="hybridMultilevel"/>
    <w:lvl w:ilvl="0">
      <w:lvlJc w:val="left"/>
      <w:lvlText w:val="(%1)"/>
      <w:numFmt w:val="decimal"/>
      <w:start w:val="7"/>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3"/>
    </w:lvl>
  </w:abstractNum>
  <w:abstractNum w:abstractNumId="13">
    <w:nsid w:val="6763845E"/>
    <w:multiLevelType w:val="hybridMultilevel"/>
    <w:lvl w:ilvl="0">
      <w:lvlJc w:val="left"/>
      <w:lvlText w:val="%1."/>
      <w:numFmt w:val="decimal"/>
      <w:start w:val="4"/>
    </w:lvl>
  </w:abstractNum>
  <w:abstractNum w:abstractNumId="14">
    <w:nsid w:val="75A2A8D4"/>
    <w:multiLevelType w:val="hybridMultilevel"/>
    <w:lvl w:ilvl="0">
      <w:lvlJc w:val="left"/>
      <w:lvlText w:val="%1."/>
      <w:numFmt w:val="decimal"/>
      <w:start w:val="5"/>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6"/>
    </w:lvl>
  </w:abstractNum>
  <w:abstractNum w:abstractNumId="17">
    <w:nsid w:val="4353D0CD"/>
    <w:multiLevelType w:val="hybridMultilevel"/>
    <w:lvl w:ilvl="0">
      <w:lvlJc w:val="left"/>
      <w:lvlText w:val="%1."/>
      <w:numFmt w:val="decimal"/>
      <w:start w:val="8"/>
    </w:lvl>
  </w:abstractNum>
  <w:abstractNum w:abstractNumId="18">
    <w:nsid w:val="B03E0C6"/>
    <w:multiLevelType w:val="hybridMultilevel"/>
    <w:lvl w:ilvl="0">
      <w:lvlJc w:val="left"/>
      <w:lvlText w:val="%1."/>
      <w:numFmt w:val="decimal"/>
      <w:start w:val="9"/>
    </w:lvl>
  </w:abstractNum>
  <w:abstractNum w:abstractNumId="19">
    <w:nsid w:val="189A769B"/>
    <w:multiLevelType w:val="hybridMultilevel"/>
    <w:lvl w:ilvl="0">
      <w:lvlJc w:val="left"/>
      <w:lvlText w:val="%1."/>
      <w:numFmt w:val="decimal"/>
      <w:start w:val="10"/>
    </w:lvl>
  </w:abstractNum>
  <w:abstractNum w:abstractNumId="20">
    <w:nsid w:val="54E49EB4"/>
    <w:multiLevelType w:val="hybridMultilevel"/>
    <w:lvl w:ilvl="0">
      <w:lvlJc w:val="left"/>
      <w:lvlText w:val="%1."/>
      <w:numFmt w:val="decimal"/>
      <w:start w:val="11"/>
    </w:lvl>
  </w:abstractNum>
  <w:abstractNum w:abstractNumId="21">
    <w:nsid w:val="71F32454"/>
    <w:multiLevelType w:val="hybridMultilevel"/>
    <w:lvl w:ilvl="0">
      <w:lvlJc w:val="left"/>
      <w:lvlText w:val="%1."/>
      <w:numFmt w:val="decimal"/>
      <w:start w:val="12"/>
    </w:lvl>
  </w:abstractNum>
  <w:abstractNum w:abstractNumId="22">
    <w:nsid w:val="2CA88611"/>
    <w:multiLevelType w:val="hybridMultilevel"/>
    <w:lvl w:ilvl="0">
      <w:lvlJc w:val="left"/>
      <w:lvlText w:val="%1."/>
      <w:numFmt w:val="decimal"/>
      <w:start w:val="13"/>
    </w:lvl>
  </w:abstractNum>
  <w:abstractNum w:abstractNumId="23">
    <w:nsid w:val="836C40E"/>
    <w:multiLevelType w:val="hybridMultilevel"/>
    <w:lvl w:ilvl="0">
      <w:lvlJc w:val="left"/>
      <w:lvlText w:val="%1."/>
      <w:numFmt w:val="decimal"/>
      <w:start w:val="14"/>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decimal"/>
      <w:start w:val="1"/>
    </w:lvl>
  </w:abstractNum>
  <w:abstractNum w:abstractNumId="31">
    <w:nsid w:val="22221A70"/>
    <w:multiLevelType w:val="hybridMultilevel"/>
    <w:lvl w:ilvl="0">
      <w:lvlJc w:val="left"/>
      <w:lvlText w:val="(%1)"/>
      <w:numFmt w:val="decimal"/>
      <w:start w:val="2"/>
    </w:lvl>
    <w:lvl w:ilvl="1">
      <w:lvlJc w:val="left"/>
      <w:lvlText w:val="%2"/>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2019-12-10T00:17:45Z</dcterms:created>
  <dcterms:modified xsi:type="dcterms:W3CDTF">2019-12-10T00:17:45Z</dcterms:modified>
</cp:coreProperties>
</file>