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060" w:right="1779" w:hanging="525"/>
        <w:spacing w:after="0" w:line="34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18"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October 31, 2005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31" w:lineRule="exact"/>
        <w:rPr>
          <w:sz w:val="24"/>
          <w:szCs w:val="24"/>
          <w:color w:val="auto"/>
        </w:rPr>
      </w:pPr>
    </w:p>
    <w:p>
      <w:pPr>
        <w:ind w:left="1060" w:right="2099" w:hanging="525"/>
        <w:spacing w:after="0" w:line="238" w:lineRule="auto"/>
        <w:tabs>
          <w:tab w:leader="none" w:pos="7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0" w:gutter="0" w:footer="0" w:header="0"/>
        </w:sectPr>
      </w:pPr>
    </w:p>
    <w:p>
      <w:pPr>
        <w:spacing w:after="0" w:line="37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11-1986657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94" w:lineRule="exact"/>
        <w:rPr>
          <w:sz w:val="24"/>
          <w:szCs w:val="24"/>
          <w:color w:val="auto"/>
        </w:rPr>
      </w:pPr>
    </w:p>
    <w:p>
      <w:pPr>
        <w:sectPr>
          <w:pgSz w:w="11900" w:h="16838" w:orient="portrait"/>
          <w:cols w:equalWidth="0" w:num="2">
            <w:col w:w="3920" w:space="720"/>
            <w:col w:w="5579"/>
          </w:cols>
          <w:pgMar w:left="240" w:top="218" w:right="1440" w:bottom="0" w:gutter="0" w:footer="0" w:header="0"/>
          <w:type w:val="continuous"/>
        </w:sectPr>
      </w:pPr>
    </w:p>
    <w:p>
      <w:pPr>
        <w:ind w:left="220" w:right="220" w:hanging="210"/>
        <w:spacing w:after="0" w:line="42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11553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394" w:lineRule="exact"/>
        <w:rPr>
          <w:sz w:val="24"/>
          <w:szCs w:val="24"/>
          <w:color w:val="auto"/>
        </w:rPr>
      </w:pPr>
    </w:p>
    <w:p>
      <w:pPr>
        <w:sectPr>
          <w:pgSz w:w="11900" w:h="16838" w:orient="portrait"/>
          <w:cols w:equalWidth="0" w:num="2">
            <w:col w:w="5180" w:space="720"/>
            <w:col w:w="4319"/>
          </w:cols>
          <w:pgMar w:left="240" w:top="218"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516-794-4500</w:t>
      </w:r>
    </w:p>
    <w:p>
      <w:pPr>
        <w:spacing w:after="0" w:line="201" w:lineRule="exact"/>
        <w:rPr>
          <w:sz w:val="24"/>
          <w:szCs w:val="24"/>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w:t>
      </w:r>
    </w:p>
    <w:p>
      <w:pPr>
        <w:sectPr>
          <w:pgSz w:w="11900" w:h="16838" w:orient="portrait"/>
          <w:cols w:equalWidth="0" w:num="1">
            <w:col w:w="10219"/>
          </w:cols>
          <w:pgMar w:left="240" w:top="218" w:right="1440" w:bottom="0" w:gutter="0" w:footer="0" w:header="0"/>
          <w:type w:val="continuous"/>
        </w:sectPr>
      </w:pPr>
    </w:p>
    <w:p>
      <w:pPr>
        <w:spacing w:after="0" w:line="2" w:lineRule="exact"/>
        <w:rPr>
          <w:sz w:val="24"/>
          <w:szCs w:val="24"/>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30" w:lineRule="exact"/>
        <w:rPr>
          <w:sz w:val="24"/>
          <w:szCs w:val="24"/>
          <w:color w:val="auto"/>
        </w:rPr>
      </w:pPr>
    </w:p>
    <w:p>
      <w:pPr>
        <w:sectPr>
          <w:pgSz w:w="11900" w:h="16838" w:orient="portrait"/>
          <w:cols w:equalWidth="0" w:num="2">
            <w:col w:w="4320" w:space="320"/>
            <w:col w:w="5579"/>
          </w:cols>
          <w:pgMar w:left="240" w:top="218" w:right="1440" w:bottom="0" w:gutter="0" w:footer="0" w:header="0"/>
          <w:type w:val="continuous"/>
        </w:sectPr>
      </w:pPr>
    </w:p>
    <w:p>
      <w:pPr>
        <w:spacing w:after="0"/>
        <w:tabs>
          <w:tab w:leader="none" w:pos="1040" w:val="left"/>
          <w:tab w:leader="none" w:pos="2620" w:val="left"/>
          <w:tab w:leader="none" w:pos="3560" w:val="left"/>
          <w:tab w:leader="none" w:pos="4100" w:val="left"/>
        </w:tabs>
        <w:rPr>
          <w:sz w:val="20"/>
          <w:szCs w:val="20"/>
          <w:color w:val="auto"/>
        </w:rPr>
      </w:pPr>
      <w:r>
        <w:rPr>
          <w:rFonts w:ascii="Courier New" w:cs="Courier New" w:eastAsia="Courier New" w:hAnsi="Courier New"/>
          <w:sz w:val="18"/>
          <w:szCs w:val="18"/>
          <w:color w:val="auto"/>
        </w:rPr>
        <w:t>Indicate</w:t>
        <w:tab/>
        <w:t>by check mark</w:t>
        <w:tab/>
        <w:t>whether</w:t>
        <w:tab/>
        <w:t>the</w:t>
      </w:r>
      <w:r>
        <w:rPr>
          <w:sz w:val="20"/>
          <w:szCs w:val="20"/>
          <w:color w:val="auto"/>
        </w:rPr>
        <w:tab/>
      </w:r>
      <w:r>
        <w:rPr>
          <w:rFonts w:ascii="Courier New" w:cs="Courier New" w:eastAsia="Courier New" w:hAnsi="Courier New"/>
          <w:sz w:val="16"/>
          <w:szCs w:val="16"/>
          <w:color w:val="auto"/>
        </w:rPr>
        <w:t>registrant</w:t>
      </w:r>
    </w:p>
    <w:p>
      <w:pPr>
        <w:spacing w:after="0" w:line="29"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defined in Exchange Act Rule 12 b-2). Yes</w:t>
      </w:r>
      <w:r>
        <w:rPr>
          <w:sz w:val="20"/>
          <w:szCs w:val="20"/>
          <w:color w:val="auto"/>
        </w:rPr>
        <w:tab/>
      </w:r>
      <w:r>
        <w:rPr>
          <w:rFonts w:ascii="Courier New" w:cs="Courier New" w:eastAsia="Courier New" w:hAnsi="Courier New"/>
          <w:sz w:val="16"/>
          <w:szCs w:val="16"/>
          <w:color w:val="auto"/>
        </w:rPr>
        <w:t>No X</w:t>
      </w:r>
    </w:p>
    <w:p>
      <w:pPr>
        <w:ind w:left="4320"/>
        <w:spacing w:after="0"/>
        <w:tabs>
          <w:tab w:leader="none" w:pos="4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is an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accelerated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filer (as</w:t>
      </w:r>
    </w:p>
    <w:p>
      <w:pPr>
        <w:spacing w:after="0" w:line="629" w:lineRule="exact"/>
        <w:rPr>
          <w:sz w:val="24"/>
          <w:szCs w:val="24"/>
          <w:color w:val="auto"/>
        </w:rPr>
      </w:pPr>
    </w:p>
    <w:p>
      <w:pPr>
        <w:sectPr>
          <w:pgSz w:w="11900" w:h="16838" w:orient="portrait"/>
          <w:cols w:equalWidth="0" w:num="4">
            <w:col w:w="5280" w:space="100"/>
            <w:col w:w="520" w:space="220"/>
            <w:col w:w="1160" w:space="200"/>
            <w:col w:w="2739"/>
          </w:cols>
          <w:pgMar w:left="240" w:top="218" w:right="1440" w:bottom="0" w:gutter="0" w:footer="0" w:header="0"/>
          <w:type w:val="continuous"/>
        </w:sectPr>
      </w:pPr>
    </w:p>
    <w:p>
      <w:pPr>
        <w:jc w:val="center"/>
        <w:ind w:right="165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1"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December 9, 2005 - 8,538,515</w:t>
      </w: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020" w:type="dxa"/>
            <w:vAlign w:val="bottom"/>
          </w:tcPr>
          <w:p>
            <w:pPr>
              <w:spacing w:after="0"/>
              <w:rPr>
                <w:sz w:val="24"/>
                <w:szCs w:val="24"/>
                <w:color w:val="auto"/>
              </w:rPr>
            </w:pPr>
          </w:p>
        </w:tc>
        <w:tc>
          <w:tcPr>
            <w:tcW w:w="3460" w:type="dxa"/>
            <w:vAlign w:val="bottom"/>
          </w:tcPr>
          <w:p>
            <w:pPr>
              <w:ind w:left="1000"/>
              <w:spacing w:after="0"/>
              <w:rPr>
                <w:sz w:val="20"/>
                <w:szCs w:val="20"/>
                <w:color w:val="auto"/>
              </w:rPr>
            </w:pPr>
            <w:r>
              <w:rPr>
                <w:rFonts w:ascii="Courier New" w:cs="Courier New" w:eastAsia="Courier New" w:hAnsi="Courier New"/>
                <w:sz w:val="18"/>
                <w:szCs w:val="18"/>
                <w:color w:val="auto"/>
              </w:rPr>
              <w:t>INDEX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48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w w:val="94"/>
              </w:rPr>
              <w:t>Page No.</w:t>
            </w:r>
          </w:p>
        </w:tc>
        <w:tc>
          <w:tcPr>
            <w:tcW w:w="0" w:type="dxa"/>
            <w:vAlign w:val="bottom"/>
          </w:tcPr>
          <w:p>
            <w:pPr>
              <w:spacing w:after="0"/>
              <w:rPr>
                <w:sz w:val="1"/>
                <w:szCs w:val="1"/>
                <w:color w:val="auto"/>
              </w:rPr>
            </w:pPr>
          </w:p>
        </w:tc>
      </w:tr>
      <w:tr>
        <w:trPr>
          <w:trHeight w:val="405"/>
        </w:trPr>
        <w:tc>
          <w:tcPr>
            <w:tcW w:w="6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1 - Financial Statements: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Balance Sheets -</w:t>
            </w:r>
          </w:p>
        </w:tc>
        <w:tc>
          <w:tcPr>
            <w:tcW w:w="1640" w:type="dxa"/>
            <w:vAlign w:val="bottom"/>
            <w:vMerge w:val="restart"/>
          </w:tcPr>
          <w:p>
            <w:pPr>
              <w:jc w:val="center"/>
              <w:ind w:left="812"/>
              <w:spacing w:after="0"/>
              <w:rPr>
                <w:sz w:val="20"/>
                <w:szCs w:val="20"/>
                <w:color w:val="auto"/>
              </w:rPr>
            </w:pPr>
            <w:r>
              <w:rPr>
                <w:rFonts w:ascii="Courier New" w:cs="Courier New" w:eastAsia="Courier New" w:hAnsi="Courier New"/>
                <w:sz w:val="18"/>
                <w:szCs w:val="18"/>
                <w:color w:val="auto"/>
                <w:w w:val="92"/>
              </w:rPr>
              <w:t>3-4</w:t>
            </w:r>
          </w:p>
        </w:tc>
        <w:tc>
          <w:tcPr>
            <w:tcW w:w="0" w:type="dxa"/>
            <w:vAlign w:val="bottom"/>
          </w:tcPr>
          <w:p>
            <w:pPr>
              <w:spacing w:after="0"/>
              <w:rPr>
                <w:sz w:val="1"/>
                <w:szCs w:val="1"/>
                <w:color w:val="auto"/>
              </w:rPr>
            </w:pPr>
          </w:p>
        </w:tc>
      </w:tr>
      <w:tr>
        <w:trPr>
          <w:trHeight w:val="296"/>
        </w:trPr>
        <w:tc>
          <w:tcPr>
            <w:tcW w:w="64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October 31, 2005 and April 30, 2005</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640" w:type="dxa"/>
            <w:vAlign w:val="bottom"/>
            <w:vMerge w:val="restart"/>
          </w:tcPr>
          <w:p>
            <w:pPr>
              <w:jc w:val="center"/>
              <w:ind w:left="812"/>
              <w:spacing w:after="0"/>
              <w:rPr>
                <w:sz w:val="20"/>
                <w:szCs w:val="20"/>
                <w:color w:val="auto"/>
              </w:rPr>
            </w:pPr>
            <w:r>
              <w:rPr>
                <w:rFonts w:ascii="Courier New" w:cs="Courier New" w:eastAsia="Courier New" w:hAnsi="Courier New"/>
                <w:sz w:val="18"/>
                <w:szCs w:val="18"/>
                <w:color w:val="auto"/>
                <w:w w:val="92"/>
              </w:rPr>
              <w:t>5</w:t>
            </w:r>
          </w:p>
        </w:tc>
        <w:tc>
          <w:tcPr>
            <w:tcW w:w="0" w:type="dxa"/>
            <w:vAlign w:val="bottom"/>
          </w:tcPr>
          <w:p>
            <w:pPr>
              <w:spacing w:after="0"/>
              <w:rPr>
                <w:sz w:val="1"/>
                <w:szCs w:val="1"/>
                <w:color w:val="auto"/>
              </w:rPr>
            </w:pPr>
          </w:p>
        </w:tc>
      </w:tr>
      <w:tr>
        <w:trPr>
          <w:trHeight w:val="296"/>
        </w:trPr>
        <w:tc>
          <w:tcPr>
            <w:tcW w:w="64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Six Months Ended October 31, 2005 and 2004</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Condensed Consolidated</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640" w:type="dxa"/>
            <w:vAlign w:val="bottom"/>
            <w:vMerge w:val="restart"/>
          </w:tcPr>
          <w:p>
            <w:pPr>
              <w:jc w:val="center"/>
              <w:ind w:left="812"/>
              <w:spacing w:after="0"/>
              <w:rPr>
                <w:sz w:val="20"/>
                <w:szCs w:val="20"/>
                <w:color w:val="auto"/>
              </w:rPr>
            </w:pPr>
            <w:r>
              <w:rPr>
                <w:rFonts w:ascii="Courier New" w:cs="Courier New" w:eastAsia="Courier New" w:hAnsi="Courier New"/>
                <w:sz w:val="18"/>
                <w:szCs w:val="18"/>
                <w:color w:val="auto"/>
                <w:w w:val="92"/>
              </w:rPr>
              <w:t>6</w:t>
            </w:r>
          </w:p>
        </w:tc>
        <w:tc>
          <w:tcPr>
            <w:tcW w:w="0" w:type="dxa"/>
            <w:vAlign w:val="bottom"/>
          </w:tcPr>
          <w:p>
            <w:pPr>
              <w:spacing w:after="0"/>
              <w:rPr>
                <w:sz w:val="1"/>
                <w:szCs w:val="1"/>
                <w:color w:val="auto"/>
              </w:rPr>
            </w:pPr>
          </w:p>
        </w:tc>
      </w:tr>
      <w:tr>
        <w:trPr>
          <w:trHeight w:val="296"/>
        </w:trPr>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October 31, 2005 and 2004</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1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Condensed Consolidated Statements of Cash</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rPr>
              <w:t>Flows</w:t>
            </w:r>
          </w:p>
        </w:tc>
        <w:tc>
          <w:tcPr>
            <w:tcW w:w="7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96"/>
        </w:trPr>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rPr>
              <w:t>Six Months Ended October 31,</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2005 and</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rPr>
              <w:t>2004</w:t>
            </w: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Notes to Condensed Consolidated Financial</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rPr>
              <w:t>Statements</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8-11</w:t>
            </w:r>
          </w:p>
        </w:tc>
        <w:tc>
          <w:tcPr>
            <w:tcW w:w="0" w:type="dxa"/>
            <w:vAlign w:val="bottom"/>
          </w:tcPr>
          <w:p>
            <w:pPr>
              <w:spacing w:after="0"/>
              <w:rPr>
                <w:sz w:val="1"/>
                <w:szCs w:val="1"/>
                <w:color w:val="auto"/>
              </w:rPr>
            </w:pPr>
          </w:p>
        </w:tc>
      </w:tr>
      <w:tr>
        <w:trPr>
          <w:trHeight w:val="311"/>
        </w:trPr>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w w:val="97"/>
              </w:rPr>
              <w:t>Item 2 - Management's Discussion and</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Analysis</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6"/>
              </w:rPr>
              <w:t>11-17</w:t>
            </w:r>
          </w:p>
        </w:tc>
        <w:tc>
          <w:tcPr>
            <w:tcW w:w="0" w:type="dxa"/>
            <w:vAlign w:val="bottom"/>
          </w:tcPr>
          <w:p>
            <w:pPr>
              <w:spacing w:after="0"/>
              <w:rPr>
                <w:sz w:val="1"/>
                <w:szCs w:val="1"/>
                <w:color w:val="auto"/>
              </w:rPr>
            </w:pPr>
          </w:p>
        </w:tc>
      </w:tr>
      <w:tr>
        <w:trPr>
          <w:trHeight w:val="296"/>
        </w:trPr>
        <w:tc>
          <w:tcPr>
            <w:tcW w:w="710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Financial Condition and Results of Operations</w:t>
            </w: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40" w:type="dxa"/>
            <w:vAlign w:val="bottom"/>
          </w:tcPr>
          <w:p>
            <w:pPr>
              <w:jc w:val="right"/>
              <w:spacing w:after="0"/>
              <w:rPr>
                <w:sz w:val="20"/>
                <w:szCs w:val="20"/>
                <w:color w:val="auto"/>
              </w:rPr>
            </w:pPr>
            <w:r>
              <w:rPr>
                <w:rFonts w:ascii="Courier New" w:cs="Courier New" w:eastAsia="Courier New" w:hAnsi="Courier New"/>
                <w:sz w:val="18"/>
                <w:szCs w:val="18"/>
                <w:color w:val="auto"/>
                <w:w w:val="97"/>
              </w:rPr>
              <w:t>Item 3- Quantitative and Qualitative</w:t>
            </w:r>
          </w:p>
        </w:tc>
        <w:tc>
          <w:tcPr>
            <w:tcW w:w="3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Disclosures about Market Risk</w:t>
            </w: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w:t>
            </w:r>
          </w:p>
        </w:tc>
        <w:tc>
          <w:tcPr>
            <w:tcW w:w="0" w:type="dxa"/>
            <w:vAlign w:val="bottom"/>
          </w:tcPr>
          <w:p>
            <w:pPr>
              <w:spacing w:after="0"/>
              <w:rPr>
                <w:sz w:val="1"/>
                <w:szCs w:val="1"/>
                <w:color w:val="auto"/>
              </w:rPr>
            </w:pPr>
          </w:p>
        </w:tc>
      </w:tr>
      <w:tr>
        <w:trPr>
          <w:trHeight w:val="405"/>
        </w:trPr>
        <w:tc>
          <w:tcPr>
            <w:tcW w:w="38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Item 4- Controls and Procedures</w:t>
            </w: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Items 1, 2, 3 and 5 are omitted because they are not applicable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100" w:type="dxa"/>
            <w:vAlign w:val="bottom"/>
          </w:tcPr>
          <w:p>
            <w:pPr>
              <w:ind w:left="40"/>
              <w:spacing w:after="0"/>
              <w:rPr>
                <w:sz w:val="20"/>
                <w:szCs w:val="20"/>
                <w:color w:val="auto"/>
              </w:rPr>
            </w:pPr>
            <w:r>
              <w:rPr>
                <w:rFonts w:ascii="Courier New" w:cs="Courier New" w:eastAsia="Courier New" w:hAnsi="Courier New"/>
                <w:sz w:val="18"/>
                <w:szCs w:val="18"/>
                <w:color w:val="auto"/>
              </w:rPr>
              <w:t>Results of votes of security holders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100" w:type="dxa"/>
            <w:vAlign w:val="bottom"/>
          </w:tcPr>
          <w:p>
            <w:pPr>
              <w:ind w:left="40"/>
              <w:spacing w:after="0"/>
              <w:rPr>
                <w:sz w:val="20"/>
                <w:szCs w:val="20"/>
                <w:color w:val="auto"/>
              </w:rPr>
            </w:pPr>
            <w:r>
              <w:rPr>
                <w:rFonts w:ascii="Courier New" w:cs="Courier New" w:eastAsia="Courier New" w:hAnsi="Courier New"/>
                <w:sz w:val="18"/>
                <w:szCs w:val="18"/>
                <w:color w:val="auto"/>
              </w:rPr>
              <w:t>Exhibits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w:t>
            </w:r>
          </w:p>
        </w:tc>
      </w:tr>
      <w:tr>
        <w:trPr>
          <w:trHeight w:val="405"/>
        </w:trPr>
        <w:tc>
          <w:tcPr>
            <w:tcW w:w="6000" w:type="dxa"/>
            <w:vAlign w:val="bottom"/>
            <w:gridSpan w:val="4"/>
          </w:tcPr>
          <w:p>
            <w:pPr>
              <w:spacing w:after="0"/>
              <w:rPr>
                <w:sz w:val="20"/>
                <w:szCs w:val="20"/>
                <w:color w:val="auto"/>
              </w:rPr>
            </w:pPr>
            <w:r>
              <w:rPr>
                <w:rFonts w:ascii="Courier New" w:cs="Courier New" w:eastAsia="Courier New" w:hAnsi="Courier New"/>
                <w:sz w:val="18"/>
                <w:szCs w:val="18"/>
                <w:color w:val="auto"/>
              </w:rPr>
              <w:t>Signatures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w:t>
            </w:r>
          </w:p>
        </w:tc>
      </w:tr>
      <w:tr>
        <w:trPr>
          <w:trHeight w:val="405"/>
        </w:trPr>
        <w:tc>
          <w:tcPr>
            <w:tcW w:w="900" w:type="dxa"/>
            <w:vAlign w:val="bottom"/>
            <w:gridSpan w:val="3"/>
          </w:tcPr>
          <w:p>
            <w:pPr>
              <w:spacing w:after="0"/>
              <w:rPr>
                <w:sz w:val="20"/>
                <w:szCs w:val="20"/>
                <w:color w:val="auto"/>
              </w:rPr>
            </w:pPr>
            <w:r>
              <w:rPr>
                <w:rFonts w:ascii="Courier New" w:cs="Courier New" w:eastAsia="Courier New" w:hAnsi="Courier New"/>
                <w:sz w:val="18"/>
                <w:szCs w:val="18"/>
                <w:color w:val="auto"/>
              </w:rPr>
              <w:t>Exhibits</w:t>
            </w:r>
          </w:p>
        </w:tc>
        <w:tc>
          <w:tcPr>
            <w:tcW w:w="5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20-23</w:t>
            </w:r>
          </w:p>
        </w:tc>
      </w:tr>
    </w:tbl>
    <w:p>
      <w:pPr>
        <w:sectPr>
          <w:pgSz w:w="11900" w:h="16838" w:orient="portrait"/>
          <w:cols w:equalWidth="0" w:num="1">
            <w:col w:w="10219"/>
          </w:cols>
          <w:pgMar w:left="240" w:top="108" w:right="1440" w:bottom="144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October 31,</w:t>
            </w:r>
          </w:p>
        </w:tc>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w w:val="96"/>
              </w:rPr>
              <w:t>April 30,</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2005</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(NOTE A)</w:t>
            </w:r>
          </w:p>
        </w:tc>
        <w:tc>
          <w:tcPr>
            <w:tcW w:w="0" w:type="dxa"/>
            <w:vAlign w:val="bottom"/>
          </w:tcPr>
          <w:p>
            <w:pPr>
              <w:spacing w:after="0"/>
              <w:rPr>
                <w:sz w:val="1"/>
                <w:szCs w:val="1"/>
                <w:color w:val="auto"/>
              </w:rPr>
            </w:pPr>
          </w:p>
        </w:tc>
      </w:tr>
      <w:tr>
        <w:trPr>
          <w:trHeight w:val="296"/>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2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6,812</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6,701</w:t>
            </w:r>
          </w:p>
        </w:tc>
        <w:tc>
          <w:tcPr>
            <w:tcW w:w="0" w:type="dxa"/>
            <w:vAlign w:val="bottom"/>
          </w:tcPr>
          <w:p>
            <w:pPr>
              <w:spacing w:after="0"/>
              <w:rPr>
                <w:sz w:val="1"/>
                <w:szCs w:val="1"/>
                <w:color w:val="auto"/>
              </w:rPr>
            </w:pP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Marketable securities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19,777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23,532</w:t>
            </w:r>
          </w:p>
        </w:tc>
        <w:tc>
          <w:tcPr>
            <w:tcW w:w="0" w:type="dxa"/>
            <w:vAlign w:val="bottom"/>
          </w:tcPr>
          <w:p>
            <w:pPr>
              <w:spacing w:after="0"/>
              <w:rPr>
                <w:sz w:val="1"/>
                <w:szCs w:val="1"/>
                <w:color w:val="auto"/>
              </w:rPr>
            </w:pPr>
          </w:p>
        </w:tc>
      </w:tr>
      <w:tr>
        <w:trPr>
          <w:trHeight w:val="311"/>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 net of allowance for doubtful</w:t>
            </w:r>
          </w:p>
        </w:tc>
        <w:tc>
          <w:tcPr>
            <w:tcW w:w="15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12,574</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12,728</w:t>
            </w:r>
          </w:p>
        </w:tc>
        <w:tc>
          <w:tcPr>
            <w:tcW w:w="0" w:type="dxa"/>
            <w:vAlign w:val="bottom"/>
          </w:tcPr>
          <w:p>
            <w:pPr>
              <w:spacing w:after="0"/>
              <w:rPr>
                <w:sz w:val="1"/>
                <w:szCs w:val="1"/>
                <w:color w:val="auto"/>
              </w:rPr>
            </w:pPr>
          </w:p>
        </w:tc>
      </w:tr>
      <w:tr>
        <w:trPr>
          <w:trHeight w:val="296"/>
        </w:trPr>
        <w:tc>
          <w:tcPr>
            <w:tcW w:w="5700" w:type="dxa"/>
            <w:vAlign w:val="bottom"/>
          </w:tcPr>
          <w:p>
            <w:pPr>
              <w:ind w:left="540"/>
              <w:spacing w:after="0"/>
              <w:rPr>
                <w:sz w:val="20"/>
                <w:szCs w:val="20"/>
                <w:color w:val="auto"/>
              </w:rPr>
            </w:pPr>
            <w:r>
              <w:rPr>
                <w:rFonts w:ascii="Courier New" w:cs="Courier New" w:eastAsia="Courier New" w:hAnsi="Courier New"/>
                <w:sz w:val="18"/>
                <w:szCs w:val="18"/>
                <w:color w:val="auto"/>
              </w:rPr>
              <w:t>accounts of $172</w:t>
            </w:r>
          </w:p>
        </w:tc>
        <w:tc>
          <w:tcPr>
            <w:tcW w:w="15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23,159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22,948</w:t>
            </w:r>
          </w:p>
        </w:tc>
        <w:tc>
          <w:tcPr>
            <w:tcW w:w="0" w:type="dxa"/>
            <w:vAlign w:val="bottom"/>
          </w:tcPr>
          <w:p>
            <w:pPr>
              <w:spacing w:after="0"/>
              <w:rPr>
                <w:sz w:val="1"/>
                <w:szCs w:val="1"/>
                <w:color w:val="auto"/>
              </w:rPr>
            </w:pP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3,002</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2,269</w:t>
            </w:r>
          </w:p>
        </w:tc>
        <w:tc>
          <w:tcPr>
            <w:tcW w:w="0" w:type="dxa"/>
            <w:vAlign w:val="bottom"/>
          </w:tcPr>
          <w:p>
            <w:pPr>
              <w:spacing w:after="0"/>
              <w:rPr>
                <w:sz w:val="1"/>
                <w:szCs w:val="1"/>
                <w:color w:val="auto"/>
              </w:rPr>
            </w:pPr>
          </w:p>
        </w:tc>
      </w:tr>
      <w:tr>
        <w:trPr>
          <w:trHeight w:val="311"/>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 and other</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895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1,362</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700" w:type="dxa"/>
            <w:vAlign w:val="bottom"/>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66,219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69,540</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15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6,340</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6,770</w:t>
            </w:r>
          </w:p>
        </w:tc>
        <w:tc>
          <w:tcPr>
            <w:tcW w:w="0" w:type="dxa"/>
            <w:vAlign w:val="bottom"/>
          </w:tcPr>
          <w:p>
            <w:pPr>
              <w:spacing w:after="0"/>
              <w:rPr>
                <w:sz w:val="1"/>
                <w:szCs w:val="1"/>
                <w:color w:val="auto"/>
              </w:rPr>
            </w:pPr>
          </w:p>
        </w:tc>
      </w:tr>
      <w:tr>
        <w:trPr>
          <w:trHeight w:val="296"/>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amortization</w:t>
            </w:r>
          </w:p>
        </w:tc>
        <w:tc>
          <w:tcPr>
            <w:tcW w:w="15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2,454</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2,644</w:t>
            </w:r>
          </w:p>
        </w:tc>
        <w:tc>
          <w:tcPr>
            <w:tcW w:w="0" w:type="dxa"/>
            <w:vAlign w:val="bottom"/>
          </w:tcPr>
          <w:p>
            <w:pPr>
              <w:spacing w:after="0"/>
              <w:rPr>
                <w:sz w:val="1"/>
                <w:szCs w:val="1"/>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surrender value of life insurance</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6,078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5,838</w:t>
            </w:r>
          </w:p>
        </w:tc>
        <w:tc>
          <w:tcPr>
            <w:tcW w:w="0" w:type="dxa"/>
            <w:vAlign w:val="bottom"/>
          </w:tcPr>
          <w:p>
            <w:pPr>
              <w:spacing w:after="0"/>
              <w:rPr>
                <w:sz w:val="1"/>
                <w:szCs w:val="1"/>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Goodwill and other Intangible assets, net</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551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591</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3,235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2,991</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00" w:type="dxa"/>
            <w:vAlign w:val="bottom"/>
          </w:tcPr>
          <w:p>
            <w:pPr>
              <w:ind w:left="960"/>
              <w:spacing w:after="0"/>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$ 84,877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$ 88,374</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893"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Balance Sheets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October 31,</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April 30,</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 A)</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180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  1,728</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  1,896</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18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3,093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3,912</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712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3,184</w:t>
            </w: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payable</w:t>
            </w:r>
          </w:p>
        </w:tc>
        <w:tc>
          <w:tcPr>
            <w:tcW w:w="3320" w:type="dxa"/>
            <w:vAlign w:val="bottom"/>
          </w:tcPr>
          <w:p>
            <w:pPr>
              <w:spacing w:after="0"/>
              <w:rPr>
                <w:sz w:val="17"/>
                <w:szCs w:val="17"/>
                <w:color w:val="auto"/>
              </w:rPr>
            </w:pP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854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w:t>
            </w:r>
          </w:p>
        </w:tc>
        <w:tc>
          <w:tcPr>
            <w:tcW w:w="0" w:type="dxa"/>
            <w:vAlign w:val="bottom"/>
          </w:tcPr>
          <w:p>
            <w:pPr>
              <w:spacing w:after="0"/>
              <w:rPr>
                <w:sz w:val="1"/>
                <w:szCs w:val="1"/>
                <w:color w:val="auto"/>
              </w:rPr>
            </w:pPr>
          </w:p>
        </w:tc>
      </w:tr>
      <w:tr>
        <w:trPr>
          <w:trHeight w:val="203"/>
        </w:trPr>
        <w:tc>
          <w:tcPr>
            <w:tcW w:w="5320" w:type="dxa"/>
            <w:vAlign w:val="bottom"/>
            <w:gridSpan w:val="2"/>
            <w:vMerge w:val="restart"/>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320" w:type="dxa"/>
            <w:vAlign w:val="bottom"/>
            <w:gridSpan w:val="2"/>
            <w:vMerge w:val="continue"/>
          </w:tcPr>
          <w:p>
            <w:pPr>
              <w:spacing w:after="0"/>
              <w:rPr>
                <w:sz w:val="24"/>
                <w:szCs w:val="24"/>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6,387</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9,844</w:t>
            </w:r>
          </w:p>
        </w:tc>
        <w:tc>
          <w:tcPr>
            <w:tcW w:w="0" w:type="dxa"/>
            <w:vAlign w:val="bottom"/>
          </w:tcPr>
          <w:p>
            <w:pPr>
              <w:spacing w:after="0"/>
              <w:rPr>
                <w:sz w:val="1"/>
                <w:szCs w:val="1"/>
                <w:color w:val="auto"/>
              </w:rPr>
            </w:pPr>
          </w:p>
        </w:tc>
      </w:tr>
      <w:tr>
        <w:trPr>
          <w:trHeight w:val="311"/>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7,952</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7,812</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gain and other liabilities</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1,207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1,525</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20" w:type="dxa"/>
            <w:vAlign w:val="bottom"/>
            <w:gridSpan w:val="2"/>
          </w:tcPr>
          <w:p>
            <w:pPr>
              <w:ind w:left="1480"/>
              <w:spacing w:after="0"/>
              <w:rPr>
                <w:sz w:val="20"/>
                <w:szCs w:val="20"/>
                <w:color w:val="auto"/>
              </w:rPr>
            </w:pPr>
            <w:r>
              <w:rPr>
                <w:rFonts w:ascii="Courier New" w:cs="Courier New" w:eastAsia="Courier New" w:hAnsi="Courier New"/>
                <w:sz w:val="18"/>
                <w:szCs w:val="18"/>
                <w:color w:val="auto"/>
              </w:rPr>
              <w:t>Total liabilities</w:t>
            </w: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15,546</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19,181</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Stockholders' equity:</w:t>
            </w:r>
          </w:p>
        </w:tc>
        <w:tc>
          <w:tcPr>
            <w:tcW w:w="180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18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9,164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9,164</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45,462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45,289</w:t>
            </w:r>
          </w:p>
        </w:tc>
        <w:tc>
          <w:tcPr>
            <w:tcW w:w="0" w:type="dxa"/>
            <w:vAlign w:val="bottom"/>
          </w:tcPr>
          <w:p>
            <w:pPr>
              <w:spacing w:after="0"/>
              <w:rPr>
                <w:sz w:val="1"/>
                <w:szCs w:val="1"/>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Retained earnings</w:t>
            </w:r>
          </w:p>
        </w:tc>
        <w:tc>
          <w:tcPr>
            <w:tcW w:w="3320" w:type="dxa"/>
            <w:vAlign w:val="bottom"/>
          </w:tcPr>
          <w:p>
            <w:pPr>
              <w:spacing w:after="0"/>
              <w:rPr>
                <w:sz w:val="17"/>
                <w:szCs w:val="17"/>
                <w:color w:val="auto"/>
              </w:rPr>
            </w:pP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14,060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12,440</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68,686</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66,893</w:t>
            </w:r>
          </w:p>
        </w:tc>
        <w:tc>
          <w:tcPr>
            <w:tcW w:w="0" w:type="dxa"/>
            <w:vAlign w:val="bottom"/>
          </w:tcPr>
          <w:p>
            <w:pPr>
              <w:spacing w:after="0"/>
              <w:rPr>
                <w:sz w:val="1"/>
                <w:szCs w:val="1"/>
                <w:color w:val="auto"/>
              </w:rPr>
            </w:pPr>
          </w:p>
        </w:tc>
      </w:tr>
      <w:tr>
        <w:trPr>
          <w:trHeight w:val="311"/>
        </w:trPr>
        <w:tc>
          <w:tcPr>
            <w:tcW w:w="5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Common stock reacquired and held in treasury</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-at cost, 625,424 shares at October 31, 2005</w:t>
            </w:r>
          </w:p>
        </w:tc>
        <w:tc>
          <w:tcPr>
            <w:tcW w:w="18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(2,537)</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(2,601)</w:t>
            </w:r>
          </w:p>
        </w:tc>
        <w:tc>
          <w:tcPr>
            <w:tcW w:w="0" w:type="dxa"/>
            <w:vAlign w:val="bottom"/>
          </w:tcPr>
          <w:p>
            <w:pPr>
              <w:spacing w:after="0"/>
              <w:rPr>
                <w:sz w:val="1"/>
                <w:szCs w:val="1"/>
                <w:color w:val="auto"/>
              </w:rPr>
            </w:pPr>
          </w:p>
        </w:tc>
      </w:tr>
      <w:tr>
        <w:trPr>
          <w:trHeight w:val="203"/>
        </w:trPr>
        <w:tc>
          <w:tcPr>
            <w:tcW w:w="5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646,709 shares at April 30, 2005</w:t>
            </w:r>
          </w:p>
        </w:tc>
        <w:tc>
          <w:tcPr>
            <w:tcW w:w="18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3,182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4,901</w:t>
            </w:r>
          </w:p>
        </w:tc>
        <w:tc>
          <w:tcPr>
            <w:tcW w:w="0" w:type="dxa"/>
            <w:vAlign w:val="bottom"/>
          </w:tcPr>
          <w:p>
            <w:pPr>
              <w:spacing w:after="0"/>
              <w:rPr>
                <w:sz w:val="1"/>
                <w:szCs w:val="1"/>
                <w:color w:val="auto"/>
              </w:rPr>
            </w:pPr>
          </w:p>
        </w:tc>
      </w:tr>
      <w:tr>
        <w:trPr>
          <w:trHeight w:val="203"/>
        </w:trPr>
        <w:tc>
          <w:tcPr>
            <w:tcW w:w="5320" w:type="dxa"/>
            <w:vAlign w:val="bottom"/>
            <w:gridSpan w:val="2"/>
            <w:vMerge w:val="restart"/>
          </w:tcPr>
          <w:p>
            <w:pPr>
              <w:ind w:left="1280"/>
              <w:spacing w:after="0"/>
              <w:rPr>
                <w:sz w:val="20"/>
                <w:szCs w:val="20"/>
                <w:color w:val="auto"/>
              </w:rPr>
            </w:pPr>
            <w:r>
              <w:rPr>
                <w:rFonts w:ascii="Courier New" w:cs="Courier New" w:eastAsia="Courier New" w:hAnsi="Courier New"/>
                <w:sz w:val="18"/>
                <w:szCs w:val="18"/>
                <w:color w:val="auto"/>
              </w:rPr>
              <w:t>Total stockholders' equity</w:t>
            </w: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20" w:type="dxa"/>
            <w:vAlign w:val="bottom"/>
            <w:gridSpan w:val="2"/>
            <w:vMerge w:val="continue"/>
          </w:tcPr>
          <w:p>
            <w:pPr>
              <w:spacing w:after="0"/>
              <w:rPr>
                <w:sz w:val="17"/>
                <w:szCs w:val="17"/>
                <w:color w:val="auto"/>
              </w:rPr>
            </w:pPr>
          </w:p>
        </w:tc>
        <w:tc>
          <w:tcPr>
            <w:tcW w:w="18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69,331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69,193</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$ 84,877</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$ 88,374</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691"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 October 31,</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2005</w:t>
            </w:r>
          </w:p>
        </w:tc>
        <w:tc>
          <w:tcPr>
            <w:tcW w:w="18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2004</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thousands except per share data)</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$22,556</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$32,045</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14,361</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21,008</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Gross margin</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440" w:type="dxa"/>
            <w:vAlign w:val="bottom"/>
            <w:vMerge w:val="continue"/>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8,195</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11,037</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5,077</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6,188</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2,951</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2,825</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Operating profit</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167</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2,024</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2,666</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829</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2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229</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128</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2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3,770</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2,888</w:t>
            </w:r>
          </w:p>
        </w:tc>
        <w:tc>
          <w:tcPr>
            <w:tcW w:w="0" w:type="dxa"/>
            <w:vAlign w:val="bottom"/>
          </w:tcPr>
          <w:p>
            <w:pPr>
              <w:spacing w:after="0"/>
              <w:rPr>
                <w:sz w:val="1"/>
                <w:szCs w:val="1"/>
                <w:color w:val="auto"/>
              </w:rPr>
            </w:pPr>
          </w:p>
        </w:tc>
      </w:tr>
      <w:tr>
        <w:trPr>
          <w:trHeight w:val="296"/>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provision for income taxes</w:t>
            </w:r>
          </w:p>
        </w:tc>
        <w:tc>
          <w:tcPr>
            <w:tcW w:w="220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2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22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3,770</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2,889</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1,296</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Net income</w:t>
            </w: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$ 2,474</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$ 1,889</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2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$ 0.29</w:t>
            </w:r>
          </w:p>
        </w:tc>
        <w:tc>
          <w:tcPr>
            <w:tcW w:w="180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5"/>
              </w:rPr>
              <w:t>$ 0.22</w:t>
            </w:r>
          </w:p>
        </w:tc>
        <w:tc>
          <w:tcPr>
            <w:tcW w:w="0" w:type="dxa"/>
            <w:vAlign w:val="bottom"/>
          </w:tcPr>
          <w:p>
            <w:pPr>
              <w:spacing w:after="0"/>
              <w:rPr>
                <w:sz w:val="1"/>
                <w:szCs w:val="1"/>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2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Diluted</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$ 0.29</w:t>
            </w:r>
          </w:p>
        </w:tc>
        <w:tc>
          <w:tcPr>
            <w:tcW w:w="18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$ 0.22</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Average shares outstanding</w:t>
            </w:r>
          </w:p>
        </w:tc>
        <w:tc>
          <w:tcPr>
            <w:tcW w:w="2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8,525,629</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8,460,881</w:t>
            </w:r>
          </w:p>
        </w:tc>
        <w:tc>
          <w:tcPr>
            <w:tcW w:w="0" w:type="dxa"/>
            <w:vAlign w:val="bottom"/>
          </w:tcPr>
          <w:p>
            <w:pPr>
              <w:spacing w:after="0"/>
              <w:rPr>
                <w:sz w:val="1"/>
                <w:szCs w:val="1"/>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20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Diluted</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8,665,810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8,660,079</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condensed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893"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Condensed Consolidated Statements of Operations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Three Months Ended October 31,</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16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7"/>
              </w:rPr>
              <w:t>2005</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16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 thousands except per share data)</w:t>
            </w:r>
          </w:p>
        </w:tc>
        <w:tc>
          <w:tcPr>
            <w:tcW w:w="0" w:type="dxa"/>
            <w:vAlign w:val="bottom"/>
          </w:tcPr>
          <w:p>
            <w:pPr>
              <w:spacing w:after="0"/>
              <w:rPr>
                <w:sz w:val="1"/>
                <w:szCs w:val="1"/>
                <w:color w:val="auto"/>
              </w:rPr>
            </w:pPr>
          </w:p>
        </w:tc>
      </w:tr>
      <w:tr>
        <w:trPr>
          <w:trHeight w:val="514"/>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$11,499</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$14,362</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7,401</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9,103</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Gross margin</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440" w:type="dxa"/>
            <w:vAlign w:val="bottom"/>
            <w:vMerge w:val="continue"/>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4,098</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5,259</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2,533</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2,895</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1,509</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1,589</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Operating profit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440" w:type="dxa"/>
            <w:vAlign w:val="bottom"/>
            <w:vMerge w:val="continue"/>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56</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775</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1,341</w:t>
            </w:r>
          </w:p>
        </w:tc>
        <w:tc>
          <w:tcPr>
            <w:tcW w:w="184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414</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216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70</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698</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96"/>
        </w:trPr>
        <w:tc>
          <w:tcPr>
            <w:tcW w:w="444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minority interest and</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440" w:type="dxa"/>
            <w:vAlign w:val="bottom"/>
            <w:vMerge w:val="continue"/>
          </w:tcPr>
          <w:p>
            <w:pPr>
              <w:spacing w:after="0"/>
              <w:rPr>
                <w:sz w:val="9"/>
                <w:szCs w:val="9"/>
                <w:color w:val="auto"/>
              </w:rPr>
            </w:pPr>
          </w:p>
        </w:tc>
        <w:tc>
          <w:tcPr>
            <w:tcW w:w="21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2,149</w:t>
            </w:r>
          </w:p>
        </w:tc>
        <w:tc>
          <w:tcPr>
            <w:tcW w:w="184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1,186</w:t>
            </w:r>
          </w:p>
        </w:tc>
        <w:tc>
          <w:tcPr>
            <w:tcW w:w="0" w:type="dxa"/>
            <w:vAlign w:val="bottom"/>
          </w:tcPr>
          <w:p>
            <w:pPr>
              <w:spacing w:after="0"/>
              <w:rPr>
                <w:sz w:val="1"/>
                <w:szCs w:val="1"/>
                <w:color w:val="auto"/>
              </w:rPr>
            </w:pPr>
          </w:p>
        </w:tc>
      </w:tr>
      <w:tr>
        <w:trPr>
          <w:trHeight w:val="296"/>
        </w:trPr>
        <w:tc>
          <w:tcPr>
            <w:tcW w:w="4440" w:type="dxa"/>
            <w:vAlign w:val="bottom"/>
          </w:tcPr>
          <w:p>
            <w:pPr>
              <w:ind w:left="540"/>
              <w:spacing w:after="0"/>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Minority interest in loss of</w:t>
            </w:r>
          </w:p>
        </w:tc>
        <w:tc>
          <w:tcPr>
            <w:tcW w:w="21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8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consolidated subsidiary</w:t>
            </w:r>
          </w:p>
        </w:tc>
        <w:tc>
          <w:tcPr>
            <w:tcW w:w="216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Income before provision for income taxes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2,149</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1,206</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817</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352</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Net income</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$ 1,332</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854</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160" w:type="dxa"/>
            <w:vAlign w:val="bottom"/>
            <w:vMerge w:val="restart"/>
          </w:tcPr>
          <w:p>
            <w:pPr>
              <w:jc w:val="center"/>
              <w:ind w:left="272"/>
              <w:spacing w:after="0"/>
              <w:rPr>
                <w:sz w:val="20"/>
                <w:szCs w:val="20"/>
                <w:color w:val="auto"/>
              </w:rPr>
            </w:pPr>
            <w:r>
              <w:rPr>
                <w:rFonts w:ascii="Courier New" w:cs="Courier New" w:eastAsia="Courier New" w:hAnsi="Courier New"/>
                <w:sz w:val="18"/>
                <w:szCs w:val="18"/>
                <w:color w:val="auto"/>
                <w:w w:val="98"/>
              </w:rPr>
              <w:t>$ 0.16</w:t>
            </w:r>
          </w:p>
        </w:tc>
        <w:tc>
          <w:tcPr>
            <w:tcW w:w="184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$ 0.10</w:t>
            </w:r>
          </w:p>
        </w:tc>
        <w:tc>
          <w:tcPr>
            <w:tcW w:w="0" w:type="dxa"/>
            <w:vAlign w:val="bottom"/>
          </w:tcPr>
          <w:p>
            <w:pPr>
              <w:spacing w:after="0"/>
              <w:rPr>
                <w:sz w:val="1"/>
                <w:szCs w:val="1"/>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16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$ 0.15</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$ 0.10</w:t>
            </w:r>
          </w:p>
        </w:tc>
        <w:tc>
          <w:tcPr>
            <w:tcW w:w="0" w:type="dxa"/>
            <w:vAlign w:val="bottom"/>
          </w:tcPr>
          <w:p>
            <w:pPr>
              <w:spacing w:after="0"/>
              <w:rPr>
                <w:sz w:val="1"/>
                <w:szCs w:val="1"/>
                <w:color w:val="auto"/>
              </w:rPr>
            </w:pPr>
          </w:p>
        </w:tc>
      </w:tr>
      <w:tr>
        <w:trPr>
          <w:trHeight w:val="296"/>
        </w:trPr>
        <w:tc>
          <w:tcPr>
            <w:tcW w:w="4440" w:type="dxa"/>
            <w:vAlign w:val="bottom"/>
            <w:vMerge w:val="restart"/>
          </w:tcPr>
          <w:p>
            <w:pPr>
              <w:spacing w:after="0"/>
              <w:rPr>
                <w:sz w:val="20"/>
                <w:szCs w:val="20"/>
                <w:color w:val="auto"/>
              </w:rPr>
            </w:pPr>
            <w:r>
              <w:rPr>
                <w:rFonts w:ascii="Courier New" w:cs="Courier New" w:eastAsia="Courier New" w:hAnsi="Courier New"/>
                <w:sz w:val="18"/>
                <w:szCs w:val="18"/>
                <w:color w:val="auto"/>
              </w:rPr>
              <w:t>Average shares outstanding</w:t>
            </w:r>
          </w:p>
        </w:tc>
        <w:tc>
          <w:tcPr>
            <w:tcW w:w="216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440" w:type="dxa"/>
            <w:vAlign w:val="bottom"/>
            <w:vMerge w:val="continue"/>
          </w:tcPr>
          <w:p>
            <w:pPr>
              <w:spacing w:after="0"/>
              <w:rPr>
                <w:sz w:val="9"/>
                <w:szCs w:val="9"/>
                <w:color w:val="auto"/>
              </w:rPr>
            </w:pPr>
          </w:p>
        </w:tc>
        <w:tc>
          <w:tcPr>
            <w:tcW w:w="21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8,531,238</w:t>
            </w:r>
          </w:p>
        </w:tc>
        <w:tc>
          <w:tcPr>
            <w:tcW w:w="184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8,487,145</w:t>
            </w:r>
          </w:p>
        </w:tc>
        <w:tc>
          <w:tcPr>
            <w:tcW w:w="0" w:type="dxa"/>
            <w:vAlign w:val="bottom"/>
          </w:tcPr>
          <w:p>
            <w:pPr>
              <w:spacing w:after="0"/>
              <w:rPr>
                <w:sz w:val="1"/>
                <w:szCs w:val="1"/>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8,674,280</w:t>
            </w:r>
          </w:p>
        </w:tc>
        <w:tc>
          <w:tcPr>
            <w:tcW w:w="18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8,666,792</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893" w:right="1440" w:bottom="1440" w:gutter="0" w:footer="0" w:header="0"/>
        </w:sectPr>
      </w:pPr>
    </w:p>
    <w:bookmarkStart w:id="6" w:name="page7"/>
    <w:bookmarkEnd w:id="6"/>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 October 31,</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2005</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2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5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$ 2,474</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$ 1,889</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(income) charges to earnings, net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(1,512)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1,731</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(2,863)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w:t>
            </w:r>
          </w:p>
        </w:tc>
        <w:tc>
          <w:tcPr>
            <w:tcW w:w="0" w:type="dxa"/>
            <w:vAlign w:val="bottom"/>
          </w:tcPr>
          <w:p>
            <w:pPr>
              <w:spacing w:after="0"/>
              <w:rPr>
                <w:sz w:val="1"/>
                <w:szCs w:val="1"/>
                <w:color w:val="auto"/>
              </w:rPr>
            </w:pPr>
          </w:p>
        </w:tc>
      </w:tr>
      <w:tr>
        <w:trPr>
          <w:trHeight w:val="203"/>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in) provided by operating activities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2,861</w:t>
            </w:r>
          </w:p>
        </w:tc>
        <w:tc>
          <w:tcPr>
            <w:tcW w:w="0" w:type="dxa"/>
            <w:vAlign w:val="bottom"/>
          </w:tcPr>
          <w:p>
            <w:pPr>
              <w:spacing w:after="0"/>
              <w:rPr>
                <w:sz w:val="1"/>
                <w:szCs w:val="1"/>
                <w:color w:val="auto"/>
              </w:rPr>
            </w:pPr>
          </w:p>
        </w:tc>
      </w:tr>
      <w:tr>
        <w:trPr>
          <w:trHeight w:val="296"/>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700" w:type="dxa"/>
            <w:vAlign w:val="bottom"/>
            <w:vMerge w:val="continue"/>
          </w:tcPr>
          <w:p>
            <w:pPr>
              <w:spacing w:after="0"/>
              <w:rPr>
                <w:sz w:val="9"/>
                <w:szCs w:val="9"/>
                <w:color w:val="auto"/>
              </w:rPr>
            </w:pP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(103)</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(830)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w:t>
            </w:r>
          </w:p>
        </w:tc>
        <w:tc>
          <w:tcPr>
            <w:tcW w:w="1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12,568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(8,802)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(2,272)</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(869)</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w:t>
            </w:r>
          </w:p>
        </w:tc>
        <w:tc>
          <w:tcPr>
            <w:tcW w:w="0" w:type="dxa"/>
            <w:vAlign w:val="bottom"/>
          </w:tcPr>
          <w:p>
            <w:pPr>
              <w:spacing w:after="0"/>
              <w:rPr>
                <w:sz w:val="1"/>
                <w:szCs w:val="1"/>
                <w:color w:val="auto"/>
              </w:rPr>
            </w:pPr>
          </w:p>
        </w:tc>
      </w:tr>
      <w:tr>
        <w:trPr>
          <w:trHeight w:val="203"/>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(used in) investing activities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2,730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(2,903)</w:t>
            </w:r>
          </w:p>
        </w:tc>
        <w:tc>
          <w:tcPr>
            <w:tcW w:w="0" w:type="dxa"/>
            <w:vAlign w:val="bottom"/>
          </w:tcPr>
          <w:p>
            <w:pPr>
              <w:spacing w:after="0"/>
              <w:rPr>
                <w:sz w:val="1"/>
                <w:szCs w:val="1"/>
                <w:color w:val="auto"/>
              </w:rPr>
            </w:pPr>
          </w:p>
        </w:tc>
      </w:tr>
      <w:tr>
        <w:trPr>
          <w:trHeight w:val="296"/>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700" w:type="dxa"/>
            <w:vAlign w:val="bottom"/>
            <w:vMerge w:val="continue"/>
          </w:tcPr>
          <w:p>
            <w:pPr>
              <w:spacing w:after="0"/>
              <w:rPr>
                <w:sz w:val="9"/>
                <w:szCs w:val="9"/>
                <w:color w:val="auto"/>
              </w:rPr>
            </w:pPr>
          </w:p>
        </w:tc>
        <w:tc>
          <w:tcPr>
            <w:tcW w:w="15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short-term credit obligations</w:t>
            </w:r>
          </w:p>
        </w:tc>
        <w:tc>
          <w:tcPr>
            <w:tcW w:w="1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on long-term obligations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(1,864)</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03"/>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in financing activities</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(2,611)</w:t>
            </w:r>
          </w:p>
        </w:tc>
        <w:tc>
          <w:tcPr>
            <w:tcW w:w="0" w:type="dxa"/>
            <w:vAlign w:val="bottom"/>
          </w:tcPr>
          <w:p>
            <w:pPr>
              <w:spacing w:after="0"/>
              <w:rPr>
                <w:sz w:val="1"/>
                <w:szCs w:val="1"/>
                <w:color w:val="auto"/>
              </w:rPr>
            </w:pPr>
          </w:p>
        </w:tc>
      </w:tr>
      <w:tr>
        <w:trPr>
          <w:trHeight w:val="296"/>
        </w:trPr>
        <w:tc>
          <w:tcPr>
            <w:tcW w:w="5700" w:type="dxa"/>
            <w:vAlign w:val="bottom"/>
            <w:vMerge w:val="restart"/>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700" w:type="dxa"/>
            <w:vAlign w:val="bottom"/>
            <w:vMerge w:val="continue"/>
          </w:tcPr>
          <w:p>
            <w:pPr>
              <w:spacing w:after="0"/>
              <w:rPr>
                <w:sz w:val="9"/>
                <w:szCs w:val="9"/>
                <w:color w:val="auto"/>
              </w:rPr>
            </w:pP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(2,653)</w:t>
            </w:r>
          </w:p>
        </w:tc>
        <w:tc>
          <w:tcPr>
            <w:tcW w:w="0" w:type="dxa"/>
            <w:vAlign w:val="bottom"/>
          </w:tcPr>
          <w:p>
            <w:pPr>
              <w:spacing w:after="0"/>
              <w:rPr>
                <w:sz w:val="1"/>
                <w:szCs w:val="1"/>
                <w:color w:val="auto"/>
              </w:rPr>
            </w:pPr>
          </w:p>
        </w:tc>
      </w:tr>
      <w:tr>
        <w:trPr>
          <w:trHeight w:val="296"/>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before effect of exchange rate changes</w:t>
            </w:r>
          </w:p>
        </w:tc>
        <w:tc>
          <w:tcPr>
            <w:tcW w:w="15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5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113</w:t>
            </w:r>
          </w:p>
        </w:tc>
        <w:tc>
          <w:tcPr>
            <w:tcW w:w="1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5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700" w:type="dxa"/>
            <w:vAlign w:val="bottom"/>
          </w:tcPr>
          <w:p>
            <w:pPr>
              <w:ind w:left="320"/>
              <w:spacing w:after="0"/>
              <w:rPr>
                <w:sz w:val="20"/>
                <w:szCs w:val="20"/>
                <w:color w:val="auto"/>
              </w:rPr>
            </w:pPr>
            <w:r>
              <w:rPr>
                <w:rFonts w:ascii="Courier New" w:cs="Courier New" w:eastAsia="Courier New" w:hAnsi="Courier New"/>
                <w:sz w:val="18"/>
                <w:szCs w:val="18"/>
                <w:color w:val="auto"/>
              </w:rPr>
              <w:t>Net increase (decrease) in cash</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111</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(2,640)</w:t>
            </w:r>
          </w:p>
        </w:tc>
        <w:tc>
          <w:tcPr>
            <w:tcW w:w="0" w:type="dxa"/>
            <w:vAlign w:val="bottom"/>
          </w:tcPr>
          <w:p>
            <w:pPr>
              <w:spacing w:after="0"/>
              <w:rPr>
                <w:sz w:val="1"/>
                <w:szCs w:val="1"/>
                <w:color w:val="auto"/>
              </w:rPr>
            </w:pPr>
          </w:p>
        </w:tc>
      </w:tr>
      <w:tr>
        <w:trPr>
          <w:trHeight w:val="311"/>
        </w:trPr>
        <w:tc>
          <w:tcPr>
            <w:tcW w:w="5700" w:type="dxa"/>
            <w:vAlign w:val="bottom"/>
          </w:tcPr>
          <w:p>
            <w:pPr>
              <w:ind w:left="320"/>
              <w:spacing w:after="0"/>
              <w:rPr>
                <w:sz w:val="20"/>
                <w:szCs w:val="20"/>
                <w:color w:val="auto"/>
              </w:rPr>
            </w:pPr>
            <w:r>
              <w:rPr>
                <w:rFonts w:ascii="Courier New" w:cs="Courier New" w:eastAsia="Courier New" w:hAnsi="Courier New"/>
                <w:sz w:val="18"/>
                <w:szCs w:val="18"/>
                <w:color w:val="auto"/>
              </w:rPr>
              <w:t>Cash at beginning of period</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6,701</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5,699</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700" w:type="dxa"/>
            <w:vAlign w:val="bottom"/>
          </w:tcPr>
          <w:p>
            <w:pPr>
              <w:ind w:left="320"/>
              <w:spacing w:after="0"/>
              <w:rPr>
                <w:sz w:val="20"/>
                <w:szCs w:val="20"/>
                <w:color w:val="auto"/>
              </w:rPr>
            </w:pPr>
            <w:r>
              <w:rPr>
                <w:rFonts w:ascii="Courier New" w:cs="Courier New" w:eastAsia="Courier New" w:hAnsi="Courier New"/>
                <w:sz w:val="18"/>
                <w:szCs w:val="18"/>
                <w:color w:val="auto"/>
              </w:rPr>
              <w:t>Cash at end of period</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$ 6,812</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$ 3,059</w:t>
            </w: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4"/>
                <w:szCs w:val="24"/>
                <w:color w:val="auto"/>
              </w:rPr>
            </w:pP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accompanying notes to condensed consolidated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893"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1" w:lineRule="exact"/>
        <w:rPr>
          <w:sz w:val="20"/>
          <w:szCs w:val="20"/>
          <w:color w:val="auto"/>
        </w:rPr>
      </w:pPr>
    </w:p>
    <w:p>
      <w:pPr>
        <w:jc w:val="both"/>
        <w:ind w:right="1779" w:firstLine="527"/>
        <w:spacing w:after="0" w:line="280"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2005 and the results of its operations and cash flows for the six and three months ended October 31, 2005 and 2004. The April 30, 2005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financial statements and notes thereto included in the Company's April 30, 2005 Annual Report to Stockholders. The results of operations for such interim periods are not necessarily indicative of the operating results for the full year.</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EARNINGS PER SHARE</w:t>
      </w:r>
    </w:p>
    <w:p>
      <w:pPr>
        <w:spacing w:after="0" w:line="201"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Reconciliation of the weighted average shares outstanding for basic and diluted Earnings Per Share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52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Six months</w:t>
            </w:r>
          </w:p>
        </w:tc>
        <w:tc>
          <w:tcPr>
            <w:tcW w:w="23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5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2005</w:t>
            </w:r>
          </w:p>
        </w:tc>
        <w:tc>
          <w:tcPr>
            <w:tcW w:w="370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96"/>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Basic EPS Shares outstanding</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540" w:type="dxa"/>
            <w:vAlign w:val="bottom"/>
            <w:vMerge w:val="continue"/>
          </w:tcPr>
          <w:p>
            <w:pPr>
              <w:spacing w:after="0"/>
              <w:rPr>
                <w:sz w:val="9"/>
                <w:szCs w:val="9"/>
                <w:color w:val="auto"/>
              </w:rPr>
            </w:pPr>
          </w:p>
        </w:tc>
        <w:tc>
          <w:tcPr>
            <w:tcW w:w="12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8,525,629</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8,460,881</w:t>
            </w:r>
          </w:p>
        </w:tc>
        <w:tc>
          <w:tcPr>
            <w:tcW w:w="126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8,531,238</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8,487,145</w:t>
            </w:r>
          </w:p>
        </w:tc>
        <w:tc>
          <w:tcPr>
            <w:tcW w:w="0" w:type="dxa"/>
            <w:vAlign w:val="bottom"/>
          </w:tcPr>
          <w:p>
            <w:pPr>
              <w:spacing w:after="0"/>
              <w:rPr>
                <w:sz w:val="1"/>
                <w:szCs w:val="1"/>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12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140,181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199,198</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143,042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179,647</w:t>
            </w:r>
          </w:p>
        </w:tc>
        <w:tc>
          <w:tcPr>
            <w:tcW w:w="0" w:type="dxa"/>
            <w:vAlign w:val="bottom"/>
          </w:tcPr>
          <w:p>
            <w:pPr>
              <w:spacing w:after="0"/>
              <w:rPr>
                <w:sz w:val="1"/>
                <w:szCs w:val="1"/>
                <w:color w:val="auto"/>
              </w:rPr>
            </w:pPr>
          </w:p>
        </w:tc>
      </w:tr>
      <w:tr>
        <w:trPr>
          <w:trHeight w:val="203"/>
        </w:trPr>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Diluted EPS Shares outstanding</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8,665,810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8,660,079</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8,674,280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8,666,792</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w w:val="98"/>
              </w:rPr>
              <w:t>Outstanding Options excluded ***</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570,550</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411,750</w:t>
            </w: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570,550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471,750</w:t>
            </w:r>
          </w:p>
        </w:tc>
        <w:tc>
          <w:tcPr>
            <w:tcW w:w="0" w:type="dxa"/>
            <w:vAlign w:val="bottom"/>
          </w:tcPr>
          <w:p>
            <w:pPr>
              <w:spacing w:after="0"/>
              <w:rPr>
                <w:sz w:val="1"/>
                <w:szCs w:val="1"/>
                <w:color w:val="auto"/>
              </w:rPr>
            </w:pPr>
          </w:p>
        </w:tc>
      </w:tr>
      <w:tr>
        <w:trPr>
          <w:trHeight w:val="296"/>
        </w:trPr>
        <w:tc>
          <w:tcPr>
            <w:tcW w:w="35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35"/>
        <w:spacing w:after="0" w:line="265"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these outstanding options was greater than the average market price of the Company's common shares during the six and three month periods ended October 31, 2005 and 2004. Since their inclusion in the computation of earnings per share would have been antidilutive, these options are excluded from such computation.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1"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Accounts receivable at October 31 and April 30, 2005 include costs and estimated earnings in excess of billings on uncompleted contracts accounted for on the percentage of completion basis of approximately $3,039,000 and $4,138,000, respectively. Such amounts represent revenue recognized on long-term contracts that had not been billed at the balance sheet dates. Such amounts are billed pursuant to contract terms.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NOTE D - INVENTORIES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ind w:left="540"/>
              <w:spacing w:after="0"/>
              <w:rPr>
                <w:sz w:val="20"/>
                <w:szCs w:val="20"/>
                <w:color w:val="auto"/>
              </w:rPr>
            </w:pPr>
            <w:r>
              <w:rPr>
                <w:rFonts w:ascii="Courier New" w:cs="Courier New" w:eastAsia="Courier New" w:hAnsi="Courier New"/>
                <w:sz w:val="18"/>
                <w:szCs w:val="18"/>
                <w:color w:val="auto"/>
                <w:w w:val="96"/>
              </w:rPr>
              <w:t>Inventories,   which</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are</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reported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net  of</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reserves  of</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$4,252,000  and</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$4,289,000  at  October</w:t>
            </w: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31 and April 30,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respectively,</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consist  of the</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following:</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7"/>
              </w:rPr>
              <w:t>October 31, 2005</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April 30, 2005</w:t>
            </w:r>
          </w:p>
        </w:tc>
        <w:tc>
          <w:tcPr>
            <w:tcW w:w="0" w:type="dxa"/>
            <w:vAlign w:val="bottom"/>
          </w:tcPr>
          <w:p>
            <w:pPr>
              <w:spacing w:after="0"/>
              <w:rPr>
                <w:sz w:val="1"/>
                <w:szCs w:val="1"/>
                <w:color w:val="auto"/>
              </w:rPr>
            </w:pPr>
          </w:p>
        </w:tc>
      </w:tr>
      <w:tr>
        <w:trPr>
          <w:trHeight w:val="203"/>
        </w:trPr>
        <w:tc>
          <w:tcPr>
            <w:tcW w:w="4320" w:type="dxa"/>
            <w:vAlign w:val="bottom"/>
            <w:gridSpan w:val="3"/>
            <w:vMerge w:val="restart"/>
          </w:tcPr>
          <w:p>
            <w:pPr>
              <w:ind w:left="320"/>
              <w:spacing w:after="0"/>
              <w:rPr>
                <w:sz w:val="20"/>
                <w:szCs w:val="20"/>
                <w:color w:val="auto"/>
              </w:rPr>
            </w:pPr>
            <w:r>
              <w:rPr>
                <w:rFonts w:ascii="Courier New" w:cs="Courier New" w:eastAsia="Courier New" w:hAnsi="Courier New"/>
                <w:sz w:val="18"/>
                <w:szCs w:val="18"/>
                <w:color w:val="auto"/>
              </w:rPr>
              <w:t>Raw materials and Component parts</w:t>
            </w:r>
          </w:p>
        </w:tc>
        <w:tc>
          <w:tcPr>
            <w:tcW w:w="900" w:type="dxa"/>
            <w:vAlign w:val="bottom"/>
          </w:tcPr>
          <w:p>
            <w:pPr>
              <w:spacing w:after="0"/>
              <w:rPr>
                <w:sz w:val="17"/>
                <w:szCs w:val="17"/>
                <w:color w:val="auto"/>
              </w:rPr>
            </w:pPr>
          </w:p>
        </w:tc>
        <w:tc>
          <w:tcPr>
            <w:tcW w:w="322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(In thousands)</w:t>
            </w:r>
          </w:p>
        </w:tc>
        <w:tc>
          <w:tcPr>
            <w:tcW w:w="0" w:type="dxa"/>
            <w:vAlign w:val="bottom"/>
          </w:tcPr>
          <w:p>
            <w:pPr>
              <w:spacing w:after="0"/>
              <w:rPr>
                <w:sz w:val="1"/>
                <w:szCs w:val="1"/>
                <w:color w:val="auto"/>
              </w:rPr>
            </w:pPr>
          </w:p>
        </w:tc>
      </w:tr>
      <w:tr>
        <w:trPr>
          <w:trHeight w:val="203"/>
        </w:trPr>
        <w:tc>
          <w:tcPr>
            <w:tcW w:w="4320" w:type="dxa"/>
            <w:vAlign w:val="bottom"/>
            <w:gridSpan w:val="3"/>
            <w:vMerge w:val="continue"/>
          </w:tcPr>
          <w:p>
            <w:pPr>
              <w:spacing w:after="0"/>
              <w:rPr>
                <w:sz w:val="17"/>
                <w:szCs w:val="17"/>
                <w:color w:val="auto"/>
              </w:rPr>
            </w:pPr>
          </w:p>
        </w:tc>
        <w:tc>
          <w:tcPr>
            <w:tcW w:w="23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$10,745</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$10,353</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progress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12,414</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12,595</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$23,159</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$22,948</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NOTE E- RELATED PARTY TRANSACTION</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2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During the quarter ended</w:t>
            </w:r>
          </w:p>
        </w:tc>
        <w:tc>
          <w:tcPr>
            <w:tcW w:w="20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October 31, 2005,</w:t>
            </w:r>
          </w:p>
        </w:tc>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Company sold the remaining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line="170" w:lineRule="exact"/>
              <w:rPr>
                <w:sz w:val="20"/>
                <w:szCs w:val="20"/>
                <w:color w:val="auto"/>
              </w:rPr>
            </w:pPr>
            <w:r>
              <w:rPr>
                <w:rFonts w:ascii="Courier New" w:cs="Courier New" w:eastAsia="Courier New" w:hAnsi="Courier New"/>
                <w:sz w:val="18"/>
                <w:szCs w:val="18"/>
                <w:color w:val="auto"/>
              </w:rPr>
              <w:t>building</w:t>
            </w:r>
          </w:p>
        </w:tc>
        <w:tc>
          <w:tcPr>
            <w:tcW w:w="96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rPr>
              <w:t>formerly</w:t>
            </w:r>
          </w:p>
        </w:tc>
        <w:tc>
          <w:tcPr>
            <w:tcW w:w="13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8"/>
              </w:rPr>
              <w:t>owned by its</w:t>
            </w:r>
          </w:p>
        </w:tc>
        <w:tc>
          <w:tcPr>
            <w:tcW w:w="2640" w:type="dxa"/>
            <w:vAlign w:val="bottom"/>
            <w:gridSpan w:val="2"/>
          </w:tcPr>
          <w:p>
            <w:pPr>
              <w:ind w:left="60"/>
              <w:spacing w:after="0" w:line="170" w:lineRule="exact"/>
              <w:rPr>
                <w:sz w:val="20"/>
                <w:szCs w:val="20"/>
                <w:color w:val="auto"/>
              </w:rPr>
            </w:pPr>
            <w:r>
              <w:rPr>
                <w:rFonts w:ascii="Courier New" w:cs="Courier New" w:eastAsia="Courier New" w:hAnsi="Courier New"/>
                <w:sz w:val="18"/>
                <w:szCs w:val="18"/>
                <w:color w:val="auto"/>
                <w:w w:val="98"/>
              </w:rPr>
              <w:t>French subsidiary to the</w:t>
            </w:r>
          </w:p>
        </w:tc>
        <w:tc>
          <w:tcPr>
            <w:tcW w:w="1360" w:type="dxa"/>
            <w:vAlign w:val="bottom"/>
          </w:tcPr>
          <w:p>
            <w:pPr>
              <w:jc w:val="center"/>
              <w:spacing w:after="0" w:line="170" w:lineRule="exact"/>
              <w:rPr>
                <w:sz w:val="20"/>
                <w:szCs w:val="20"/>
                <w:color w:val="auto"/>
              </w:rPr>
            </w:pPr>
            <w:r>
              <w:rPr>
                <w:rFonts w:ascii="Courier New" w:cs="Courier New" w:eastAsia="Courier New" w:hAnsi="Courier New"/>
                <w:sz w:val="18"/>
                <w:szCs w:val="18"/>
                <w:color w:val="auto"/>
                <w:w w:val="98"/>
              </w:rPr>
              <w:t>president of</w:t>
            </w:r>
          </w:p>
        </w:tc>
        <w:tc>
          <w:tcPr>
            <w:tcW w:w="122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Gillam-FEI.</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sale</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price of</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building</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was approximately</w:t>
            </w:r>
          </w:p>
        </w:tc>
        <w:tc>
          <w:tcPr>
            <w:tcW w:w="31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8"/>
              </w:rPr>
              <w:t>$990,000 and was based upon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w:t>
            </w:r>
          </w:p>
        </w:tc>
      </w:tr>
      <w:tr>
        <w:trPr>
          <w:trHeight w:val="296"/>
        </w:trPr>
        <w:tc>
          <w:tcPr>
            <w:tcW w:w="32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independent  appraisal  of the</w:t>
            </w:r>
          </w:p>
        </w:tc>
        <w:tc>
          <w:tcPr>
            <w:tcW w:w="1840" w:type="dxa"/>
            <w:vAlign w:val="bottom"/>
          </w:tcPr>
          <w:p>
            <w:pPr>
              <w:ind w:left="160"/>
              <w:spacing w:after="0"/>
              <w:rPr>
                <w:sz w:val="20"/>
                <w:szCs w:val="20"/>
                <w:color w:val="auto"/>
              </w:rPr>
            </w:pPr>
            <w:r>
              <w:rPr>
                <w:rFonts w:ascii="Courier New" w:cs="Courier New" w:eastAsia="Courier New" w:hAnsi="Courier New"/>
                <w:sz w:val="18"/>
                <w:szCs w:val="18"/>
                <w:color w:val="auto"/>
              </w:rPr>
              <w:t>building.  The</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6"/>
              </w:rPr>
              <w:t>recognized</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a  gain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r>
    </w:tbl>
    <w:p>
      <w:pPr>
        <w:sectPr>
          <w:pgSz w:w="11900" w:h="16838" w:orient="portrait"/>
          <w:cols w:equalWidth="0" w:num="1">
            <w:col w:w="10219"/>
          </w:cols>
          <w:pgMar w:left="240" w:top="893"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approximately $680,000 on the sale.</w:t>
      </w:r>
    </w:p>
    <w:p>
      <w:pPr>
        <w:sectPr>
          <w:pgSz w:w="11900" w:h="16838" w:orient="portrait"/>
          <w:cols w:equalWidth="0" w:num="1">
            <w:col w:w="10219"/>
          </w:cols>
          <w:pgMar w:left="240" w:top="110"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four reportable segments:</w:t>
      </w:r>
    </w:p>
    <w:p>
      <w:pPr>
        <w:spacing w:after="0" w:line="31" w:lineRule="exact"/>
        <w:rPr>
          <w:sz w:val="20"/>
          <w:szCs w:val="20"/>
          <w:color w:val="auto"/>
        </w:rPr>
      </w:pPr>
    </w:p>
    <w:p>
      <w:pPr>
        <w:jc w:val="both"/>
        <w:ind w:left="1060" w:right="1779"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Communications - consists principally of time and frequency control products used in two principal markets- commercial communication satellites and terrestrial cellular telephone or other ground-based telecommunication stations.</w:t>
      </w:r>
    </w:p>
    <w:p>
      <w:pPr>
        <w:spacing w:after="0" w:line="1" w:lineRule="exact"/>
        <w:rPr>
          <w:rFonts w:ascii="Courier New" w:cs="Courier New" w:eastAsia="Courier New" w:hAnsi="Courier New"/>
          <w:sz w:val="18"/>
          <w:szCs w:val="18"/>
          <w:color w:val="auto"/>
        </w:rPr>
      </w:pPr>
    </w:p>
    <w:p>
      <w:pPr>
        <w:ind w:left="1060" w:right="1779"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Government - consists of time and frequency control products used for national defense or space-related programs.</w:t>
      </w:r>
    </w:p>
    <w:p>
      <w:pPr>
        <w:ind w:left="1060" w:right="1779" w:hanging="525"/>
        <w:spacing w:after="0" w:line="238"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Gillam-FEI - the Company's Belgian subsidiary primarily sells wireline synchronization and network monitoring systems.</w:t>
      </w:r>
    </w:p>
    <w:p>
      <w:pPr>
        <w:jc w:val="both"/>
        <w:ind w:left="1060" w:right="1779" w:hanging="525"/>
        <w:spacing w:after="0" w:line="262"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table</w:t>
            </w:r>
          </w:p>
        </w:tc>
        <w:tc>
          <w:tcPr>
            <w:tcW w:w="19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below  presents</w:t>
            </w:r>
          </w:p>
        </w:tc>
        <w:tc>
          <w:tcPr>
            <w:tcW w:w="2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information</w:t>
            </w: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about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reported</w:t>
            </w:r>
          </w:p>
        </w:tc>
        <w:tc>
          <w:tcPr>
            <w:tcW w:w="116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segments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with</w:t>
            </w:r>
          </w:p>
        </w:tc>
        <w:tc>
          <w:tcPr>
            <w:tcW w:w="0" w:type="dxa"/>
            <w:vAlign w:val="bottom"/>
          </w:tcPr>
          <w:p>
            <w:pPr>
              <w:spacing w:after="0"/>
              <w:rPr>
                <w:sz w:val="1"/>
                <w:szCs w:val="1"/>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segment</w:t>
            </w:r>
          </w:p>
        </w:tc>
        <w:tc>
          <w:tcPr>
            <w:tcW w:w="55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8"/>
              </w:rPr>
              <w:t>amounts to  consolidated  amounts as reported in the</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or the</w:t>
            </w:r>
          </w:p>
        </w:tc>
        <w:tc>
          <w:tcPr>
            <w:tcW w:w="220" w:type="dxa"/>
            <w:vAlign w:val="bottom"/>
          </w:tcPr>
          <w:p>
            <w:pPr>
              <w:spacing w:after="0"/>
              <w:rPr>
                <w:sz w:val="17"/>
                <w:szCs w:val="17"/>
                <w:color w:val="auto"/>
              </w:rPr>
            </w:pPr>
          </w:p>
        </w:tc>
        <w:tc>
          <w:tcPr>
            <w:tcW w:w="3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balance  sheet  for each of the</w:t>
            </w:r>
          </w:p>
        </w:tc>
        <w:tc>
          <w:tcPr>
            <w:tcW w:w="7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periods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0" w:type="dxa"/>
            <w:vAlign w:val="bottom"/>
          </w:tcPr>
          <w:p>
            <w:pPr>
              <w:spacing w:after="0"/>
              <w:rPr>
                <w:sz w:val="1"/>
                <w:szCs w:val="1"/>
                <w:color w:val="auto"/>
              </w:rPr>
            </w:pPr>
          </w:p>
        </w:tc>
      </w:tr>
      <w:tr>
        <w:trPr>
          <w:trHeight w:val="296"/>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thousands):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vMerge w:val="restart"/>
          </w:tcPr>
          <w:p>
            <w:pPr>
              <w:jc w:val="right"/>
              <w:ind w:right="612"/>
              <w:spacing w:after="0"/>
              <w:rPr>
                <w:sz w:val="20"/>
                <w:szCs w:val="20"/>
                <w:color w:val="auto"/>
              </w:rPr>
            </w:pPr>
            <w:r>
              <w:rPr>
                <w:rFonts w:ascii="Courier New" w:cs="Courier New" w:eastAsia="Courier New" w:hAnsi="Courier New"/>
                <w:sz w:val="18"/>
                <w:szCs w:val="18"/>
                <w:color w:val="auto"/>
              </w:rPr>
              <w:t>Six months</w:t>
            </w:r>
          </w:p>
        </w:tc>
        <w:tc>
          <w:tcPr>
            <w:tcW w:w="880" w:type="dxa"/>
            <w:vAlign w:val="bottom"/>
          </w:tcPr>
          <w:p>
            <w:pPr>
              <w:spacing w:after="0"/>
              <w:rPr>
                <w:sz w:val="24"/>
                <w:szCs w:val="24"/>
                <w:color w:val="auto"/>
              </w:rPr>
            </w:pPr>
          </w:p>
        </w:tc>
        <w:tc>
          <w:tcPr>
            <w:tcW w:w="1700" w:type="dxa"/>
            <w:vAlign w:val="bottom"/>
            <w:gridSpan w:val="4"/>
            <w:vMerge w:val="restart"/>
          </w:tcPr>
          <w:p>
            <w:pPr>
              <w:jc w:val="right"/>
              <w:ind w:right="332"/>
              <w:spacing w:after="0"/>
              <w:rPr>
                <w:sz w:val="20"/>
                <w:szCs w:val="20"/>
                <w:color w:val="auto"/>
              </w:rPr>
            </w:pPr>
            <w:r>
              <w:rPr>
                <w:rFonts w:ascii="Courier New" w:cs="Courier New" w:eastAsia="Courier New" w:hAnsi="Courier New"/>
                <w:sz w:val="18"/>
                <w:szCs w:val="18"/>
                <w:color w:val="auto"/>
                <w:w w:val="97"/>
              </w:rPr>
              <w:t>Three months</w:t>
            </w:r>
          </w:p>
        </w:tc>
        <w:tc>
          <w:tcPr>
            <w:tcW w:w="0" w:type="dxa"/>
            <w:vAlign w:val="bottom"/>
          </w:tcPr>
          <w:p>
            <w:pPr>
              <w:spacing w:after="0"/>
              <w:rPr>
                <w:sz w:val="1"/>
                <w:szCs w:val="1"/>
                <w:color w:val="auto"/>
              </w:rPr>
            </w:pPr>
          </w:p>
        </w:tc>
      </w:tr>
      <w:tr>
        <w:trPr>
          <w:trHeight w:val="109"/>
        </w:trPr>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23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Periods ended October</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90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2004</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3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Net sales:</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0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$10,875</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$20,121</w:t>
            </w:r>
          </w:p>
        </w:tc>
        <w:tc>
          <w:tcPr>
            <w:tcW w:w="132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$ 5,906</w:t>
            </w:r>
          </w:p>
        </w:tc>
        <w:tc>
          <w:tcPr>
            <w:tcW w:w="360" w:type="dxa"/>
            <w:vAlign w:val="bottom"/>
          </w:tcPr>
          <w:p>
            <w:pPr>
              <w:spacing w:after="0"/>
              <w:rPr>
                <w:sz w:val="9"/>
                <w:szCs w:val="9"/>
                <w:color w:val="auto"/>
              </w:rPr>
            </w:pP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$ 8,807</w:t>
            </w: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Commercial Communications</w:t>
            </w:r>
          </w:p>
        </w:tc>
        <w:tc>
          <w:tcPr>
            <w:tcW w:w="6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U.S. Government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3,704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3,315</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1,817</w:t>
            </w:r>
          </w:p>
        </w:tc>
        <w:tc>
          <w:tcPr>
            <w:tcW w:w="360" w:type="dxa"/>
            <w:vAlign w:val="bottom"/>
          </w:tcPr>
          <w:p>
            <w:pPr>
              <w:spacing w:after="0"/>
              <w:rPr>
                <w:sz w:val="17"/>
                <w:szCs w:val="17"/>
                <w:color w:val="auto"/>
              </w:rPr>
            </w:pP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1,574</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4,059**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5,032</w:t>
            </w:r>
          </w:p>
        </w:tc>
        <w:tc>
          <w:tcPr>
            <w:tcW w:w="16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1,844**</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2,292</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5,132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4,177</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2,687</w:t>
            </w:r>
          </w:p>
        </w:tc>
        <w:tc>
          <w:tcPr>
            <w:tcW w:w="360" w:type="dxa"/>
            <w:vAlign w:val="bottom"/>
          </w:tcPr>
          <w:p>
            <w:pPr>
              <w:spacing w:after="0"/>
              <w:rPr>
                <w:sz w:val="17"/>
                <w:szCs w:val="17"/>
                <w:color w:val="auto"/>
              </w:rPr>
            </w:pP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2,143</w:t>
            </w: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62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(1,214)**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w:t>
            </w:r>
          </w:p>
        </w:tc>
        <w:tc>
          <w:tcPr>
            <w:tcW w:w="16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(755)**</w:t>
            </w:r>
          </w:p>
        </w:tc>
        <w:tc>
          <w:tcPr>
            <w:tcW w:w="3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(454)</w:t>
            </w:r>
          </w:p>
        </w:tc>
        <w:tc>
          <w:tcPr>
            <w:tcW w:w="0" w:type="dxa"/>
            <w:vAlign w:val="bottom"/>
          </w:tcPr>
          <w:p>
            <w:pPr>
              <w:spacing w:after="0"/>
              <w:rPr>
                <w:sz w:val="1"/>
                <w:szCs w:val="1"/>
                <w:color w:val="auto"/>
              </w:rPr>
            </w:pPr>
          </w:p>
        </w:tc>
      </w:tr>
      <w:tr>
        <w:trPr>
          <w:trHeight w:val="203"/>
        </w:trPr>
        <w:tc>
          <w:tcPr>
            <w:tcW w:w="2860" w:type="dxa"/>
            <w:vAlign w:val="bottom"/>
            <w:gridSpan w:val="3"/>
            <w:vMerge w:val="restart"/>
          </w:tcPr>
          <w:p>
            <w:pPr>
              <w:ind w:left="220"/>
              <w:spacing w:after="0"/>
              <w:rPr>
                <w:sz w:val="20"/>
                <w:szCs w:val="20"/>
                <w:color w:val="auto"/>
              </w:rPr>
            </w:pPr>
            <w:r>
              <w:rPr>
                <w:rFonts w:ascii="Courier New" w:cs="Courier New" w:eastAsia="Courier New" w:hAnsi="Courier New"/>
                <w:sz w:val="18"/>
                <w:szCs w:val="18"/>
                <w:color w:val="auto"/>
              </w:rPr>
              <w:t>Consolidated sales</w:t>
            </w:r>
          </w:p>
        </w:tc>
        <w:tc>
          <w:tcPr>
            <w:tcW w:w="620" w:type="dxa"/>
            <w:vAlign w:val="bottom"/>
          </w:tcPr>
          <w:p>
            <w:pPr>
              <w:spacing w:after="0"/>
              <w:rPr>
                <w:sz w:val="17"/>
                <w:szCs w:val="17"/>
                <w:color w:val="auto"/>
              </w:rPr>
            </w:pPr>
          </w:p>
        </w:tc>
        <w:tc>
          <w:tcPr>
            <w:tcW w:w="13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$22,556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$32,045</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$11,499</w:t>
            </w:r>
          </w:p>
        </w:tc>
        <w:tc>
          <w:tcPr>
            <w:tcW w:w="360" w:type="dxa"/>
            <w:vAlign w:val="bottom"/>
          </w:tcPr>
          <w:p>
            <w:pPr>
              <w:spacing w:after="0"/>
              <w:rPr>
                <w:sz w:val="17"/>
                <w:szCs w:val="17"/>
                <w:color w:val="auto"/>
              </w:rPr>
            </w:pP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$14,362</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5"/>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860" w:type="dxa"/>
            <w:vAlign w:val="bottom"/>
            <w:gridSpan w:val="3"/>
          </w:tcPr>
          <w:p>
            <w:pPr>
              <w:spacing w:after="0"/>
              <w:rPr>
                <w:sz w:val="20"/>
                <w:szCs w:val="20"/>
                <w:color w:val="auto"/>
              </w:rPr>
            </w:pPr>
            <w:r>
              <w:rPr>
                <w:rFonts w:ascii="Courier New" w:cs="Courier New" w:eastAsia="Courier New" w:hAnsi="Courier New"/>
                <w:sz w:val="18"/>
                <w:szCs w:val="18"/>
                <w:color w:val="auto"/>
              </w:rPr>
              <w:t>Operating profit (loss):</w:t>
            </w:r>
          </w:p>
        </w:tc>
        <w:tc>
          <w:tcPr>
            <w:tcW w:w="6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890**</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$3,411</w:t>
            </w:r>
          </w:p>
        </w:tc>
        <w:tc>
          <w:tcPr>
            <w:tcW w:w="8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00" w:type="dxa"/>
            <w:vAlign w:val="bottom"/>
            <w:gridSpan w:val="2"/>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456**</w:t>
            </w: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$1,447</w:t>
            </w: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Commercial Communications</w:t>
            </w:r>
          </w:p>
        </w:tc>
        <w:tc>
          <w:tcPr>
            <w:tcW w:w="6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U.S. Government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(684)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(184)</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(319)</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w:t>
            </w:r>
          </w:p>
        </w:tc>
        <w:tc>
          <w:tcPr>
            <w:tcW w:w="16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(362)**</w:t>
            </w:r>
          </w:p>
        </w:tc>
        <w:tc>
          <w:tcPr>
            <w:tcW w:w="3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(342)</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880" w:type="dxa"/>
            <w:vAlign w:val="bottom"/>
          </w:tcPr>
          <w:p>
            <w:pPr>
              <w:spacing w:after="0"/>
              <w:rPr>
                <w:sz w:val="17"/>
                <w:szCs w:val="17"/>
                <w:color w:val="auto"/>
              </w:rPr>
            </w:pP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382</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(236)</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(169)</w:t>
            </w:r>
          </w:p>
        </w:tc>
        <w:tc>
          <w:tcPr>
            <w:tcW w:w="0" w:type="dxa"/>
            <w:vAlign w:val="bottom"/>
          </w:tcPr>
          <w:p>
            <w:pPr>
              <w:spacing w:after="0"/>
              <w:rPr>
                <w:sz w:val="1"/>
                <w:szCs w:val="1"/>
                <w:color w:val="auto"/>
              </w:rPr>
            </w:pPr>
          </w:p>
        </w:tc>
      </w:tr>
      <w:tr>
        <w:trPr>
          <w:trHeight w:val="203"/>
        </w:trPr>
        <w:tc>
          <w:tcPr>
            <w:tcW w:w="3480" w:type="dxa"/>
            <w:vAlign w:val="bottom"/>
            <w:gridSpan w:val="4"/>
            <w:vMerge w:val="restart"/>
          </w:tcPr>
          <w:p>
            <w:pPr>
              <w:ind w:left="220"/>
              <w:spacing w:after="0"/>
              <w:rPr>
                <w:sz w:val="20"/>
                <w:szCs w:val="20"/>
                <w:color w:val="auto"/>
              </w:rPr>
            </w:pPr>
            <w:r>
              <w:rPr>
                <w:rFonts w:ascii="Courier New" w:cs="Courier New" w:eastAsia="Courier New" w:hAnsi="Courier New"/>
                <w:sz w:val="18"/>
                <w:szCs w:val="18"/>
                <w:color w:val="auto"/>
              </w:rPr>
              <w:t>Consolidated operating profit</w:t>
            </w:r>
          </w:p>
        </w:tc>
        <w:tc>
          <w:tcPr>
            <w:tcW w:w="13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gridSpan w:val="4"/>
            <w:vMerge w:val="continue"/>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w:t>
            </w:r>
          </w:p>
        </w:tc>
        <w:tc>
          <w:tcPr>
            <w:tcW w:w="3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1580" w:right="1779" w:hanging="519"/>
        <w:spacing w:after="0" w:line="252"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six and three month periods ended October 31, 2005, includes Gillam-FEI intersegment sales of $372,000 to the Commercial Communications segment for development of a wireline synchronization product for ultimate production and sale in the U.S. This amount was recorded as research and development expense of the Commercial Communications segment. In the fiscal year 2006 periods, these transactions resulted in lower operating profits in the Commercial Communications segment and reduced the reported operating loss in the Gillam-FEI segment.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October 31, 2005</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April 30, 2005</w:t>
            </w:r>
          </w:p>
        </w:tc>
        <w:tc>
          <w:tcPr>
            <w:tcW w:w="0" w:type="dxa"/>
            <w:vAlign w:val="bottom"/>
          </w:tcPr>
          <w:p>
            <w:pPr>
              <w:spacing w:after="0"/>
              <w:rPr>
                <w:sz w:val="1"/>
                <w:szCs w:val="1"/>
                <w:color w:val="auto"/>
              </w:rPr>
            </w:pPr>
          </w:p>
        </w:tc>
      </w:tr>
      <w:tr>
        <w:trPr>
          <w:trHeight w:val="296"/>
        </w:trPr>
        <w:tc>
          <w:tcPr>
            <w:tcW w:w="4020" w:type="dxa"/>
            <w:vAlign w:val="bottom"/>
            <w:vMerge w:val="restart"/>
          </w:tcPr>
          <w:p>
            <w:pPr>
              <w:spacing w:after="0"/>
              <w:rPr>
                <w:sz w:val="20"/>
                <w:szCs w:val="20"/>
                <w:color w:val="auto"/>
              </w:rPr>
            </w:pPr>
            <w:r>
              <w:rPr>
                <w:rFonts w:ascii="Courier New" w:cs="Courier New" w:eastAsia="Courier New" w:hAnsi="Courier New"/>
                <w:sz w:val="18"/>
                <w:szCs w:val="18"/>
                <w:color w:val="auto"/>
              </w:rPr>
              <w:t>Identifiable assets:</w:t>
            </w:r>
          </w:p>
        </w:tc>
        <w:tc>
          <w:tcPr>
            <w:tcW w:w="2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020" w:type="dxa"/>
            <w:vAlign w:val="bottom"/>
            <w:vMerge w:val="continue"/>
          </w:tcPr>
          <w:p>
            <w:pPr>
              <w:spacing w:after="0"/>
              <w:rPr>
                <w:sz w:val="9"/>
                <w:szCs w:val="9"/>
                <w:color w:val="auto"/>
              </w:rPr>
            </w:pPr>
          </w:p>
        </w:tc>
        <w:tc>
          <w:tcPr>
            <w:tcW w:w="242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$27,025</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$26,261</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24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Government</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5,962</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6,245</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Gillam-FEI</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11,956</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13,877</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FEI-Zyfer</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4,994</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4,796</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(9,343)</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(9,892)</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Corporate</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44,283</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47,087</w:t>
            </w:r>
          </w:p>
        </w:tc>
        <w:tc>
          <w:tcPr>
            <w:tcW w:w="0" w:type="dxa"/>
            <w:vAlign w:val="bottom"/>
          </w:tcPr>
          <w:p>
            <w:pPr>
              <w:spacing w:after="0"/>
              <w:rPr>
                <w:sz w:val="1"/>
                <w:szCs w:val="1"/>
                <w:color w:val="auto"/>
              </w:rPr>
            </w:pPr>
          </w:p>
        </w:tc>
      </w:tr>
      <w:tr>
        <w:trPr>
          <w:trHeight w:val="203"/>
        </w:trPr>
        <w:tc>
          <w:tcPr>
            <w:tcW w:w="40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Consolidated Identifiable Assets</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$84,877</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$88,374</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904" w:gutter="0" w:footer="0" w:header="0"/>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-COMPREHENSIVE INCOME</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For the six months ended October 31, 2005 and 2004 total comprehensive income was $755,000 and $3,809,000, respectively. Comprehensive income is composed of net income or loss for the period plus the impact of foreign currency translation adjustments and the change in the valuation allowance on marketable securities.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EQUITY-BASED COMPENSATION</w:t>
      </w:r>
    </w:p>
    <w:p>
      <w:pPr>
        <w:spacing w:after="0" w:line="201" w:lineRule="exact"/>
        <w:rPr>
          <w:sz w:val="20"/>
          <w:szCs w:val="20"/>
          <w:color w:val="auto"/>
        </w:rPr>
      </w:pPr>
    </w:p>
    <w:p>
      <w:pPr>
        <w:jc w:val="both"/>
        <w:ind w:right="1779" w:firstLine="527"/>
        <w:spacing w:after="0" w:line="287" w:lineRule="auto"/>
        <w:rPr>
          <w:sz w:val="20"/>
          <w:szCs w:val="20"/>
          <w:color w:val="auto"/>
        </w:rPr>
      </w:pPr>
      <w:r>
        <w:rPr>
          <w:rFonts w:ascii="Courier New" w:cs="Courier New" w:eastAsia="Courier New" w:hAnsi="Courier New"/>
          <w:sz w:val="16"/>
          <w:szCs w:val="16"/>
          <w:color w:val="auto"/>
        </w:rPr>
        <w:t>The Company applies the disclosure-only provisions of FAS 123, "Accounting for Stock-Based Compensation," as amended by FAS 148, "Accounting for Stock-Based Compensation - Transition and Disclosure," and continues to measure compensation cost in accordance with Accounting Principles Board Opinion No. 25, "Accounting for Stock Issued to Employees." Historically, this has not resulted in compensation cost upon the grant of options under a qualified stock option plan. However, in accordance with FAS 123, as amended by FAS 148, the Company provides pro forma disclosures of net earnings (loss) and earnings (loss) per share as if the fair value method had been applied beginning in fiscal 1996.</w:t>
      </w:r>
    </w:p>
    <w:p>
      <w:pPr>
        <w:spacing w:after="0" w:line="75"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123 as amended by FAS 148: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242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Six months</w:t>
            </w:r>
          </w:p>
        </w:tc>
        <w:tc>
          <w:tcPr>
            <w:tcW w:w="23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0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2005</w:t>
            </w:r>
          </w:p>
        </w:tc>
        <w:tc>
          <w:tcPr>
            <w:tcW w:w="2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Periods ended October 31,</w:t>
            </w:r>
          </w:p>
        </w:tc>
        <w:tc>
          <w:tcPr>
            <w:tcW w:w="260" w:type="dxa"/>
            <w:vAlign w:val="bottom"/>
          </w:tcPr>
          <w:p>
            <w:pPr>
              <w:spacing w:after="0"/>
              <w:rPr>
                <w:sz w:val="17"/>
                <w:szCs w:val="17"/>
                <w:color w:val="auto"/>
              </w:rPr>
            </w:pP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2004</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2004</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2005</w:t>
            </w:r>
          </w:p>
        </w:tc>
        <w:tc>
          <w:tcPr>
            <w:tcW w:w="2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03"/>
        </w:trPr>
        <w:tc>
          <w:tcPr>
            <w:tcW w:w="3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as reported</w:t>
            </w:r>
          </w:p>
        </w:tc>
        <w:tc>
          <w:tcPr>
            <w:tcW w:w="4800" w:type="dxa"/>
            <w:vAlign w:val="bottom"/>
            <w:gridSpan w:val="6"/>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$ 2,474</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$ 1,889</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$ 1,332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c>
          <w:tcPr>
            <w:tcW w:w="4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w:t>
            </w:r>
          </w:p>
        </w:tc>
        <w:tc>
          <w:tcPr>
            <w:tcW w:w="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c>
          <w:tcPr>
            <w:tcW w:w="0" w:type="dxa"/>
            <w:vAlign w:val="bottom"/>
          </w:tcPr>
          <w:p>
            <w:pPr>
              <w:spacing w:after="0"/>
              <w:rPr>
                <w:sz w:val="1"/>
                <w:szCs w:val="1"/>
                <w:color w:val="auto"/>
              </w:rPr>
            </w:pPr>
          </w:p>
        </w:tc>
      </w:tr>
      <w:tr>
        <w:trPr>
          <w:trHeight w:val="203"/>
        </w:trPr>
        <w:tc>
          <w:tcPr>
            <w:tcW w:w="3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 pro forma</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$ 2,328</w:t>
            </w:r>
          </w:p>
        </w:tc>
        <w:tc>
          <w:tcPr>
            <w:tcW w:w="13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$ 1,548</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$ 1,239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709</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640" w:type="dxa"/>
            <w:vAlign w:val="bottom"/>
          </w:tcPr>
          <w:p>
            <w:pPr>
              <w:spacing w:after="0"/>
              <w:rPr>
                <w:sz w:val="20"/>
                <w:szCs w:val="20"/>
                <w:color w:val="auto"/>
              </w:rPr>
            </w:pPr>
            <w:r>
              <w:rPr>
                <w:rFonts w:ascii="Courier New" w:cs="Courier New" w:eastAsia="Courier New" w:hAnsi="Courier New"/>
                <w:sz w:val="18"/>
                <w:szCs w:val="18"/>
                <w:color w:val="auto"/>
              </w:rPr>
              <w:t>Earnings per share, as reported:</w:t>
            </w:r>
          </w:p>
        </w:tc>
        <w:tc>
          <w:tcPr>
            <w:tcW w:w="1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$ 0.29</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0.22</w:t>
            </w:r>
          </w:p>
        </w:tc>
        <w:tc>
          <w:tcPr>
            <w:tcW w:w="14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$ 0.16</w:t>
            </w: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$ 0.10</w:t>
            </w:r>
          </w:p>
        </w:tc>
        <w:tc>
          <w:tcPr>
            <w:tcW w:w="0" w:type="dxa"/>
            <w:vAlign w:val="bottom"/>
          </w:tcPr>
          <w:p>
            <w:pPr>
              <w:spacing w:after="0"/>
              <w:rPr>
                <w:sz w:val="1"/>
                <w:szCs w:val="1"/>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0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Diluted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$ 0.29</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0.22</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$ 0.15</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$ 0.10</w:t>
            </w:r>
          </w:p>
        </w:tc>
        <w:tc>
          <w:tcPr>
            <w:tcW w:w="0" w:type="dxa"/>
            <w:vAlign w:val="bottom"/>
          </w:tcPr>
          <w:p>
            <w:pPr>
              <w:spacing w:after="0"/>
              <w:rPr>
                <w:sz w:val="1"/>
                <w:szCs w:val="1"/>
                <w:color w:val="auto"/>
              </w:rPr>
            </w:pPr>
          </w:p>
        </w:tc>
      </w:tr>
      <w:tr>
        <w:trPr>
          <w:trHeight w:val="296"/>
        </w:trPr>
        <w:tc>
          <w:tcPr>
            <w:tcW w:w="364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share- pro forma</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640" w:type="dxa"/>
            <w:vAlign w:val="bottom"/>
            <w:vMerge w:val="continue"/>
          </w:tcPr>
          <w:p>
            <w:pPr>
              <w:spacing w:after="0"/>
              <w:rPr>
                <w:sz w:val="9"/>
                <w:szCs w:val="9"/>
                <w:color w:val="auto"/>
              </w:rPr>
            </w:pPr>
          </w:p>
        </w:tc>
        <w:tc>
          <w:tcPr>
            <w:tcW w:w="1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$ 0.27</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0.18</w:t>
            </w:r>
          </w:p>
        </w:tc>
        <w:tc>
          <w:tcPr>
            <w:tcW w:w="14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$ 0.15</w:t>
            </w:r>
          </w:p>
        </w:tc>
        <w:tc>
          <w:tcPr>
            <w:tcW w:w="9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$ 0.08</w:t>
            </w:r>
          </w:p>
        </w:tc>
        <w:tc>
          <w:tcPr>
            <w:tcW w:w="0" w:type="dxa"/>
            <w:vAlign w:val="bottom"/>
          </w:tcPr>
          <w:p>
            <w:pPr>
              <w:spacing w:after="0"/>
              <w:rPr>
                <w:sz w:val="1"/>
                <w:szCs w:val="1"/>
                <w:color w:val="auto"/>
              </w:rPr>
            </w:pPr>
          </w:p>
        </w:tc>
      </w:tr>
      <w:tr>
        <w:trPr>
          <w:trHeight w:val="203"/>
        </w:trPr>
        <w:tc>
          <w:tcPr>
            <w:tcW w:w="3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0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Diluted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$ 0.27</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0.18</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$ 0.14</w:t>
            </w:r>
          </w:p>
        </w:tc>
        <w:tc>
          <w:tcPr>
            <w:tcW w:w="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$ 0.08</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4"/>
                <w:szCs w:val="24"/>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fiscal years 2006 and 2005: dividend yield of 1.83%; expected volatility of 59%; risk free interest rate of 3.9%; and expected lives of six and one-half years.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RECENTLY ISSUED ACCOUNTING PRONOUNCEMENTS</w:t>
      </w:r>
    </w:p>
    <w:p>
      <w:pPr>
        <w:spacing w:after="0" w:line="201" w:lineRule="exact"/>
        <w:rPr>
          <w:sz w:val="20"/>
          <w:szCs w:val="20"/>
          <w:color w:val="auto"/>
        </w:rPr>
      </w:pPr>
    </w:p>
    <w:p>
      <w:pPr>
        <w:jc w:val="both"/>
        <w:ind w:right="1779" w:firstLine="527"/>
        <w:spacing w:after="0" w:line="282" w:lineRule="auto"/>
        <w:rPr>
          <w:sz w:val="20"/>
          <w:szCs w:val="20"/>
          <w:color w:val="auto"/>
        </w:rPr>
      </w:pPr>
      <w:r>
        <w:rPr>
          <w:rFonts w:ascii="Courier New" w:cs="Courier New" w:eastAsia="Courier New" w:hAnsi="Courier New"/>
          <w:sz w:val="16"/>
          <w:szCs w:val="16"/>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ectPr>
          <w:pgSz w:w="11900" w:h="16838" w:orient="portrait"/>
          <w:cols w:equalWidth="0" w:num="1">
            <w:col w:w="10219"/>
          </w:cols>
          <w:pgMar w:left="240" w:top="893" w:right="1440" w:bottom="883"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G.</w:t>
      </w:r>
    </w:p>
    <w:p>
      <w:pPr>
        <w:spacing w:after="0" w:line="113" w:lineRule="exact"/>
        <w:rPr>
          <w:sz w:val="20"/>
          <w:szCs w:val="20"/>
          <w:color w:val="auto"/>
        </w:rPr>
      </w:pPr>
    </w:p>
    <w:p>
      <w:pPr>
        <w:jc w:val="both"/>
        <w:ind w:right="1779" w:firstLine="527"/>
        <w:spacing w:after="0" w:line="249" w:lineRule="auto"/>
        <w:rPr>
          <w:sz w:val="20"/>
          <w:szCs w:val="20"/>
          <w:color w:val="auto"/>
        </w:rPr>
      </w:pPr>
      <w:r>
        <w:rPr>
          <w:rFonts w:ascii="Courier New" w:cs="Courier New" w:eastAsia="Courier New" w:hAnsi="Courier New"/>
          <w:sz w:val="18"/>
          <w:szCs w:val="18"/>
          <w:color w:val="auto"/>
        </w:rPr>
        <w:t>In December 2004, the FASB issued Statement No. 153, "Exchange of Non-monetary Assets", ("FAS 153") an amendment of Accounting Principles Board Opinion No. 29 ("APB 29"), which differed from the International Accounting Standards Board's ("IASB") method of accounting for exchanges of similar productive assets. FAS 153 replaces the exception from fair value measurement in APB 29, with a general exception from fair value measurement for exchanges of non-monetary assets that do not have commercial substance. The statement is to be applied prospectively and is effective for non-monetary asset exchanges occurring in fiscal periods beginning after June 15, 2005; i.e., August 1, 2005 for the Company. The adoption of FAS 153 is not expected to have a material impact on the Company's financial position or result of operations.</w:t>
      </w:r>
    </w:p>
    <w:p>
      <w:pPr>
        <w:spacing w:after="0" w:line="104" w:lineRule="exact"/>
        <w:rPr>
          <w:sz w:val="20"/>
          <w:szCs w:val="20"/>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In May 2005, the FASB issued Statement No. 154, "Accounting Changes and Error Corrections - a replacement of APB Opinion No. 20 and FASB Statement No. 3." ("FAS 154") This Statement requires retrospective application to prior period financial statements of a voluntary change in accounting principle unless it is impracticable and is effective for fiscal years beginning after December 15, 2005. Previously, most voluntary changes in accounting principle were recognized by including in net income of the period of the change the cumulative effect of changing to the new accounting principle. The Company will comply with the provisions of FAS 154 although the impact of such adoption is not determinable at this time.</w:t>
      </w:r>
    </w:p>
    <w:p>
      <w:pPr>
        <w:spacing w:after="0" w:line="3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18"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18"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ectPr>
          <w:pgSz w:w="11900" w:h="16838" w:orient="portrait"/>
          <w:cols w:equalWidth="0" w:num="1">
            <w:col w:w="10219"/>
          </w:cols>
          <w:pgMar w:left="240" w:top="691"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2005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Revenues under larger, long-term contracts, generally defined as orders in excess of $100,000,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09"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93" w:lineRule="exact"/>
        <w:rPr>
          <w:sz w:val="20"/>
          <w:szCs w:val="20"/>
          <w:color w:val="auto"/>
        </w:rPr>
      </w:pPr>
    </w:p>
    <w:p>
      <w:pPr>
        <w:jc w:val="both"/>
        <w:ind w:right="1779" w:firstLine="527"/>
        <w:spacing w:after="0" w:line="298"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other business segments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6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both"/>
        <w:ind w:right="1779" w:firstLine="527"/>
        <w:spacing w:after="0" w:line="273"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pacing w:after="0" w:line="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ectPr>
          <w:pgSz w:w="11900" w:h="16838" w:orient="portrait"/>
          <w:cols w:equalWidth="0" w:num="1">
            <w:col w:w="10219"/>
          </w:cols>
          <w:pgMar w:left="240" w:top="691"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table below sets forth for the respective periods of fiscal years 2006 and 2005 the percentage of consolidated net sales represented by certain items in the Company's consolidated statements of operations: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22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Six months</w:t>
            </w:r>
          </w:p>
        </w:tc>
        <w:tc>
          <w:tcPr>
            <w:tcW w:w="19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2005</w:t>
            </w:r>
          </w:p>
        </w:tc>
        <w:tc>
          <w:tcPr>
            <w:tcW w:w="318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2005</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2004</w:t>
            </w:r>
          </w:p>
        </w:tc>
        <w:tc>
          <w:tcPr>
            <w:tcW w:w="0" w:type="dxa"/>
            <w:vAlign w:val="bottom"/>
          </w:tcPr>
          <w:p>
            <w:pPr>
              <w:spacing w:after="0"/>
              <w:rPr>
                <w:sz w:val="1"/>
                <w:szCs w:val="1"/>
                <w:color w:val="auto"/>
              </w:rPr>
            </w:pPr>
          </w:p>
        </w:tc>
      </w:tr>
      <w:tr>
        <w:trPr>
          <w:trHeight w:val="296"/>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Net Sales</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160" w:type="dxa"/>
            <w:vAlign w:val="bottom"/>
            <w:vMerge w:val="continue"/>
          </w:tcPr>
          <w:p>
            <w:pPr>
              <w:spacing w:after="0"/>
              <w:rPr>
                <w:sz w:val="9"/>
                <w:szCs w:val="9"/>
                <w:color w:val="auto"/>
              </w:rPr>
            </w:pP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48.2%</w:t>
            </w:r>
          </w:p>
        </w:tc>
        <w:tc>
          <w:tcPr>
            <w:tcW w:w="12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62.8%</w:t>
            </w:r>
          </w:p>
        </w:tc>
        <w:tc>
          <w:tcPr>
            <w:tcW w:w="11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51.4%</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61.3%</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Commercial Communications</w:t>
            </w:r>
          </w:p>
        </w:tc>
        <w:tc>
          <w:tcPr>
            <w:tcW w:w="10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 Government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w:t>
            </w:r>
          </w:p>
        </w:tc>
        <w:tc>
          <w:tcPr>
            <w:tcW w:w="0" w:type="dxa"/>
            <w:vAlign w:val="bottom"/>
          </w:tcPr>
          <w:p>
            <w:pPr>
              <w:spacing w:after="0"/>
              <w:rPr>
                <w:sz w:val="1"/>
                <w:szCs w:val="1"/>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Cost of 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63.7</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65.6</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64.4</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63.4</w:t>
            </w:r>
          </w:p>
        </w:tc>
        <w:tc>
          <w:tcPr>
            <w:tcW w:w="0" w:type="dxa"/>
            <w:vAlign w:val="bottom"/>
          </w:tcPr>
          <w:p>
            <w:pPr>
              <w:spacing w:after="0"/>
              <w:rPr>
                <w:sz w:val="1"/>
                <w:szCs w:val="1"/>
                <w:color w:val="auto"/>
              </w:rPr>
            </w:pPr>
          </w:p>
        </w:tc>
      </w:tr>
      <w:tr>
        <w:trPr>
          <w:trHeight w:val="203"/>
        </w:trPr>
        <w:tc>
          <w:tcPr>
            <w:tcW w:w="4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Gross Margin</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36.3</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35.6</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19.3</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13.1</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w:t>
            </w:r>
          </w:p>
        </w:tc>
        <w:tc>
          <w:tcPr>
            <w:tcW w:w="0" w:type="dxa"/>
            <w:vAlign w:val="bottom"/>
          </w:tcPr>
          <w:p>
            <w:pPr>
              <w:spacing w:after="0"/>
              <w:rPr>
                <w:sz w:val="1"/>
                <w:szCs w:val="1"/>
                <w:color w:val="auto"/>
              </w:rPr>
            </w:pPr>
          </w:p>
        </w:tc>
      </w:tr>
      <w:tr>
        <w:trPr>
          <w:trHeight w:val="203"/>
        </w:trPr>
        <w:tc>
          <w:tcPr>
            <w:tcW w:w="4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Operating Profit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160" w:type="dxa"/>
            <w:vAlign w:val="bottom"/>
            <w:vMerge w:val="continue"/>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0.7</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6.3</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0.5</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Other income, net &amp; Minority interest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16.1</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2.7</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18.3</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Pretax Income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4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Net Income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 All dollar amounts in following tables are in thousands, except Net</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Sales which are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gridSpan w:val="2"/>
          </w:tcPr>
          <w:p>
            <w:pPr>
              <w:jc w:val="center"/>
              <w:ind w:right="532"/>
              <w:spacing w:after="0"/>
              <w:rPr>
                <w:sz w:val="20"/>
                <w:szCs w:val="20"/>
                <w:color w:val="auto"/>
              </w:rPr>
            </w:pPr>
            <w:r>
              <w:rPr>
                <w:rFonts w:ascii="Courier New" w:cs="Courier New" w:eastAsia="Courier New" w:hAnsi="Courier New"/>
                <w:sz w:val="18"/>
                <w:szCs w:val="18"/>
                <w:color w:val="auto"/>
                <w:w w:val="98"/>
              </w:rPr>
              <w:t>Operating Profit</w:t>
            </w: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w:t>
            </w: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0" w:type="dxa"/>
            <w:vAlign w:val="bottom"/>
            <w:gridSpan w:val="2"/>
            <w:vMerge w:val="restart"/>
          </w:tcPr>
          <w:p>
            <w:pPr>
              <w:jc w:val="right"/>
              <w:ind w:right="1072"/>
              <w:spacing w:after="0"/>
              <w:rPr>
                <w:sz w:val="20"/>
                <w:szCs w:val="20"/>
                <w:color w:val="auto"/>
              </w:rPr>
            </w:pPr>
            <w:r>
              <w:rPr>
                <w:rFonts w:ascii="Courier New" w:cs="Courier New" w:eastAsia="Courier New" w:hAnsi="Courier New"/>
                <w:sz w:val="18"/>
                <w:szCs w:val="18"/>
                <w:color w:val="auto"/>
              </w:rPr>
              <w:t>Three months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3160" w:type="dxa"/>
            <w:vAlign w:val="bottom"/>
            <w:gridSpan w:val="2"/>
          </w:tcPr>
          <w:p>
            <w:pPr>
              <w:jc w:val="right"/>
              <w:ind w:right="1652"/>
              <w:spacing w:after="0" w:line="203" w:lineRule="exact"/>
              <w:rPr>
                <w:sz w:val="20"/>
                <w:szCs w:val="20"/>
                <w:color w:val="auto"/>
              </w:rPr>
            </w:pPr>
            <w:r>
              <w:rPr>
                <w:rFonts w:ascii="Courier New" w:cs="Courier New" w:eastAsia="Courier New" w:hAnsi="Courier New"/>
                <w:sz w:val="18"/>
                <w:szCs w:val="18"/>
                <w:color w:val="auto"/>
              </w:rPr>
              <w:t>Six months</w:t>
            </w:r>
          </w:p>
        </w:tc>
        <w:tc>
          <w:tcPr>
            <w:tcW w:w="1260" w:type="dxa"/>
            <w:vAlign w:val="bottom"/>
          </w:tcPr>
          <w:p>
            <w:pPr>
              <w:spacing w:after="0"/>
              <w:rPr>
                <w:sz w:val="17"/>
                <w:szCs w:val="17"/>
                <w:color w:val="auto"/>
              </w:rPr>
            </w:pPr>
          </w:p>
        </w:tc>
        <w:tc>
          <w:tcPr>
            <w:tcW w:w="2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vMerge w:val="restart"/>
          </w:tcPr>
          <w:p>
            <w:pPr>
              <w:jc w:val="center"/>
              <w:ind w:left="292"/>
              <w:spacing w:after="0"/>
              <w:rPr>
                <w:sz w:val="20"/>
                <w:szCs w:val="20"/>
                <w:color w:val="auto"/>
              </w:rPr>
            </w:pPr>
            <w:r>
              <w:rPr>
                <w:rFonts w:ascii="Courier New" w:cs="Courier New" w:eastAsia="Courier New" w:hAnsi="Courier New"/>
                <w:sz w:val="18"/>
                <w:szCs w:val="18"/>
                <w:color w:val="auto"/>
                <w:w w:val="97"/>
              </w:rPr>
              <w:t>2005</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2004</w:t>
            </w:r>
          </w:p>
        </w:tc>
        <w:tc>
          <w:tcPr>
            <w:tcW w:w="34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2004</w:t>
            </w:r>
          </w:p>
        </w:tc>
        <w:tc>
          <w:tcPr>
            <w:tcW w:w="1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2005</w:t>
            </w:r>
          </w:p>
        </w:tc>
        <w:tc>
          <w:tcPr>
            <w:tcW w:w="100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3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$167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$2,024</w:t>
            </w:r>
          </w:p>
        </w:tc>
        <w:tc>
          <w:tcPr>
            <w:tcW w:w="2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($1,857)  (92%)</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$56</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$775</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($719)  (93%)</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decline in operating profits for the six and three months ended October 31, 2005 compared to the same periods of fiscal year 2005 is primarily the result of the 30% and 20% decrease in revenues in the respective fiscal year 2006 periods. These declines were partially offset by improved gross margin and lower selling and administrative expenses and research and development spending, as discussed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Six months</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5"/>
              </w:rPr>
              <w:t>Three months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3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Periods ended October 31,</w:t>
            </w:r>
          </w:p>
        </w:tc>
        <w:tc>
          <w:tcPr>
            <w:tcW w:w="13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4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2005</w:t>
            </w: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2004</w:t>
            </w:r>
          </w:p>
        </w:tc>
        <w:tc>
          <w:tcPr>
            <w:tcW w:w="3100" w:type="dxa"/>
            <w:vAlign w:val="bottom"/>
            <w:gridSpan w:val="2"/>
            <w:vMerge w:val="continue"/>
          </w:tcPr>
          <w:p>
            <w:pPr>
              <w:spacing w:after="0"/>
              <w:rPr>
                <w:sz w:val="9"/>
                <w:szCs w:val="9"/>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2004</w:t>
            </w:r>
          </w:p>
        </w:tc>
        <w:tc>
          <w:tcPr>
            <w:tcW w:w="1160" w:type="dxa"/>
            <w:vAlign w:val="bottom"/>
            <w:vMerge w:val="restart"/>
          </w:tcPr>
          <w:p>
            <w:pPr>
              <w:ind w:left="300"/>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Change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c>
          <w:tcPr>
            <w:tcW w:w="13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$2,474</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$1,889</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$585   31%</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$1,332</w:t>
            </w: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$854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$478   56%</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89" w:lineRule="auto"/>
        <w:rPr>
          <w:sz w:val="20"/>
          <w:szCs w:val="20"/>
          <w:color w:val="auto"/>
        </w:rPr>
      </w:pPr>
      <w:r>
        <w:rPr>
          <w:rFonts w:ascii="Courier New" w:cs="Courier New" w:eastAsia="Courier New" w:hAnsi="Courier New"/>
          <w:sz w:val="16"/>
          <w:szCs w:val="16"/>
          <w:color w:val="auto"/>
        </w:rPr>
        <w:t>During the six and three month periods ended October 31, 2005, the Company realized gains of $2.1 million and $1.1 million, respectively, on the sale of certain marketable securities that were obtained upon the conversion of its REIT units for the common stock of Reckson Associates Realty Corp. ("REIT stock") (Refer to Item 2 of the Company's fiscal year 2005 Form 10-K as filed with the Securities and Exchange Commission.) In addition, in the same periods of fiscal year 2006, the Company recorded a gain of approximately $680,000 on the sale of real property as discussed in Note E to the financial statements.</w:t>
      </w:r>
    </w:p>
    <w:p>
      <w:pPr>
        <w:sectPr>
          <w:pgSz w:w="11900" w:h="16838" w:orient="portrait"/>
          <w:cols w:equalWidth="0" w:num="1">
            <w:col w:w="10219"/>
          </w:cols>
          <w:pgMar w:left="240" w:top="893" w:right="1440" w:bottom="872" w:gutter="0" w:footer="0" w:header="0"/>
        </w:sectPr>
      </w:pPr>
    </w:p>
    <w:bookmarkStart w:id="14" w:name="page15"/>
    <w:bookmarkEnd w:id="1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(Continued)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780" w:type="dxa"/>
            <w:vAlign w:val="bottom"/>
          </w:tcPr>
          <w:p>
            <w:pPr>
              <w:spacing w:after="0"/>
              <w:rPr>
                <w:sz w:val="24"/>
                <w:szCs w:val="24"/>
                <w:color w:val="auto"/>
              </w:rPr>
            </w:pPr>
          </w:p>
        </w:tc>
        <w:tc>
          <w:tcPr>
            <w:tcW w:w="20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6"/>
              </w:rPr>
              <w:t>(in millions)</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Six months</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Three months</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Segment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2005</w:t>
            </w: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2004</w:t>
            </w:r>
          </w:p>
        </w:tc>
        <w:tc>
          <w:tcPr>
            <w:tcW w:w="2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Periods ended October</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38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6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Change</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2004</w:t>
            </w: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ind w:left="8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rPr>
              <w:t>Commercial Communications</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$20.1</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($9.2)</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(46%)</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$ 5.9</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$ 8.8</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($2.9)</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Gillam-FEI</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US Government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FEI-Zyfer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(0.6)</w:t>
            </w:r>
          </w:p>
        </w:tc>
        <w:tc>
          <w:tcPr>
            <w:tcW w:w="8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($9.4)</w:t>
            </w:r>
          </w:p>
        </w:tc>
        <w:tc>
          <w:tcPr>
            <w:tcW w:w="880" w:type="dxa"/>
            <w:vAlign w:val="bottom"/>
            <w:vMerge w:val="continue"/>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w:t>
            </w: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tcPr>
          <w:p>
            <w:pPr>
              <w:spacing w:after="0"/>
              <w:rPr>
                <w:sz w:val="24"/>
                <w:szCs w:val="24"/>
                <w:color w:val="auto"/>
              </w:rPr>
            </w:pP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The decline in revenue for the six and three month periods ended October 31, 2005 compared to the same periods of fiscal year 2005 are principally the result of reduced capital spending in the wireless infrastructure industry as end-users continued to delay deployment of next-generation cellular base stations. This reduction directly impacted revenues in the Commercial Communications segment. Reduced telecommunications infrastructure spending in Europe similarly impacted the Gillam-FEI segment. These revenue declines were partially offset by increased revenues derived from US Government programs as the Company continued work on several developmental, pre-production programs under US Government contracts. The Company's FEI-Zyfer segment, which derives approximately two-thirds of its revenues from government sources, also saw revenues increase with increased US Government buying. The Company expects revenues to improve over the balance of the fiscal year as a result of additional new bookings, principally in the commercial satellite and U.S. Government industries, as well as increased capital spending for telecommunication infrastructures.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rPr>
              <w:t>Gross margin</w:t>
            </w: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78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Six months</w:t>
            </w:r>
          </w:p>
        </w:tc>
        <w:tc>
          <w:tcPr>
            <w:tcW w:w="900" w:type="dxa"/>
            <w:vAlign w:val="bottom"/>
          </w:tcPr>
          <w:p>
            <w:pPr>
              <w:spacing w:after="0"/>
              <w:rPr>
                <w:sz w:val="24"/>
                <w:szCs w:val="24"/>
                <w:color w:val="auto"/>
              </w:rPr>
            </w:pPr>
          </w:p>
        </w:tc>
        <w:tc>
          <w:tcPr>
            <w:tcW w:w="2700" w:type="dxa"/>
            <w:vAlign w:val="bottom"/>
            <w:gridSpan w:val="2"/>
            <w:vMerge w:val="restart"/>
          </w:tcPr>
          <w:p>
            <w:pPr>
              <w:jc w:val="center"/>
              <w:ind w:right="1232"/>
              <w:spacing w:after="0"/>
              <w:rPr>
                <w:sz w:val="20"/>
                <w:szCs w:val="20"/>
                <w:color w:val="auto"/>
              </w:rPr>
            </w:pPr>
            <w:r>
              <w:rPr>
                <w:rFonts w:ascii="Courier New" w:cs="Courier New" w:eastAsia="Courier New" w:hAnsi="Courier New"/>
                <w:sz w:val="18"/>
                <w:szCs w:val="18"/>
                <w:color w:val="auto"/>
                <w:w w:val="97"/>
              </w:rPr>
              <w:t>Three months</w:t>
            </w: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78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9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2005</w:t>
            </w:r>
          </w:p>
        </w:tc>
        <w:tc>
          <w:tcPr>
            <w:tcW w:w="10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2004</w:t>
            </w:r>
          </w:p>
        </w:tc>
        <w:tc>
          <w:tcPr>
            <w:tcW w:w="37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60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7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Change</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2005</w:t>
            </w: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2004</w:t>
            </w: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9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$8,195</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$11,037</w:t>
            </w:r>
          </w:p>
        </w:tc>
        <w:tc>
          <w:tcPr>
            <w:tcW w:w="1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($2,842) (26%)</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$4,098</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$5,259</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($1,161) (22%)</w:t>
            </w:r>
          </w:p>
        </w:tc>
        <w:tc>
          <w:tcPr>
            <w:tcW w:w="0" w:type="dxa"/>
            <w:vAlign w:val="bottom"/>
          </w:tcPr>
          <w:p>
            <w:pPr>
              <w:spacing w:after="0"/>
              <w:rPr>
                <w:sz w:val="1"/>
                <w:szCs w:val="1"/>
                <w:color w:val="auto"/>
              </w:rPr>
            </w:pPr>
          </w:p>
        </w:tc>
      </w:tr>
      <w:tr>
        <w:trPr>
          <w:trHeight w:val="405"/>
        </w:trPr>
        <w:tc>
          <w:tcPr>
            <w:tcW w:w="1000" w:type="dxa"/>
            <w:vAlign w:val="bottom"/>
          </w:tcPr>
          <w:p>
            <w:pPr>
              <w:ind w:left="120"/>
              <w:spacing w:after="0"/>
              <w:rPr>
                <w:sz w:val="20"/>
                <w:szCs w:val="20"/>
                <w:color w:val="auto"/>
              </w:rPr>
            </w:pPr>
            <w:r>
              <w:rPr>
                <w:rFonts w:ascii="Courier New" w:cs="Courier New" w:eastAsia="Courier New" w:hAnsi="Courier New"/>
                <w:sz w:val="18"/>
                <w:szCs w:val="18"/>
                <w:color w:val="auto"/>
              </w:rPr>
              <w:t>GM Rate</w:t>
            </w:r>
          </w:p>
        </w:tc>
        <w:tc>
          <w:tcPr>
            <w:tcW w:w="960" w:type="dxa"/>
            <w:vAlign w:val="bottom"/>
          </w:tcPr>
          <w:p>
            <w:pPr>
              <w:ind w:left="280"/>
              <w:spacing w:after="0"/>
              <w:rPr>
                <w:sz w:val="20"/>
                <w:szCs w:val="20"/>
                <w:color w:val="auto"/>
              </w:rPr>
            </w:pPr>
            <w:r>
              <w:rPr>
                <w:rFonts w:ascii="Courier New" w:cs="Courier New" w:eastAsia="Courier New" w:hAnsi="Courier New"/>
                <w:sz w:val="18"/>
                <w:szCs w:val="18"/>
                <w:color w:val="auto"/>
              </w:rPr>
              <w:t>36.3%</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34.4%</w:t>
            </w:r>
          </w:p>
        </w:tc>
        <w:tc>
          <w:tcPr>
            <w:tcW w:w="178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35.6%</w:t>
            </w:r>
          </w:p>
        </w:tc>
        <w:tc>
          <w:tcPr>
            <w:tcW w:w="1100" w:type="dxa"/>
            <w:vAlign w:val="bottom"/>
          </w:tcPr>
          <w:p>
            <w:pPr>
              <w:ind w:left="480"/>
              <w:spacing w:after="0"/>
              <w:rPr>
                <w:sz w:val="20"/>
                <w:szCs w:val="20"/>
                <w:color w:val="auto"/>
              </w:rPr>
            </w:pPr>
            <w:r>
              <w:rPr>
                <w:rFonts w:ascii="Courier New" w:cs="Courier New" w:eastAsia="Courier New" w:hAnsi="Courier New"/>
                <w:sz w:val="18"/>
                <w:szCs w:val="18"/>
                <w:color w:val="auto"/>
              </w:rPr>
              <w:t>36.6%</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The decline in gross margins for the six and three months ended October 31, 2005, compared to the same periods of fiscal year 2005, are almost entirely due to the decrease in revenues. Variations in gross margin rates are generally attributable to product mix, with the Gillam-FEI segment in particular, realizing higher margins in fiscal year 2006 on certain of its network monitoring programs. This improvement is offset by lower margins in the Company's US Government segment where the Company continued work on several developmental, pre-production programs under US Government contracts. Gross margin rates are lower than the Company's target of 40% because the lower sales volume is insufficient to absorb all of the fixed overhead costs. With an increase in sales, including conversion of the US Government developmental contracts into initial low-rate production orders, the Company expects to realize improving gross margin rates in future periods.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and administrative expenses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2005</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2004</w:t>
            </w:r>
          </w:p>
        </w:tc>
        <w:tc>
          <w:tcPr>
            <w:tcW w:w="42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2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Change</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$5,077</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$6,188</w:t>
            </w:r>
          </w:p>
        </w:tc>
        <w:tc>
          <w:tcPr>
            <w:tcW w:w="17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($1,111) (18%)</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$2,533</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$2,895</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($362) (12%)</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Most of the fiscal year 2006 decrease in selling and administrative costs is attributable to decreased personnel costs both in terms of reduced headcount as well as smaller accruals for incentive compensation plans due to lower operating profits. Additional decreases were experienced in selling and marketing expenses, including lower sales commissions as a result of decreased sales and lower European-area marketing costs as the Company consolidated its</w:t>
      </w:r>
    </w:p>
    <w:p>
      <w:pPr>
        <w:sectPr>
          <w:pgSz w:w="11900" w:h="16838" w:orient="portrait"/>
          <w:cols w:equalWidth="0" w:num="1">
            <w:col w:w="10219"/>
          </w:cols>
          <w:pgMar w:left="240" w:top="691" w:right="1440" w:bottom="0" w:gutter="0" w:footer="0" w:header="0"/>
        </w:sectPr>
      </w:pPr>
    </w:p>
    <w:bookmarkStart w:id="15" w:name="page16"/>
    <w:bookmarkEnd w:id="15"/>
    <w:p>
      <w:pPr>
        <w:jc w:val="both"/>
        <w:ind w:right="1779"/>
        <w:spacing w:after="0" w:line="260" w:lineRule="auto"/>
        <w:rPr>
          <w:sz w:val="20"/>
          <w:szCs w:val="20"/>
          <w:color w:val="auto"/>
        </w:rPr>
      </w:pPr>
      <w:r>
        <w:rPr>
          <w:rFonts w:ascii="Courier New" w:cs="Courier New" w:eastAsia="Courier New" w:hAnsi="Courier New"/>
          <w:sz w:val="18"/>
          <w:szCs w:val="18"/>
          <w:color w:val="auto"/>
        </w:rPr>
        <w:t>efforts there into its Gillam-FEI subsidiary. The ratio of selling and administrative costs to net sales for the six and three months ended October 31, 2005, were 23% and 22%, respectively, which is greater than the Company's target ratio of under 20% of revenues. The higher than targeted cost ratio is primarily due to the revenue level in the fiscal year 2006 periods. In the comparable fiscal year 2005 periods, the ratio of selling and administrative</w:t>
      </w:r>
    </w:p>
    <w:p>
      <w:pPr>
        <w:sectPr>
          <w:pgSz w:w="11900" w:h="16838" w:orient="portrait"/>
          <w:cols w:equalWidth="0" w:num="1">
            <w:col w:w="10219"/>
          </w:cols>
          <w:pgMar w:left="240" w:top="110"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w:t>
      </w:r>
    </w:p>
    <w:p>
      <w:pPr>
        <w:spacing w:after="0" w:line="16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costs to revenues was 19% and 20%, respectively. In future quarters of fiscal year 2006, as revenues increase from the current level, the Company expects to achieve its targeted ratio of costs to net sales.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gridSpan w:val="3"/>
          </w:tcPr>
          <w:p>
            <w:pPr>
              <w:spacing w:after="0"/>
              <w:rPr>
                <w:sz w:val="20"/>
                <w:szCs w:val="20"/>
                <w:color w:val="auto"/>
              </w:rPr>
            </w:pPr>
            <w:r>
              <w:rPr>
                <w:rFonts w:ascii="Courier New" w:cs="Courier New" w:eastAsia="Courier New" w:hAnsi="Courier New"/>
                <w:sz w:val="18"/>
                <w:szCs w:val="18"/>
                <w:color w:val="auto"/>
              </w:rPr>
              <w:t>Research and development expense</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c>
          <w:tcPr>
            <w:tcW w:w="1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Six months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2005</w:t>
            </w:r>
          </w:p>
        </w:tc>
        <w:tc>
          <w:tcPr>
            <w:tcW w:w="13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2004</w:t>
            </w:r>
          </w:p>
        </w:tc>
        <w:tc>
          <w:tcPr>
            <w:tcW w:w="39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1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18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Change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2004</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$2,951</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$2,825</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$126  4%</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$1,509</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$1,589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($80) (5%)</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527"/>
        <w:spacing w:after="0" w:line="246" w:lineRule="auto"/>
        <w:rPr>
          <w:sz w:val="20"/>
          <w:szCs w:val="20"/>
          <w:color w:val="auto"/>
        </w:rPr>
      </w:pPr>
      <w:r>
        <w:rPr>
          <w:rFonts w:ascii="Courier New" w:cs="Courier New" w:eastAsia="Courier New" w:hAnsi="Courier New"/>
          <w:sz w:val="18"/>
          <w:szCs w:val="18"/>
          <w:color w:val="auto"/>
        </w:rPr>
        <w:t>Research and development spending in the first half of fiscal years 2006 and 2005 have remained fairly consistent, varying by less than 5% from the comparable periods. During fiscal year 2006, the Company will make additional investments in developing manufacturing process improvements for its new US5G wireline synchronization product; improving and miniaturizing rubidium atomic clocks, developing new GPS-based synchronization products and further enhancing the capabilities of its line of crystal oscillators.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Six months</w:t>
            </w:r>
          </w:p>
        </w:tc>
        <w:tc>
          <w:tcPr>
            <w:tcW w:w="2580" w:type="dxa"/>
            <w:vAlign w:val="bottom"/>
            <w:gridSpan w:val="3"/>
            <w:vMerge w:val="restart"/>
          </w:tcPr>
          <w:p>
            <w:pPr>
              <w:jc w:val="right"/>
              <w:ind w:right="12"/>
              <w:spacing w:after="0"/>
              <w:rPr>
                <w:sz w:val="20"/>
                <w:szCs w:val="20"/>
                <w:color w:val="auto"/>
              </w:rPr>
            </w:pPr>
            <w:r>
              <w:rPr>
                <w:rFonts w:ascii="Courier New" w:cs="Courier New" w:eastAsia="Courier New" w:hAnsi="Courier New"/>
                <w:sz w:val="18"/>
                <w:szCs w:val="18"/>
                <w:color w:val="auto"/>
              </w:rPr>
              <w:t>Periods ended October</w:t>
            </w:r>
          </w:p>
        </w:tc>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Three months</w:t>
            </w: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2005</w:t>
            </w:r>
          </w:p>
        </w:tc>
        <w:tc>
          <w:tcPr>
            <w:tcW w:w="12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2004</w:t>
            </w:r>
          </w:p>
        </w:tc>
        <w:tc>
          <w:tcPr>
            <w:tcW w:w="2580" w:type="dxa"/>
            <w:vAlign w:val="bottom"/>
            <w:gridSpan w:val="3"/>
            <w:vMerge w:val="continue"/>
          </w:tcPr>
          <w:p>
            <w:pPr>
              <w:spacing w:after="0"/>
              <w:rPr>
                <w:sz w:val="17"/>
                <w:szCs w:val="17"/>
                <w:color w:val="auto"/>
              </w:rPr>
            </w:pP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360" w:type="dxa"/>
            <w:vAlign w:val="bottom"/>
            <w:gridSpan w:val="2"/>
            <w:vMerge w:val="restart"/>
          </w:tcPr>
          <w:p>
            <w:pPr>
              <w:jc w:val="right"/>
              <w:ind w:right="232"/>
              <w:spacing w:after="0"/>
              <w:rPr>
                <w:sz w:val="20"/>
                <w:szCs w:val="20"/>
                <w:color w:val="auto"/>
              </w:rPr>
            </w:pPr>
            <w:r>
              <w:rPr>
                <w:rFonts w:ascii="Courier New" w:cs="Courier New" w:eastAsia="Courier New" w:hAnsi="Courier New"/>
                <w:sz w:val="18"/>
                <w:szCs w:val="18"/>
                <w:color w:val="auto"/>
              </w:rPr>
              <w:t>Change</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5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Change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00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$2,666</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$ 829</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$1,837</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$1,341</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$ 414</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  927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224%</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Morion</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229</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0" w:type="dxa"/>
            <w:vAlign w:val="bottom"/>
          </w:tcPr>
          <w:p>
            <w:pPr>
              <w:spacing w:after="0"/>
              <w:rPr>
                <w:sz w:val="1"/>
                <w:szCs w:val="1"/>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767</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NM</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NM</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317%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409%</w:t>
            </w:r>
          </w:p>
        </w:tc>
        <w:tc>
          <w:tcPr>
            <w:tcW w:w="0" w:type="dxa"/>
            <w:vAlign w:val="bottom"/>
          </w:tcPr>
          <w:p>
            <w:pPr>
              <w:spacing w:after="0"/>
              <w:rPr>
                <w:sz w:val="1"/>
                <w:szCs w:val="1"/>
                <w:color w:val="auto"/>
              </w:rPr>
            </w:pPr>
          </w:p>
        </w:tc>
      </w:tr>
      <w:tr>
        <w:trPr>
          <w:trHeight w:val="296"/>
        </w:trPr>
        <w:tc>
          <w:tcPr>
            <w:tcW w:w="20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$3,603</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$ 864</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$2,739</w:t>
            </w:r>
          </w:p>
        </w:tc>
        <w:tc>
          <w:tcPr>
            <w:tcW w:w="780" w:type="dxa"/>
            <w:vAlign w:val="bottom"/>
            <w:vMerge w:val="continue"/>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$2,093</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$ 411</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$1,682</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1779" w:firstLine="527"/>
        <w:spacing w:after="0" w:line="253" w:lineRule="auto"/>
        <w:rPr>
          <w:sz w:val="20"/>
          <w:szCs w:val="20"/>
          <w:color w:val="auto"/>
        </w:rPr>
      </w:pPr>
      <w:r>
        <w:rPr>
          <w:rFonts w:ascii="Courier New" w:cs="Courier New" w:eastAsia="Courier New" w:hAnsi="Courier New"/>
          <w:sz w:val="18"/>
          <w:szCs w:val="18"/>
          <w:color w:val="auto"/>
        </w:rPr>
        <w:t>The increase in investment income for the six and three months ended October 31, 2005, is due to realized gains of approximately $2.1 million and $1.1 million, respectively, recorded on the sale of a portion of the shares of REIT stock which were obtained during fiscal year 2005 upon the conversion of certain REIT units related to the Company's fiscal year 1998 sale and leaseback of its headquarters building. Such gains were partially offset by lower interest and dividend income due to a lower level of marketable securities held by the Company as a result of the REIT stock sales.</w:t>
      </w:r>
    </w:p>
    <w:p>
      <w:pPr>
        <w:spacing w:after="0" w:line="104" w:lineRule="exact"/>
        <w:rPr>
          <w:sz w:val="20"/>
          <w:szCs w:val="20"/>
          <w:color w:val="auto"/>
        </w:rPr>
      </w:pPr>
    </w:p>
    <w:p>
      <w:pPr>
        <w:jc w:val="both"/>
        <w:ind w:right="1779" w:firstLine="527"/>
        <w:spacing w:after="0" w:line="287" w:lineRule="auto"/>
        <w:rPr>
          <w:sz w:val="20"/>
          <w:szCs w:val="20"/>
          <w:color w:val="auto"/>
        </w:rPr>
      </w:pPr>
      <w:r>
        <w:rPr>
          <w:rFonts w:ascii="Courier New" w:cs="Courier New" w:eastAsia="Courier New" w:hAnsi="Courier New"/>
          <w:sz w:val="16"/>
          <w:szCs w:val="16"/>
          <w:color w:val="auto"/>
        </w:rPr>
        <w:t>The Company began to record equity income in Morion, Inc. during the second quarter of fiscal year 2005, when the Company increased its ownership interest in Morion to 36% of Morion's outstanding shares. Accordingly, the Company changed its method of accounting from the cost to the equity method and restated prior year financial statements to reflect the appropriate accounting method. The 79% increase in equity income from Morion for the first half of fiscal year 2006 compared to the six months ended October 31, 2004 is because for most of the first half of fiscal year 2005 the Company held only 19% of Morion's shares. The ownership percentage was increased to 36% in the last month of that period.</w:t>
      </w:r>
    </w:p>
    <w:p>
      <w:pPr>
        <w:spacing w:after="0" w:line="75" w:lineRule="exact"/>
        <w:rPr>
          <w:sz w:val="20"/>
          <w:szCs w:val="20"/>
          <w:color w:val="auto"/>
        </w:rPr>
      </w:pPr>
    </w:p>
    <w:p>
      <w:pPr>
        <w:jc w:val="both"/>
        <w:ind w:right="1779" w:firstLine="527"/>
        <w:spacing w:after="0" w:line="274" w:lineRule="auto"/>
        <w:rPr>
          <w:sz w:val="20"/>
          <w:szCs w:val="20"/>
          <w:color w:val="auto"/>
        </w:rPr>
      </w:pPr>
      <w:r>
        <w:rPr>
          <w:rFonts w:ascii="Courier New" w:cs="Courier New" w:eastAsia="Courier New" w:hAnsi="Courier New"/>
          <w:sz w:val="18"/>
          <w:szCs w:val="18"/>
          <w:color w:val="auto"/>
        </w:rPr>
        <w:t>The decrease in interest expense for the six and three month periods ended October 31, 2005 resulted from repayment of the Company's line of credit by the end of fiscal year 2005 as well as the conversion of its REIT units to REIT stock, the impact of which is explained in the next paragraph.</w:t>
      </w:r>
    </w:p>
    <w:p>
      <w:pPr>
        <w:spacing w:after="0" w:line="82"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Under the provisions of sale and leaseback accounting, until the REIT units were converted, the Company's lease was accounted for as a financing. Accordingly, a portion of its prior year annual rent payments were considered interest expense. For fiscal year 2006, the Company no longer recognizes interest expense but the entire lease payment is charged to rent expense. In</w:t>
      </w:r>
    </w:p>
    <w:p>
      <w:pPr>
        <w:sectPr>
          <w:pgSz w:w="11900" w:h="16838" w:orient="portrait"/>
          <w:cols w:equalWidth="0" w:num="1">
            <w:col w:w="10219"/>
          </w:cols>
          <w:pgMar w:left="240" w:top="691" w:right="1440" w:bottom="0" w:gutter="0" w:footer="0" w:header="0"/>
        </w:sectPr>
      </w:pPr>
    </w:p>
    <w:bookmarkStart w:id="17" w:name="page18"/>
    <w:bookmarkEnd w:id="17"/>
    <w:p>
      <w:pPr>
        <w:jc w:val="both"/>
        <w:ind w:right="1779"/>
        <w:spacing w:after="0" w:line="265" w:lineRule="auto"/>
        <w:rPr>
          <w:sz w:val="20"/>
          <w:szCs w:val="20"/>
          <w:color w:val="auto"/>
        </w:rPr>
      </w:pPr>
      <w:r>
        <w:rPr>
          <w:rFonts w:ascii="Courier New" w:cs="Courier New" w:eastAsia="Courier New" w:hAnsi="Courier New"/>
          <w:sz w:val="18"/>
          <w:szCs w:val="18"/>
          <w:color w:val="auto"/>
        </w:rPr>
        <w:t>addition, under the caption "Other, income" the Company will recognize the remaining deferred gain from the sale and leaseback transaction. For the six and three months ended October 31, 2005, the amount of deferred gain recognized was $176,000 and $88,000, respectively. In the year-ago period, Other, income consisted</w:t>
      </w:r>
    </w:p>
    <w:p>
      <w:pPr>
        <w:sectPr>
          <w:pgSz w:w="11900" w:h="16838" w:orient="portrait"/>
          <w:cols w:equalWidth="0" w:num="1">
            <w:col w:w="10219"/>
          </w:cols>
          <w:pgMar w:left="240" w:top="110" w:right="1440" w:bottom="144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(Continued)</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primarily of a governmental grant received by the Company's French subsidiary. Other income and expense items included under this caption, with the exception of the deferred gain recognition, are nonrecurring and generally are not significant to pretax earnings.</w:t>
      </w:r>
    </w:p>
    <w:p>
      <w:pPr>
        <w:spacing w:after="0" w:line="82"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During the quarter ended October 31, 2005, the Company sold the building formerly owned by the Company's French subsidiary. Following the fiscal year 2004 staffing cutbacks in this entity, the building had been largely vacant and available for sale. Upon receipt of an independent appraisal, the building was sold to the president of the Company's subsidiary, Gillam-FEI. The Company realized a gain on the sale of the building of approximately $680,000.</w:t>
      </w:r>
    </w:p>
    <w:p>
      <w:pPr>
        <w:spacing w:after="0" w:line="93" w:lineRule="exact"/>
        <w:rPr>
          <w:sz w:val="20"/>
          <w:szCs w:val="20"/>
          <w:color w:val="auto"/>
        </w:rPr>
      </w:pPr>
    </w:p>
    <w:p>
      <w:pPr>
        <w:jc w:val="both"/>
        <w:ind w:right="1779" w:firstLine="527"/>
        <w:spacing w:after="0" w:line="289" w:lineRule="auto"/>
        <w:rPr>
          <w:sz w:val="20"/>
          <w:szCs w:val="20"/>
          <w:color w:val="auto"/>
        </w:rPr>
      </w:pPr>
      <w:r>
        <w:rPr>
          <w:rFonts w:ascii="Courier New" w:cs="Courier New" w:eastAsia="Courier New" w:hAnsi="Courier New"/>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The Company's European subsidiaries have available net operating loss carryforwards of approximately $2.4 million to offset future taxable income.</w:t>
      </w: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jc w:val="both"/>
        <w:ind w:right="1779" w:firstLine="527"/>
        <w:spacing w:after="0" w:line="265"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$60 million at October 31, 2005, which is comparable to working capital at April 30, 2005. Included in working capital at October 31, 2005 is $26.6 million of cash, cash equivalents and marketable securities. The Company's current ratio at October 31, 2005 is 10.4 to 1.</w:t>
      </w:r>
    </w:p>
    <w:p>
      <w:pPr>
        <w:spacing w:after="0" w:line="90"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For the six months ended October 31, 2005, the Company used $1.9 million in cash from operating activities compared to $2.9 million provided by operations in the comparable fiscal year 2005 period. This significant decrease in cash flows is due primarily to the first quarter payment of income taxes related to the investment gains realized in the prior fiscal year as well as increases in the value of the Company's accounts receivable and inventory. Cash flow from operations for the second quarter of fiscal 2006 was a positive $2.8 million. For the full fiscal year 2006, the Company expects to generate positive cash flow from operating activities.</w:t>
      </w:r>
    </w:p>
    <w:p>
      <w:pPr>
        <w:spacing w:after="0" w:line="99" w:lineRule="exact"/>
        <w:rPr>
          <w:sz w:val="20"/>
          <w:szCs w:val="20"/>
          <w:color w:val="auto"/>
        </w:rPr>
      </w:pPr>
    </w:p>
    <w:p>
      <w:pPr>
        <w:jc w:val="both"/>
        <w:ind w:right="1779" w:firstLine="527"/>
        <w:spacing w:after="0" w:line="248" w:lineRule="auto"/>
        <w:rPr>
          <w:sz w:val="20"/>
          <w:szCs w:val="20"/>
          <w:color w:val="auto"/>
        </w:rPr>
      </w:pPr>
      <w:r>
        <w:rPr>
          <w:rFonts w:ascii="Courier New" w:cs="Courier New" w:eastAsia="Courier New" w:hAnsi="Courier New"/>
          <w:sz w:val="18"/>
          <w:szCs w:val="18"/>
          <w:color w:val="auto"/>
        </w:rPr>
        <w:t>Net cash provided by investing activities for the six months ended October 31, 2005, was $2.7 million compared to a use of cash of $2.9 million for the same period of fiscal year 2005. The principal source of cash was the sale or redemption of certain marketable securities aggregating $3.8 million, net of purchases of other marketable securities. The redemption of marketable securities was primarily to pay the corporate income taxes mentioned above. The Company also acquired capital equipment for approximately $933,000. The Company may continue to acquire or sell marketable securities as dictated by its investment strategies as well as by the cash requirements for its development activities. Requirements for additional capital equipment are expected to be less than $2.0 million during fiscal year 2006. Internally generated cash will be adequate to acquire this capital equipment.</w:t>
      </w:r>
    </w:p>
    <w:p>
      <w:pPr>
        <w:spacing w:after="0" w:line="105"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Net cash used in financing activities for the six months ended October 31, 2005, was $831,000 compared to cash used in financing activities in the amount of $2.6 million during the comparable fiscal year 2005 period. Included in both fiscal periods is payment of the Company's semiannual dividend in the amount of $852,000 and $843,000, respectively. During fiscal year 2005, the Company repaid $1.9 million of certain debt obligations.</w:t>
      </w:r>
    </w:p>
    <w:p>
      <w:pPr>
        <w:spacing w:after="0" w:line="93"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October 31, 2005, the Company did not acquire any shares of its stock under this authorization.</w:t>
      </w:r>
    </w:p>
    <w:p>
      <w:pPr>
        <w:spacing w:after="0" w:line="93" w:lineRule="exact"/>
        <w:rPr>
          <w:sz w:val="20"/>
          <w:szCs w:val="20"/>
          <w:color w:val="auto"/>
        </w:rPr>
      </w:pP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The Company will continue to expend resources to develop and improve products for wireless and wireline communication systems which management believes will result in future growth and continued profitability. During fiscal year 2006, the Company intends to make a substantial investment of capital and technical resources to develop new products to meet the needs of the U.S. Government, commercial space and commercial communications marketplaces and to invest in more efficient product designs and</w:t>
      </w:r>
    </w:p>
    <w:p>
      <w:pPr>
        <w:sectPr>
          <w:pgSz w:w="11900" w:h="16838" w:orient="portrait"/>
          <w:cols w:equalWidth="0" w:num="1">
            <w:col w:w="10219"/>
          </w:cols>
          <w:pgMar w:left="240" w:top="691" w:right="1440" w:bottom="0" w:gutter="0" w:footer="0" w:header="0"/>
        </w:sectPr>
      </w:pPr>
    </w:p>
    <w:bookmarkStart w:id="19" w:name="page20"/>
    <w:bookmarkEnd w:id="19"/>
    <w:p>
      <w:pPr>
        <w:jc w:val="both"/>
        <w:spacing w:after="0" w:line="256"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(Continued)</w:t>
      </w:r>
    </w:p>
    <w:p>
      <w:pPr>
        <w:spacing w:after="0" w:line="169"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w:t>
      </w:r>
    </w:p>
    <w:p>
      <w:pPr>
        <w:spacing w:after="0" w:line="90"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At October 31, 2005, the Company's backlog amounted to approximately $46 million compared to $31 million at April 30, 2005. Of this backlog, approximately 80% is realizable in the next twelve months.</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 Company is exposed to market risk related to changes in interest rates and market values of securities. The Company's investments in fixed income and equity securities were $19.8 million and $17,000, respectively, at October 31, 2005.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October 31, 2005, a 10% change in market interest rates would not have a material effect on the fair value of the Company's fixed income securities or results of operations.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jc w:val="both"/>
        <w:ind w:right="1779" w:firstLine="527"/>
        <w:spacing w:after="0" w:line="244" w:lineRule="auto"/>
        <w:rPr>
          <w:sz w:val="20"/>
          <w:szCs w:val="20"/>
          <w:color w:val="auto"/>
        </w:rPr>
      </w:pPr>
      <w:r>
        <w:rPr>
          <w:rFonts w:ascii="Courier New" w:cs="Courier New" w:eastAsia="Courier New" w:hAnsi="Courier New"/>
          <w:sz w:val="18"/>
          <w:szCs w:val="18"/>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October 31, 2005, the amount related to foreign currency exchange rates is a $3,530,000 unrealized gain. 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pacing w:after="0" w:line="1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Controls and Procedures</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Disclosure Controls and Procedures.</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jc w:val="both"/>
        <w:ind w:right="1779" w:firstLine="527"/>
        <w:spacing w:after="0" w:line="245"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jc w:val="both"/>
        <w:ind w:right="1779" w:firstLine="527"/>
        <w:spacing w:after="0" w:line="256"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ectPr>
          <w:pgSz w:w="11900" w:h="16838" w:orient="portrait"/>
          <w:cols w:equalWidth="0" w:num="1">
            <w:col w:w="10219"/>
          </w:cols>
          <w:pgMar w:left="240" w:top="893" w:right="1440" w:bottom="485"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3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(Continued)</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2, 3 and 5 are omitted because they are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Results of votes of security holders.</w:t>
      </w:r>
    </w:p>
    <w:p>
      <w:pPr>
        <w:spacing w:after="0" w:line="201" w:lineRule="exact"/>
        <w:rPr>
          <w:sz w:val="20"/>
          <w:szCs w:val="20"/>
          <w:color w:val="auto"/>
        </w:rPr>
      </w:pPr>
    </w:p>
    <w:p>
      <w:pPr>
        <w:ind w:left="540" w:right="1779"/>
        <w:spacing w:after="0" w:line="347" w:lineRule="auto"/>
        <w:rPr>
          <w:sz w:val="20"/>
          <w:szCs w:val="20"/>
          <w:color w:val="auto"/>
        </w:rPr>
      </w:pPr>
      <w:r>
        <w:rPr>
          <w:rFonts w:ascii="Courier New" w:cs="Courier New" w:eastAsia="Courier New" w:hAnsi="Courier New"/>
          <w:sz w:val="18"/>
          <w:szCs w:val="18"/>
          <w:color w:val="auto"/>
        </w:rPr>
        <w:t>On September 29, 2005, at the Annual Meeting of Stockholders, the following matters were approved by the shareholders of the Company:</w:t>
      </w:r>
    </w:p>
    <w:p>
      <w:pPr>
        <w:spacing w:after="0" w:line="1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100" w:type="dxa"/>
            <w:vAlign w:val="bottom"/>
            <w:gridSpan w:val="2"/>
          </w:tcPr>
          <w:p>
            <w:pPr>
              <w:spacing w:after="0"/>
              <w:rPr>
                <w:sz w:val="20"/>
                <w:szCs w:val="20"/>
                <w:color w:val="auto"/>
              </w:rPr>
            </w:pPr>
            <w:r>
              <w:rPr>
                <w:rFonts w:ascii="Courier New" w:cs="Courier New" w:eastAsia="Courier New" w:hAnsi="Courier New"/>
                <w:sz w:val="18"/>
                <w:szCs w:val="18"/>
                <w:color w:val="auto"/>
              </w:rPr>
              <w:t>1. Elected the following six directors:</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Votes Withheld</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Votes For</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a. Joseph P. Franklin</w:t>
            </w: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7,278,758</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629,996</w:t>
            </w:r>
          </w:p>
        </w:tc>
        <w:tc>
          <w:tcPr>
            <w:tcW w:w="0" w:type="dxa"/>
            <w:vAlign w:val="bottom"/>
          </w:tcPr>
          <w:p>
            <w:pPr>
              <w:spacing w:after="0"/>
              <w:rPr>
                <w:sz w:val="1"/>
                <w:szCs w:val="1"/>
                <w:color w:val="auto"/>
              </w:rPr>
            </w:pPr>
          </w:p>
        </w:tc>
      </w:tr>
      <w:tr>
        <w:trPr>
          <w:trHeight w:val="203"/>
        </w:trPr>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 Martin B. Bloch</w:t>
            </w: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7,297,895</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610,859</w:t>
            </w:r>
          </w:p>
        </w:tc>
        <w:tc>
          <w:tcPr>
            <w:tcW w:w="0" w:type="dxa"/>
            <w:vAlign w:val="bottom"/>
          </w:tcPr>
          <w:p>
            <w:pPr>
              <w:spacing w:after="0"/>
              <w:rPr>
                <w:sz w:val="1"/>
                <w:szCs w:val="1"/>
                <w:color w:val="auto"/>
              </w:rPr>
            </w:pPr>
          </w:p>
        </w:tc>
      </w:tr>
      <w:tr>
        <w:trPr>
          <w:trHeight w:val="203"/>
        </w:trPr>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 Joel Girsky</w:t>
            </w: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7,272,334</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636,420</w:t>
            </w:r>
          </w:p>
        </w:tc>
        <w:tc>
          <w:tcPr>
            <w:tcW w:w="0" w:type="dxa"/>
            <w:vAlign w:val="bottom"/>
          </w:tcPr>
          <w:p>
            <w:pPr>
              <w:spacing w:after="0"/>
              <w:rPr>
                <w:sz w:val="1"/>
                <w:szCs w:val="1"/>
                <w:color w:val="auto"/>
              </w:rPr>
            </w:pPr>
          </w:p>
        </w:tc>
      </w:tr>
      <w:tr>
        <w:trPr>
          <w:trHeight w:val="203"/>
        </w:trPr>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 E. Donald Shapiro</w:t>
            </w: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7,293,157</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615,597</w:t>
            </w:r>
          </w:p>
        </w:tc>
        <w:tc>
          <w:tcPr>
            <w:tcW w:w="0" w:type="dxa"/>
            <w:vAlign w:val="bottom"/>
          </w:tcPr>
          <w:p>
            <w:pPr>
              <w:spacing w:after="0"/>
              <w:rPr>
                <w:sz w:val="1"/>
                <w:szCs w:val="1"/>
                <w:color w:val="auto"/>
              </w:rPr>
            </w:pPr>
          </w:p>
        </w:tc>
      </w:tr>
      <w:tr>
        <w:trPr>
          <w:trHeight w:val="203"/>
        </w:trPr>
        <w:tc>
          <w:tcPr>
            <w:tcW w:w="3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 S. Robert Foley, Jr.</w:t>
            </w:r>
          </w:p>
        </w:tc>
        <w:tc>
          <w:tcPr>
            <w:tcW w:w="20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7,293,798</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614,936</w:t>
            </w:r>
          </w:p>
        </w:tc>
        <w:tc>
          <w:tcPr>
            <w:tcW w:w="0" w:type="dxa"/>
            <w:vAlign w:val="bottom"/>
          </w:tcPr>
          <w:p>
            <w:pPr>
              <w:spacing w:after="0"/>
              <w:rPr>
                <w:sz w:val="1"/>
                <w:szCs w:val="1"/>
                <w:color w:val="auto"/>
              </w:rPr>
            </w:pPr>
          </w:p>
        </w:tc>
      </w:tr>
      <w:tr>
        <w:trPr>
          <w:trHeight w:val="296"/>
        </w:trPr>
        <w:tc>
          <w:tcPr>
            <w:tcW w:w="3040" w:type="dxa"/>
            <w:vAlign w:val="bottom"/>
          </w:tcPr>
          <w:p>
            <w:pPr>
              <w:ind w:left="200"/>
              <w:spacing w:after="0"/>
              <w:rPr>
                <w:sz w:val="20"/>
                <w:szCs w:val="20"/>
                <w:color w:val="auto"/>
              </w:rPr>
            </w:pPr>
            <w:r>
              <w:rPr>
                <w:rFonts w:ascii="Courier New" w:cs="Courier New" w:eastAsia="Courier New" w:hAnsi="Courier New"/>
                <w:sz w:val="18"/>
                <w:szCs w:val="18"/>
                <w:color w:val="auto"/>
              </w:rPr>
              <w:t>f. Richard Schwartz</w:t>
            </w:r>
          </w:p>
        </w:tc>
        <w:tc>
          <w:tcPr>
            <w:tcW w:w="2060" w:type="dxa"/>
            <w:vAlign w:val="bottom"/>
          </w:tcPr>
          <w:p>
            <w:pPr>
              <w:ind w:left="440"/>
              <w:spacing w:after="0"/>
              <w:rPr>
                <w:sz w:val="20"/>
                <w:szCs w:val="20"/>
                <w:color w:val="auto"/>
              </w:rPr>
            </w:pPr>
            <w:r>
              <w:rPr>
                <w:rFonts w:ascii="Courier New" w:cs="Courier New" w:eastAsia="Courier New" w:hAnsi="Courier New"/>
                <w:sz w:val="18"/>
                <w:szCs w:val="18"/>
                <w:color w:val="auto"/>
              </w:rPr>
              <w:t>7,400,294</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508,460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1779" w:hanging="325"/>
        <w:spacing w:after="0" w:line="34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Ratified the appointment of Holtz Rubenstein Reminick LLP as independent auditors for fiscal year 2006.</w:t>
      </w:r>
    </w:p>
    <w:p>
      <w:pPr>
        <w:spacing w:after="0" w:line="18" w:lineRule="exact"/>
        <w:rPr>
          <w:sz w:val="20"/>
          <w:szCs w:val="20"/>
          <w:color w:val="auto"/>
        </w:rPr>
      </w:pPr>
    </w:p>
    <w:p>
      <w:pPr>
        <w:ind w:left="860"/>
        <w:spacing w:after="0"/>
        <w:tabs>
          <w:tab w:leader="none" w:pos="3140" w:val="left"/>
          <w:tab w:leader="none" w:pos="5880" w:val="left"/>
        </w:tabs>
        <w:rPr>
          <w:sz w:val="20"/>
          <w:szCs w:val="20"/>
          <w:color w:val="auto"/>
        </w:rPr>
      </w:pPr>
      <w:r>
        <w:rPr>
          <w:rFonts w:ascii="Courier New" w:cs="Courier New" w:eastAsia="Courier New" w:hAnsi="Courier New"/>
          <w:sz w:val="18"/>
          <w:szCs w:val="18"/>
          <w:color w:val="auto"/>
        </w:rPr>
        <w:t>Votes For: 7,810,392</w:t>
        <w:tab/>
        <w:t>Votes Against: 92,336</w:t>
      </w:r>
      <w:r>
        <w:rPr>
          <w:sz w:val="20"/>
          <w:szCs w:val="20"/>
          <w:color w:val="auto"/>
        </w:rPr>
        <w:tab/>
      </w:r>
      <w:r>
        <w:rPr>
          <w:rFonts w:ascii="Courier New" w:cs="Courier New" w:eastAsia="Courier New" w:hAnsi="Courier New"/>
          <w:sz w:val="16"/>
          <w:szCs w:val="16"/>
          <w:color w:val="auto"/>
        </w:rPr>
        <w:t>Votes Abstaining: 6,026</w:t>
      </w:r>
    </w:p>
    <w:p>
      <w:pPr>
        <w:spacing w:after="0" w:line="201" w:lineRule="exact"/>
        <w:rPr>
          <w:sz w:val="20"/>
          <w:szCs w:val="20"/>
          <w:color w:val="auto"/>
        </w:rPr>
      </w:pPr>
    </w:p>
    <w:p>
      <w:pPr>
        <w:ind w:left="860" w:hanging="325"/>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Adopted the Frequency Electronics, Inc. 2005 Stock Award Plan.</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Votes For: 4,046,765  Votes Against: 1,172,958  Votes Abstaining: 62,992</w:t>
      </w:r>
    </w:p>
    <w:p>
      <w:pPr>
        <w:spacing w:after="0" w:line="53"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Broker non-votes:  2,656,039</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ITEM 6 - Exhibits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31.1</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 Certification by the Chief</w:t>
            </w:r>
          </w:p>
        </w:tc>
        <w:tc>
          <w:tcPr>
            <w:tcW w:w="4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Executive Officer Pursuant to Section 302</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31.2</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Sarbanes-Oxley Act of</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 Certification by the Chief</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Officer Pursuant to Section 302</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32.1</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Sarbanes-Oxley Act of</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2002</w:t>
            </w:r>
          </w:p>
        </w:tc>
        <w:tc>
          <w:tcPr>
            <w:tcW w:w="3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Officer Pursuant to 18 U.S.C.</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Certification</w:t>
            </w:r>
          </w:p>
        </w:tc>
        <w:tc>
          <w:tcPr>
            <w:tcW w:w="2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by the Chief Executive</w:t>
            </w:r>
          </w:p>
        </w:tc>
        <w:tc>
          <w:tcPr>
            <w:tcW w:w="3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Section 1350 Adopted Pursuant to Section</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906 of the Sarbanes-Oxley Act</w:t>
            </w:r>
          </w:p>
        </w:tc>
        <w:tc>
          <w:tcPr>
            <w:tcW w:w="0" w:type="dxa"/>
            <w:vAlign w:val="bottom"/>
          </w:tcPr>
          <w:p>
            <w:pPr>
              <w:spacing w:after="0"/>
              <w:rPr>
                <w:sz w:val="1"/>
                <w:szCs w:val="1"/>
                <w:color w:val="auto"/>
              </w:rPr>
            </w:pPr>
          </w:p>
        </w:tc>
      </w:tr>
      <w:tr>
        <w:trPr>
          <w:trHeight w:val="203"/>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32.2</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2002.</w:t>
            </w:r>
          </w:p>
        </w:tc>
        <w:tc>
          <w:tcPr>
            <w:tcW w:w="2580" w:type="dxa"/>
            <w:vAlign w:val="bottom"/>
            <w:gridSpan w:val="2"/>
            <w:vMerge w:val="restart"/>
          </w:tcPr>
          <w:p>
            <w:pPr>
              <w:ind w:left="120"/>
              <w:spacing w:after="0"/>
              <w:rPr>
                <w:sz w:val="20"/>
                <w:szCs w:val="20"/>
                <w:color w:val="auto"/>
              </w:rPr>
            </w:pPr>
            <w:r>
              <w:rPr>
                <w:rFonts w:ascii="Courier New" w:cs="Courier New" w:eastAsia="Courier New" w:hAnsi="Courier New"/>
                <w:sz w:val="18"/>
                <w:szCs w:val="18"/>
                <w:color w:val="auto"/>
              </w:rPr>
              <w:t>by the Chief Financial</w:t>
            </w:r>
          </w:p>
        </w:tc>
        <w:tc>
          <w:tcPr>
            <w:tcW w:w="3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8"/>
              </w:rPr>
              <w:t>Officer Pursuant to 18 U.S.C.</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Certification</w:t>
            </w:r>
          </w:p>
        </w:tc>
        <w:tc>
          <w:tcPr>
            <w:tcW w:w="2580" w:type="dxa"/>
            <w:vAlign w:val="bottom"/>
            <w:gridSpan w:val="2"/>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4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Section 1350 Adopted Pursuant to Section</w:t>
            </w:r>
          </w:p>
        </w:tc>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906 of the Sarbanes-Oxley Act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of 2002.</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2" w:name="page23"/>
    <w:bookmarkEnd w:id="2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FREQUENCY ELECTRONICS, INC.</w:t>
      </w:r>
    </w:p>
    <w:p>
      <w:pPr>
        <w:spacing w:after="0" w:line="3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690"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15, 2005</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Alan Miller</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620"/>
        <w:spacing w:after="0" w:line="238" w:lineRule="auto"/>
        <w:rPr>
          <w:sz w:val="20"/>
          <w:szCs w:val="20"/>
          <w:color w:val="auto"/>
        </w:rPr>
      </w:pPr>
      <w:r>
        <w:rPr>
          <w:rFonts w:ascii="Courier New" w:cs="Courier New" w:eastAsia="Courier New" w:hAnsi="Courier New"/>
          <w:sz w:val="18"/>
          <w:szCs w:val="18"/>
          <w:color w:val="auto"/>
        </w:rPr>
        <w:t>Alan Miller</w:t>
      </w:r>
    </w:p>
    <w:p>
      <w:pPr>
        <w:ind w:left="620"/>
        <w:spacing w:after="0"/>
        <w:rPr>
          <w:sz w:val="20"/>
          <w:szCs w:val="20"/>
          <w:color w:val="auto"/>
        </w:rPr>
      </w:pPr>
      <w:r>
        <w:rPr>
          <w:rFonts w:ascii="Courier New" w:cs="Courier New" w:eastAsia="Courier New" w:hAnsi="Courier New"/>
          <w:sz w:val="16"/>
          <w:szCs w:val="16"/>
          <w:color w:val="auto"/>
        </w:rPr>
        <w:t>Chief Financial Officer</w:t>
      </w:r>
    </w:p>
    <w:p>
      <w:pPr>
        <w:spacing w:after="0" w:line="21"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and Controller</w:t>
      </w:r>
    </w:p>
    <w:p>
      <w:pPr>
        <w:sectPr>
          <w:pgSz w:w="11900" w:h="16838" w:orient="portrait"/>
          <w:cols w:equalWidth="0" w:num="2">
            <w:col w:w="4560" w:space="720"/>
            <w:col w:w="4939"/>
          </w:cols>
          <w:pgMar w:left="240" w:top="690" w:right="1440" w:bottom="1440" w:gutter="0" w:footer="0" w:header="0"/>
          <w:type w:val="continuous"/>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Martin B. Bloch, Chief Executive Officer, certify that:</w:t>
      </w:r>
    </w:p>
    <w:p>
      <w:pPr>
        <w:spacing w:after="0" w:line="201" w:lineRule="exact"/>
        <w:rPr>
          <w:sz w:val="20"/>
          <w:szCs w:val="20"/>
          <w:color w:val="auto"/>
        </w:rPr>
      </w:pPr>
    </w:p>
    <w:p>
      <w:pPr>
        <w:ind w:left="540" w:right="1779" w:hanging="532"/>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18" w:lineRule="exact"/>
        <w:rPr>
          <w:rFonts w:ascii="Courier New" w:cs="Courier New" w:eastAsia="Courier New" w:hAnsi="Courier New"/>
          <w:sz w:val="18"/>
          <w:szCs w:val="18"/>
          <w:color w:val="auto"/>
        </w:rPr>
      </w:pPr>
    </w:p>
    <w:p>
      <w:pPr>
        <w:jc w:val="both"/>
        <w:ind w:left="540" w:right="1779" w:hanging="532"/>
        <w:spacing w:after="0" w:line="26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jc w:val="both"/>
        <w:ind w:left="540" w:right="1779" w:hanging="532"/>
        <w:spacing w:after="0" w:line="274"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Courier New" w:cs="Courier New" w:eastAsia="Courier New" w:hAnsi="Courier New"/>
          <w:sz w:val="18"/>
          <w:szCs w:val="18"/>
          <w:color w:val="auto"/>
        </w:rPr>
      </w:pPr>
    </w:p>
    <w:p>
      <w:pPr>
        <w:jc w:val="both"/>
        <w:ind w:left="540" w:right="1779" w:hanging="532"/>
        <w:spacing w:after="0" w:line="344"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30" w:lineRule="exact"/>
        <w:rPr>
          <w:rFonts w:ascii="Courier New" w:cs="Courier New" w:eastAsia="Courier New" w:hAnsi="Courier New"/>
          <w:sz w:val="16"/>
          <w:szCs w:val="16"/>
          <w:color w:val="auto"/>
        </w:rPr>
      </w:pPr>
    </w:p>
    <w:p>
      <w:pPr>
        <w:jc w:val="both"/>
        <w:ind w:left="1060" w:right="1779" w:hanging="525"/>
        <w:spacing w:after="0" w:line="260"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jc w:val="both"/>
        <w:ind w:left="1060" w:right="1779" w:hanging="525"/>
        <w:spacing w:after="0" w:line="318" w:lineRule="auto"/>
        <w:tabs>
          <w:tab w:leader="none" w:pos="10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2" w:lineRule="exact"/>
        <w:rPr>
          <w:rFonts w:ascii="Courier New" w:cs="Courier New" w:eastAsia="Courier New" w:hAnsi="Courier New"/>
          <w:sz w:val="16"/>
          <w:szCs w:val="16"/>
          <w:color w:val="auto"/>
        </w:rPr>
      </w:pPr>
    </w:p>
    <w:p>
      <w:pPr>
        <w:jc w:val="both"/>
        <w:ind w:left="1060" w:right="1779" w:hanging="525"/>
        <w:spacing w:after="0" w:line="260"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Courier New" w:cs="Courier New" w:eastAsia="Courier New" w:hAnsi="Courier New"/>
          <w:sz w:val="18"/>
          <w:szCs w:val="18"/>
          <w:color w:val="auto"/>
        </w:rPr>
      </w:pPr>
    </w:p>
    <w:p>
      <w:pPr>
        <w:jc w:val="both"/>
        <w:ind w:left="540" w:right="1779" w:hanging="532"/>
        <w:spacing w:after="0" w:line="318"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Courier New" w:cs="Courier New" w:eastAsia="Courier New" w:hAnsi="Courier New"/>
          <w:sz w:val="16"/>
          <w:szCs w:val="16"/>
          <w:color w:val="auto"/>
        </w:rPr>
      </w:pPr>
    </w:p>
    <w:p>
      <w:pPr>
        <w:jc w:val="both"/>
        <w:ind w:left="1060" w:right="1779" w:hanging="525"/>
        <w:spacing w:after="0" w:line="274"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Courier New" w:cs="Courier New" w:eastAsia="Courier New" w:hAnsi="Courier New"/>
          <w:sz w:val="18"/>
          <w:szCs w:val="18"/>
          <w:color w:val="auto"/>
        </w:rPr>
      </w:pPr>
    </w:p>
    <w:p>
      <w:pPr>
        <w:jc w:val="both"/>
        <w:ind w:left="1060" w:right="1779" w:hanging="525"/>
        <w:spacing w:after="0" w:line="292"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691" w:right="1440" w:bottom="1440" w:gutter="0" w:footer="0" w:header="0"/>
        </w:sectPr>
      </w:pPr>
    </w:p>
    <w:p>
      <w:pPr>
        <w:spacing w:after="0" w:line="269" w:lineRule="exact"/>
        <w:rPr>
          <w:sz w:val="20"/>
          <w:szCs w:val="20"/>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/s/</w:t>
        <w:tab/>
        <w:t>Martin B. Bloch</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2005</w:t>
      </w:r>
    </w:p>
    <w:p>
      <w:pPr>
        <w:sectPr>
          <w:pgSz w:w="11900" w:h="16838" w:orient="portrait"/>
          <w:cols w:equalWidth="0" w:num="2">
            <w:col w:w="5400" w:space="720"/>
            <w:col w:w="4099"/>
          </w:cols>
          <w:pgMar w:left="240" w:top="691" w:right="1440" w:bottom="1440" w:gutter="0" w:footer="0" w:header="0"/>
          <w:type w:val="continuous"/>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Chief Financial Officer, certify that</w:t>
      </w:r>
    </w:p>
    <w:p>
      <w:pPr>
        <w:spacing w:after="0" w:line="201" w:lineRule="exact"/>
        <w:rPr>
          <w:sz w:val="20"/>
          <w:szCs w:val="20"/>
          <w:color w:val="auto"/>
        </w:rPr>
      </w:pPr>
    </w:p>
    <w:p>
      <w:pPr>
        <w:ind w:left="540" w:right="1779" w:hanging="532"/>
        <w:spacing w:after="0" w:line="34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18" w:lineRule="exact"/>
        <w:rPr>
          <w:rFonts w:ascii="Courier New" w:cs="Courier New" w:eastAsia="Courier New" w:hAnsi="Courier New"/>
          <w:sz w:val="18"/>
          <w:szCs w:val="18"/>
          <w:color w:val="auto"/>
        </w:rPr>
      </w:pPr>
    </w:p>
    <w:p>
      <w:pPr>
        <w:jc w:val="both"/>
        <w:ind w:left="540" w:right="1779" w:hanging="532"/>
        <w:spacing w:after="0" w:line="26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Courier New" w:cs="Courier New" w:eastAsia="Courier New" w:hAnsi="Courier New"/>
          <w:sz w:val="18"/>
          <w:szCs w:val="18"/>
          <w:color w:val="auto"/>
        </w:rPr>
      </w:pPr>
    </w:p>
    <w:p>
      <w:pPr>
        <w:jc w:val="both"/>
        <w:ind w:left="540" w:right="1779" w:hanging="532"/>
        <w:spacing w:after="0" w:line="274"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Courier New" w:cs="Courier New" w:eastAsia="Courier New" w:hAnsi="Courier New"/>
          <w:sz w:val="18"/>
          <w:szCs w:val="18"/>
          <w:color w:val="auto"/>
        </w:rPr>
      </w:pPr>
    </w:p>
    <w:p>
      <w:pPr>
        <w:jc w:val="both"/>
        <w:ind w:left="540" w:right="1779" w:hanging="532"/>
        <w:spacing w:after="0" w:line="344"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30" w:lineRule="exact"/>
        <w:rPr>
          <w:rFonts w:ascii="Courier New" w:cs="Courier New" w:eastAsia="Courier New" w:hAnsi="Courier New"/>
          <w:sz w:val="16"/>
          <w:szCs w:val="16"/>
          <w:color w:val="auto"/>
        </w:rPr>
      </w:pPr>
    </w:p>
    <w:p>
      <w:pPr>
        <w:jc w:val="both"/>
        <w:ind w:left="1060" w:right="1779" w:hanging="525"/>
        <w:spacing w:after="0" w:line="260"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2" w:lineRule="exact"/>
        <w:rPr>
          <w:rFonts w:ascii="Courier New" w:cs="Courier New" w:eastAsia="Courier New" w:hAnsi="Courier New"/>
          <w:sz w:val="18"/>
          <w:szCs w:val="18"/>
          <w:color w:val="auto"/>
        </w:rPr>
      </w:pPr>
    </w:p>
    <w:p>
      <w:pPr>
        <w:jc w:val="both"/>
        <w:ind w:left="1060" w:right="1779" w:hanging="525"/>
        <w:spacing w:after="0" w:line="318" w:lineRule="auto"/>
        <w:tabs>
          <w:tab w:leader="none" w:pos="10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52" w:lineRule="exact"/>
        <w:rPr>
          <w:rFonts w:ascii="Courier New" w:cs="Courier New" w:eastAsia="Courier New" w:hAnsi="Courier New"/>
          <w:sz w:val="16"/>
          <w:szCs w:val="16"/>
          <w:color w:val="auto"/>
        </w:rPr>
      </w:pPr>
    </w:p>
    <w:p>
      <w:pPr>
        <w:jc w:val="both"/>
        <w:ind w:left="1060" w:right="1779" w:hanging="525"/>
        <w:spacing w:after="0" w:line="260"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Courier New" w:cs="Courier New" w:eastAsia="Courier New" w:hAnsi="Courier New"/>
          <w:sz w:val="18"/>
          <w:szCs w:val="18"/>
          <w:color w:val="auto"/>
        </w:rPr>
      </w:pPr>
    </w:p>
    <w:p>
      <w:pPr>
        <w:jc w:val="both"/>
        <w:ind w:left="540" w:right="1779" w:hanging="532"/>
        <w:spacing w:after="0" w:line="318"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Courier New" w:cs="Courier New" w:eastAsia="Courier New" w:hAnsi="Courier New"/>
          <w:sz w:val="16"/>
          <w:szCs w:val="16"/>
          <w:color w:val="auto"/>
        </w:rPr>
      </w:pPr>
    </w:p>
    <w:p>
      <w:pPr>
        <w:jc w:val="both"/>
        <w:ind w:left="1060" w:right="1779" w:hanging="525"/>
        <w:spacing w:after="0" w:line="274"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Courier New" w:cs="Courier New" w:eastAsia="Courier New" w:hAnsi="Courier New"/>
          <w:sz w:val="18"/>
          <w:szCs w:val="18"/>
          <w:color w:val="auto"/>
        </w:rPr>
      </w:pPr>
    </w:p>
    <w:p>
      <w:pPr>
        <w:jc w:val="both"/>
        <w:ind w:left="1060" w:right="1779" w:hanging="525"/>
        <w:spacing w:after="0" w:line="292"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893" w:right="1440" w:bottom="1440" w:gutter="0" w:footer="0" w:header="0"/>
        </w:sectPr>
      </w:pP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Alan L. Miller</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December 15, 2005</w:t>
      </w:r>
    </w:p>
    <w:p>
      <w:pPr>
        <w:sectPr>
          <w:pgSz w:w="11900" w:h="16838" w:orient="portrait"/>
          <w:cols w:equalWidth="0" w:num="2">
            <w:col w:w="5080" w:space="720"/>
            <w:col w:w="4419"/>
          </w:cols>
          <w:pgMar w:left="240" w:top="893" w:right="1440" w:bottom="1440" w:gutter="0" w:footer="0" w:header="0"/>
          <w:type w:val="continuous"/>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 U.S.C. SECTION 1350</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October 31, 2005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1060" w:right="1779" w:hanging="525"/>
        <w:spacing w:after="0" w:line="34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jc w:val="both"/>
        <w:ind w:left="1060" w:right="1779" w:hanging="525"/>
        <w:spacing w:after="0" w:line="292"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893" w:right="1440" w:bottom="1440" w:gutter="0" w:footer="0" w:header="0"/>
        </w:sectPr>
      </w:pPr>
    </w:p>
    <w:p>
      <w:pPr>
        <w:spacing w:after="0" w:line="2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Martin B. Bloch</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2005</w:t>
      </w:r>
    </w:p>
    <w:p>
      <w:pPr>
        <w:spacing w:after="0" w:line="839" w:lineRule="exact"/>
        <w:rPr>
          <w:sz w:val="20"/>
          <w:szCs w:val="20"/>
          <w:color w:val="auto"/>
        </w:rPr>
      </w:pPr>
    </w:p>
    <w:p>
      <w:pPr>
        <w:sectPr>
          <w:pgSz w:w="11900" w:h="16838" w:orient="portrait"/>
          <w:cols w:equalWidth="0" w:num="2">
            <w:col w:w="5600" w:space="720"/>
            <w:col w:w="3899"/>
          </w:cols>
          <w:pgMar w:left="240" w:top="893" w:right="1440" w:bottom="1440" w:gutter="0" w:footer="0" w:header="0"/>
          <w:type w:val="continuous"/>
        </w:sectPr>
      </w:pPr>
    </w:p>
    <w:p>
      <w:pPr>
        <w:spacing w:after="0" w:line="397" w:lineRule="exact"/>
        <w:rPr>
          <w:sz w:val="20"/>
          <w:szCs w:val="20"/>
          <w:color w:val="auto"/>
        </w:rPr>
      </w:pPr>
    </w:p>
    <w:p>
      <w:pPr>
        <w:jc w:val="both"/>
        <w:ind w:left="540" w:right="1779"/>
        <w:spacing w:after="0" w:line="260"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95" w:lineRule="exact"/>
        <w:rPr>
          <w:sz w:val="20"/>
          <w:szCs w:val="20"/>
          <w:color w:val="auto"/>
        </w:rPr>
      </w:pPr>
    </w:p>
    <w:p>
      <w:pPr>
        <w:jc w:val="both"/>
        <w:ind w:left="540" w:right="1779"/>
        <w:spacing w:after="0" w:line="253" w:lineRule="auto"/>
        <w:rPr>
          <w:sz w:val="20"/>
          <w:szCs w:val="20"/>
          <w:color w:val="auto"/>
        </w:rPr>
      </w:pPr>
      <w:r>
        <w:rPr>
          <w:rFonts w:ascii="Courier New" w:cs="Courier New" w:eastAsia="Courier New" w:hAnsi="Courier New"/>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893" w:right="1440" w:bottom="1440" w:gutter="0" w:footer="0" w:header="0"/>
          <w:type w:val="continuous"/>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 U.S.C. SECTION 1350</w:t>
      </w:r>
    </w:p>
    <w:p>
      <w:pPr>
        <w:jc w:val="center"/>
        <w:ind w:right="1659"/>
        <w:spacing w:after="0" w:line="238" w:lineRule="auto"/>
        <w:rPr>
          <w:sz w:val="20"/>
          <w:szCs w:val="20"/>
          <w:color w:val="auto"/>
        </w:rPr>
      </w:pPr>
      <w:r>
        <w:rPr>
          <w:rFonts w:ascii="Courier New" w:cs="Courier New" w:eastAsia="Courier New" w:hAnsi="Courier New"/>
          <w:sz w:val="18"/>
          <w:szCs w:val="18"/>
          <w:color w:val="auto"/>
        </w:rPr>
        <w:t>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jc w:val="both"/>
        <w:ind w:right="1779"/>
        <w:spacing w:after="0" w:line="260"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October 31, 2005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1060" w:right="1779" w:hanging="525"/>
        <w:spacing w:after="0" w:line="347"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jc w:val="both"/>
        <w:ind w:left="1060" w:right="1779" w:hanging="525"/>
        <w:spacing w:after="0" w:line="292"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893" w:right="1440" w:bottom="1440" w:gutter="0" w:footer="0" w:header="0"/>
        </w:sectPr>
      </w:pPr>
    </w:p>
    <w:p>
      <w:pPr>
        <w:spacing w:after="0" w:line="2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Alan L. Miller</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2005</w:t>
      </w:r>
    </w:p>
    <w:p>
      <w:pPr>
        <w:spacing w:after="0" w:line="862" w:lineRule="exact"/>
        <w:rPr>
          <w:sz w:val="20"/>
          <w:szCs w:val="20"/>
          <w:color w:val="auto"/>
        </w:rPr>
      </w:pPr>
    </w:p>
    <w:p>
      <w:pPr>
        <w:sectPr>
          <w:pgSz w:w="11900" w:h="16838" w:orient="portrait"/>
          <w:cols w:equalWidth="0" w:num="2">
            <w:col w:w="5180" w:space="720"/>
            <w:col w:w="4319"/>
          </w:cols>
          <w:pgMar w:left="240" w:top="893" w:right="1440" w:bottom="1440" w:gutter="0" w:footer="0" w:header="0"/>
          <w:type w:val="continuous"/>
        </w:sectPr>
      </w:pPr>
    </w:p>
    <w:p>
      <w:pPr>
        <w:spacing w:after="0" w:line="374" w:lineRule="exact"/>
        <w:rPr>
          <w:sz w:val="20"/>
          <w:szCs w:val="20"/>
          <w:color w:val="auto"/>
        </w:rPr>
      </w:pPr>
    </w:p>
    <w:p>
      <w:pPr>
        <w:jc w:val="both"/>
        <w:ind w:left="540" w:right="1779"/>
        <w:spacing w:after="0" w:line="260"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95" w:lineRule="exact"/>
        <w:rPr>
          <w:sz w:val="20"/>
          <w:szCs w:val="20"/>
          <w:color w:val="auto"/>
        </w:rPr>
      </w:pPr>
    </w:p>
    <w:p>
      <w:pPr>
        <w:jc w:val="both"/>
        <w:ind w:left="540" w:right="1779"/>
        <w:spacing w:after="0" w:line="253" w:lineRule="auto"/>
        <w:rPr>
          <w:sz w:val="20"/>
          <w:szCs w:val="20"/>
          <w:color w:val="auto"/>
        </w:rPr>
      </w:pPr>
      <w:r>
        <w:rPr>
          <w:rFonts w:ascii="Courier New" w:cs="Courier New" w:eastAsia="Courier New" w:hAnsi="Courier New"/>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8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2019-12-13T01:37:07Z</dcterms:created>
  <dcterms:modified xsi:type="dcterms:W3CDTF">2019-12-13T01:37:07Z</dcterms:modified>
</cp:coreProperties>
</file>