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142240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177165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 (d)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July 31, 2019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3600" w:right="1920" w:hanging="2944"/>
        <w:spacing w:after="0" w:line="495" w:lineRule="auto"/>
        <w:tabs>
          <w:tab w:leader="none" w:pos="85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66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760" w:type="dxa"/>
            <w:vAlign w:val="bottom"/>
            <w:gridSpan w:val="3"/>
          </w:tcPr>
          <w:p>
            <w:pPr>
              <w:jc w:val="center"/>
              <w:ind w:right="304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r>
      <w:tr>
        <w:trPr>
          <w:trHeight w:val="20"/>
        </w:trPr>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gridSpan w:val="5"/>
          </w:tcPr>
          <w:p>
            <w:pPr>
              <w:jc w:val="center"/>
              <w:ind w:left="9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0" w:type="dxa"/>
            <w:vAlign w:val="bottom"/>
          </w:tcPr>
          <w:p>
            <w:pPr>
              <w:spacing w:after="0"/>
              <w:rPr>
                <w:sz w:val="20"/>
                <w:szCs w:val="20"/>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incorporation or organization)</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460" w:type="dxa"/>
            <w:vAlign w:val="bottom"/>
          </w:tcPr>
          <w:p>
            <w:pPr>
              <w:spacing w:after="0"/>
              <w:rPr>
                <w:sz w:val="24"/>
                <w:szCs w:val="24"/>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rPr>
              <w:t>55 CHARLES LINDBERGH BLVD., MITCHEL FIELD, N.Y.</w:t>
            </w:r>
          </w:p>
        </w:tc>
        <w:tc>
          <w:tcPr>
            <w:tcW w:w="27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r>
      <w:tr>
        <w:trPr>
          <w:trHeight w:val="432"/>
        </w:trPr>
        <w:tc>
          <w:tcPr>
            <w:tcW w:w="626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 (b) of the Act:</w:t>
      </w:r>
    </w:p>
    <w:p>
      <w:pPr>
        <w:spacing w:after="0" w:line="225"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40" w:type="dxa"/>
            <w:vAlign w:val="bottom"/>
            <w:gridSpan w:val="3"/>
          </w:tcPr>
          <w:p>
            <w:pPr>
              <w:jc w:val="center"/>
              <w:ind w:left="970"/>
              <w:spacing w:after="0"/>
              <w:rPr>
                <w:sz w:val="20"/>
                <w:szCs w:val="20"/>
                <w:color w:val="auto"/>
              </w:rPr>
            </w:pPr>
            <w:r>
              <w:rPr>
                <w:rFonts w:ascii="Arial" w:cs="Arial" w:eastAsia="Arial" w:hAnsi="Arial"/>
                <w:sz w:val="18"/>
                <w:szCs w:val="18"/>
                <w:color w:val="auto"/>
                <w:w w:val="88"/>
              </w:rPr>
              <w:t>Name of each exchange on</w:t>
            </w:r>
          </w:p>
        </w:tc>
      </w:tr>
      <w:tr>
        <w:trPr>
          <w:trHeight w:val="190"/>
        </w:trPr>
        <w:tc>
          <w:tcPr>
            <w:tcW w:w="1000" w:type="dxa"/>
            <w:vAlign w:val="bottom"/>
          </w:tcPr>
          <w:p>
            <w:pPr>
              <w:spacing w:after="0"/>
              <w:rPr>
                <w:sz w:val="16"/>
                <w:szCs w:val="16"/>
                <w:color w:val="auto"/>
              </w:rPr>
            </w:pPr>
          </w:p>
        </w:tc>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90"/>
              </w:rPr>
              <w:t>Title of each class</w:t>
            </w:r>
          </w:p>
        </w:tc>
        <w:tc>
          <w:tcPr>
            <w:tcW w:w="1740" w:type="dxa"/>
            <w:vAlign w:val="bottom"/>
          </w:tcPr>
          <w:p>
            <w:pPr>
              <w:spacing w:after="0"/>
              <w:rPr>
                <w:sz w:val="16"/>
                <w:szCs w:val="16"/>
                <w:color w:val="auto"/>
              </w:rPr>
            </w:pPr>
          </w:p>
        </w:tc>
        <w:tc>
          <w:tcPr>
            <w:tcW w:w="2980" w:type="dxa"/>
            <w:vAlign w:val="bottom"/>
            <w:gridSpan w:val="3"/>
          </w:tcPr>
          <w:p>
            <w:pPr>
              <w:jc w:val="center"/>
              <w:ind w:right="340"/>
              <w:spacing w:after="0" w:line="190" w:lineRule="exact"/>
              <w:rPr>
                <w:sz w:val="20"/>
                <w:szCs w:val="20"/>
                <w:color w:val="auto"/>
              </w:rPr>
            </w:pPr>
            <w:r>
              <w:rPr>
                <w:rFonts w:ascii="Arial" w:cs="Arial" w:eastAsia="Arial" w:hAnsi="Arial"/>
                <w:sz w:val="18"/>
                <w:szCs w:val="18"/>
                <w:color w:val="auto"/>
                <w:w w:val="91"/>
              </w:rPr>
              <w:t>Trading Symbol</w:t>
            </w:r>
          </w:p>
        </w:tc>
        <w:tc>
          <w:tcPr>
            <w:tcW w:w="1460" w:type="dxa"/>
            <w:vAlign w:val="bottom"/>
          </w:tcPr>
          <w:p>
            <w:pPr>
              <w:spacing w:after="0"/>
              <w:rPr>
                <w:sz w:val="16"/>
                <w:szCs w:val="16"/>
                <w:color w:val="auto"/>
              </w:rPr>
            </w:pPr>
          </w:p>
        </w:tc>
        <w:tc>
          <w:tcPr>
            <w:tcW w:w="1580" w:type="dxa"/>
            <w:vAlign w:val="bottom"/>
            <w:gridSpan w:val="2"/>
          </w:tcPr>
          <w:p>
            <w:pPr>
              <w:jc w:val="center"/>
              <w:ind w:right="400"/>
              <w:spacing w:after="0" w:line="190" w:lineRule="exact"/>
              <w:rPr>
                <w:sz w:val="20"/>
                <w:szCs w:val="20"/>
                <w:color w:val="auto"/>
              </w:rPr>
            </w:pPr>
            <w:r>
              <w:rPr>
                <w:rFonts w:ascii="Arial" w:cs="Arial" w:eastAsia="Arial" w:hAnsi="Arial"/>
                <w:sz w:val="18"/>
                <w:szCs w:val="18"/>
                <w:color w:val="auto"/>
                <w:w w:val="90"/>
              </w:rPr>
              <w:t>which registered</w:t>
            </w:r>
          </w:p>
        </w:tc>
      </w:tr>
      <w:tr>
        <w:trPr>
          <w:trHeight w:val="20"/>
        </w:trPr>
        <w:tc>
          <w:tcPr>
            <w:tcW w:w="10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404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740" w:type="dxa"/>
            <w:vAlign w:val="bottom"/>
          </w:tcPr>
          <w:p>
            <w:pPr>
              <w:spacing w:after="0"/>
              <w:rPr>
                <w:sz w:val="20"/>
                <w:szCs w:val="20"/>
                <w:color w:val="auto"/>
              </w:rPr>
            </w:pPr>
          </w:p>
        </w:tc>
        <w:tc>
          <w:tcPr>
            <w:tcW w:w="224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rPr>
              <w:t>FEIM</w:t>
            </w:r>
          </w:p>
        </w:tc>
        <w:tc>
          <w:tcPr>
            <w:tcW w:w="304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5"/>
              </w:rPr>
              <w:t>NASDAQ Global Market</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378" w:right="239" w:bottom="1440" w:gutter="0" w:footer="0" w:header="0"/>
        </w:sectPr>
      </w:pP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6" w:lineRule="exact"/>
        <w:rPr>
          <w:sz w:val="24"/>
          <w:szCs w:val="24"/>
          <w:color w:val="auto"/>
        </w:rPr>
      </w:pPr>
    </w:p>
    <w:p>
      <w:pPr>
        <w:sectPr>
          <w:pgSz w:w="11900" w:h="16838" w:orient="portrait"/>
          <w:cols w:equalWidth="0" w:num="2">
            <w:col w:w="5660" w:space="720"/>
            <w:col w:w="5040"/>
          </w:cols>
          <w:pgMar w:left="240" w:top="378" w:right="239" w:bottom="144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September 11, 2019 – 9,040,969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40" w:type="dxa"/>
            <w:vAlign w:val="bottom"/>
            <w:gridSpan w:val="8"/>
          </w:tcPr>
          <w:p>
            <w:pPr>
              <w:jc w:val="center"/>
              <w:ind w:right="208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80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40" w:type="dxa"/>
            <w:vAlign w:val="bottom"/>
            <w:gridSpan w:val="8"/>
          </w:tcPr>
          <w:p>
            <w:pPr>
              <w:jc w:val="center"/>
              <w:ind w:right="206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r>
      <w:tr>
        <w:trPr>
          <w:trHeight w:val="432"/>
        </w:trPr>
        <w:tc>
          <w:tcPr>
            <w:tcW w:w="10620" w:type="dxa"/>
            <w:vAlign w:val="bottom"/>
            <w:gridSpan w:val="14"/>
          </w:tcPr>
          <w:p>
            <w:pPr>
              <w:spacing w:after="0"/>
              <w:rPr>
                <w:sz w:val="20"/>
                <w:szCs w:val="20"/>
                <w:color w:val="auto"/>
              </w:rPr>
            </w:pPr>
            <w:r>
              <w:rPr>
                <w:rFonts w:ascii="Arial" w:cs="Arial" w:eastAsia="Arial" w:hAnsi="Arial"/>
                <w:sz w:val="18"/>
                <w:szCs w:val="18"/>
                <w:b w:val="1"/>
                <w:bCs w:val="1"/>
                <w:color w:val="auto"/>
              </w:rPr>
              <w:t>Part I. Financial Information:</w:t>
            </w: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3"/>
              </w:rPr>
              <w:t>Page No.</w:t>
            </w:r>
          </w:p>
        </w:tc>
      </w:tr>
      <w:tr>
        <w:trPr>
          <w:trHeight w:val="385"/>
        </w:trPr>
        <w:tc>
          <w:tcPr>
            <w:tcW w:w="500" w:type="dxa"/>
            <w:vAlign w:val="bottom"/>
          </w:tcPr>
          <w:p>
            <w:pPr>
              <w:spacing w:after="0"/>
              <w:rPr>
                <w:sz w:val="24"/>
                <w:szCs w:val="24"/>
                <w:color w:val="auto"/>
              </w:rPr>
            </w:pPr>
          </w:p>
        </w:tc>
        <w:tc>
          <w:tcPr>
            <w:tcW w:w="1012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 Financial Statements:</w:t>
              </w:r>
            </w:hyperlink>
          </w:p>
        </w:tc>
        <w:tc>
          <w:tcPr>
            <w:tcW w:w="80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July 31, 2019 (unaudited) and April 30, 2019</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50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and Comprehensive Loss Three Months Ended July 31, 2019 and 2018</w:t>
              </w:r>
            </w:hyperlink>
          </w:p>
        </w:tc>
        <w:tc>
          <w:tcPr>
            <w:tcW w:w="860" w:type="dxa"/>
            <w:vAlign w:val="bottom"/>
            <w:gridSpan w:val="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196"/>
        </w:trPr>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8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Three Months Ended July 31, 2019 and 2018 (unaudited)</w:t>
              </w:r>
            </w:hyperlink>
          </w:p>
        </w:tc>
        <w:tc>
          <w:tcPr>
            <w:tcW w:w="1800" w:type="dxa"/>
            <w:vAlign w:val="bottom"/>
            <w:gridSpan w:val="3"/>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gridSpan w:val="12"/>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Changes in Stockholders’ Equity Three Months Ended July 31, 2019 and 2018 (unaudited)</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60" w:type="dxa"/>
            <w:vAlign w:val="bottom"/>
            <w:tcBorders>
              <w:top w:val="single" w:sz="8" w:color="0000EE"/>
            </w:tcBorders>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2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7-13</w:t>
            </w:r>
          </w:p>
        </w:tc>
      </w:tr>
      <w:tr>
        <w:trPr>
          <w:trHeight w:val="20"/>
        </w:trPr>
        <w:tc>
          <w:tcPr>
            <w:tcW w:w="50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Item 2</w:t>
              </w:r>
            </w:hyperlink>
          </w:p>
        </w:tc>
        <w:tc>
          <w:tcPr>
            <w:tcW w:w="9640" w:type="dxa"/>
            <w:vAlign w:val="bottom"/>
            <w:gridSpan w:val="12"/>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 Management’s Discussion and Analysis of Financial Condition and Results of Operations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14-18</w:t>
            </w:r>
          </w:p>
        </w:tc>
      </w:tr>
      <w:tr>
        <w:trPr>
          <w:trHeight w:val="412"/>
        </w:trPr>
        <w:tc>
          <w:tcPr>
            <w:tcW w:w="500" w:type="dxa"/>
            <w:vAlign w:val="bottom"/>
          </w:tcPr>
          <w:p>
            <w:pPr>
              <w:spacing w:after="0"/>
              <w:rPr>
                <w:sz w:val="24"/>
                <w:szCs w:val="24"/>
                <w:color w:val="auto"/>
              </w:rPr>
            </w:pPr>
          </w:p>
        </w:tc>
        <w:tc>
          <w:tcPr>
            <w:tcW w:w="480" w:type="dxa"/>
            <w:vAlign w:val="bottom"/>
            <w:tcBorders>
              <w:top w:val="single" w:sz="8" w:color="0000EE"/>
            </w:tcBorders>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Item 3</w:t>
              </w:r>
            </w:hyperlink>
          </w:p>
        </w:tc>
        <w:tc>
          <w:tcPr>
            <w:tcW w:w="6580" w:type="dxa"/>
            <w:vAlign w:val="bottom"/>
            <w:tcBorders>
              <w:top w:val="single" w:sz="8" w:color="0000EE"/>
            </w:tcBorders>
            <w:gridSpan w:val="8"/>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 Quantitative and Qualitative Disclosures About Market Risk</w:t>
              </w:r>
            </w:hyperlink>
          </w:p>
        </w:tc>
        <w:tc>
          <w:tcPr>
            <w:tcW w:w="3060" w:type="dxa"/>
            <w:vAlign w:val="bottom"/>
            <w:gridSpan w:val="4"/>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412"/>
        </w:trPr>
        <w:tc>
          <w:tcPr>
            <w:tcW w:w="500" w:type="dxa"/>
            <w:vAlign w:val="bottom"/>
          </w:tcPr>
          <w:p>
            <w:pPr>
              <w:spacing w:after="0"/>
              <w:rPr>
                <w:sz w:val="24"/>
                <w:szCs w:val="24"/>
                <w:color w:val="auto"/>
              </w:rPr>
            </w:pPr>
          </w:p>
        </w:tc>
        <w:tc>
          <w:tcPr>
            <w:tcW w:w="48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Item 4</w:t>
              </w:r>
            </w:hyperlink>
          </w:p>
        </w:tc>
        <w:tc>
          <w:tcPr>
            <w:tcW w:w="190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 Controls and Procedures</w:t>
              </w:r>
            </w:hyperlink>
          </w:p>
        </w:tc>
        <w:tc>
          <w:tcPr>
            <w:tcW w:w="2580" w:type="dxa"/>
            <w:vAlign w:val="bottom"/>
            <w:tcBorders>
              <w:top w:val="single" w:sz="8" w:color="0000EE"/>
            </w:tcBorders>
          </w:tcPr>
          <w:p>
            <w:pPr>
              <w:spacing w:after="0"/>
              <w:rPr>
                <w:sz w:val="24"/>
                <w:szCs w:val="24"/>
                <w:color w:val="auto"/>
              </w:rPr>
            </w:pPr>
          </w:p>
        </w:tc>
        <w:tc>
          <w:tcPr>
            <w:tcW w:w="5160" w:type="dxa"/>
            <w:vAlign w:val="bottom"/>
            <w:gridSpan w:val="7"/>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453"/>
        </w:trPr>
        <w:tc>
          <w:tcPr>
            <w:tcW w:w="1062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800" w:type="dxa"/>
            <w:vAlign w:val="bottom"/>
          </w:tcPr>
          <w:p>
            <w:pPr>
              <w:spacing w:after="0"/>
              <w:rPr>
                <w:sz w:val="24"/>
                <w:szCs w:val="24"/>
                <w:color w:val="auto"/>
              </w:rPr>
            </w:pPr>
          </w:p>
        </w:tc>
      </w:tr>
      <w:tr>
        <w:trPr>
          <w:trHeight w:val="392"/>
        </w:trPr>
        <w:tc>
          <w:tcPr>
            <w:tcW w:w="50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Item 6</w:t>
              </w:r>
            </w:hyperlink>
          </w:p>
        </w:tc>
        <w:tc>
          <w:tcPr>
            <w:tcW w:w="9640" w:type="dxa"/>
            <w:vAlign w:val="bottom"/>
            <w:gridSpan w:val="12"/>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 Exhibits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412"/>
        </w:trPr>
        <w:tc>
          <w:tcPr>
            <w:tcW w:w="500" w:type="dxa"/>
            <w:vAlign w:val="bottom"/>
          </w:tcPr>
          <w:p>
            <w:pPr>
              <w:spacing w:after="0"/>
              <w:rPr>
                <w:sz w:val="24"/>
                <w:szCs w:val="24"/>
                <w:color w:val="auto"/>
              </w:rPr>
            </w:pPr>
          </w:p>
        </w:tc>
        <w:tc>
          <w:tcPr>
            <w:tcW w:w="1260" w:type="dxa"/>
            <w:vAlign w:val="bottom"/>
            <w:tcBorders>
              <w:top w:val="single" w:sz="8" w:color="0000EE"/>
            </w:tcBorders>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8860" w:type="dxa"/>
            <w:vAlign w:val="bottom"/>
            <w:gridSpan w:val="10"/>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1027"/>
        </w:trPr>
        <w:tc>
          <w:tcPr>
            <w:tcW w:w="500" w:type="dxa"/>
            <w:vAlign w:val="bottom"/>
            <w:tcBorders>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July 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20" w:type="dxa"/>
            <w:vAlign w:val="bottom"/>
            <w:vMerge w:val="restart"/>
          </w:tcPr>
          <w:p>
            <w:pPr>
              <w:ind w:left="3620"/>
              <w:spacing w:after="0"/>
              <w:rPr>
                <w:sz w:val="20"/>
                <w:szCs w:val="20"/>
                <w:color w:val="auto"/>
              </w:rPr>
            </w:pPr>
            <w:r>
              <w:rPr>
                <w:rFonts w:ascii="Arial" w:cs="Arial" w:eastAsia="Arial" w:hAnsi="Arial"/>
                <w:sz w:val="18"/>
                <w:szCs w:val="18"/>
                <w:b w:val="1"/>
                <w:bCs w:val="1"/>
                <w:color w:val="auto"/>
              </w:rPr>
              <w:t>ASSETS: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2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Marketable securities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9,016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8,199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Accounts receivable, net of allowance for doubtful accounts</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$182 at July 31, 2019 and $183 at April 30, 2019</w:t>
            </w: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7,328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Costs and estimated earnings in excess of billings, net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7,204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 net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Prepaid income taxes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Current assets held for sale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line="201" w:lineRule="exact"/>
              <w:rPr>
                <w:sz w:val="20"/>
                <w:szCs w:val="20"/>
                <w:color w:val="auto"/>
              </w:rPr>
            </w:pPr>
            <w:r>
              <w:rPr>
                <w:rFonts w:ascii="Arial" w:cs="Arial" w:eastAsia="Arial" w:hAnsi="Arial"/>
                <w:sz w:val="18"/>
                <w:szCs w:val="18"/>
                <w:color w:val="auto"/>
              </w:rPr>
              <w:t>Property, plant and equipment, at cost, net of</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accumulated depreciation and amortization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13,151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14,466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assets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3,553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held for sale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Total assets</w:t>
            </w: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95,164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0"/>
              <w:spacing w:after="0"/>
              <w:rPr>
                <w:sz w:val="20"/>
                <w:szCs w:val="20"/>
                <w:color w:val="auto"/>
              </w:rPr>
            </w:pPr>
            <w:r>
              <w:rPr>
                <w:rFonts w:ascii="Arial" w:cs="Arial" w:eastAsia="Arial" w:hAnsi="Arial"/>
                <w:sz w:val="18"/>
                <w:szCs w:val="18"/>
                <w:b w:val="1"/>
                <w:bCs w:val="1"/>
                <w:color w:val="auto"/>
              </w:rPr>
              <w:t>LIABILITIES AND STOCKHOLDERS’ EQUITY: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Accounts payable – trade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1,061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liabilities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Lease liability, current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1,883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Current liabilities held for sale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6,544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compensation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14,296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liabilities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1,295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held for sale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760"/>
              <w:spacing w:after="0"/>
              <w:rPr>
                <w:sz w:val="20"/>
                <w:szCs w:val="20"/>
                <w:color w:val="auto"/>
              </w:rPr>
            </w:pPr>
            <w:r>
              <w:rPr>
                <w:rFonts w:ascii="Arial" w:cs="Arial" w:eastAsia="Arial" w:hAnsi="Arial"/>
                <w:sz w:val="18"/>
                <w:szCs w:val="18"/>
                <w:color w:val="auto"/>
              </w:rPr>
              <w:t>Total liabilities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32,328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23,682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Stockholders’ equity: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Preferred stock - $1.00 par value; authorized 600 shares, no shares issued</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640"/>
              <w:spacing w:after="0" w:line="201" w:lineRule="exact"/>
              <w:rPr>
                <w:sz w:val="20"/>
                <w:szCs w:val="20"/>
                <w:color w:val="auto"/>
              </w:rPr>
            </w:pPr>
            <w:r>
              <w:rPr>
                <w:rFonts w:ascii="Arial" w:cs="Arial" w:eastAsia="Arial" w:hAnsi="Arial"/>
                <w:sz w:val="18"/>
                <w:szCs w:val="18"/>
                <w:color w:val="auto"/>
              </w:rPr>
              <w:t>Common stock - $1.00 par value; authorized 20,000 shares, 9,164 shares issued,</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Arial" w:cs="Arial" w:eastAsia="Arial" w:hAnsi="Arial"/>
                <w:sz w:val="18"/>
                <w:szCs w:val="18"/>
                <w:color w:val="auto"/>
                <w:w w:val="99"/>
              </w:rPr>
              <w:t>9,033 shares outstanding at July 31, 2019; 8,980 shares outstanding at April 30, 2019</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9,164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Additional paid-in capital</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Accumulated deficit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(2,702)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640"/>
              <w:spacing w:after="0" w:line="201" w:lineRule="exact"/>
              <w:rPr>
                <w:sz w:val="20"/>
                <w:szCs w:val="20"/>
                <w:color w:val="auto"/>
              </w:rPr>
            </w:pPr>
            <w:r>
              <w:rPr>
                <w:rFonts w:ascii="Arial" w:cs="Arial" w:eastAsia="Arial" w:hAnsi="Arial"/>
                <w:sz w:val="18"/>
                <w:szCs w:val="18"/>
                <w:color w:val="auto"/>
              </w:rPr>
              <w:t>Common stock reacquired and held in treasury -</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at cost (131 shares at July 31, 2019 and 184 shares at April 30, 2019)</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Accumulated other comprehensive income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Total stockholders’ equity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62,836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63,089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95,164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July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2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12,554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8,601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Gross margin</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2,453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Arial" w:cs="Arial" w:eastAsia="Arial" w:hAnsi="Arial"/>
                <w:sz w:val="18"/>
                <w:szCs w:val="18"/>
                <w:color w:val="auto"/>
              </w:rPr>
              <w:t>Operating (loss) income</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Investment income</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Other income (expense), net</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(Loss) income before provision for income taxes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Arial" w:cs="Arial" w:eastAsia="Arial" w:hAnsi="Arial"/>
                <w:sz w:val="18"/>
                <w:szCs w:val="18"/>
                <w:color w:val="auto"/>
              </w:rPr>
              <w:t>Net (loss) income</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(591)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Net loss per common share: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gridSpan w:val="2"/>
          </w:tcPr>
          <w:p>
            <w:pPr>
              <w:ind w:left="640"/>
              <w:spacing w:after="0" w:line="196" w:lineRule="exact"/>
              <w:rPr>
                <w:sz w:val="20"/>
                <w:szCs w:val="20"/>
                <w:color w:val="auto"/>
              </w:rPr>
            </w:pPr>
            <w:r>
              <w:rPr>
                <w:rFonts w:ascii="Arial" w:cs="Arial" w:eastAsia="Arial" w:hAnsi="Arial"/>
                <w:sz w:val="18"/>
                <w:szCs w:val="18"/>
                <w:color w:val="auto"/>
              </w:rPr>
              <w:t>Diluted</w:t>
            </w:r>
          </w:p>
        </w:tc>
        <w:tc>
          <w:tcPr>
            <w:tcW w:w="980" w:type="dxa"/>
            <w:vAlign w:val="bottom"/>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(0.07)</w:t>
            </w:r>
          </w:p>
        </w:tc>
        <w:tc>
          <w:tcPr>
            <w:tcW w:w="4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gridSpan w:val="2"/>
          </w:tcPr>
          <w:p>
            <w:pPr>
              <w:ind w:left="640"/>
              <w:spacing w:after="0" w:line="196" w:lineRule="exact"/>
              <w:rPr>
                <w:sz w:val="20"/>
                <w:szCs w:val="20"/>
                <w:color w:val="auto"/>
              </w:rPr>
            </w:pPr>
            <w:r>
              <w:rPr>
                <w:rFonts w:ascii="Arial" w:cs="Arial" w:eastAsia="Arial" w:hAnsi="Arial"/>
                <w:sz w:val="18"/>
                <w:szCs w:val="18"/>
                <w:color w:val="auto"/>
              </w:rPr>
              <w:t>Diluted</w:t>
            </w:r>
          </w:p>
        </w:tc>
        <w:tc>
          <w:tcPr>
            <w:tcW w:w="980" w:type="dxa"/>
            <w:vAlign w:val="bottom"/>
          </w:tcPr>
          <w:p>
            <w:pPr>
              <w:spacing w:after="0"/>
              <w:rPr>
                <w:sz w:val="17"/>
                <w:szCs w:val="17"/>
                <w:color w:val="auto"/>
              </w:rPr>
            </w:pPr>
          </w:p>
        </w:tc>
        <w:tc>
          <w:tcPr>
            <w:tcW w:w="6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9,001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Condensed Consolidated Statements of Comprehensive Loss</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2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Foreign currency translation adjustment</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Unrealized gain (loss) on marketable securities: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rPr>
              <w:t>Change in market value of marketable securities before</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reclassification, net of tax</w:t>
            </w:r>
          </w:p>
        </w:tc>
        <w:tc>
          <w:tcPr>
            <w:tcW w:w="9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Reclassification adjustment for realized gains included in</w:t>
            </w:r>
          </w:p>
        </w:tc>
        <w:tc>
          <w:tcPr>
            <w:tcW w:w="980" w:type="dxa"/>
            <w:vAlign w:val="bottom"/>
          </w:tcPr>
          <w:p>
            <w:pPr>
              <w:spacing w:after="0"/>
              <w:rPr>
                <w:sz w:val="17"/>
                <w:szCs w:val="17"/>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gridSpan w:val="2"/>
          </w:tcPr>
          <w:p>
            <w:pPr>
              <w:ind w:left="680"/>
              <w:spacing w:after="0"/>
              <w:rPr>
                <w:sz w:val="20"/>
                <w:szCs w:val="20"/>
                <w:color w:val="auto"/>
              </w:rPr>
            </w:pPr>
            <w:r>
              <w:rPr>
                <w:rFonts w:ascii="Arial" w:cs="Arial" w:eastAsia="Arial" w:hAnsi="Arial"/>
                <w:sz w:val="18"/>
                <w:szCs w:val="18"/>
                <w:color w:val="auto"/>
              </w:rPr>
              <w:t>net income, net of tax</w:t>
            </w:r>
          </w:p>
        </w:tc>
        <w:tc>
          <w:tcPr>
            <w:tcW w:w="9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unrealized gain (loss) on marketable securities, net of tax</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other comprehensive income (loss)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Arial" w:cs="Arial" w:eastAsia="Arial" w:hAnsi="Arial"/>
                <w:sz w:val="18"/>
                <w:szCs w:val="18"/>
                <w:color w:val="auto"/>
              </w:rPr>
              <w:t>Comprehensive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(457)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July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(loss) income</w:t>
            </w:r>
          </w:p>
        </w:tc>
        <w:tc>
          <w:tcPr>
            <w:tcW w:w="21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Non-cash charges to earnings</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2,506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changes in operating assets and liabilities</w:t>
            </w: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(1,762)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ind w:left="120"/>
              <w:spacing w:after="0"/>
              <w:rPr>
                <w:sz w:val="20"/>
                <w:szCs w:val="20"/>
                <w:color w:val="auto"/>
              </w:rPr>
            </w:pPr>
            <w:r>
              <w:rPr>
                <w:rFonts w:ascii="Arial" w:cs="Arial" w:eastAsia="Arial" w:hAnsi="Arial"/>
                <w:sz w:val="18"/>
                <w:szCs w:val="18"/>
                <w:color w:val="auto"/>
              </w:rPr>
              <w:t>Net cash provided by (used in) operating activities</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Proceeds on redemption of marketable securities</w:t>
            </w: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Purchase of marketable securities</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(1,435)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Purchase of fixed assets and other assets</w:t>
            </w: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(1,597)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decrease in cash and cash equivalents before effect of exchange rate changes</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(1,444)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Net decrease in cash and cash equivalents</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(1,444)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3,683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Cash and cash equivalents at end of period</w:t>
            </w:r>
          </w:p>
        </w:tc>
        <w:tc>
          <w:tcPr>
            <w:tcW w:w="21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2,239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paid during the period for:</w:t>
            </w: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Arial" w:cs="Arial" w:eastAsia="Arial" w:hAnsi="Arial"/>
                <w:sz w:val="18"/>
                <w:szCs w:val="18"/>
                <w:color w:val="auto"/>
              </w:rPr>
              <w:t>Interest</w:t>
            </w:r>
          </w:p>
        </w:tc>
        <w:tc>
          <w:tcPr>
            <w:tcW w:w="21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line="196" w:lineRule="exact"/>
              <w:rPr>
                <w:sz w:val="20"/>
                <w:szCs w:val="20"/>
                <w:color w:val="auto"/>
              </w:rPr>
            </w:pPr>
            <w:r>
              <w:rPr>
                <w:rFonts w:ascii="Arial" w:cs="Arial" w:eastAsia="Arial" w:hAnsi="Arial"/>
                <w:sz w:val="18"/>
                <w:szCs w:val="18"/>
                <w:color w:val="auto"/>
              </w:rPr>
              <w:t>Income taxes</w:t>
            </w: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July 31, 2019 and July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Deficit)</w:t>
            </w:r>
          </w:p>
        </w:tc>
        <w:tc>
          <w:tcPr>
            <w:tcW w:w="214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Treasury stock</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other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2220" w:type="dxa"/>
            <w:vAlign w:val="bottom"/>
            <w:gridSpan w:val="5"/>
          </w:tcPr>
          <w:p>
            <w:pPr>
              <w:ind w:left="40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paid in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Retained</w:t>
            </w:r>
          </w:p>
        </w:tc>
        <w:tc>
          <w:tcPr>
            <w:tcW w:w="214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(at cost)</w:t>
            </w:r>
          </w:p>
        </w:tc>
        <w:tc>
          <w:tcPr>
            <w:tcW w:w="14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6"/>
              </w:rPr>
              <w:t>comprehensive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earnings</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Income (loss)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2018</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9,163,940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297,083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(1,361)</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63,262</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Opening adjustment for</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483</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7"/>
        </w:trPr>
        <w:tc>
          <w:tcPr>
            <w:tcW w:w="2220" w:type="dxa"/>
            <w:vAlign w:val="bottom"/>
          </w:tcPr>
          <w:p>
            <w:pPr>
              <w:spacing w:after="0"/>
              <w:rPr>
                <w:sz w:val="20"/>
                <w:szCs w:val="20"/>
                <w:color w:val="auto"/>
              </w:rPr>
            </w:pPr>
            <w:r>
              <w:rPr>
                <w:rFonts w:ascii="Arial" w:cs="Arial" w:eastAsia="Arial" w:hAnsi="Arial"/>
                <w:sz w:val="18"/>
                <w:szCs w:val="18"/>
                <w:color w:val="auto"/>
              </w:rPr>
              <w:t>adoption of ASU 2014-09</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Adjusted balance at May 1,</w:t>
            </w: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9,163,940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297,083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63,745</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Contribution of stock to</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401(k) plan</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(14,339)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Other comprehensive loss,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net of tax</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20"/>
                <w:szCs w:val="20"/>
                <w:color w:val="auto"/>
              </w:rPr>
            </w:pPr>
            <w:r>
              <w:rPr>
                <w:rFonts w:ascii="Arial" w:cs="Arial" w:eastAsia="Arial" w:hAnsi="Arial"/>
                <w:sz w:val="18"/>
                <w:szCs w:val="18"/>
                <w:color w:val="auto"/>
              </w:rPr>
              <w:t>Balance at July 31, 2018</w:t>
            </w:r>
          </w:p>
        </w:tc>
        <w:tc>
          <w:tcPr>
            <w:tcW w:w="900" w:type="dxa"/>
            <w:vAlign w:val="bottom"/>
          </w:tcPr>
          <w:p>
            <w:pPr>
              <w:ind w:left="180"/>
              <w:spacing w:after="0"/>
              <w:rPr>
                <w:sz w:val="20"/>
                <w:szCs w:val="20"/>
                <w:color w:val="auto"/>
              </w:rPr>
            </w:pPr>
            <w:r>
              <w:rPr>
                <w:rFonts w:ascii="Arial" w:cs="Arial" w:eastAsia="Arial" w:hAnsi="Arial"/>
                <w:sz w:val="18"/>
                <w:szCs w:val="18"/>
                <w:color w:val="auto"/>
                <w:w w:val="87"/>
              </w:rPr>
              <w:t>9,163,940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9,164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56,610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282,744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(1,295)</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(959)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63,969</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Balance at April 30,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Contribution of stock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plan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Exercise of stock options and stock appreciation rights</w:t>
      </w:r>
    </w:p>
    <w:p>
      <w:pPr>
        <w:spacing w:after="0" w:line="1" w:lineRule="exact"/>
        <w:rPr>
          <w:sz w:val="20"/>
          <w:szCs w:val="20"/>
          <w:color w:val="auto"/>
        </w:rPr>
      </w:pPr>
    </w:p>
    <w:p>
      <w:pPr>
        <w:ind w:right="140" w:firstLine="8"/>
        <w:spacing w:after="0" w:line="250" w:lineRule="auto"/>
        <w:tabs>
          <w:tab w:leader="none" w:pos="10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shares tendered for exercise price</w:t>
      </w:r>
    </w:p>
    <w:p>
      <w:pPr>
        <w:ind w:right="520"/>
        <w:spacing w:after="0" w:line="299" w:lineRule="auto"/>
        <w:rPr>
          <w:rFonts w:ascii="Arial" w:cs="Arial" w:eastAsia="Arial" w:hAnsi="Arial"/>
          <w:sz w:val="18"/>
          <w:szCs w:val="18"/>
          <w:color w:val="auto"/>
        </w:rPr>
      </w:pPr>
      <w:r>
        <w:rPr>
          <w:rFonts w:ascii="Arial" w:cs="Arial" w:eastAsia="Arial" w:hAnsi="Arial"/>
          <w:sz w:val="16"/>
          <w:szCs w:val="16"/>
          <w:color w:val="auto"/>
        </w:rPr>
        <w:t>Other comprehensive income, net of tax Net loss</w:t>
      </w:r>
    </w:p>
    <w:p>
      <w:pPr>
        <w:spacing w:after="0"/>
        <w:rPr>
          <w:rFonts w:ascii="Arial" w:cs="Arial" w:eastAsia="Arial" w:hAnsi="Arial"/>
          <w:sz w:val="18"/>
          <w:szCs w:val="18"/>
          <w:color w:val="auto"/>
        </w:rPr>
      </w:pPr>
      <w:r>
        <w:rPr>
          <w:rFonts w:ascii="Arial" w:cs="Arial" w:eastAsia="Arial" w:hAnsi="Arial"/>
          <w:sz w:val="18"/>
          <w:szCs w:val="18"/>
          <w:color w:val="auto"/>
        </w:rPr>
        <w:t>Balance at July 31,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Deficit)</w:t>
            </w:r>
          </w:p>
        </w:tc>
        <w:tc>
          <w:tcPr>
            <w:tcW w:w="21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8"/>
              </w:rPr>
              <w:t>Treasury stock</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other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220" w:type="dxa"/>
            <w:vAlign w:val="bottom"/>
            <w:gridSpan w:val="6"/>
          </w:tcPr>
          <w:p>
            <w:pPr>
              <w:ind w:left="40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paid in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Retained</w:t>
            </w:r>
          </w:p>
        </w:tc>
        <w:tc>
          <w:tcPr>
            <w:tcW w:w="21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8"/>
              </w:rPr>
              <w:t>(at cost)</w:t>
            </w:r>
          </w:p>
        </w:tc>
        <w:tc>
          <w:tcPr>
            <w:tcW w:w="14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6"/>
              </w:rPr>
              <w:t>comprehensive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earnings</w:t>
            </w:r>
          </w:p>
        </w:tc>
        <w:tc>
          <w:tcPr>
            <w:tcW w:w="11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Income</w:t>
            </w:r>
          </w:p>
        </w:tc>
        <w:tc>
          <w:tcPr>
            <w:tcW w:w="1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r>
      <w:tr>
        <w:trPr>
          <w:trHeight w:val="224"/>
        </w:trPr>
        <w:tc>
          <w:tcPr>
            <w:tcW w:w="9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87"/>
              </w:rPr>
              <w:t>9,163,940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9,164</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183,661</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63,089</w:t>
            </w:r>
          </w:p>
        </w:tc>
        <w:tc>
          <w:tcPr>
            <w:tcW w:w="60" w:type="dxa"/>
            <w:vAlign w:val="bottom"/>
          </w:tcPr>
          <w:p>
            <w:pPr>
              <w:spacing w:after="0"/>
              <w:rPr>
                <w:sz w:val="19"/>
                <w:szCs w:val="19"/>
                <w:color w:val="auto"/>
              </w:rPr>
            </w:pPr>
          </w:p>
        </w:tc>
      </w:tr>
      <w:tr>
        <w:trPr>
          <w:trHeight w:val="418"/>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(10,906)</w:t>
            </w:r>
          </w:p>
        </w:tc>
        <w:tc>
          <w:tcPr>
            <w:tcW w:w="12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r>
      <w:tr>
        <w:trPr>
          <w:trHeight w:val="432"/>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r>
      <w:tr>
        <w:trPr>
          <w:trHeight w:val="864"/>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(41,325)</w:t>
            </w:r>
          </w:p>
        </w:tc>
        <w:tc>
          <w:tcPr>
            <w:tcW w:w="12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418"/>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r>
      <w:tr>
        <w:trPr>
          <w:trHeight w:val="230"/>
        </w:trPr>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(591)</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(591)</w:t>
            </w:r>
          </w:p>
        </w:tc>
      </w:tr>
      <w:tr>
        <w:trPr>
          <w:trHeight w:val="210"/>
        </w:trPr>
        <w:tc>
          <w:tcPr>
            <w:tcW w:w="9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7"/>
              </w:rPr>
              <w:t>9,163,940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(2,702)</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131,430</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62,836</w:t>
            </w:r>
          </w:p>
        </w:tc>
        <w:tc>
          <w:tcPr>
            <w:tcW w:w="60" w:type="dxa"/>
            <w:vAlign w:val="bottom"/>
          </w:tcPr>
          <w:p>
            <w:pPr>
              <w:spacing w:after="0"/>
              <w:rPr>
                <w:sz w:val="18"/>
                <w:szCs w:val="18"/>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-1817370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-1405890</wp:posOffset>
            </wp:positionV>
            <wp:extent cx="72466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-582295</wp:posOffset>
            </wp:positionV>
            <wp:extent cx="72466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-162560</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2" w:lineRule="exact"/>
        <w:rPr>
          <w:sz w:val="20"/>
          <w:szCs w:val="20"/>
          <w:color w:val="auto"/>
        </w:rPr>
      </w:pPr>
    </w:p>
    <w:p>
      <w:pPr>
        <w:jc w:val="center"/>
        <w:ind w:right="22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2080" w:space="140"/>
            <w:col w:w="9200"/>
          </w:cols>
          <w:pgMar w:left="240" w:top="118" w:right="239" w:bottom="1440" w:gutter="0" w:footer="0" w:header="0"/>
          <w:type w:val="continuous"/>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CONDENSED CONSOLIDATED FINANCIAL STATEMENTS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July 31, 2019 and the results of its operations and cash flows for the three months ended July 31, 2019 and July 31, 2018. The April 30, 2019 condensed consolidated balance sheet was derived from audited financial statements. Certain information and footnote disclosures normally included in financial statements prepared in accordance with generally accepted accounting principles in the United States (‘U.S. GAAP”) have been condensed or omitted. It is suggested that these condensed consolidated financial statements be read in conjunction with the Company’s Annual Report on Form 10-K for the year ended April 30, 2019, filed on July 26, 2019 with the Securities and Exchange Commission, and the financial statements and notes thereto. The results of operations for such interim periods are not necessarily indicative of the operating results for the full fiscal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B – EARNINGS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were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360" w:type="dxa"/>
            <w:vAlign w:val="bottom"/>
            <w:gridSpan w:val="4"/>
          </w:tcPr>
          <w:p>
            <w:pPr>
              <w:ind w:left="52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21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56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720" w:type="dxa"/>
            <w:vAlign w:val="bottom"/>
            <w:tcBorders>
              <w:top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9,001,324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8,876,416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Effect of dilutive securities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Diluted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9,001,324</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8,990,471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56"/>
        <w:spacing w:after="0" w:line="264" w:lineRule="auto"/>
        <w:tabs>
          <w:tab w:leader="none" w:pos="88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three-month period ended July 31, 2019, dilutive securities are excluded since the inclusion of such shares would be antidilutive due to the net loss for the period. The exercisable shares excluded as of July 31, 2019 are 179,000 options. The effect of dilutive securities would have been 250,101 options, for the three-month period ended July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C – COSTS AND ESTIMATED EARNINGS IN EXCESS OF BILLINGS,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July 31, 2019 and April 30, 2019, costs and estimated earnings in excess of billings, net, consisted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July 31, 2019</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April 30, 2019</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720" w:type="dxa"/>
            <w:vAlign w:val="bottom"/>
            <w:gridSpan w:val="3"/>
          </w:tcPr>
          <w:p>
            <w:pPr>
              <w:jc w:val="right"/>
              <w:ind w:right="1030"/>
              <w:spacing w:after="0"/>
              <w:rPr>
                <w:sz w:val="20"/>
                <w:szCs w:val="20"/>
                <w:color w:val="auto"/>
              </w:rPr>
            </w:pPr>
            <w:r>
              <w:rPr>
                <w:rFonts w:ascii="Arial" w:cs="Arial" w:eastAsia="Arial" w:hAnsi="Arial"/>
                <w:sz w:val="16"/>
                <w:szCs w:val="16"/>
                <w:color w:val="auto"/>
                <w:w w:val="73"/>
              </w:rPr>
              <w:t>thousands)</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(2,260)</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(1,608)</w:t>
            </w: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asset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(“POC”) basis at the measurement date. In general, the recorded amounts will be billed and collected or revenue recognized within twelve months of the balance sheet date. Revenue on these long-term contracts is accounted for on the POC basis. During the three months ended July 31, 2019 and 2018, revenue recognized under POC contracts was approximately $11.5 million and $9.3 million, respectively. If contract losses are anticipated, costs and estimated earnings in excess of billings are reduced for the full amount of such losses when they are determinable. Contract losses of approximately $314,000 were recorded for the three months ended July 31,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NOTE D – TREASURY STOCK TRANSACTIONS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month period ended July 31, 2019, the Company made contributions of 10,906 shares of its common stock held in treasury to the Company’s profit-sharing plan and trust under Section 401(k) of the Internal Revenue Code. Such contributions are in accordance with the Company’s discretionary match of employee voluntary contributions to this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E – INVENTORIES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which are reported at the lower of cost and net realizable value, consisted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July 31, 2019</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April 30, 2019</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720" w:type="dxa"/>
            <w:vAlign w:val="bottom"/>
            <w:gridSpan w:val="3"/>
          </w:tcPr>
          <w:p>
            <w:pPr>
              <w:jc w:val="right"/>
              <w:ind w:right="1030"/>
              <w:spacing w:after="0"/>
              <w:rPr>
                <w:sz w:val="20"/>
                <w:szCs w:val="20"/>
                <w:color w:val="auto"/>
              </w:rPr>
            </w:pPr>
            <w:r>
              <w:rPr>
                <w:rFonts w:ascii="Arial" w:cs="Arial" w:eastAsia="Arial" w:hAnsi="Arial"/>
                <w:sz w:val="16"/>
                <w:szCs w:val="16"/>
                <w:color w:val="auto"/>
                <w:w w:val="73"/>
              </w:rPr>
              <w:t>thousands)</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Work in Progress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8,896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23,201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23,356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amounts above are net of reserves of $7.2 million and $6.6 million as of July 31, 2019 and April 30, 2019, respectively. As of July 31, 2019 and April 30, 2019, all inventory was located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 – RIGHT-OF-USE ASSETS AND LEASE LIABILITIES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leases primarily represent offices, warehouses, vehicles, and manufacturing and research and development facilities which expire at various times through 2029 and are generally operating leases. Contractual arrangements are evaluated at inception to determine if the agreement contains a lease. Certain lease agreements contain renewal options, rent abatement, and escalation clauses that are factored into our determination of lease payments when appropriate. Right-of-use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 Lease terms may factor in options to extend or terminate the lease.</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elected the practical expedient for short-term leases which allows leases with terms of twelve months or less to be recorded on a straight-line basis over the lease term without being recognized on the balance sheet.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Effective May 1, 2019, the Company adopted ASU 2016-02. The table below presents ROU assets and liabilities recorded on the unaudited condensed consolidated balance sheet related to ASU 2016-02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920" w:type="dxa"/>
            <w:vAlign w:val="bottom"/>
          </w:tcPr>
          <w:p>
            <w:pPr>
              <w:ind w:left="940"/>
              <w:spacing w:after="0"/>
              <w:rPr>
                <w:sz w:val="20"/>
                <w:szCs w:val="20"/>
                <w:color w:val="auto"/>
              </w:rPr>
            </w:pPr>
            <w:r>
              <w:rPr>
                <w:rFonts w:ascii="Arial" w:cs="Arial" w:eastAsia="Arial" w:hAnsi="Arial"/>
                <w:sz w:val="18"/>
                <w:szCs w:val="18"/>
                <w:b w:val="1"/>
                <w:bCs w:val="1"/>
                <w:color w:val="auto"/>
              </w:rPr>
              <w:t>Classification</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31, 2019</w:t>
            </w:r>
          </w:p>
        </w:tc>
        <w:tc>
          <w:tcPr>
            <w:tcW w:w="0" w:type="dxa"/>
            <w:vAlign w:val="bottom"/>
          </w:tcPr>
          <w:p>
            <w:pPr>
              <w:spacing w:after="0"/>
              <w:rPr>
                <w:sz w:val="1"/>
                <w:szCs w:val="1"/>
                <w:color w:val="auto"/>
              </w:rPr>
            </w:pPr>
          </w:p>
        </w:tc>
      </w:tr>
      <w:tr>
        <w:trPr>
          <w:trHeight w:val="228"/>
        </w:trPr>
        <w:tc>
          <w:tcPr>
            <w:tcW w:w="3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760" w:type="dxa"/>
            <w:vAlign w:val="bottom"/>
          </w:tcPr>
          <w:p>
            <w:pPr>
              <w:spacing w:after="0"/>
              <w:rPr>
                <w:sz w:val="19"/>
                <w:szCs w:val="19"/>
                <w:color w:val="auto"/>
              </w:rPr>
            </w:pPr>
          </w:p>
        </w:tc>
        <w:tc>
          <w:tcPr>
            <w:tcW w:w="29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(in thousands)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6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ROU assets</w:t>
            </w:r>
          </w:p>
        </w:tc>
        <w:tc>
          <w:tcPr>
            <w:tcW w:w="36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Right-of-Use assets</w:t>
            </w: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7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220"/>
              <w:spacing w:after="0"/>
              <w:rPr>
                <w:sz w:val="20"/>
                <w:szCs w:val="20"/>
                <w:color w:val="auto"/>
              </w:rPr>
            </w:pPr>
            <w:r>
              <w:rPr>
                <w:rFonts w:ascii="Arial" w:cs="Arial" w:eastAsia="Arial" w:hAnsi="Arial"/>
                <w:sz w:val="18"/>
                <w:szCs w:val="18"/>
                <w:color w:val="auto"/>
              </w:rPr>
              <w:t>Operating lease liabilities (short-term)</w:t>
            </w:r>
          </w:p>
        </w:tc>
        <w:tc>
          <w:tcPr>
            <w:tcW w:w="3680" w:type="dxa"/>
            <w:vAlign w:val="bottom"/>
            <w:gridSpan w:val="2"/>
          </w:tcPr>
          <w:p>
            <w:pPr>
              <w:ind w:left="760"/>
              <w:spacing w:after="0"/>
              <w:rPr>
                <w:sz w:val="20"/>
                <w:szCs w:val="20"/>
                <w:color w:val="auto"/>
              </w:rPr>
            </w:pPr>
            <w:r>
              <w:rPr>
                <w:rFonts w:ascii="Arial" w:cs="Arial" w:eastAsia="Arial" w:hAnsi="Arial"/>
                <w:sz w:val="18"/>
                <w:szCs w:val="18"/>
                <w:color w:val="auto"/>
              </w:rPr>
              <w:t>Lease liability, current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liabilities (long-term)</w:t>
            </w:r>
          </w:p>
        </w:tc>
        <w:tc>
          <w:tcPr>
            <w:tcW w:w="36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Lease liability</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Pr>
          <w:p>
            <w:pPr>
              <w:ind w:left="440"/>
              <w:spacing w:after="0"/>
              <w:rPr>
                <w:sz w:val="20"/>
                <w:szCs w:val="20"/>
                <w:color w:val="auto"/>
              </w:rPr>
            </w:pPr>
            <w:r>
              <w:rPr>
                <w:rFonts w:ascii="Arial" w:cs="Arial" w:eastAsia="Arial" w:hAnsi="Arial"/>
                <w:sz w:val="18"/>
                <w:szCs w:val="18"/>
                <w:color w:val="auto"/>
              </w:rPr>
              <w:t>Total lease liabilities</w:t>
            </w:r>
          </w:p>
        </w:tc>
        <w:tc>
          <w:tcPr>
            <w:tcW w:w="7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12,076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operating lease expense was $504,000 for the three months ended July 31, 2019, the majority of which is included in cost of revenues and the remaining amount in selling and administrative expenses on the unaudited condensed consolidated statement of operations. There were no new leases entered into for the current period ended July 31, 2019. Net non-cash operating activities related to leases was approximately $236,000 for the three months ended July 31, 2019.</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previously disclosed in our April 30, 2019 Annual Report on Form 10-K, and under the previous lease accounting standard, future minimum lease payments for operating leases having initial or remaining non-cancellable lease terms in excess of one year would have been as follows (in thousands):</w:t>
      </w:r>
    </w:p>
    <w:p>
      <w:pPr>
        <w:spacing w:after="0" w:line="120"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3780" w:type="dxa"/>
            <w:vAlign w:val="bottom"/>
          </w:tcPr>
          <w:p>
            <w:pPr>
              <w:ind w:left="1040"/>
              <w:spacing w:after="0"/>
              <w:rPr>
                <w:sz w:val="20"/>
                <w:szCs w:val="20"/>
                <w:color w:val="auto"/>
              </w:rPr>
            </w:pPr>
            <w:r>
              <w:rPr>
                <w:rFonts w:ascii="Arial" w:cs="Arial" w:eastAsia="Arial" w:hAnsi="Arial"/>
                <w:sz w:val="18"/>
                <w:szCs w:val="18"/>
                <w:b w:val="1"/>
                <w:bCs w:val="1"/>
                <w:color w:val="auto"/>
              </w:rPr>
              <w:t>For the years ending</w:t>
            </w:r>
          </w:p>
        </w:tc>
        <w:tc>
          <w:tcPr>
            <w:tcW w:w="160" w:type="dxa"/>
            <w:vAlign w:val="bottom"/>
          </w:tcPr>
          <w:p>
            <w:pPr>
              <w:spacing w:after="0"/>
              <w:rPr>
                <w:sz w:val="18"/>
                <w:szCs w:val="18"/>
                <w:color w:val="auto"/>
              </w:rPr>
            </w:pPr>
          </w:p>
        </w:tc>
        <w:tc>
          <w:tcPr>
            <w:tcW w:w="16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Operating Leases</w:t>
            </w:r>
          </w:p>
        </w:tc>
        <w:tc>
          <w:tcPr>
            <w:tcW w:w="1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80" w:type="dxa"/>
            <w:vAlign w:val="bottom"/>
          </w:tcPr>
          <w:p>
            <w:pPr>
              <w:ind w:left="1500"/>
              <w:spacing w:after="0"/>
              <w:rPr>
                <w:sz w:val="20"/>
                <w:szCs w:val="20"/>
                <w:color w:val="auto"/>
              </w:rPr>
            </w:pPr>
            <w:r>
              <w:rPr>
                <w:rFonts w:ascii="Arial" w:cs="Arial" w:eastAsia="Arial" w:hAnsi="Arial"/>
                <w:sz w:val="18"/>
                <w:szCs w:val="18"/>
                <w:b w:val="1"/>
                <w:bCs w:val="1"/>
                <w:color w:val="auto"/>
              </w:rPr>
              <w:t>April 30,</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unaudited consolidated balance sheet as of July 31, 2019:</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960" w:type="dxa"/>
            <w:vAlign w:val="bottom"/>
            <w:gridSpan w:val="2"/>
          </w:tcPr>
          <w:p>
            <w:pPr>
              <w:jc w:val="center"/>
              <w:ind w:right="2140"/>
              <w:spacing w:after="0"/>
              <w:rPr>
                <w:sz w:val="20"/>
                <w:szCs w:val="20"/>
                <w:color w:val="auto"/>
              </w:rPr>
            </w:pPr>
            <w:r>
              <w:rPr>
                <w:rFonts w:ascii="Arial" w:cs="Arial" w:eastAsia="Arial" w:hAnsi="Arial"/>
                <w:sz w:val="18"/>
                <w:szCs w:val="18"/>
                <w:b w:val="1"/>
                <w:bCs w:val="1"/>
                <w:color w:val="auto"/>
                <w:w w:val="91"/>
              </w:rPr>
              <w:t>Fiscal Year Ending April 30,</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960" w:type="dxa"/>
            <w:vAlign w:val="bottom"/>
            <w:gridSpan w:val="2"/>
          </w:tcPr>
          <w:p>
            <w:pPr>
              <w:jc w:val="center"/>
              <w:ind w:right="2140"/>
              <w:spacing w:after="0"/>
              <w:rPr>
                <w:sz w:val="20"/>
                <w:szCs w:val="20"/>
                <w:color w:val="auto"/>
              </w:rPr>
            </w:pPr>
            <w:r>
              <w:rPr>
                <w:rFonts w:ascii="Arial" w:cs="Arial" w:eastAsia="Arial" w:hAnsi="Arial"/>
                <w:sz w:val="18"/>
                <w:szCs w:val="18"/>
                <w:b w:val="1"/>
                <w:bCs w:val="1"/>
                <w:color w:val="auto"/>
                <w:w w:val="88"/>
              </w:rPr>
              <w:t>(in thousands)</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4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2021</w:t>
            </w:r>
          </w:p>
        </w:tc>
        <w:tc>
          <w:tcPr>
            <w:tcW w:w="4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2023</w:t>
            </w:r>
          </w:p>
        </w:tc>
        <w:tc>
          <w:tcPr>
            <w:tcW w:w="4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Thereafter</w:t>
            </w:r>
          </w:p>
        </w:tc>
        <w:tc>
          <w:tcPr>
            <w:tcW w:w="44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Less imputed interest</w:t>
            </w:r>
          </w:p>
        </w:tc>
        <w:tc>
          <w:tcPr>
            <w:tcW w:w="4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8"/>
              </w:rPr>
              <w:t>Present value of future lease payments</w:t>
            </w:r>
          </w:p>
        </w:tc>
        <w:tc>
          <w:tcPr>
            <w:tcW w:w="44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Less current obligations under leases</w:t>
            </w:r>
          </w:p>
        </w:tc>
        <w:tc>
          <w:tcPr>
            <w:tcW w:w="44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lease obligations</w:t>
            </w:r>
          </w:p>
        </w:tc>
        <w:tc>
          <w:tcPr>
            <w:tcW w:w="44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of July 31, 2019, the weighted-average remaining lease term for all operating leases was 8.9 years. The Company does not generally have access to the rate implicit in the leases and therefore utilized the Company’s borrowing rate as the discount rate. The weighted average discount rate for operating leases as of July 31, 2019 was 6.16%.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G – SEGMENT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1080" w:hanging="613"/>
        <w:spacing w:after="0" w:line="264"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satellites (both commercial and U.S. Government-funded); terrestrial cellular telephone or other ground-based telecommunication stations; and other components and systems for the U.S. military.</w:t>
      </w:r>
    </w:p>
    <w:p>
      <w:pPr>
        <w:spacing w:after="0" w:line="181" w:lineRule="exact"/>
        <w:rPr>
          <w:rFonts w:ascii="Arial" w:cs="Arial" w:eastAsia="Arial" w:hAnsi="Arial"/>
          <w:sz w:val="18"/>
          <w:szCs w:val="18"/>
          <w:color w:val="auto"/>
        </w:rPr>
      </w:pPr>
    </w:p>
    <w:p>
      <w:pPr>
        <w:ind w:left="1080"/>
        <w:spacing w:after="0" w:line="277" w:lineRule="auto"/>
        <w:rPr>
          <w:rFonts w:ascii="Arial" w:cs="Arial" w:eastAsia="Arial" w:hAnsi="Arial"/>
          <w:sz w:val="18"/>
          <w:szCs w:val="18"/>
          <w:color w:val="auto"/>
        </w:rPr>
      </w:pPr>
      <w:r>
        <w:rPr>
          <w:rFonts w:ascii="Arial" w:cs="Arial" w:eastAsia="Arial" w:hAnsi="Arial"/>
          <w:sz w:val="18"/>
          <w:szCs w:val="18"/>
          <w:color w:val="auto"/>
        </w:rPr>
        <w:t>The FEI-NY segment also includes the operations of the Company’s wholly-owned subsidiary, FEI-Elcom. FEI-Elcom, in addition to its own product line, provides design and technical support for the FEI-NY segment’s satellite business.</w:t>
      </w:r>
    </w:p>
    <w:p>
      <w:pPr>
        <w:spacing w:after="0" w:line="170" w:lineRule="exact"/>
        <w:rPr>
          <w:rFonts w:ascii="Arial" w:cs="Arial" w:eastAsia="Arial" w:hAnsi="Arial"/>
          <w:sz w:val="18"/>
          <w:szCs w:val="18"/>
          <w:color w:val="auto"/>
        </w:rPr>
      </w:pPr>
    </w:p>
    <w:p>
      <w:pPr>
        <w:jc w:val="both"/>
        <w:ind w:left="1080" w:hanging="613"/>
        <w:spacing w:after="0" w:line="276"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FEI-Zyfer – operates out of California and its products incorporate Global Positioning System (GPS) technologies into systems and subsystems for secure communications, both government and commercial, and other locator applications. FEI-Zyfer’s products also incorporate precision time references for terrestrial secure communications and command and control, and frequency products that incorporate GPS. FEI-Zyfer’s GPS capability complements the Company’s existing technologies and permits the combined entities to provide a broader range of embedded systems for a variety of timing functions and anti-spoofing (“SAASM”) applications.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accounting policies of the two segments are the same as those described in the “Summary of Significant Accounting Policies” in the Company’s Annual Report on Form 10-K for the year ended April 30, 2019, filed on July 26, 2019 with the Securities and Exchange Commission. The Company evaluates the performance of its segments and allocates resources to them based on operating profit which is defined as income before investment income, interest expense and taxes. All acquired assets, including intangible assets, are included in the assets of both reporting segments.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tables below present information about reported segments with reconciliation of segment amounts to consolidated amounts as reported in the condensed consolidated statements of operations or the condensed consolidated balance sheets for each of the periods (in thousands):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21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FEI-NY</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FEI-Zyfer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intercompany revenues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Consolidated revenues</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12,554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Operating (loss) profit:</w:t>
            </w: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FEI-NY</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FEI-Zyfer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Corporate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Consolidated operating (loss) profit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(780)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Identifiable assets: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July 31, 2019</w:t>
            </w:r>
          </w:p>
        </w:tc>
        <w:tc>
          <w:tcPr>
            <w:tcW w:w="140" w:type="dxa"/>
            <w:vAlign w:val="bottom"/>
          </w:tcPr>
          <w:p>
            <w:pPr>
              <w:spacing w:after="0"/>
              <w:rPr>
                <w:sz w:val="24"/>
                <w:szCs w:val="2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April 30, 2019</w:t>
            </w:r>
          </w:p>
        </w:tc>
        <w:tc>
          <w:tcPr>
            <w:tcW w:w="0" w:type="dxa"/>
            <w:vAlign w:val="bottom"/>
          </w:tcPr>
          <w:p>
            <w:pPr>
              <w:spacing w:after="0"/>
              <w:rPr>
                <w:sz w:val="1"/>
                <w:szCs w:val="1"/>
                <w:color w:val="auto"/>
              </w:rPr>
            </w:pPr>
          </w:p>
        </w:tc>
      </w:tr>
      <w:tr>
        <w:trPr>
          <w:trHeight w:val="210"/>
        </w:trPr>
        <w:tc>
          <w:tcPr>
            <w:tcW w:w="56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w w:val="96"/>
              </w:rPr>
              <w:t>FEI-NY (approximately $1.5 million in China as of the fiscal year</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ended April 30, 2019)</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51,621</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FEI-Zyfer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intersegment balances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(8,586)</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39,305</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Consolidated identifiable assets</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95,164</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revenue related to the adoption of ASU 2014-09, Revenue from Contracts with Customers (Topic 606), (“ASU 2014-09”) and recognized over time as POC and Passage of Title (“POT”) were approximately $11.5 million and $1.1 million, respectively, of the $12.6 million reported for the three months ended July 31, 2019. The amounts recognized over time as POC and POT were approximately $9.2 million and $1.8 million of the $11.0 million reported for the three months ended July 31, 2018. The amounts by segment and product line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center"/>
              <w:ind w:left="50"/>
              <w:spacing w:after="0"/>
              <w:rPr>
                <w:sz w:val="20"/>
                <w:szCs w:val="20"/>
                <w:color w:val="auto"/>
              </w:rPr>
            </w:pPr>
            <w:r>
              <w:rPr>
                <w:rFonts w:ascii="Arial" w:cs="Arial" w:eastAsia="Arial" w:hAnsi="Arial"/>
                <w:sz w:val="18"/>
                <w:szCs w:val="18"/>
                <w:b w:val="1"/>
                <w:bCs w:val="1"/>
                <w:color w:val="auto"/>
                <w:w w:val="91"/>
              </w:rPr>
              <w:t>Three Months Ended July 31, 2019</w:t>
            </w: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91"/>
              </w:rPr>
              <w:t>Three Months Ended July 31, 2018</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260"/>
              <w:spacing w:after="0" w:line="191" w:lineRule="exact"/>
              <w:rPr>
                <w:sz w:val="20"/>
                <w:szCs w:val="20"/>
                <w:color w:val="auto"/>
              </w:rPr>
            </w:pPr>
            <w:r>
              <w:rPr>
                <w:rFonts w:ascii="Arial" w:cs="Arial" w:eastAsia="Arial" w:hAnsi="Arial"/>
                <w:sz w:val="18"/>
                <w:szCs w:val="18"/>
                <w:color w:val="auto"/>
                <w:w w:val="90"/>
              </w:rPr>
              <w:t>(In thousands)</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right="120"/>
              <w:spacing w:after="0" w:line="191" w:lineRule="exact"/>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POC Revenue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POT Revenue</w:t>
            </w:r>
          </w:p>
        </w:tc>
        <w:tc>
          <w:tcPr>
            <w:tcW w:w="220" w:type="dxa"/>
            <w:vAlign w:val="bottom"/>
          </w:tcPr>
          <w:p>
            <w:pPr>
              <w:spacing w:after="0"/>
              <w:rPr>
                <w:sz w:val="20"/>
                <w:szCs w:val="20"/>
                <w:color w:val="auto"/>
              </w:rPr>
            </w:pPr>
          </w:p>
        </w:tc>
        <w:tc>
          <w:tcPr>
            <w:tcW w:w="11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89"/>
              </w:rPr>
              <w:t>Total Revenue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POC Revenue</w:t>
            </w:r>
          </w:p>
        </w:tc>
        <w:tc>
          <w:tcPr>
            <w:tcW w:w="16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POT Revenue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9"/>
              </w:rPr>
              <w:t>Total Revenue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shd w:val="clear" w:color="auto" w:fill="CCEEFF"/>
          </w:tcPr>
          <w:p>
            <w:pPr>
              <w:spacing w:after="0"/>
              <w:rPr>
                <w:sz w:val="18"/>
                <w:szCs w:val="18"/>
                <w:color w:val="auto"/>
              </w:rPr>
            </w:pPr>
          </w:p>
        </w:tc>
        <w:tc>
          <w:tcPr>
            <w:tcW w:w="2180" w:type="dxa"/>
            <w:vAlign w:val="bottom"/>
            <w:shd w:val="clear" w:color="auto" w:fill="CCEEFF"/>
          </w:tcPr>
          <w:p>
            <w:pPr>
              <w:jc w:val="center"/>
              <w:ind w:right="1190"/>
              <w:spacing w:after="0"/>
              <w:rPr>
                <w:sz w:val="20"/>
                <w:szCs w:val="20"/>
                <w:color w:val="auto"/>
              </w:rPr>
            </w:pPr>
            <w:r>
              <w:rPr>
                <w:rFonts w:ascii="Arial" w:cs="Arial" w:eastAsia="Arial" w:hAnsi="Arial"/>
                <w:sz w:val="18"/>
                <w:szCs w:val="18"/>
                <w:color w:val="auto"/>
                <w:w w:val="98"/>
              </w:rPr>
              <w:t>FEI-NY</w:t>
            </w: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8,160</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9,010</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8,079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80" w:type="dxa"/>
            <w:vAlign w:val="bottom"/>
          </w:tcPr>
          <w:p>
            <w:pPr>
              <w:jc w:val="center"/>
              <w:ind w:right="1190"/>
              <w:spacing w:after="0"/>
              <w:rPr>
                <w:sz w:val="20"/>
                <w:szCs w:val="20"/>
                <w:color w:val="auto"/>
              </w:rPr>
            </w:pPr>
            <w:r>
              <w:rPr>
                <w:rFonts w:ascii="Arial" w:cs="Arial" w:eastAsia="Arial" w:hAnsi="Arial"/>
                <w:sz w:val="18"/>
                <w:szCs w:val="18"/>
                <w:color w:val="auto"/>
                <w:w w:val="98"/>
              </w:rPr>
              <w:t>FEI-Zyfer</w:t>
            </w:r>
          </w:p>
        </w:tc>
        <w:tc>
          <w:tcPr>
            <w:tcW w:w="4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3,323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58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1,175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2,561</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Intersegment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(183 )</w:t>
            </w:r>
          </w:p>
        </w:tc>
        <w:tc>
          <w:tcPr>
            <w:tcW w:w="5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(7 )</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0"/>
        </w:trPr>
        <w:tc>
          <w:tcPr>
            <w:tcW w:w="116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2180" w:type="dxa"/>
            <w:vAlign w:val="bottom"/>
          </w:tcPr>
          <w:p>
            <w:pPr>
              <w:jc w:val="center"/>
              <w:ind w:right="1190"/>
              <w:spacing w:after="0"/>
              <w:rPr>
                <w:sz w:val="20"/>
                <w:szCs w:val="20"/>
                <w:color w:val="auto"/>
              </w:rPr>
            </w:pPr>
            <w:r>
              <w:rPr>
                <w:rFonts w:ascii="Arial" w:cs="Arial" w:eastAsia="Arial" w:hAnsi="Arial"/>
                <w:sz w:val="18"/>
                <w:szCs w:val="18"/>
                <w:color w:val="auto"/>
                <w:w w:val="85"/>
              </w:rPr>
              <w:t>Revenue</w:t>
            </w:r>
          </w:p>
        </w:tc>
        <w:tc>
          <w:tcPr>
            <w:tcW w:w="420" w:type="dxa"/>
            <w:vAlign w:val="bottom"/>
          </w:tcPr>
          <w:p>
            <w:pPr>
              <w:jc w:val="right"/>
              <w:ind w:right="2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11,509</w:t>
            </w:r>
          </w:p>
        </w:tc>
        <w:tc>
          <w:tcPr>
            <w:tcW w:w="120" w:type="dxa"/>
            <w:vAlign w:val="bottom"/>
          </w:tcPr>
          <w:p>
            <w:pPr>
              <w:spacing w:after="0"/>
              <w:rPr>
                <w:sz w:val="18"/>
                <w:szCs w:val="18"/>
                <w:color w:val="auto"/>
              </w:rPr>
            </w:pP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1,045</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12,554</w:t>
            </w: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9,247</w:t>
            </w: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1,764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11,011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8"/>
                <w:szCs w:val="18"/>
                <w:b w:val="1"/>
                <w:bCs w:val="1"/>
                <w:color w:val="auto"/>
                <w:w w:val="92"/>
              </w:rPr>
              <w:t>Three Months Ended July 31,</w:t>
            </w: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4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Revenue by Product Line:</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w w:val="73"/>
              </w:rPr>
              <w:t>thousands)</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4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Satellite Revenue</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95"/>
              </w:rPr>
              <w:t>Government Non-Space Revenue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4,781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Commercial &amp; Industrial Revenue</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gridSpan w:val="2"/>
          </w:tcPr>
          <w:p>
            <w:pPr>
              <w:ind w:left="1140"/>
              <w:spacing w:after="0"/>
              <w:rPr>
                <w:sz w:val="20"/>
                <w:szCs w:val="20"/>
                <w:color w:val="auto"/>
              </w:rPr>
            </w:pPr>
            <w:r>
              <w:rPr>
                <w:rFonts w:ascii="Arial" w:cs="Arial" w:eastAsia="Arial" w:hAnsi="Arial"/>
                <w:sz w:val="18"/>
                <w:szCs w:val="18"/>
                <w:color w:val="auto"/>
              </w:rPr>
              <w:t>Consolidated revenues</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12,554</w:t>
            </w:r>
          </w:p>
        </w:tc>
        <w:tc>
          <w:tcPr>
            <w:tcW w:w="1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11,011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H – INVESTMENT IN MORION, INC.</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has an investment in Morion, Inc.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condensed consolidated balance sheets. During the three months ended July 31, 2019 and 2018, the Company acquired product from Morion in the aggregate amount of approximately $245,000 and $68,000, respectively, and the Company sold product and training services to Morion in the aggregate amount of approximately $47,000 and $2,000, respectively, included in revenues in the condensed consolidated statements of operations as part of the FEI-NY segment. At July 31, 2019 there was approximately $54,000 payable to Morion, up from approximately $38,000 at April 30, 2019, and there were no receivables related to Morion for either period. During the three months ended July 31, 2019, the Company received a dividend from Morion in the amount of approximately $125,000, which is included in other income, net in the condensed consolidated statements of operations as part of the FEI-NY segment.</w:t>
      </w:r>
    </w:p>
    <w:p>
      <w:pPr>
        <w:spacing w:after="0" w:line="18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Morion operates as a subsidiary of Gazprombank, a state-owned Russian bank. On July 16, 2014, after the Company’s investment in Morion, Gazprombank became subject to the U.S. Department of Treasury’s prohibition against U.S. persons from providing it with new financing.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OF FINANCIAL INSTRUMENTS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July 31, 2019 and April 30, 2019, respectively,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July 31, 2019</w:t>
            </w: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120" w:type="dxa"/>
            <w:vAlign w:val="bottom"/>
          </w:tcPr>
          <w:p>
            <w:pPr>
              <w:spacing w:after="0"/>
              <w:rPr>
                <w:sz w:val="16"/>
                <w:szCs w:val="16"/>
                <w:color w:val="auto"/>
              </w:rPr>
            </w:pPr>
          </w:p>
        </w:tc>
        <w:tc>
          <w:tcPr>
            <w:tcW w:w="160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Fair Market Value</w:t>
            </w:r>
          </w:p>
        </w:tc>
        <w:tc>
          <w:tcPr>
            <w:tcW w:w="100" w:type="dxa"/>
            <w:vAlign w:val="bottom"/>
          </w:tcPr>
          <w:p>
            <w:pPr>
              <w:spacing w:after="0"/>
              <w:rPr>
                <w:sz w:val="20"/>
                <w:szCs w:val="20"/>
                <w:color w:val="auto"/>
              </w:rPr>
            </w:pPr>
          </w:p>
        </w:tc>
      </w:tr>
      <w:tr>
        <w:trPr>
          <w:trHeight w:val="230"/>
        </w:trPr>
        <w:tc>
          <w:tcPr>
            <w:tcW w:w="3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Fixed income securities</w:t>
            </w:r>
          </w:p>
        </w:tc>
        <w:tc>
          <w:tcPr>
            <w:tcW w:w="1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8,836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9,016</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April 30, 2019</w:t>
            </w: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120" w:type="dxa"/>
            <w:vAlign w:val="bottom"/>
          </w:tcPr>
          <w:p>
            <w:pPr>
              <w:spacing w:after="0"/>
              <w:rPr>
                <w:sz w:val="16"/>
                <w:szCs w:val="16"/>
                <w:color w:val="auto"/>
              </w:rPr>
            </w:pPr>
          </w:p>
        </w:tc>
        <w:tc>
          <w:tcPr>
            <w:tcW w:w="160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Fair Market Value</w:t>
            </w:r>
          </w:p>
        </w:tc>
        <w:tc>
          <w:tcPr>
            <w:tcW w:w="100" w:type="dxa"/>
            <w:vAlign w:val="bottom"/>
          </w:tcPr>
          <w:p>
            <w:pPr>
              <w:spacing w:after="0"/>
              <w:rPr>
                <w:sz w:val="20"/>
                <w:szCs w:val="20"/>
                <w:color w:val="auto"/>
              </w:rPr>
            </w:pPr>
          </w:p>
        </w:tc>
      </w:tr>
      <w:tr>
        <w:trPr>
          <w:trHeight w:val="230"/>
        </w:trPr>
        <w:tc>
          <w:tcPr>
            <w:tcW w:w="3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Fixed income securities</w:t>
            </w:r>
          </w:p>
        </w:tc>
        <w:tc>
          <w:tcPr>
            <w:tcW w:w="1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8,152</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8,199</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12 Months or more</w:t>
            </w: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vMerge w:val="restart"/>
          </w:tcPr>
          <w:p>
            <w:pPr>
              <w:jc w:val="center"/>
              <w:spacing w:after="0"/>
              <w:rPr>
                <w:sz w:val="20"/>
                <w:szCs w:val="20"/>
                <w:color w:val="auto"/>
              </w:rPr>
            </w:pPr>
            <w:r>
              <w:rPr>
                <w:rFonts w:ascii="Arial" w:cs="Arial" w:eastAsia="Arial" w:hAnsi="Arial"/>
                <w:sz w:val="18"/>
                <w:szCs w:val="18"/>
                <w:color w:val="auto"/>
                <w:w w:val="91"/>
              </w:rPr>
              <w:t>July 31, 2019</w:t>
            </w:r>
          </w:p>
        </w:tc>
        <w:tc>
          <w:tcPr>
            <w:tcW w:w="140" w:type="dxa"/>
            <w:vAlign w:val="bottom"/>
            <w:vMerge w:val="restart"/>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Losses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Fixed Income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1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3"/>
        </w:trPr>
        <w:tc>
          <w:tcPr>
            <w:tcW w:w="3200" w:type="dxa"/>
            <w:vAlign w:val="bottom"/>
            <w:tcBorders>
              <w:top w:val="single" w:sz="8" w:color="CCEEFF"/>
              <w:bottom w:val="single" w:sz="8" w:color="auto"/>
            </w:tcBorders>
          </w:tcPr>
          <w:p>
            <w:pPr>
              <w:jc w:val="center"/>
              <w:spacing w:after="0"/>
              <w:rPr>
                <w:sz w:val="20"/>
                <w:szCs w:val="20"/>
                <w:color w:val="auto"/>
              </w:rPr>
            </w:pPr>
            <w:r>
              <w:rPr>
                <w:rFonts w:ascii="Arial" w:cs="Arial" w:eastAsia="Arial" w:hAnsi="Arial"/>
                <w:sz w:val="18"/>
                <w:szCs w:val="18"/>
                <w:color w:val="auto"/>
                <w:w w:val="95"/>
              </w:rPr>
              <w:t>April 30, 2019</w:t>
            </w: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Fixed Income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July 31, 2019 were other-than-temporary due to market volatility of the security’s fair value, analysts’ expectations, and the Company’s ability to hold the securities for a period of time sufficient to allow for any anticipated recoveries in market value.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July 31, 2019, the Company sold or redeemed available-for-sale securities of approximately $750,000, realizing gains of approximately $1,000.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fixed income securities classified as available-for-sale at July 31, 2019 were as follows, at cost (in thousands):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6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9,085</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levels of the fair value hierarchy are described below:</w:t>
      </w:r>
    </w:p>
    <w:p>
      <w:pPr>
        <w:spacing w:after="0" w:line="225" w:lineRule="exact"/>
        <w:rPr>
          <w:sz w:val="20"/>
          <w:szCs w:val="20"/>
          <w:color w:val="auto"/>
        </w:rPr>
      </w:pPr>
    </w:p>
    <w:p>
      <w:pPr>
        <w:ind w:left="1000" w:hanging="769"/>
        <w:spacing w:after="0" w:line="277" w:lineRule="auto"/>
        <w:tabs>
          <w:tab w:leader="none" w:pos="980" w:val="left"/>
        </w:tabs>
        <w:rPr>
          <w:sz w:val="20"/>
          <w:szCs w:val="20"/>
          <w:color w:val="auto"/>
        </w:rPr>
      </w:pPr>
      <w:r>
        <w:rPr>
          <w:rFonts w:ascii="Arial" w:cs="Arial" w:eastAsia="Arial" w:hAnsi="Arial"/>
          <w:sz w:val="18"/>
          <w:szCs w:val="18"/>
          <w:color w:val="auto"/>
        </w:rPr>
        <w:t>Level 1</w:t>
        <w:tab/>
        <w:t>Inputs to the valuation methodology are unadjusted quoted prices for identical assets or liabilities in active markets that the Company has the ability to access.</w:t>
      </w:r>
    </w:p>
    <w:p>
      <w:pPr>
        <w:spacing w:after="0" w:line="170" w:lineRule="exact"/>
        <w:rPr>
          <w:sz w:val="20"/>
          <w:szCs w:val="20"/>
          <w:color w:val="auto"/>
        </w:rPr>
      </w:pPr>
    </w:p>
    <w:p>
      <w:pPr>
        <w:ind w:left="240"/>
        <w:spacing w:after="0"/>
        <w:tabs>
          <w:tab w:leader="none" w:pos="9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-Quoted prices for similar assets or liabilities in active markets;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-Inputs other than quoted prices that are observable for the asset or liability; and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11" w:lineRule="exact"/>
        <w:rPr>
          <w:sz w:val="20"/>
          <w:szCs w:val="20"/>
          <w:color w:val="auto"/>
        </w:rPr>
      </w:pPr>
    </w:p>
    <w:p>
      <w:pPr>
        <w:ind w:left="240"/>
        <w:spacing w:after="0"/>
        <w:tabs>
          <w:tab w:leader="none" w:pos="9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J – RECENT ACCOUNTING PRONOUNCEMENTS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No. 2018-13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(Topic 820) </w:t>
      </w:r>
      <w:r>
        <w:rPr>
          <w:rFonts w:ascii="Arial" w:cs="Arial" w:eastAsia="Arial" w:hAnsi="Arial"/>
          <w:sz w:val="18"/>
          <w:szCs w:val="18"/>
          <w:color w:val="auto"/>
        </w:rPr>
        <w:t>(“ASU 2018-13”) which modifies the disclosure requirement on fair value measurements. The new guidance is effective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years beginning after December 15, 2019. The Company is evaluating the effect, if any, the update will have on its financial statements when adopted in fiscal year 2021.</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(“ASU 2017-04”), which simplifies how an entity is required to test goodwill for impairment by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2019, with early adoption permitted. The Company will not be adopting ASU 2017-04 early, and is in the process of determining the effect that ASU 2017-04 may have. However, the Company expects the new standard to have an immaterial effect on its financial statements.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incurred loss impairment methodology in current U.S. GAAP with a methodology that reflects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losses and requires consideration of a broader range of reasonable and supportable information to inform credit loss estimates. The new guidance is effective for fiscal years beginning after December 15, 2019. The Company is evaluating the effect, if any, the update will have on its financial statements when adopted in fiscal year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Newly Adopted Accounting Standards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Leases (Topic 842)</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the first quarter of fiscal 2020 the Company adopted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and recognized on its Condensed Consolidated Balance Sheets $12.1 million of lease liabilities with corresponding ROU assets for operating leases. The Company elected a prospective application for the new guidance, as permitted under ASU 2016-02, and therefore prior periods continue to be presented in accordance with Topic 840. We also elected the package of practical expedients, which among other things, does not require reassessment of lease classification.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K – CREDIT FACILITY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July 31, 2019, the Company had available credit at variable terms based on its securities holdings under an advisory arrangement, under which no borrowings have been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L – VALUATION ALLOWANCE ON DEFERRED TAX ASSETS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required by the authoritative guidance on accounting for income taxes, we evaluate the realizability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As of July 31, 2019, and April 30, 2019, the Company maintained a full valuation allowance against its deferred tax assets. If these estimates and assumptions change in the future, the Company may be required to adjust its existing valuation allowance resulting in changes to deferred income tax expense.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statements in this quarterly report on Form 10-Q regarding future earnings and operations and other statements relating to the future constitute “forward-looking” statements within the meaning of Section 27A of the Securities Act of 1933, Section 21E of the Securities Exchange Act of 1933 or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All statements by the Company that address activities, events or developments that the Company expects or anticipates will occur in the future, including all statements by the Company regarding its expected financial position, revenues, cash flows and other operating results, business position, legal proceedings or similar matters, are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Any and all of the forward-looking statements contained in this Form 10-Q and any other public statements by the Company or its management may turn out to be incorrect. The Company expressly disclaims any obligation to update or revise any forward-looking statement, whether as a result of new information, future events or otherwise,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year ended April 30, 2019, filed on July 26, 2019 with the Securities and Exchange Commission. The Company believes its most critical accounting policies to be the recognition of revenue and costs on production contracts, income taxes, and the valuation of inventory. Each of these areas requires the Company to make use of reasoned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three months ended July 31, 2019, except for those impacted by the newly adopted accounting standard regarding leases.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is recognized when a performance obligation is satisfied, when the expected goods or services are transferred to the customer, in an amount that reflects the consideration to which the entity expects to be entitled in exchange for those goods and services. A performance obligation is a distinct product or service that is transferred to the customer’s control based on the contract. The transaction price is allocated to each performance obligation and is recognized as revenue upon satisfaction of that performance obligation. The Company derives revenue either as (i) units with specifications and frequencies that can be used by multiple customers (POT) or (ii) units with specific specifications and frequencies that are used by a specific customer or for government end use (POC).</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POC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 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customer orders in the Company’s FEI-Zyfer segment or smaller contracts or orders in the FEI-NY segment, sales of products and services to customers are reported in operating results based upon (i) shipment of the product or (ii) performance of the services pursuant to terms of the customer order which then transfers control of the performance obligation to the customer. When payment is contingent upon customer acceptance of the installed product, revenue is deferred until such installation completed and acceptance is received.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Costs and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Contract costs include all direct material costs, direct labor costs, manufacturing overhead and other direct costs related to contract performance. Selling, general and administrative costs are expensed as incurred, with the exception of sales commissions with an amortization period of greater than one year which are amortized over the length of the contract in relation to the adoption of ASU 2014-09.</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write-downs are established for slow-moving, obsolete items and costs incurred on programs for which production-level orders cannot be determined as probable. Such write-downs are based upon management’s experience and expectations for future business. Any changes arising from revised expectations are reflected in cost of revenues in the period the revision is made.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Marketable Securities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of the Company’s investments in marketable securities are Level 1 securities which trade on public markets and have current prices that are readily available. In general, investments in fixed income securities are limited to the commercial paper of financially sound corporations or the bonds and shorter-term notes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table below sets forth for the three months ended July 31, 2019 and 2018, respectively, the percentage of consolidated revenues represented by certain items in the Company’s condensed consolidated statements of operations or notes to the condensed consolidated financial statements: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5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Three months ended July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Revenues</w:t>
            </w:r>
          </w:p>
        </w:tc>
        <w:tc>
          <w:tcPr>
            <w:tcW w:w="208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3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71.8%</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FEI-Zyfer</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20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0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3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Gross margin</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3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3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1140"/>
              <w:spacing w:after="0"/>
              <w:rPr>
                <w:sz w:val="20"/>
                <w:szCs w:val="20"/>
                <w:color w:val="auto"/>
              </w:rPr>
            </w:pPr>
            <w:r>
              <w:rPr>
                <w:rFonts w:ascii="Arial" w:cs="Arial" w:eastAsia="Arial" w:hAnsi="Arial"/>
                <w:sz w:val="18"/>
                <w:szCs w:val="18"/>
                <w:color w:val="auto"/>
              </w:rPr>
              <w:t>Net (loss) income</w:t>
            </w:r>
          </w:p>
        </w:tc>
        <w:tc>
          <w:tcPr>
            <w:tcW w:w="3900" w:type="dxa"/>
            <w:vAlign w:val="bottom"/>
            <w:gridSpan w:val="3"/>
          </w:tcPr>
          <w:p>
            <w:pPr>
              <w:jc w:val="right"/>
              <w:ind w:right="100"/>
              <w:spacing w:after="0"/>
              <w:rPr>
                <w:sz w:val="20"/>
                <w:szCs w:val="20"/>
                <w:color w:val="auto"/>
              </w:rPr>
            </w:pPr>
            <w:r>
              <w:rPr>
                <w:rFonts w:ascii="Arial" w:cs="Arial" w:eastAsia="Arial" w:hAnsi="Arial"/>
                <w:sz w:val="18"/>
                <w:szCs w:val="18"/>
                <w:color w:val="auto"/>
              </w:rPr>
              <w:t>(4.7)%</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80" w:type="dxa"/>
            <w:vAlign w:val="bottom"/>
            <w:vMerge w:val="restart"/>
          </w:tcPr>
          <w:p>
            <w:pPr>
              <w:jc w:val="right"/>
              <w:ind w:right="890"/>
              <w:spacing w:after="0"/>
              <w:rPr>
                <w:sz w:val="20"/>
                <w:szCs w:val="20"/>
                <w:color w:val="auto"/>
              </w:rPr>
            </w:pPr>
            <w:r>
              <w:rPr>
                <w:rFonts w:ascii="Arial" w:cs="Arial" w:eastAsia="Arial" w:hAnsi="Arial"/>
                <w:sz w:val="18"/>
                <w:szCs w:val="18"/>
                <w:color w:val="auto"/>
              </w:rPr>
              <w:t>15</w:t>
            </w: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6"/>
          </w:tcPr>
          <w:p>
            <w:pPr>
              <w:ind w:left="80"/>
              <w:spacing w:after="0"/>
              <w:rPr>
                <w:sz w:val="20"/>
                <w:szCs w:val="20"/>
                <w:color w:val="auto"/>
              </w:rPr>
            </w:pPr>
            <w:r>
              <w:rPr>
                <w:rFonts w:ascii="Arial" w:cs="Arial" w:eastAsia="Arial" w:hAnsi="Arial"/>
                <w:sz w:val="18"/>
                <w:szCs w:val="18"/>
                <w:b w:val="1"/>
                <w:bCs w:val="1"/>
                <w:color w:val="auto"/>
              </w:rPr>
              <w:t>Three months ended July 31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26"/>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Segment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9,010</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1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FEI-Zyfer</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2,561</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12,554</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11,011</w:t>
            </w:r>
          </w:p>
        </w:tc>
        <w:tc>
          <w:tcPr>
            <w:tcW w:w="160" w:type="dxa"/>
            <w:vAlign w:val="bottom"/>
          </w:tcPr>
          <w:p>
            <w:pPr>
              <w:spacing w:after="0"/>
              <w:rPr>
                <w:sz w:val="18"/>
                <w:szCs w:val="18"/>
                <w:color w:val="auto"/>
              </w:rPr>
            </w:pPr>
          </w:p>
        </w:tc>
        <w:tc>
          <w:tcPr>
            <w:tcW w:w="640" w:type="dxa"/>
            <w:vAlign w:val="bottom"/>
          </w:tcPr>
          <w:p>
            <w:pPr>
              <w:jc w:val="right"/>
              <w:ind w:right="48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1,543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the three months ended July 31, 2019, revenues from non-space U.S. Government/Department of Defense (“DOD”) customers, which are recorded in both the FEI-NY and FEI-Zyfer segments, increased $2.0 million over the same period of fiscal 2019, and accounted for approximately 54% of consolidated revenues compared to approximately 43% during this same period in fiscal 2019. Revenues from commercial and U.S. Government satellite programs decreased approximately $1.6 million for the three months ended July 31, 2019, as compared to the same period of fiscal year 2019 and accounted for approximately 31% of consolidated revenues compared to approximately 50% during this same period in fiscal 2019. The change in revenue is related to product mix and timing of contract awards. Revenues on these contracts are recognized primarily under the POC method. Revenues from the satellite market are recorded in the FEI-NY segment. Other commercial and industrial revenues for the three months ended July 31, 2019 were $1.9 million and represented approximately 15% of consolidated revenues compared to $700,000 or 7% in the same period of the prior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Margin</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gridSpan w:val="5"/>
          </w:tcPr>
          <w:p>
            <w:pPr>
              <w:jc w:val="center"/>
              <w:ind w:left="150"/>
              <w:spacing w:after="0"/>
              <w:rPr>
                <w:sz w:val="20"/>
                <w:szCs w:val="20"/>
                <w:color w:val="auto"/>
              </w:rPr>
            </w:pPr>
            <w:r>
              <w:rPr>
                <w:rFonts w:ascii="Arial" w:cs="Arial" w:eastAsia="Arial" w:hAnsi="Arial"/>
                <w:sz w:val="18"/>
                <w:szCs w:val="18"/>
                <w:b w:val="1"/>
                <w:bCs w:val="1"/>
                <w:color w:val="auto"/>
                <w:w w:val="89"/>
              </w:rPr>
              <w:t>Three months ended July 31</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center"/>
              <w:ind w:left="150"/>
              <w:spacing w:after="0"/>
              <w:rPr>
                <w:sz w:val="20"/>
                <w:szCs w:val="20"/>
                <w:color w:val="auto"/>
              </w:rPr>
            </w:pPr>
            <w:r>
              <w:rPr>
                <w:rFonts w:ascii="Arial" w:cs="Arial" w:eastAsia="Arial" w:hAnsi="Arial"/>
                <w:sz w:val="18"/>
                <w:szCs w:val="18"/>
                <w:b w:val="1"/>
                <w:bCs w:val="1"/>
                <w:color w:val="auto"/>
                <w:w w:val="88"/>
              </w:rPr>
              <w:t>(in thousands)</w:t>
            </w:r>
          </w:p>
        </w:tc>
        <w:tc>
          <w:tcPr>
            <w:tcW w:w="10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426"/>
        </w:trPr>
        <w:tc>
          <w:tcPr>
            <w:tcW w:w="3280" w:type="dxa"/>
            <w:vAlign w:val="bottom"/>
            <w:gridSpan w:val="2"/>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6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3,953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4,274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0"/>
              </w:rPr>
              <w:t>(321)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20" w:type="dxa"/>
            <w:vAlign w:val="bottom"/>
          </w:tcPr>
          <w:p>
            <w:pPr>
              <w:spacing w:after="0"/>
              <w:rPr>
                <w:sz w:val="20"/>
                <w:szCs w:val="20"/>
                <w:color w:val="auto"/>
              </w:rPr>
            </w:pPr>
          </w:p>
        </w:tc>
        <w:tc>
          <w:tcPr>
            <w:tcW w:w="4080" w:type="dxa"/>
            <w:vAlign w:val="bottom"/>
            <w:gridSpan w:val="2"/>
          </w:tcPr>
          <w:p>
            <w:pPr>
              <w:jc w:val="right"/>
              <w:ind w:right="3330"/>
              <w:spacing w:after="0"/>
              <w:rPr>
                <w:sz w:val="20"/>
                <w:szCs w:val="20"/>
                <w:color w:val="auto"/>
              </w:rPr>
            </w:pPr>
            <w:r>
              <w:rPr>
                <w:rFonts w:ascii="Arial" w:cs="Arial" w:eastAsia="Arial" w:hAnsi="Arial"/>
                <w:sz w:val="18"/>
                <w:szCs w:val="18"/>
                <w:color w:val="auto"/>
                <w:w w:val="88"/>
              </w:rPr>
              <w:t>GM Rate</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month period ended July 31, 2019, gross margin and GM Rate decreased as compared to the same period in fiscal 2019. The decrease in gross margin and GM Rate was primarily due to higher engineering costs incurred in several new programs. These programs relate to products that are pushing state of the art technology.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-130810</wp:posOffset>
            </wp:positionV>
            <wp:extent cx="55486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3"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Change</w:t>
            </w:r>
          </w:p>
        </w:tc>
        <w:tc>
          <w:tcPr>
            <w:tcW w:w="10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1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(87)</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bl>
    <w:p>
      <w:pPr>
        <w:spacing w:after="0" w:line="20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For the three months ended July 31, 2019 and 2018, selling and administrative (“SG&amp;A”) expenses were approximately 20% and 23%, respectively, of consolidated revenues. There was no account or type of expense that represented a significant portion of the change in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gridSpan w:val="3"/>
          </w:tcPr>
          <w:p>
            <w:pPr>
              <w:jc w:val="right"/>
              <w:ind w:right="640"/>
              <w:spacing w:after="0" w:line="191" w:lineRule="exact"/>
              <w:rPr>
                <w:sz w:val="20"/>
                <w:szCs w:val="20"/>
                <w:color w:val="auto"/>
              </w:rPr>
            </w:pPr>
            <w:r>
              <w:rPr>
                <w:rFonts w:ascii="Arial" w:cs="Arial" w:eastAsia="Arial" w:hAnsi="Arial"/>
                <w:sz w:val="18"/>
                <w:szCs w:val="18"/>
                <w:b w:val="1"/>
                <w:bCs w:val="1"/>
                <w:color w:val="auto"/>
              </w:rPr>
              <w:t>(in thousands)</w:t>
            </w:r>
          </w:p>
        </w:tc>
        <w:tc>
          <w:tcPr>
            <w:tcW w:w="2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Change</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3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631</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w:t>
            </w:r>
          </w:p>
        </w:tc>
        <w:tc>
          <w:tcPr>
            <w:tcW w:w="1140" w:type="dxa"/>
            <w:vAlign w:val="bottom"/>
          </w:tcPr>
          <w:p>
            <w:pPr>
              <w:spacing w:after="0"/>
              <w:rPr>
                <w:sz w:val="18"/>
                <w:szCs w:val="18"/>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gridSpan w:val="2"/>
          </w:tcPr>
          <w:p>
            <w:pPr>
              <w:jc w:val="right"/>
              <w:ind w:right="1060"/>
              <w:spacing w:after="0"/>
              <w:rPr>
                <w:sz w:val="20"/>
                <w:szCs w:val="20"/>
                <w:color w:val="auto"/>
              </w:rPr>
            </w:pPr>
            <w:r>
              <w:rPr>
                <w:rFonts w:ascii="Arial" w:cs="Arial" w:eastAsia="Arial" w:hAnsi="Arial"/>
                <w:sz w:val="18"/>
                <w:szCs w:val="18"/>
                <w:color w:val="auto"/>
              </w:rPr>
              <w:t>16</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Research and development (“R&amp;D”) expenditures represent investments intended to keep the Company’s products at the leading edge of time and frequency technology and enhance future competitiveness. The R&amp;D rate for the three-month period ending July 31, 2019 was 18% of sales compared to 15% of sales for the same period of the previous fiscal year. The Company expects to maintain a high level of internally funded activity related to R&amp;D through the balance of the current year and beyond to address new large opportunities in secure communications, command and control applications, next generation satellite payload products and additional DOD and commercial applications.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(Loss)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-130810</wp:posOffset>
            </wp:positionV>
            <wp:extent cx="56343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pacing w:after="0" w:line="3"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Change</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1540" w:type="dxa"/>
            <w:vAlign w:val="bottom"/>
            <w:gridSpan w:val="2"/>
            <w:shd w:val="clear" w:color="auto" w:fill="CCEEFF"/>
          </w:tcPr>
          <w:p>
            <w:pPr>
              <w:jc w:val="right"/>
              <w:ind w:right="125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w:t>
            </w:r>
          </w:p>
        </w:tc>
        <w:tc>
          <w:tcPr>
            <w:tcW w:w="1620" w:type="dxa"/>
            <w:vAlign w:val="bottom"/>
            <w:gridSpan w:val="2"/>
            <w:shd w:val="clear" w:color="auto" w:fill="CCEEFF"/>
          </w:tcPr>
          <w:p>
            <w:pPr>
              <w:jc w:val="right"/>
              <w:ind w:right="13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1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(865)</w:t>
            </w: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results for the three-month period ended July 31, 2019 reflects improvements in revenues, more than offset by lower gross margin percent and increased R&amp;D costs compared to the same period of fiscal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1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Three months ended July 31,</w:t>
            </w: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3"/>
          </w:tcPr>
          <w:p>
            <w:pPr>
              <w:jc w:val="right"/>
              <w:ind w:right="205"/>
              <w:spacing w:after="0" w:line="191" w:lineRule="exact"/>
              <w:rPr>
                <w:sz w:val="20"/>
                <w:szCs w:val="20"/>
                <w:color w:val="auto"/>
              </w:rPr>
            </w:pPr>
            <w:r>
              <w:rPr>
                <w:rFonts w:ascii="Arial" w:cs="Arial" w:eastAsia="Arial" w:hAnsi="Arial"/>
                <w:sz w:val="18"/>
                <w:szCs w:val="18"/>
                <w:b w:val="1"/>
                <w:bCs w:val="1"/>
                <w:color w:val="auto"/>
              </w:rPr>
              <w:t>(in thousands)</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6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NM</w:t>
            </w:r>
          </w:p>
        </w:tc>
      </w:tr>
      <w:tr>
        <w:trPr>
          <w:trHeight w:val="216"/>
        </w:trPr>
        <w:tc>
          <w:tcPr>
            <w:tcW w:w="116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7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r>
      <w:tr>
        <w:trPr>
          <w:trHeight w:val="216"/>
        </w:trPr>
        <w:tc>
          <w:tcPr>
            <w:tcW w:w="116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NM</w:t>
            </w:r>
          </w:p>
        </w:tc>
      </w:tr>
      <w:tr>
        <w:trPr>
          <w:trHeight w:val="20"/>
        </w:trPr>
        <w:tc>
          <w:tcPr>
            <w:tcW w:w="1160" w:type="dxa"/>
            <w:vAlign w:val="bottom"/>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24"/>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NM</w:t>
            </w: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Investment income is derived primarily from the Company’s holdings of marketable securities. Earnings on securities may vary based on fluctuating interest rates, dividend payout levels, and the timing of purchases, sales, redemptions or maturities of securities. For the three-month period ended July 31, 2019 investment income includes a $125,000 dividend from Morion. Other income included the sale of a fixed asset for a gain of $50,000 for the three-month period ended July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Provision</w:t>
      </w:r>
    </w:p>
    <w:p>
      <w:pPr>
        <w:spacing w:after="0" w:line="225"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160" w:type="dxa"/>
        <w:tblCellMar>
          <w:top w:w="0" w:type="dxa"/>
          <w:left w:w="0" w:type="dxa"/>
          <w:bottom w:w="0" w:type="dxa"/>
          <w:right w:w="0" w:type="dxa"/>
        </w:tblCellMar>
      </w:tblPr>
      <w:tr>
        <w:trPr>
          <w:trHeight w:val="191"/>
        </w:trPr>
        <w:tc>
          <w:tcPr>
            <w:tcW w:w="33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3"/>
          </w:tcPr>
          <w:p>
            <w:pPr>
              <w:jc w:val="right"/>
              <w:ind w:right="340"/>
              <w:spacing w:after="0" w:line="191" w:lineRule="exact"/>
              <w:rPr>
                <w:sz w:val="20"/>
                <w:szCs w:val="20"/>
                <w:color w:val="auto"/>
              </w:rPr>
            </w:pPr>
            <w:r>
              <w:rPr>
                <w:rFonts w:ascii="Arial" w:cs="Arial" w:eastAsia="Arial" w:hAnsi="Arial"/>
                <w:sz w:val="18"/>
                <w:szCs w:val="18"/>
                <w:b w:val="1"/>
                <w:bCs w:val="1"/>
                <w:color w:val="auto"/>
              </w:rPr>
              <w:t>(in thousands)</w:t>
            </w:r>
          </w:p>
        </w:tc>
        <w:tc>
          <w:tcPr>
            <w:tcW w:w="13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3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13</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NM</w:t>
            </w:r>
          </w:p>
        </w:tc>
      </w:tr>
    </w:tbl>
    <w:p>
      <w:pPr>
        <w:ind w:left="1140"/>
        <w:spacing w:after="0"/>
        <w:rPr>
          <w:sz w:val="20"/>
          <w:szCs w:val="20"/>
          <w:color w:val="auto"/>
        </w:rPr>
      </w:pPr>
      <w:r>
        <w:rPr>
          <w:rFonts w:ascii="Arial" w:cs="Arial" w:eastAsia="Arial" w:hAnsi="Arial"/>
          <w:sz w:val="18"/>
          <w:szCs w:val="18"/>
          <w:color w:val="auto"/>
        </w:rPr>
        <w:t>Effective tax rate on pre-tax book income:</w:t>
      </w:r>
    </w:p>
    <w:p>
      <w:pPr>
        <w:spacing w:after="0" w:line="9" w:lineRule="exact"/>
        <w:rPr>
          <w:sz w:val="20"/>
          <w:szCs w:val="20"/>
          <w:color w:val="auto"/>
        </w:rPr>
      </w:pPr>
    </w:p>
    <w:p>
      <w:pPr>
        <w:ind w:left="5420"/>
        <w:spacing w:after="0"/>
        <w:tabs>
          <w:tab w:leader="none" w:pos="69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estimated annual effective tax rate for the fiscal year ending April 30, 2020 is 0%. This calculation reflects estimated income tax expense based on our current year annual pretax income forecast which is offset by the estimated change in the current year valuation allowance. As of July 31, 2019, and April 30, 2019, the Company maintained a full valuation allowance against its deferred tax assets.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months ended July 31, 2019, the Company recorded a discrete income tax provision of $20,000, which primarily consisted of an accrual of interest for unrecognized tax benefits. For the three months ended July 31, 2018, the Company recorded an income tax provision of $7,000, which included a discrete income tax provision of $18,000.</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effective tax rate for the three months ended July 31, 2019 is an income tax provision of 3.5% on a pretax loss of $571,000 compared to an income tax provision of 18.4% on pretax income of $38,000 in the comparable prior period. The effective tax rate for the three months ended July 31, 2019 differs from the U.S. statutory rate of 21% primarily due to a discrete income tax provision related to the accrual of interest for unrecognized tax benefits and domestic losses for which the Company is not recognizing an income tax benefit.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$44.9 million at July 31, 2019 and $46.9 million at April 30, 2019. Included in working capital at July 31, 2019 and April 30 2019, is $11.3 million and $11.9 million, respectively, consisting of cash, cash equivalents, and marketable securities. The Company’s current ratio at July 31, 2019 is 8.5 to 1.</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Cash provided by operating activities for the three months ended July 31, 2019 was $153,000 compared to $3.6 million of cash used in operations in the comparable fiscal 2019 period. The decreased cash flow in the fiscal 2020 period resulted primarily from an increase in accounts receivable balances. For the three-month periods ended July 31, 2019 and 2018, the Company incurred $1.6 million and $1.2 million, respectively, of non-cash operating expenses including right to use asset and liability for leases, depreciation and amortization, inventory reserve adjustments, and accruals for employee benefit programs.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used in investing activities for the three months ended July 31, 2019 was $1.6 million compared to $1.5 for the three months ended July 31, 2018. During the fiscal 2020 period, marketable securities were sold or redeemed in the amount of $750,000 compared to $595,000 of such redemptions during the fiscal 2019 period. For the fiscal year 2020 period, approximately $1.4 million of marketable securities were purchased compared to $1.6 million for the same period of fiscal 2019. The Company acquired property, plant and equipment in the amount of approximately $912,000 and $483,000 for the three-month periods ended July 31, 2019 and 2018, respectively. The Company may continue to invest in cash equivalents as dictated by its investment strategy.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was no cash provided by financing activities for either the three months ended July 31, 2019 or the three months ended July 31, 2018.</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been authorized by its Board of Directors to repurchase up to $5 million worth of shares of its common stock when appropriate opportunities arise. As of July 31, 2019, the Company has repurchased approximately $4 million of its common stock out of the $5 million authorization. For the three months ended July 31, 2019 and 2018, there were no repurchases of shares.</w:t>
      </w:r>
    </w:p>
    <w:p>
      <w:pPr>
        <w:spacing w:after="0" w:line="181" w:lineRule="exact"/>
        <w:rPr>
          <w:sz w:val="20"/>
          <w:szCs w:val="20"/>
          <w:color w:val="auto"/>
        </w:rPr>
      </w:pPr>
    </w:p>
    <w:p>
      <w:pPr>
        <w:jc w:val="both"/>
        <w:ind w:left="140" w:right="140" w:firstLine="648"/>
        <w:spacing w:after="0" w:line="297" w:lineRule="auto"/>
        <w:rPr>
          <w:sz w:val="20"/>
          <w:szCs w:val="20"/>
          <w:color w:val="auto"/>
        </w:rPr>
      </w:pPr>
      <w:r>
        <w:rPr>
          <w:rFonts w:ascii="Arial" w:cs="Arial" w:eastAsia="Arial" w:hAnsi="Arial"/>
          <w:sz w:val="16"/>
          <w:szCs w:val="16"/>
          <w:color w:val="auto"/>
        </w:rPr>
        <w:t>The Company will continue to expend resources to develop, improve and acquire products for space applications, guidance and targeting systems, and communication systems which management believes will result in future growth and profitability. The Company anticipates securing additional customer funding for a portion of its R&amp;D activities and will allocate internal funds depending on market conditions and identification of new opportunities as in fiscal 2020.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July 31, 2019, the Company’s consolidated funded backlog was approximately $35 million compared to $37 million at April 30, 2019, the end of fiscal 2019. Approximately 85% of this backlog is expected to be realized in the next twelve months. As of July 31, 2019, there are no amounts included in backlog under cost-plus fixed-fee (“CPFF”) contracts that have not been funded.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believes that its liquidity is adequate to meet its operating and investment needs through at least September 17, 2020 and the foreseeable future.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international business may be subject to changes where contracts are delineated in currencies other than the US Dollar.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July 31, 2019, the Company’s disclosure controls and procedures were effective to ensure that information relating to the Company, including its consolidated subsidiaries, required to be included in its reports that it filed or submitted under the Exchange Act are recorded, processed, summarized and reported within the time periods specified in SEC rules and forms.</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were no changes in the Company’s internal control over financial reporting (as such term is defined in Rules 13a-15(f) and 15d-15(f) under the Exchange Act) during the three months ended July 31, 2019 to which this report relates that have materially affected, or are reasonably likely to materially affect, the Company’s internal control over financial reporting.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jc w:val="both"/>
        <w:ind w:left="1260" w:hanging="607"/>
        <w:spacing w:after="0" w:line="277"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31.1 -</w:t>
      </w:r>
      <w:r>
        <w:rPr>
          <w:sz w:val="20"/>
          <w:szCs w:val="20"/>
          <w:color w:val="auto"/>
        </w:rPr>
        <w:tab/>
      </w:r>
      <w:hyperlink w:anchor="page22">
        <w:r>
          <w:rPr>
            <w:rFonts w:ascii="Arial" w:cs="Arial" w:eastAsia="Arial" w:hAnsi="Arial"/>
            <w:sz w:val="18"/>
            <w:szCs w:val="18"/>
            <w:u w:val="single" w:color="auto"/>
            <w:color w:val="0000EE"/>
          </w:rPr>
          <w:t>Certification by the Chief Executive Officer pursuant to Rule 13a-14(a) or 15d-14(a) under the Securities Exchange Act of 1934, as adopted</w:t>
        </w:r>
      </w:hyperlink>
      <w:r>
        <w:rPr>
          <w:rFonts w:ascii="Arial" w:cs="Arial" w:eastAsia="Arial" w:hAnsi="Arial"/>
          <w:sz w:val="18"/>
          <w:szCs w:val="18"/>
          <w:u w:val="single" w:color="auto"/>
          <w:color w:val="0000EE"/>
        </w:rPr>
        <w:t xml:space="preserve"> </w:t>
      </w:r>
      <w:hyperlink w:anchor="page22">
        <w:r>
          <w:rPr>
            <w:rFonts w:ascii="Arial" w:cs="Arial" w:eastAsia="Arial" w:hAnsi="Arial"/>
            <w:sz w:val="18"/>
            <w:szCs w:val="18"/>
            <w:u w:val="single" w:color="auto"/>
            <w:color w:val="0000EE"/>
          </w:rPr>
          <w:t>pursuant to Section 302 of the Sarbanes-Oxley Act of 2002.</w:t>
        </w:r>
      </w:hyperlink>
    </w:p>
    <w:p>
      <w:pPr>
        <w:spacing w:after="0" w:line="170" w:lineRule="exact"/>
        <w:rPr>
          <w:sz w:val="20"/>
          <w:szCs w:val="20"/>
          <w:color w:val="auto"/>
        </w:rPr>
      </w:pPr>
    </w:p>
    <w:p>
      <w:pPr>
        <w:jc w:val="both"/>
        <w:ind w:left="1260" w:hanging="607"/>
        <w:spacing w:after="0" w:line="277"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31.2 -</w:t>
      </w:r>
      <w:r>
        <w:rPr>
          <w:sz w:val="20"/>
          <w:szCs w:val="20"/>
          <w:color w:val="auto"/>
        </w:rPr>
        <w:tab/>
      </w:r>
      <w:hyperlink w:anchor="page23">
        <w:r>
          <w:rPr>
            <w:rFonts w:ascii="Arial" w:cs="Arial" w:eastAsia="Arial" w:hAnsi="Arial"/>
            <w:sz w:val="18"/>
            <w:szCs w:val="18"/>
            <w:u w:val="single" w:color="auto"/>
            <w:color w:val="0000EE"/>
          </w:rPr>
          <w:t>Certification by the Chief Financial Officer pursuant to Rule 13a-14(a) or 15d-14(a) under the Securities Exchange Act of 1934, as adopted</w:t>
        </w:r>
      </w:hyperlink>
      <w:r>
        <w:rPr>
          <w:rFonts w:ascii="Arial" w:cs="Arial" w:eastAsia="Arial" w:hAnsi="Arial"/>
          <w:sz w:val="18"/>
          <w:szCs w:val="18"/>
          <w:u w:val="single" w:color="auto"/>
          <w:color w:val="0000EE"/>
        </w:rPr>
        <w:t xml:space="preserve"> </w:t>
      </w:r>
      <w:hyperlink w:anchor="page23">
        <w:r>
          <w:rPr>
            <w:rFonts w:ascii="Arial" w:cs="Arial" w:eastAsia="Arial" w:hAnsi="Arial"/>
            <w:sz w:val="18"/>
            <w:szCs w:val="18"/>
            <w:u w:val="single" w:color="auto"/>
            <w:color w:val="0000EE"/>
          </w:rPr>
          <w:t>pursuant to Section 302 of the Sarbanes-Oxley Act of 2002.</w:t>
        </w:r>
      </w:hyperlink>
    </w:p>
    <w:p>
      <w:pPr>
        <w:spacing w:after="0" w:line="170" w:lineRule="exact"/>
        <w:rPr>
          <w:sz w:val="20"/>
          <w:szCs w:val="20"/>
          <w:color w:val="auto"/>
        </w:rPr>
      </w:pPr>
    </w:p>
    <w:p>
      <w:pPr>
        <w:ind w:left="66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32 -</w:t>
      </w:r>
      <w:r>
        <w:rPr>
          <w:sz w:val="20"/>
          <w:szCs w:val="20"/>
          <w:color w:val="auto"/>
        </w:rPr>
        <w:tab/>
      </w:r>
      <w:hyperlink w:anchor="page24">
        <w:r>
          <w:rPr>
            <w:rFonts w:ascii="Arial" w:cs="Arial" w:eastAsia="Arial" w:hAnsi="Arial"/>
            <w:sz w:val="16"/>
            <w:szCs w:val="16"/>
            <w:u w:val="single" w:color="auto"/>
            <w:color w:val="0000EE"/>
          </w:rPr>
          <w:t>Certifications by the Chief Executive Officer and Chief Financial Officer pursuant to 18 U.S.C. Section 1350, as adopted pursuant to Section</w:t>
        </w:r>
      </w:hyperlink>
    </w:p>
    <w:p>
      <w:pPr>
        <w:spacing w:after="0" w:line="23" w:lineRule="exact"/>
        <w:rPr>
          <w:sz w:val="20"/>
          <w:szCs w:val="20"/>
          <w:color w:val="auto"/>
        </w:rPr>
      </w:pPr>
    </w:p>
    <w:p>
      <w:pPr>
        <w:ind w:left="126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906 of the Sarbanes-Oxley Act of 2002.</w:t>
        </w:r>
      </w:hyperlink>
    </w:p>
    <w:p>
      <w:pPr>
        <w:spacing w:after="0" w:line="211" w:lineRule="exact"/>
        <w:rPr>
          <w:sz w:val="20"/>
          <w:szCs w:val="20"/>
          <w:color w:val="auto"/>
        </w:rPr>
      </w:pPr>
    </w:p>
    <w:p>
      <w:pPr>
        <w:jc w:val="both"/>
        <w:ind w:left="1260" w:hanging="607"/>
        <w:spacing w:after="0" w:line="302" w:lineRule="auto"/>
        <w:tabs>
          <w:tab w:leader="none" w:pos="12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following materials from the Frequency Electronics, Inc. Quarterly Report on Form 10-Q for the quarter ended July 31, 2019 formatted in eXtensible Business Reporting Language (XBRL): (i) Condensed Consolidated Balance Sheets, (ii) Condensed Consolidated Statements of Operations and Comprehensive Loss, (iii) Condensed Consolidated Statements of Cash Flows, (iv) Condensed Consolidated Statements of Changes in Stockholders’ Equity and (v) Notes to Condensed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80" w:type="dxa"/>
            <w:vAlign w:val="bottom"/>
          </w:tcPr>
          <w:p>
            <w:pPr>
              <w:spacing w:after="0"/>
              <w:rPr>
                <w:sz w:val="19"/>
                <w:szCs w:val="19"/>
                <w:color w:val="auto"/>
              </w:rPr>
            </w:pPr>
          </w:p>
        </w:tc>
        <w:tc>
          <w:tcPr>
            <w:tcW w:w="6660" w:type="dxa"/>
            <w:vAlign w:val="bottom"/>
            <w:gridSpan w:val="3"/>
          </w:tcPr>
          <w:p>
            <w:pPr>
              <w:ind w:left="1080"/>
              <w:spacing w:after="0"/>
              <w:rPr>
                <w:sz w:val="20"/>
                <w:szCs w:val="20"/>
                <w:color w:val="auto"/>
              </w:rPr>
            </w:pPr>
            <w:r>
              <w:rPr>
                <w:rFonts w:ascii="Arial" w:cs="Arial" w:eastAsia="Arial" w:hAnsi="Arial"/>
                <w:sz w:val="18"/>
                <w:szCs w:val="18"/>
                <w:b w:val="1"/>
                <w:bCs w:val="1"/>
                <w:color w:val="auto"/>
              </w:rPr>
              <w:t>FREQUENCY ELECTRONICS, INC.</w:t>
            </w:r>
          </w:p>
        </w:tc>
      </w:tr>
      <w:tr>
        <w:trPr>
          <w:trHeight w:val="230"/>
        </w:trPr>
        <w:tc>
          <w:tcPr>
            <w:tcW w:w="2980" w:type="dxa"/>
            <w:vAlign w:val="bottom"/>
          </w:tcPr>
          <w:p>
            <w:pPr>
              <w:spacing w:after="0"/>
              <w:rPr>
                <w:sz w:val="20"/>
                <w:szCs w:val="20"/>
                <w:color w:val="auto"/>
              </w:rPr>
            </w:pPr>
          </w:p>
        </w:tc>
        <w:tc>
          <w:tcPr>
            <w:tcW w:w="6660" w:type="dxa"/>
            <w:vAlign w:val="bottom"/>
            <w:gridSpan w:val="3"/>
          </w:tcPr>
          <w:p>
            <w:pPr>
              <w:ind w:left="1080"/>
              <w:spacing w:after="0"/>
              <w:rPr>
                <w:sz w:val="20"/>
                <w:szCs w:val="20"/>
                <w:color w:val="auto"/>
              </w:rPr>
            </w:pPr>
            <w:r>
              <w:rPr>
                <w:rFonts w:ascii="Arial" w:cs="Arial" w:eastAsia="Arial" w:hAnsi="Arial"/>
                <w:sz w:val="18"/>
                <w:szCs w:val="18"/>
                <w:color w:val="auto"/>
              </w:rPr>
              <w:t>(Registrant)</w:t>
            </w:r>
          </w:p>
        </w:tc>
      </w:tr>
      <w:tr>
        <w:trPr>
          <w:trHeight w:val="392"/>
        </w:trPr>
        <w:tc>
          <w:tcPr>
            <w:tcW w:w="2980" w:type="dxa"/>
            <w:vAlign w:val="bottom"/>
          </w:tcPr>
          <w:p>
            <w:pPr>
              <w:spacing w:after="0"/>
              <w:rPr>
                <w:sz w:val="20"/>
                <w:szCs w:val="20"/>
                <w:color w:val="auto"/>
              </w:rPr>
            </w:pPr>
            <w:r>
              <w:rPr>
                <w:rFonts w:ascii="Arial" w:cs="Arial" w:eastAsia="Arial" w:hAnsi="Arial"/>
                <w:sz w:val="18"/>
                <w:szCs w:val="18"/>
                <w:color w:val="auto"/>
              </w:rPr>
              <w:t>Date: September 16, 2019</w:t>
            </w:r>
          </w:p>
        </w:tc>
        <w:tc>
          <w:tcPr>
            <w:tcW w:w="6660" w:type="dxa"/>
            <w:vAlign w:val="bottom"/>
            <w:gridSpan w:val="3"/>
          </w:tcPr>
          <w:p>
            <w:pPr>
              <w:ind w:left="1780"/>
              <w:spacing w:after="0"/>
              <w:rPr>
                <w:sz w:val="20"/>
                <w:szCs w:val="20"/>
                <w:color w:val="auto"/>
              </w:rPr>
            </w:pPr>
            <w:r>
              <w:rPr>
                <w:rFonts w:ascii="Arial" w:cs="Arial" w:eastAsia="Arial" w:hAnsi="Arial"/>
                <w:sz w:val="18"/>
                <w:szCs w:val="18"/>
                <w:color w:val="auto"/>
              </w:rPr>
              <w:t>By:  /s/  Steven L. Bernstein</w:t>
            </w:r>
          </w:p>
        </w:tc>
      </w:tr>
      <w:tr>
        <w:trPr>
          <w:trHeight w:val="20"/>
        </w:trPr>
        <w:tc>
          <w:tcPr>
            <w:tcW w:w="2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2"/>
        </w:trPr>
        <w:tc>
          <w:tcPr>
            <w:tcW w:w="2980" w:type="dxa"/>
            <w:vAlign w:val="bottom"/>
          </w:tcPr>
          <w:p>
            <w:pPr>
              <w:spacing w:after="0"/>
              <w:rPr>
                <w:sz w:val="19"/>
                <w:szCs w:val="19"/>
                <w:color w:val="auto"/>
              </w:rPr>
            </w:pPr>
          </w:p>
        </w:tc>
        <w:tc>
          <w:tcPr>
            <w:tcW w:w="6660" w:type="dxa"/>
            <w:vAlign w:val="bottom"/>
            <w:gridSpan w:val="3"/>
          </w:tcPr>
          <w:p>
            <w:pPr>
              <w:ind w:left="1800"/>
              <w:spacing w:after="0"/>
              <w:rPr>
                <w:sz w:val="20"/>
                <w:szCs w:val="20"/>
                <w:color w:val="auto"/>
              </w:rPr>
            </w:pPr>
            <w:r>
              <w:rPr>
                <w:rFonts w:ascii="Arial" w:cs="Arial" w:eastAsia="Arial" w:hAnsi="Arial"/>
                <w:sz w:val="18"/>
                <w:szCs w:val="18"/>
                <w:color w:val="auto"/>
              </w:rPr>
              <w:t>Steven L. Bernstein</w:t>
            </w:r>
          </w:p>
        </w:tc>
      </w:tr>
      <w:tr>
        <w:trPr>
          <w:trHeight w:val="216"/>
        </w:trPr>
        <w:tc>
          <w:tcPr>
            <w:tcW w:w="2980" w:type="dxa"/>
            <w:vAlign w:val="bottom"/>
          </w:tcPr>
          <w:p>
            <w:pPr>
              <w:spacing w:after="0"/>
              <w:rPr>
                <w:sz w:val="18"/>
                <w:szCs w:val="18"/>
                <w:color w:val="auto"/>
              </w:rPr>
            </w:pPr>
          </w:p>
        </w:tc>
        <w:tc>
          <w:tcPr>
            <w:tcW w:w="6660" w:type="dxa"/>
            <w:vAlign w:val="bottom"/>
            <w:gridSpan w:val="3"/>
          </w:tcPr>
          <w:p>
            <w:pPr>
              <w:ind w:left="1800"/>
              <w:spacing w:after="0"/>
              <w:rPr>
                <w:sz w:val="20"/>
                <w:szCs w:val="20"/>
                <w:color w:val="auto"/>
              </w:rPr>
            </w:pPr>
            <w:r>
              <w:rPr>
                <w:rFonts w:ascii="Arial" w:cs="Arial" w:eastAsia="Arial" w:hAnsi="Arial"/>
                <w:sz w:val="18"/>
                <w:szCs w:val="18"/>
                <w:color w:val="auto"/>
              </w:rPr>
              <w:t>Chief Financial Officer, Secretary and Treasurer</w:t>
            </w:r>
          </w:p>
        </w:tc>
      </w:tr>
      <w:tr>
        <w:trPr>
          <w:trHeight w:val="230"/>
        </w:trPr>
        <w:tc>
          <w:tcPr>
            <w:tcW w:w="2980" w:type="dxa"/>
            <w:vAlign w:val="bottom"/>
          </w:tcPr>
          <w:p>
            <w:pPr>
              <w:spacing w:after="0"/>
              <w:rPr>
                <w:sz w:val="20"/>
                <w:szCs w:val="20"/>
                <w:color w:val="auto"/>
              </w:rPr>
            </w:pPr>
          </w:p>
        </w:tc>
        <w:tc>
          <w:tcPr>
            <w:tcW w:w="6660" w:type="dxa"/>
            <w:vAlign w:val="bottom"/>
            <w:gridSpan w:val="3"/>
          </w:tcPr>
          <w:p>
            <w:pPr>
              <w:ind w:left="1800"/>
              <w:spacing w:after="0"/>
              <w:rPr>
                <w:sz w:val="20"/>
                <w:szCs w:val="20"/>
                <w:color w:val="auto"/>
              </w:rPr>
            </w:pPr>
            <w:r>
              <w:rPr>
                <w:rFonts w:ascii="Arial" w:cs="Arial" w:eastAsia="Arial" w:hAnsi="Arial"/>
                <w:sz w:val="18"/>
                <w:szCs w:val="18"/>
                <w:color w:val="auto"/>
                <w:w w:val="92"/>
              </w:rPr>
              <w:t>Signing on behalf of the registrant and as principal financial officer</w:t>
            </w:r>
          </w:p>
        </w:tc>
      </w:tr>
      <w:tr>
        <w:trPr>
          <w:trHeight w:val="864"/>
        </w:trPr>
        <w:tc>
          <w:tcPr>
            <w:tcW w:w="2980" w:type="dxa"/>
            <w:vAlign w:val="bottom"/>
          </w:tcPr>
          <w:p>
            <w:pPr>
              <w:spacing w:after="0"/>
              <w:rPr>
                <w:sz w:val="24"/>
                <w:szCs w:val="24"/>
                <w:color w:val="auto"/>
              </w:rPr>
            </w:pPr>
          </w:p>
        </w:tc>
        <w:tc>
          <w:tcPr>
            <w:tcW w:w="5360" w:type="dxa"/>
            <w:vAlign w:val="bottom"/>
            <w:gridSpan w:val="2"/>
          </w:tcPr>
          <w:p>
            <w:pPr>
              <w:ind w:left="2640"/>
              <w:spacing w:after="0"/>
              <w:rPr>
                <w:sz w:val="20"/>
                <w:szCs w:val="20"/>
                <w:color w:val="auto"/>
              </w:rPr>
            </w:pPr>
            <w:r>
              <w:rPr>
                <w:rFonts w:ascii="Arial" w:cs="Arial" w:eastAsia="Arial" w:hAnsi="Arial"/>
                <w:sz w:val="18"/>
                <w:szCs w:val="18"/>
                <w:color w:val="auto"/>
              </w:rPr>
              <w:t>21</w:t>
            </w:r>
          </w:p>
        </w:tc>
        <w:tc>
          <w:tcPr>
            <w:tcW w:w="13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Stanton Sloane, certify that:</w:t>
      </w:r>
    </w:p>
    <w:p>
      <w:pPr>
        <w:spacing w:after="0" w:line="225"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027"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277" w:lineRule="auto"/>
        <w:tabs>
          <w:tab w:leader="none" w:pos="27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95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61"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Stanton Sloane</w:t>
            </w:r>
          </w:p>
        </w:tc>
        <w:tc>
          <w:tcPr>
            <w:tcW w:w="1820" w:type="dxa"/>
            <w:vAlign w:val="bottom"/>
          </w:tcPr>
          <w:p>
            <w:pPr>
              <w:spacing w:after="0"/>
              <w:rPr>
                <w:sz w:val="18"/>
                <w:szCs w:val="18"/>
                <w:color w:val="auto"/>
              </w:rPr>
            </w:pPr>
          </w:p>
        </w:tc>
        <w:tc>
          <w:tcPr>
            <w:tcW w:w="2880" w:type="dxa"/>
            <w:vAlign w:val="bottom"/>
          </w:tcPr>
          <w:p>
            <w:pPr>
              <w:ind w:left="1420"/>
              <w:spacing w:after="0"/>
              <w:rPr>
                <w:sz w:val="20"/>
                <w:szCs w:val="20"/>
                <w:color w:val="auto"/>
              </w:rPr>
            </w:pPr>
            <w:r>
              <w:rPr>
                <w:rFonts w:ascii="Arial" w:cs="Arial" w:eastAsia="Arial" w:hAnsi="Arial"/>
                <w:sz w:val="18"/>
                <w:szCs w:val="18"/>
                <w:color w:val="auto"/>
                <w:w w:val="88"/>
              </w:rPr>
              <w:t>September 16, 2019</w:t>
            </w:r>
          </w:p>
        </w:tc>
      </w:tr>
      <w:tr>
        <w:trPr>
          <w:trHeight w:val="222"/>
        </w:trPr>
        <w:tc>
          <w:tcPr>
            <w:tcW w:w="4200" w:type="dxa"/>
            <w:vAlign w:val="bottom"/>
            <w:gridSpan w:val="3"/>
          </w:tcPr>
          <w:p>
            <w:pPr>
              <w:spacing w:after="0"/>
              <w:rPr>
                <w:sz w:val="20"/>
                <w:szCs w:val="20"/>
                <w:color w:val="auto"/>
              </w:rPr>
            </w:pPr>
            <w:r>
              <w:rPr>
                <w:rFonts w:ascii="Arial" w:cs="Arial" w:eastAsia="Arial" w:hAnsi="Arial"/>
                <w:sz w:val="18"/>
                <w:szCs w:val="18"/>
                <w:color w:val="auto"/>
              </w:rPr>
              <w:t>Stanton Sloane</w:t>
            </w:r>
          </w:p>
        </w:tc>
        <w:tc>
          <w:tcPr>
            <w:tcW w:w="2880" w:type="dxa"/>
            <w:vAlign w:val="bottom"/>
          </w:tcPr>
          <w:p>
            <w:pPr>
              <w:spacing w:after="0"/>
              <w:rPr>
                <w:sz w:val="19"/>
                <w:szCs w:val="19"/>
                <w:color w:val="auto"/>
              </w:rPr>
            </w:pPr>
          </w:p>
        </w:tc>
      </w:tr>
      <w:tr>
        <w:trPr>
          <w:trHeight w:val="230"/>
        </w:trPr>
        <w:tc>
          <w:tcPr>
            <w:tcW w:w="420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2880" w:type="dxa"/>
            <w:vAlign w:val="bottom"/>
          </w:tcPr>
          <w:p>
            <w:pPr>
              <w:spacing w:after="0"/>
              <w:rPr>
                <w:sz w:val="20"/>
                <w:szCs w:val="20"/>
                <w:color w:val="auto"/>
              </w:rPr>
            </w:pPr>
          </w:p>
        </w:tc>
      </w:tr>
    </w:tbl>
    <w:p>
      <w:pPr>
        <w:sectPr>
          <w:pgSz w:w="11900" w:h="16838" w:orient="portrait"/>
          <w:cols w:equalWidth="0" w:num="1">
            <w:col w:w="11420"/>
          </w:cols>
          <w:pgMar w:left="240" w:top="337"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L. Bernstein, certify that</w:t>
      </w:r>
    </w:p>
    <w:p>
      <w:pPr>
        <w:spacing w:after="0" w:line="225"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7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right="20" w:hanging="4"/>
        <w:spacing w:after="0" w:line="264" w:lineRule="auto"/>
        <w:tabs>
          <w:tab w:leader="none" w:pos="10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027"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82"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277" w:lineRule="auto"/>
        <w:tabs>
          <w:tab w:leader="none" w:pos="27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95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61"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L. Bernstein</w:t>
            </w:r>
          </w:p>
        </w:tc>
        <w:tc>
          <w:tcPr>
            <w:tcW w:w="2020" w:type="dxa"/>
            <w:vAlign w:val="bottom"/>
          </w:tcPr>
          <w:p>
            <w:pPr>
              <w:spacing w:after="0"/>
              <w:rPr>
                <w:sz w:val="18"/>
                <w:szCs w:val="18"/>
                <w:color w:val="auto"/>
              </w:rPr>
            </w:pPr>
          </w:p>
        </w:tc>
        <w:tc>
          <w:tcPr>
            <w:tcW w:w="2440" w:type="dxa"/>
            <w:vAlign w:val="bottom"/>
          </w:tcPr>
          <w:p>
            <w:pPr>
              <w:ind w:left="1000"/>
              <w:spacing w:after="0"/>
              <w:rPr>
                <w:sz w:val="20"/>
                <w:szCs w:val="20"/>
                <w:color w:val="auto"/>
              </w:rPr>
            </w:pPr>
            <w:r>
              <w:rPr>
                <w:rFonts w:ascii="Arial" w:cs="Arial" w:eastAsia="Arial" w:hAnsi="Arial"/>
                <w:sz w:val="18"/>
                <w:szCs w:val="18"/>
                <w:color w:val="auto"/>
                <w:w w:val="87"/>
              </w:rPr>
              <w:t>September 16, 2019</w:t>
            </w:r>
          </w:p>
        </w:tc>
      </w:tr>
      <w:tr>
        <w:trPr>
          <w:trHeight w:val="222"/>
        </w:trPr>
        <w:tc>
          <w:tcPr>
            <w:tcW w:w="4480" w:type="dxa"/>
            <w:vAlign w:val="bottom"/>
            <w:gridSpan w:val="3"/>
          </w:tcPr>
          <w:p>
            <w:pPr>
              <w:spacing w:after="0"/>
              <w:rPr>
                <w:sz w:val="20"/>
                <w:szCs w:val="20"/>
                <w:color w:val="auto"/>
              </w:rPr>
            </w:pPr>
            <w:r>
              <w:rPr>
                <w:rFonts w:ascii="Arial" w:cs="Arial" w:eastAsia="Arial" w:hAnsi="Arial"/>
                <w:sz w:val="18"/>
                <w:szCs w:val="18"/>
                <w:color w:val="auto"/>
              </w:rPr>
              <w:t>Steven L. Bernstein</w:t>
            </w:r>
          </w:p>
        </w:tc>
        <w:tc>
          <w:tcPr>
            <w:tcW w:w="2440" w:type="dxa"/>
            <w:vAlign w:val="bottom"/>
          </w:tcPr>
          <w:p>
            <w:pPr>
              <w:spacing w:after="0"/>
              <w:rPr>
                <w:sz w:val="19"/>
                <w:szCs w:val="19"/>
                <w:color w:val="auto"/>
              </w:rPr>
            </w:pPr>
          </w:p>
        </w:tc>
      </w:tr>
      <w:tr>
        <w:trPr>
          <w:trHeight w:val="230"/>
        </w:trPr>
        <w:tc>
          <w:tcPr>
            <w:tcW w:w="4480" w:type="dxa"/>
            <w:vAlign w:val="bottom"/>
            <w:gridSpan w:val="3"/>
          </w:tcPr>
          <w:p>
            <w:pPr>
              <w:spacing w:after="0"/>
              <w:rPr>
                <w:sz w:val="20"/>
                <w:szCs w:val="20"/>
                <w:color w:val="auto"/>
              </w:rPr>
            </w:pPr>
            <w:r>
              <w:rPr>
                <w:rFonts w:ascii="Arial" w:cs="Arial" w:eastAsia="Arial" w:hAnsi="Arial"/>
                <w:sz w:val="18"/>
                <w:szCs w:val="18"/>
                <w:color w:val="auto"/>
              </w:rPr>
              <w:t>Chief Financial Officer, Secretary and Treasurer</w:t>
            </w:r>
          </w:p>
        </w:tc>
        <w:tc>
          <w:tcPr>
            <w:tcW w:w="2440" w:type="dxa"/>
            <w:vAlign w:val="bottom"/>
          </w:tcPr>
          <w:p>
            <w:pPr>
              <w:spacing w:after="0"/>
              <w:rPr>
                <w:sz w:val="20"/>
                <w:szCs w:val="20"/>
                <w:color w:val="auto"/>
              </w:rPr>
            </w:pPr>
          </w:p>
        </w:tc>
      </w:tr>
    </w:tbl>
    <w:p>
      <w:pPr>
        <w:sectPr>
          <w:pgSz w:w="11900" w:h="16838" w:orient="portrait"/>
          <w:cols w:equalWidth="0" w:num="1">
            <w:col w:w="11420"/>
          </w:cols>
          <w:pgMar w:left="240" w:top="337"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July 31, 2019 as filed with the Securities and Exchange Commission on the date hereof (the “Report”), I, Stanton Sloane, President and Chief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960" w:hanging="30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31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Stanton Sloane</w:t>
            </w:r>
          </w:p>
        </w:tc>
        <w:tc>
          <w:tcPr>
            <w:tcW w:w="4020" w:type="dxa"/>
            <w:vAlign w:val="bottom"/>
          </w:tcPr>
          <w:p>
            <w:pPr>
              <w:jc w:val="right"/>
              <w:spacing w:after="0"/>
              <w:rPr>
                <w:sz w:val="20"/>
                <w:szCs w:val="20"/>
                <w:color w:val="auto"/>
              </w:rPr>
            </w:pPr>
            <w:r>
              <w:rPr>
                <w:rFonts w:ascii="Arial" w:cs="Arial" w:eastAsia="Arial" w:hAnsi="Arial"/>
                <w:sz w:val="18"/>
                <w:szCs w:val="18"/>
                <w:color w:val="auto"/>
              </w:rPr>
              <w:t>September 16, 2019</w:t>
            </w:r>
          </w:p>
        </w:tc>
        <w:tc>
          <w:tcPr>
            <w:tcW w:w="0" w:type="dxa"/>
            <w:vAlign w:val="bottom"/>
          </w:tcPr>
          <w:p>
            <w:pPr>
              <w:spacing w:after="0"/>
              <w:rPr>
                <w:sz w:val="1"/>
                <w:szCs w:val="1"/>
                <w:color w:val="auto"/>
              </w:rPr>
            </w:pPr>
          </w:p>
        </w:tc>
      </w:tr>
      <w:tr>
        <w:trPr>
          <w:trHeight w:val="222"/>
        </w:trPr>
        <w:tc>
          <w:tcPr>
            <w:tcW w:w="3780" w:type="dxa"/>
            <w:vAlign w:val="bottom"/>
            <w:gridSpan w:val="3"/>
          </w:tcPr>
          <w:p>
            <w:pPr>
              <w:ind w:left="660"/>
              <w:spacing w:after="0"/>
              <w:rPr>
                <w:sz w:val="20"/>
                <w:szCs w:val="20"/>
                <w:color w:val="auto"/>
              </w:rPr>
            </w:pPr>
            <w:r>
              <w:rPr>
                <w:rFonts w:ascii="Arial" w:cs="Arial" w:eastAsia="Arial" w:hAnsi="Arial"/>
                <w:sz w:val="18"/>
                <w:szCs w:val="18"/>
                <w:color w:val="auto"/>
              </w:rPr>
              <w:t>Stanton Sloane</w:t>
            </w:r>
          </w:p>
        </w:tc>
        <w:tc>
          <w:tcPr>
            <w:tcW w:w="4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3"/>
          </w:tcPr>
          <w:p>
            <w:pPr>
              <w:ind w:left="660"/>
              <w:spacing w:after="0"/>
              <w:rPr>
                <w:sz w:val="20"/>
                <w:szCs w:val="20"/>
                <w:color w:val="auto"/>
              </w:rPr>
            </w:pPr>
            <w:r>
              <w:rPr>
                <w:rFonts w:ascii="Arial" w:cs="Arial" w:eastAsia="Arial" w:hAnsi="Arial"/>
                <w:sz w:val="18"/>
                <w:szCs w:val="18"/>
                <w:color w:val="auto"/>
              </w:rPr>
              <w:t>President and Chief Executive Officer</w:t>
            </w: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Certification of CFO</w:t>
            </w:r>
          </w:p>
        </w:tc>
        <w:tc>
          <w:tcPr>
            <w:tcW w:w="4020" w:type="dxa"/>
            <w:vAlign w:val="bottom"/>
          </w:tcPr>
          <w:p>
            <w:pPr>
              <w:jc w:val="right"/>
              <w:ind w:right="11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6"/>
        </w:trPr>
        <w:tc>
          <w:tcPr>
            <w:tcW w:w="3780" w:type="dxa"/>
            <w:vAlign w:val="bottom"/>
            <w:gridSpan w:val="3"/>
            <w:vMerge w:val="continue"/>
          </w:tcPr>
          <w:p>
            <w:pPr>
              <w:spacing w:after="0"/>
              <w:rPr>
                <w:sz w:val="15"/>
                <w:szCs w:val="15"/>
                <w:color w:val="auto"/>
              </w:rPr>
            </w:pPr>
          </w:p>
        </w:tc>
        <w:tc>
          <w:tcPr>
            <w:tcW w:w="4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Frequency Electronics, Inc. (the “Company”) on Form 10-Q for the period ended July 31, 2019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960" w:hanging="30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L. Bernstein</w:t>
            </w:r>
          </w:p>
        </w:tc>
        <w:tc>
          <w:tcPr>
            <w:tcW w:w="1620" w:type="dxa"/>
            <w:vAlign w:val="bottom"/>
          </w:tcPr>
          <w:p>
            <w:pPr>
              <w:spacing w:after="0"/>
              <w:rPr>
                <w:sz w:val="18"/>
                <w:szCs w:val="18"/>
                <w:color w:val="auto"/>
              </w:rPr>
            </w:pPr>
          </w:p>
        </w:tc>
        <w:tc>
          <w:tcPr>
            <w:tcW w:w="2520" w:type="dxa"/>
            <w:vAlign w:val="bottom"/>
          </w:tcPr>
          <w:p>
            <w:pPr>
              <w:ind w:left="1080"/>
              <w:spacing w:after="0"/>
              <w:rPr>
                <w:sz w:val="20"/>
                <w:szCs w:val="20"/>
                <w:color w:val="auto"/>
              </w:rPr>
            </w:pPr>
            <w:r>
              <w:rPr>
                <w:rFonts w:ascii="Arial" w:cs="Arial" w:eastAsia="Arial" w:hAnsi="Arial"/>
                <w:sz w:val="18"/>
                <w:szCs w:val="18"/>
                <w:color w:val="auto"/>
                <w:w w:val="87"/>
              </w:rPr>
              <w:t>September 16, 2019</w:t>
            </w:r>
          </w:p>
        </w:tc>
      </w:tr>
      <w:tr>
        <w:trPr>
          <w:trHeight w:val="222"/>
        </w:trPr>
        <w:tc>
          <w:tcPr>
            <w:tcW w:w="4540" w:type="dxa"/>
            <w:vAlign w:val="bottom"/>
            <w:gridSpan w:val="3"/>
          </w:tcPr>
          <w:p>
            <w:pPr>
              <w:spacing w:after="0"/>
              <w:rPr>
                <w:sz w:val="20"/>
                <w:szCs w:val="20"/>
                <w:color w:val="auto"/>
              </w:rPr>
            </w:pPr>
            <w:r>
              <w:rPr>
                <w:rFonts w:ascii="Arial" w:cs="Arial" w:eastAsia="Arial" w:hAnsi="Arial"/>
                <w:sz w:val="18"/>
                <w:szCs w:val="18"/>
                <w:color w:val="auto"/>
              </w:rPr>
              <w:t>Steven L. Bernstein</w:t>
            </w:r>
          </w:p>
        </w:tc>
        <w:tc>
          <w:tcPr>
            <w:tcW w:w="2520" w:type="dxa"/>
            <w:vAlign w:val="bottom"/>
          </w:tcPr>
          <w:p>
            <w:pPr>
              <w:spacing w:after="0"/>
              <w:rPr>
                <w:sz w:val="19"/>
                <w:szCs w:val="19"/>
                <w:color w:val="auto"/>
              </w:rPr>
            </w:pPr>
          </w:p>
        </w:tc>
      </w:t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rPr>
              <w:t>Chief Financial Officer, Secretary and Treasurer</w:t>
            </w:r>
          </w:p>
        </w:tc>
        <w:tc>
          <w:tcPr>
            <w:tcW w:w="252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2019-12-28T06:19:51Z</dcterms:created>
  <dcterms:modified xsi:type="dcterms:W3CDTF">2019-12-28T06:19:51Z</dcterms:modified>
</cp:coreProperties>
</file>