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feim8k100826.htm"/>
      <w:bookmarkStart w:id="1" w:name="ksfeim8k100826"/>
      <w:bookmarkEnd w:id="0"/>
      <w:bookmarkEnd w:id="1"/>
      <w:r>
        <w:rPr>
          <w:bdr w:val="single" w:sz="16"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144" w:right="144"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3_edei--DocumentType_c20261007__20"/>
      <w:bookmarkEnd w:id="2"/>
      <w:r>
        <w:rPr>
          <w:rFonts w:ascii="Times New Roman;Times;Serif" w:hAnsi="Times New Roman;Times;Serif"/>
          <w:b/>
          <w:i w:val="false"/>
          <w:caps w:val="false"/>
          <w:smallCaps w:val="false"/>
          <w:sz w:val="32"/>
        </w:rPr>
        <w:t>8-K</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val="false"/>
          <w:i w:val="false"/>
          <w:caps w:val="false"/>
          <w:smallCaps w:val="false"/>
          <w:sz w:val="20"/>
        </w:rPr>
        <w:t>October 7, 2026</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36"/>
          <w:u w:val="single"/>
        </w:rPr>
      </w:pPr>
      <w:bookmarkStart w:id="4" w:name="xdx_900_edei--EntityRegistrantName_c2026"/>
      <w:bookmarkEnd w:id="4"/>
      <w:r>
        <w:rPr>
          <w:rFonts w:ascii="Times New Roman;Times;Serif" w:hAnsi="Times New Roman;Times;Serif"/>
          <w:b/>
          <w:i w:val="false"/>
          <w:caps w:val="false"/>
          <w:smallCaps w:val="false"/>
          <w:sz w:val="36"/>
          <w:u w:val="single"/>
        </w:rPr>
        <w:t>FREQUENCY ELECTRONICS, INC.</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050" w:type="dxa"/>
        <w:jc w:val="left"/>
        <w:tblInd w:w="0" w:type="dxa"/>
        <w:tblLayout w:type="fixed"/>
        <w:tblCellMar>
          <w:top w:w="0" w:type="dxa"/>
          <w:left w:w="0" w:type="dxa"/>
          <w:bottom w:w="28" w:type="dxa"/>
          <w:right w:w="0" w:type="dxa"/>
        </w:tblCellMar>
      </w:tblPr>
      <w:tblGrid>
        <w:gridCol w:w="2540"/>
        <w:gridCol w:w="60"/>
        <w:gridCol w:w="2615"/>
        <w:gridCol w:w="60"/>
        <w:gridCol w:w="1775"/>
      </w:tblGrid>
      <w:tr>
        <w:trPr/>
        <w:tc>
          <w:tcPr>
            <w:tcW w:w="2540" w:type="dxa"/>
            <w:tcBorders>
              <w:bottom w:val="single" w:sz="8" w:space="0" w:color="000000"/>
            </w:tcBorders>
            <w:vAlign w:val="center"/>
          </w:tcPr>
          <w:p>
            <w:pPr>
              <w:pStyle w:val="TableContents"/>
              <w:bidi w:val="0"/>
              <w:spacing w:before="0" w:after="283"/>
              <w:jc w:val="center"/>
              <w:rPr>
                <w:b/>
              </w:rPr>
            </w:pPr>
            <w:bookmarkStart w:id="5" w:name="xdx_907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8" w:space="0" w:color="000000"/>
            </w:tcBorders>
            <w:vAlign w:val="center"/>
          </w:tcPr>
          <w:p>
            <w:pPr>
              <w:pStyle w:val="TableContents"/>
              <w:bidi w:val="0"/>
              <w:spacing w:before="0" w:after="283"/>
              <w:jc w:val="center"/>
              <w:rPr>
                <w:b/>
              </w:rPr>
            </w:pPr>
            <w:bookmarkStart w:id="6" w:name="xdx_908_edei--EntityFileNumber_c20261007"/>
            <w:bookmarkEnd w:id="6"/>
            <w:r>
              <w:rPr>
                <w:b/>
              </w:rPr>
              <w:t>1-8061</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7" w:name="xdx_90F_edei--EntityTaxIdentificationNum"/>
            <w:bookmarkEnd w:id="7"/>
            <w:r>
              <w:rPr>
                <w:b/>
              </w:rPr>
              <w:t>11-1986657</w:t>
            </w:r>
          </w:p>
        </w:tc>
      </w:tr>
      <w:tr>
        <w:trPr/>
        <w:tc>
          <w:tcPr>
            <w:tcW w:w="2540" w:type="dxa"/>
            <w:tcBorders/>
            <w:tcMar>
              <w:bottom w:w="0" w:type="dxa"/>
            </w:tcMar>
            <w:vAlign w:val="center"/>
          </w:tcPr>
          <w:p>
            <w:pPr>
              <w:pStyle w:val="TableContents"/>
              <w:bidi w:val="0"/>
              <w:spacing w:before="0" w:after="283"/>
              <w:jc w:val="center"/>
              <w:rPr/>
            </w:pPr>
            <w:r>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 xml:space="preserve">(I.R.S. Employer </w:t>
              <w:br/>
              <w:t>Identification No.)</w:t>
            </w:r>
          </w:p>
        </w:tc>
      </w:tr>
    </w:tbl>
    <w:p>
      <w:pPr>
        <w:pStyle w:val="TextBody"/>
        <w:bidi w:val="0"/>
        <w:spacing w:before="0" w:after="0"/>
        <w:ind w:left="144" w:right="144" w:hanging="0"/>
        <w:jc w:val="center"/>
        <w:rPr>
          <w:caps w:val="false"/>
          <w:smallCaps w:val="false"/>
        </w:rPr>
      </w:pPr>
      <w:r>
        <w:rPr>
          <w:caps w:val="false"/>
          <w:smallCaps w:val="false"/>
        </w:rPr>
        <w:t> </w:t>
      </w:r>
    </w:p>
    <w:tbl>
      <w:tblPr>
        <w:tblW w:w="4945" w:type="dxa"/>
        <w:jc w:val="left"/>
        <w:tblInd w:w="0" w:type="dxa"/>
        <w:tblLayout w:type="fixed"/>
        <w:tblCellMar>
          <w:top w:w="0" w:type="dxa"/>
          <w:left w:w="0" w:type="dxa"/>
          <w:bottom w:w="28" w:type="dxa"/>
          <w:right w:w="0" w:type="dxa"/>
        </w:tblCellMar>
      </w:tblPr>
      <w:tblGrid>
        <w:gridCol w:w="3965"/>
        <w:gridCol w:w="60"/>
        <w:gridCol w:w="920"/>
      </w:tblGrid>
      <w:tr>
        <w:trPr/>
        <w:tc>
          <w:tcPr>
            <w:tcW w:w="39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8" w:name="xdx_90A_edei--EntityAddressAddressLine1_"/>
            <w:bookmarkEnd w:id="8"/>
            <w:r>
              <w:rPr>
                <w:rFonts w:ascii="Times New Roman;Times;Serif" w:hAnsi="Times New Roman;Times;Serif"/>
                <w:b/>
                <w:sz w:val="20"/>
              </w:rPr>
              <w:t xml:space="preserve">55 Charles Lindbergh Blvd., </w:t>
            </w:r>
            <w:bookmarkStart w:id="9" w:name="xdx_907_edei--EntityAddressCityOrTown_c2"/>
            <w:bookmarkEnd w:id="9"/>
            <w:r>
              <w:rPr>
                <w:rFonts w:ascii="Times New Roman;Times;Serif" w:hAnsi="Times New Roman;Times;Serif"/>
                <w:b/>
                <w:sz w:val="20"/>
              </w:rPr>
              <w:t xml:space="preserve">Mitchel Field, </w:t>
            </w:r>
            <w:bookmarkStart w:id="10" w:name="xdx_90B_edei--EntityAddressStateOrProvin"/>
            <w:bookmarkEnd w:id="10"/>
            <w:r>
              <w:rPr>
                <w:rFonts w:ascii="Times New Roman;Times;Serif" w:hAnsi="Times New Roman;Times;Serif"/>
                <w:b/>
                <w:sz w:val="20"/>
              </w:rPr>
              <w:t>NY</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4_edei--EntityAddressPostalZipCode"/>
            <w:bookmarkEnd w:id="11"/>
            <w:r>
              <w:rPr>
                <w:rFonts w:ascii="Times New Roman;Times;Serif" w:hAnsi="Times New Roman;Times;Serif"/>
                <w:b/>
                <w:sz w:val="20"/>
              </w:rPr>
              <w:t>11553</w:t>
            </w:r>
          </w:p>
        </w:tc>
      </w:tr>
      <w:tr>
        <w:trPr/>
        <w:tc>
          <w:tcPr>
            <w:tcW w:w="3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0_edei--CityAreaCode_c20261007__20"/>
      <w:bookmarkEnd w:id="12"/>
      <w:r>
        <w:rPr>
          <w:rFonts w:ascii="Times New Roman;Times;Serif" w:hAnsi="Times New Roman;Times;Serif"/>
          <w:b/>
          <w:i w:val="false"/>
          <w:caps w:val="false"/>
          <w:smallCaps w:val="false"/>
          <w:sz w:val="20"/>
        </w:rPr>
        <w:t xml:space="preserve">516) </w:t>
      </w:r>
      <w:bookmarkStart w:id="13" w:name="xdx_90A_edei--LocalPhoneNumber_c20261007"/>
      <w:bookmarkEnd w:id="13"/>
      <w:r>
        <w:rPr>
          <w:rFonts w:ascii="Times New Roman;Times;Serif" w:hAnsi="Times New Roman;Times;Serif"/>
          <w:b/>
          <w:i w:val="false"/>
          <w:caps w:val="false"/>
          <w:smallCaps w:val="false"/>
          <w:sz w:val="20"/>
        </w:rPr>
        <w:t>794-4500</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4" w:name="xdx_90F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5" w:name="xdx_90F_edei--SolicitingMaterial_c202610"/>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6" w:name="xdx_907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7" w:name="xdx_901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35"/>
        <w:gridCol w:w="60"/>
        <w:gridCol w:w="1865"/>
        <w:gridCol w:w="60"/>
        <w:gridCol w:w="4285"/>
      </w:tblGrid>
      <w:tr>
        <w:trPr/>
        <w:tc>
          <w:tcPr>
            <w:tcW w:w="3935"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65"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285"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Name of each exchange on which registered</w:t>
            </w:r>
          </w:p>
        </w:tc>
      </w:tr>
      <w:tr>
        <w:trPr/>
        <w:tc>
          <w:tcPr>
            <w:tcW w:w="3935" w:type="dxa"/>
            <w:tcBorders/>
            <w:tcMar>
              <w:bottom w:w="0" w:type="dxa"/>
            </w:tcMar>
            <w:vAlign w:val="center"/>
          </w:tcPr>
          <w:p>
            <w:pPr>
              <w:pStyle w:val="TableContents"/>
              <w:bidi w:val="0"/>
              <w:spacing w:before="0" w:after="283"/>
              <w:jc w:val="center"/>
              <w:rPr/>
            </w:pPr>
            <w:bookmarkStart w:id="18" w:name="xdx_90C_edei--Security12bTitle_c20261007"/>
            <w:bookmarkEnd w:id="18"/>
            <w:r>
              <w:rPr/>
              <w:t>Common Stock (par value $1.00 per share)</w:t>
            </w:r>
          </w:p>
        </w:tc>
        <w:tc>
          <w:tcPr>
            <w:tcW w:w="60" w:type="dxa"/>
            <w:tcBorders/>
            <w:tcMar>
              <w:bottom w:w="0" w:type="dxa"/>
            </w:tcMar>
            <w:vAlign w:val="center"/>
          </w:tcPr>
          <w:p>
            <w:pPr>
              <w:pStyle w:val="TableContents"/>
              <w:bidi w:val="0"/>
              <w:spacing w:before="0" w:after="283"/>
              <w:jc w:val="center"/>
              <w:rPr/>
            </w:pPr>
            <w:r>
              <w:rPr/>
              <w:t> </w:t>
            </w:r>
          </w:p>
        </w:tc>
        <w:tc>
          <w:tcPr>
            <w:tcW w:w="1865" w:type="dxa"/>
            <w:tcBorders/>
            <w:tcMar>
              <w:bottom w:w="0" w:type="dxa"/>
            </w:tcMar>
            <w:vAlign w:val="center"/>
          </w:tcPr>
          <w:p>
            <w:pPr>
              <w:pStyle w:val="TableContents"/>
              <w:bidi w:val="0"/>
              <w:spacing w:before="0" w:after="283"/>
              <w:jc w:val="center"/>
              <w:rPr/>
            </w:pPr>
            <w:bookmarkStart w:id="19" w:name="xdx_90C_edei--TradingSymbol_c20261007__2"/>
            <w:bookmarkEnd w:id="19"/>
            <w:r>
              <w:rPr/>
              <w:t>FEIM</w:t>
            </w:r>
          </w:p>
        </w:tc>
        <w:tc>
          <w:tcPr>
            <w:tcW w:w="60" w:type="dxa"/>
            <w:tcBorders/>
            <w:tcMar>
              <w:bottom w:w="0" w:type="dxa"/>
            </w:tcMar>
            <w:vAlign w:val="center"/>
          </w:tcPr>
          <w:p>
            <w:pPr>
              <w:pStyle w:val="TableContents"/>
              <w:bidi w:val="0"/>
              <w:spacing w:before="0" w:after="283"/>
              <w:jc w:val="center"/>
              <w:rPr/>
            </w:pPr>
            <w:r>
              <w:rPr/>
              <w:t> </w:t>
            </w:r>
          </w:p>
        </w:tc>
        <w:tc>
          <w:tcPr>
            <w:tcW w:w="4285" w:type="dxa"/>
            <w:tcBorders/>
            <w:tcMar>
              <w:bottom w:w="0" w:type="dxa"/>
            </w:tcMar>
            <w:vAlign w:val="center"/>
          </w:tcPr>
          <w:p>
            <w:pPr>
              <w:pStyle w:val="TableContents"/>
              <w:bidi w:val="0"/>
              <w:spacing w:before="0" w:after="283"/>
              <w:jc w:val="center"/>
              <w:rPr/>
            </w:pPr>
            <w:bookmarkStart w:id="20" w:name="xdx_90E_edei--SecurityExchangeName_c2026"/>
            <w:bookmarkEnd w:id="20"/>
            <w:r>
              <w:rPr/>
              <w:t>NASDAQ Global Market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ind w:left="144" w:right="144" w:hanging="0"/>
        <w:jc w:val="left"/>
        <w:rPr>
          <w:bdr w:val="single" w:sz="8" w:space="1" w:color="000000"/>
        </w:rPr>
      </w:pPr>
      <w:r>
        <w:rPr>
          <w:bdr w:val="single" w:sz="8" w:space="1" w:color="000000"/>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565" w:type="dxa"/>
        <w:jc w:val="left"/>
        <w:tblInd w:w="0" w:type="dxa"/>
        <w:tblLayout w:type="fixed"/>
        <w:tblCellMar>
          <w:top w:w="0" w:type="dxa"/>
          <w:left w:w="0" w:type="dxa"/>
          <w:bottom w:w="0" w:type="dxa"/>
          <w:right w:w="0" w:type="dxa"/>
        </w:tblCellMar>
      </w:tblPr>
      <w:tblGrid>
        <w:gridCol w:w="1220"/>
        <w:gridCol w:w="5345"/>
      </w:tblGrid>
      <w:tr>
        <w:trPr/>
        <w:tc>
          <w:tcPr>
            <w:tcW w:w="1220" w:type="dxa"/>
            <w:tcBorders/>
            <w:vAlign w:val="center"/>
          </w:tcPr>
          <w:p>
            <w:pPr>
              <w:pStyle w:val="TableContents"/>
              <w:bidi w:val="0"/>
              <w:spacing w:before="0" w:after="283"/>
              <w:jc w:val="left"/>
              <w:rPr>
                <w:b/>
              </w:rPr>
            </w:pPr>
            <w:r>
              <w:rPr>
                <w:b/>
              </w:rPr>
              <w:t>ITEM 5.07.</w:t>
            </w:r>
          </w:p>
        </w:tc>
        <w:tc>
          <w:tcPr>
            <w:tcW w:w="5345" w:type="dxa"/>
            <w:tcBorders/>
            <w:vAlign w:val="center"/>
          </w:tcPr>
          <w:p>
            <w:pPr>
              <w:pStyle w:val="TableContents"/>
              <w:bidi w:val="0"/>
              <w:spacing w:before="0" w:after="283"/>
              <w:jc w:val="left"/>
              <w:rPr>
                <w:b/>
              </w:rPr>
            </w:pPr>
            <w:r>
              <w:rPr>
                <w:b/>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2026, Frequency Electronics, Inc. (the “Company”) held its Annual Meeting of Stockholders (the “Annual Meeting”). A total of 8,731,732 shares or 77.58% of the shares of Common Stock of the Company entitled to vote at the Annual Meeting were represented in person or by proxy, and the stockholders: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elected each of the Company’s nominees for director to serve for terms of one year and until their respective successors are elected and qualified;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ratified the appointment of Grant Thornton LLP as the Company’s independent registered public accounting firm for the fiscal year ending April 30, 2027; and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approved, on a non-binding advisory basis, the compensation of the Company’s named executive officers.</w:t>
            </w:r>
          </w:p>
        </w:tc>
      </w:tr>
    </w:tbl>
    <w:p>
      <w:pPr>
        <w:pStyle w:val="TextBody"/>
        <w:bidi w:val="0"/>
        <w:spacing w:before="0" w:after="0"/>
        <w:ind w:left="1260" w:right="0" w:hanging="12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results at the Annual Meeting were as follows:</w:t>
      </w:r>
    </w:p>
    <w:p>
      <w:pPr>
        <w:pStyle w:val="TextBody"/>
        <w:bidi w:val="0"/>
        <w:spacing w:before="0" w:after="0"/>
        <w:ind w:left="0" w:right="0" w:hanging="0"/>
        <w:jc w:val="both"/>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215"/>
        <w:gridCol w:w="3740"/>
      </w:tblGrid>
      <w:tr>
        <w:trPr/>
        <w:tc>
          <w:tcPr>
            <w:tcW w:w="215" w:type="dxa"/>
            <w:tcBorders/>
            <w:vAlign w:val="center"/>
          </w:tcPr>
          <w:p>
            <w:pPr>
              <w:pStyle w:val="TableContents"/>
              <w:bidi w:val="0"/>
              <w:spacing w:before="0" w:after="283"/>
              <w:jc w:val="left"/>
              <w:rPr/>
            </w:pPr>
            <w:r>
              <w:rPr/>
              <w:t>1.</w:t>
            </w:r>
          </w:p>
        </w:tc>
        <w:tc>
          <w:tcPr>
            <w:tcW w:w="3740" w:type="dxa"/>
            <w:tcBorders/>
            <w:vAlign w:val="center"/>
          </w:tcPr>
          <w:p>
            <w:pPr>
              <w:pStyle w:val="TableContents"/>
              <w:bidi w:val="0"/>
              <w:spacing w:before="0" w:after="283"/>
              <w:jc w:val="left"/>
              <w:rPr/>
            </w:pPr>
            <w:r>
              <w:rPr/>
              <w:t>Election of the following five directors:</w:t>
            </w:r>
          </w:p>
        </w:tc>
      </w:tr>
    </w:tbl>
    <w:p>
      <w:pPr>
        <w:pStyle w:val="TextBody"/>
        <w:bidi w:val="0"/>
        <w:spacing w:before="0" w:after="0"/>
        <w:ind w:left="0" w:right="0" w:hanging="0"/>
        <w:jc w:val="both"/>
        <w:rPr>
          <w:caps w:val="false"/>
          <w:smallCaps w:val="false"/>
        </w:rPr>
      </w:pPr>
      <w:r>
        <w:rPr>
          <w:caps w:val="false"/>
          <w:smallCaps w:val="false"/>
        </w:rPr>
        <w:t> </w:t>
      </w:r>
    </w:p>
    <w:tbl>
      <w:tblPr>
        <w:tblW w:w="7340" w:type="dxa"/>
        <w:jc w:val="left"/>
        <w:tblInd w:w="0" w:type="dxa"/>
        <w:tblLayout w:type="fixed"/>
        <w:tblCellMar>
          <w:top w:w="0" w:type="dxa"/>
          <w:left w:w="0" w:type="dxa"/>
          <w:bottom w:w="28" w:type="dxa"/>
          <w:right w:w="0" w:type="dxa"/>
        </w:tblCellMar>
      </w:tblPr>
      <w:tblGrid>
        <w:gridCol w:w="1970"/>
        <w:gridCol w:w="60"/>
        <w:gridCol w:w="60"/>
        <w:gridCol w:w="980"/>
        <w:gridCol w:w="60"/>
        <w:gridCol w:w="60"/>
        <w:gridCol w:w="1385"/>
        <w:gridCol w:w="60"/>
        <w:gridCol w:w="60"/>
        <w:gridCol w:w="2570"/>
        <w:gridCol w:w="75"/>
      </w:tblGrid>
      <w:tr>
        <w:trPr/>
        <w:tc>
          <w:tcPr>
            <w:tcW w:w="1970" w:type="dxa"/>
            <w:tcBorders>
              <w:bottom w:val="single" w:sz="8" w:space="0" w:color="000000"/>
            </w:tcBorders>
            <w:vAlign w:val="center"/>
          </w:tcPr>
          <w:p>
            <w:pPr>
              <w:pStyle w:val="TableContents"/>
              <w:bidi w:val="0"/>
              <w:spacing w:before="0" w:after="283"/>
              <w:jc w:val="center"/>
              <w:rPr>
                <w:b/>
              </w:rPr>
            </w:pPr>
            <w:r>
              <w:rPr>
                <w:b/>
              </w:rPr>
              <w:t>DIRECTOR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before="0" w:after="283"/>
              <w:jc w:val="center"/>
              <w:rPr>
                <w:b/>
              </w:rPr>
            </w:pPr>
            <w:r>
              <w:rPr>
                <w:b/>
              </w:rPr>
              <w:t>WITHHELD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70" w:type="dxa"/>
            <w:tcBorders>
              <w:bottom w:val="single" w:sz="8" w:space="0" w:color="000000"/>
            </w:tcBorders>
            <w:vAlign w:val="center"/>
          </w:tcPr>
          <w:p>
            <w:pPr>
              <w:pStyle w:val="TableContents"/>
              <w:bidi w:val="0"/>
              <w:spacing w:before="0" w:after="283"/>
              <w:jc w:val="center"/>
              <w:rPr>
                <w:b/>
              </w:rPr>
            </w:pPr>
            <w:r>
              <w:rPr>
                <w:b/>
              </w:rPr>
              <w:t>BROKER NON-VOTES</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center"/>
              <w:rPr/>
            </w:pPr>
            <w:r>
              <w:rPr/>
              <w:t>Jonathan Brolin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6,549,703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center"/>
              <w:rPr/>
            </w:pPr>
            <w:r>
              <w:rPr/>
              <w:t>585,824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center"/>
              <w:rPr/>
            </w:pPr>
            <w:r>
              <w:rPr/>
              <w:t>1,596,205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70" w:type="dxa"/>
            <w:tcBorders/>
            <w:shd w:fill="FFFFFF" w:val="clear"/>
            <w:tcMar>
              <w:bottom w:w="0" w:type="dxa"/>
            </w:tcMar>
            <w:vAlign w:val="center"/>
          </w:tcPr>
          <w:p>
            <w:pPr>
              <w:pStyle w:val="TableContents"/>
              <w:bidi w:val="0"/>
              <w:spacing w:before="0" w:after="283"/>
              <w:jc w:val="center"/>
              <w:rPr/>
            </w:pPr>
            <w:r>
              <w:rPr/>
              <w:t>Lance Lord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5,460,320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center"/>
              <w:rPr/>
            </w:pPr>
            <w:r>
              <w:rPr/>
              <w:t>1,675,207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0" w:type="dxa"/>
            <w:tcBorders/>
            <w:shd w:fill="FFFFFF" w:val="clear"/>
            <w:tcMar>
              <w:bottom w:w="0" w:type="dxa"/>
            </w:tcMar>
            <w:vAlign w:val="center"/>
          </w:tcPr>
          <w:p>
            <w:pPr>
              <w:pStyle w:val="TableContents"/>
              <w:bidi w:val="0"/>
              <w:spacing w:before="0" w:after="283"/>
              <w:jc w:val="center"/>
              <w:rPr/>
            </w:pPr>
            <w:r>
              <w:rPr/>
              <w:t>1,596,205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center"/>
              <w:rPr/>
            </w:pPr>
            <w:r>
              <w:rPr/>
              <w:t>Russell Sarachek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6,996,406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center"/>
              <w:rPr/>
            </w:pPr>
            <w:r>
              <w:rPr/>
              <w:t>139,121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center"/>
              <w:rPr/>
            </w:pPr>
            <w:r>
              <w:rPr/>
              <w:t>1,596,205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70" w:type="dxa"/>
            <w:tcBorders/>
            <w:shd w:fill="FFFFFF" w:val="clear"/>
            <w:tcMar>
              <w:bottom w:w="0" w:type="dxa"/>
            </w:tcMar>
            <w:vAlign w:val="center"/>
          </w:tcPr>
          <w:p>
            <w:pPr>
              <w:pStyle w:val="TableContents"/>
              <w:bidi w:val="0"/>
              <w:spacing w:before="0" w:after="283"/>
              <w:jc w:val="center"/>
              <w:rPr/>
            </w:pPr>
            <w:r>
              <w:rPr/>
              <w:t>Richard Schwartz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6,501,836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center"/>
              <w:rPr/>
            </w:pPr>
            <w:r>
              <w:rPr/>
              <w:t>633,691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0" w:type="dxa"/>
            <w:tcBorders/>
            <w:shd w:fill="FFFFFF" w:val="clear"/>
            <w:tcMar>
              <w:bottom w:w="0" w:type="dxa"/>
            </w:tcMar>
            <w:vAlign w:val="center"/>
          </w:tcPr>
          <w:p>
            <w:pPr>
              <w:pStyle w:val="TableContents"/>
              <w:bidi w:val="0"/>
              <w:spacing w:before="0" w:after="283"/>
              <w:jc w:val="center"/>
              <w:rPr/>
            </w:pPr>
            <w:r>
              <w:rPr/>
              <w:t>1,596,205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center"/>
              <w:rPr/>
            </w:pPr>
            <w:r>
              <w:rPr/>
              <w:t>Thomas McClelland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6,987,070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center"/>
              <w:rPr/>
            </w:pPr>
            <w:r>
              <w:rPr/>
              <w:t>148,457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center"/>
              <w:rPr/>
            </w:pPr>
            <w:r>
              <w:rPr/>
              <w:t>1,596,205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pPr>
            <w:r>
              <w:rPr/>
              <w:t>2.</w:t>
            </w:r>
          </w:p>
        </w:tc>
        <w:tc>
          <w:tcPr>
            <w:tcW w:w="10013" w:type="dxa"/>
            <w:tcBorders/>
            <w:vAlign w:val="center"/>
          </w:tcPr>
          <w:p>
            <w:pPr>
              <w:pStyle w:val="TableContents"/>
              <w:bidi w:val="0"/>
              <w:spacing w:before="0" w:after="283"/>
              <w:jc w:val="left"/>
              <w:rPr/>
            </w:pPr>
            <w:r>
              <w:rPr/>
              <w:t>Ratification of the appointment of Grant Thornton LLP as the Company’s independent registered public accounting firm for the fiscal year ending April 30, 2027:</w:t>
            </w:r>
          </w:p>
        </w:tc>
      </w:tr>
    </w:tbl>
    <w:p>
      <w:pPr>
        <w:pStyle w:val="TextBody"/>
        <w:bidi w:val="0"/>
        <w:spacing w:before="0" w:after="0"/>
        <w:ind w:left="0" w:right="0" w:hanging="0"/>
        <w:jc w:val="both"/>
        <w:rPr>
          <w:caps w:val="false"/>
          <w:smallCaps w:val="false"/>
        </w:rPr>
      </w:pPr>
      <w:r>
        <w:rPr>
          <w:caps w:val="false"/>
          <w:smallCaps w:val="false"/>
        </w:rPr>
        <w:t> </w:t>
      </w:r>
    </w:p>
    <w:tbl>
      <w:tblPr>
        <w:tblW w:w="6245" w:type="dxa"/>
        <w:jc w:val="left"/>
        <w:tblInd w:w="0" w:type="dxa"/>
        <w:tblLayout w:type="fixed"/>
        <w:tblCellMar>
          <w:top w:w="0" w:type="dxa"/>
          <w:left w:w="0" w:type="dxa"/>
          <w:bottom w:w="28" w:type="dxa"/>
          <w:right w:w="0" w:type="dxa"/>
        </w:tblCellMar>
      </w:tblPr>
      <w:tblGrid>
        <w:gridCol w:w="995"/>
        <w:gridCol w:w="60"/>
        <w:gridCol w:w="60"/>
        <w:gridCol w:w="1130"/>
        <w:gridCol w:w="60"/>
        <w:gridCol w:w="60"/>
        <w:gridCol w:w="1115"/>
        <w:gridCol w:w="60"/>
        <w:gridCol w:w="60"/>
        <w:gridCol w:w="2570"/>
        <w:gridCol w:w="75"/>
      </w:tblGrid>
      <w:tr>
        <w:trPr/>
        <w:tc>
          <w:tcPr>
            <w:tcW w:w="995"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30" w:type="dxa"/>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15" w:type="dxa"/>
            <w:tcBorders>
              <w:bottom w:val="single" w:sz="8"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570" w:type="dxa"/>
            <w:tcBorders>
              <w:bottom w:val="single" w:sz="8" w:space="0" w:color="000000"/>
            </w:tcBorders>
            <w:vAlign w:val="center"/>
          </w:tcPr>
          <w:p>
            <w:pPr>
              <w:pStyle w:val="TableContents"/>
              <w:bidi w:val="0"/>
              <w:spacing w:before="0" w:after="283"/>
              <w:jc w:val="center"/>
              <w:rPr>
                <w:b/>
              </w:rPr>
            </w:pPr>
            <w:r>
              <w:rPr>
                <w:b/>
              </w:rPr>
              <w:t>BROKER NON-VOTES</w:t>
            </w:r>
          </w:p>
        </w:tc>
        <w:tc>
          <w:tcPr>
            <w:tcW w:w="75" w:type="dxa"/>
            <w:tcBorders/>
            <w:tcMar>
              <w:bottom w:w="0" w:type="dxa"/>
            </w:tcMar>
            <w:vAlign w:val="center"/>
          </w:tcPr>
          <w:p>
            <w:pPr>
              <w:pStyle w:val="TableContents"/>
              <w:bidi w:val="0"/>
              <w:spacing w:before="0" w:after="283"/>
              <w:jc w:val="center"/>
              <w:rPr/>
            </w:pPr>
            <w:r>
              <w:rPr/>
              <w:t> </w:t>
            </w:r>
          </w:p>
        </w:tc>
      </w:tr>
      <w:tr>
        <w:trPr/>
        <w:tc>
          <w:tcPr>
            <w:tcW w:w="995" w:type="dxa"/>
            <w:tcBorders/>
            <w:shd w:fill="CCEEFF" w:val="clear"/>
            <w:tcMar>
              <w:bottom w:w="0" w:type="dxa"/>
            </w:tcMar>
            <w:vAlign w:val="center"/>
          </w:tcPr>
          <w:p>
            <w:pPr>
              <w:pStyle w:val="TableContents"/>
              <w:bidi w:val="0"/>
              <w:spacing w:before="0" w:after="283"/>
              <w:jc w:val="center"/>
              <w:rPr/>
            </w:pPr>
            <w:r>
              <w:rPr/>
              <w:t>8,711,761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30" w:type="dxa"/>
            <w:tcBorders/>
            <w:shd w:fill="CCEEFF" w:val="clear"/>
            <w:tcMar>
              <w:bottom w:w="0" w:type="dxa"/>
            </w:tcMar>
            <w:vAlign w:val="center"/>
          </w:tcPr>
          <w:p>
            <w:pPr>
              <w:pStyle w:val="TableContents"/>
              <w:bidi w:val="0"/>
              <w:spacing w:before="0" w:after="283"/>
              <w:jc w:val="center"/>
              <w:rPr/>
            </w:pPr>
            <w:r>
              <w:rPr/>
              <w:t>14,624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15" w:type="dxa"/>
            <w:tcBorders/>
            <w:shd w:fill="CCEEFF" w:val="clear"/>
            <w:tcMar>
              <w:bottom w:w="0" w:type="dxa"/>
            </w:tcMar>
            <w:vAlign w:val="center"/>
          </w:tcPr>
          <w:p>
            <w:pPr>
              <w:pStyle w:val="TableContents"/>
              <w:bidi w:val="0"/>
              <w:spacing w:before="0" w:after="283"/>
              <w:jc w:val="center"/>
              <w:rPr/>
            </w:pPr>
            <w:r>
              <w:rPr/>
              <w:t>5,347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570" w:type="dxa"/>
            <w:tcBorders/>
            <w:shd w:fill="CCEEFF" w:val="clear"/>
            <w:tcMar>
              <w:bottom w:w="0" w:type="dxa"/>
            </w:tcMar>
            <w:vAlign w:val="center"/>
          </w:tcPr>
          <w:p>
            <w:pPr>
              <w:pStyle w:val="TableContents"/>
              <w:bidi w:val="0"/>
              <w:spacing w:before="0" w:after="283"/>
              <w:jc w:val="center"/>
              <w:rPr/>
            </w:pPr>
            <w:r>
              <w:rPr/>
              <w:t>0</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43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pPr>
            <w:r>
              <w:rPr/>
              <w:t>3.</w:t>
            </w:r>
          </w:p>
        </w:tc>
        <w:tc>
          <w:tcPr>
            <w:tcW w:w="9993" w:type="dxa"/>
            <w:tcBorders/>
            <w:vAlign w:val="center"/>
          </w:tcPr>
          <w:p>
            <w:pPr>
              <w:pStyle w:val="TableContents"/>
              <w:bidi w:val="0"/>
              <w:spacing w:before="0" w:after="283"/>
              <w:jc w:val="left"/>
              <w:rPr/>
            </w:pPr>
            <w:r>
              <w:rPr/>
              <w:t>Approval of the non-binding advisory vote on the compensation of the Company’s named executive officers:</w:t>
            </w:r>
          </w:p>
        </w:tc>
      </w:tr>
    </w:tbl>
    <w:p>
      <w:pPr>
        <w:pStyle w:val="TextBody"/>
        <w:bidi w:val="0"/>
        <w:spacing w:before="0" w:after="0"/>
        <w:ind w:left="0" w:right="0" w:hanging="0"/>
        <w:jc w:val="both"/>
        <w:rPr>
          <w:caps w:val="false"/>
          <w:smallCaps w:val="false"/>
        </w:rPr>
      </w:pPr>
      <w:r>
        <w:rPr>
          <w:caps w:val="false"/>
          <w:smallCaps w:val="false"/>
        </w:rPr>
        <w:t> </w:t>
      </w:r>
    </w:p>
    <w:tbl>
      <w:tblPr>
        <w:tblW w:w="6245" w:type="dxa"/>
        <w:jc w:val="left"/>
        <w:tblInd w:w="0" w:type="dxa"/>
        <w:tblLayout w:type="fixed"/>
        <w:tblCellMar>
          <w:top w:w="0" w:type="dxa"/>
          <w:left w:w="0" w:type="dxa"/>
          <w:bottom w:w="28" w:type="dxa"/>
          <w:right w:w="0" w:type="dxa"/>
        </w:tblCellMar>
      </w:tblPr>
      <w:tblGrid>
        <w:gridCol w:w="995"/>
        <w:gridCol w:w="60"/>
        <w:gridCol w:w="60"/>
        <w:gridCol w:w="1130"/>
        <w:gridCol w:w="60"/>
        <w:gridCol w:w="60"/>
        <w:gridCol w:w="1115"/>
        <w:gridCol w:w="60"/>
        <w:gridCol w:w="60"/>
        <w:gridCol w:w="2570"/>
        <w:gridCol w:w="75"/>
      </w:tblGrid>
      <w:tr>
        <w:trPr/>
        <w:tc>
          <w:tcPr>
            <w:tcW w:w="995"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30" w:type="dxa"/>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15" w:type="dxa"/>
            <w:tcBorders>
              <w:bottom w:val="single" w:sz="8"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570" w:type="dxa"/>
            <w:tcBorders>
              <w:bottom w:val="single" w:sz="8" w:space="0" w:color="000000"/>
            </w:tcBorders>
            <w:vAlign w:val="center"/>
          </w:tcPr>
          <w:p>
            <w:pPr>
              <w:pStyle w:val="TableContents"/>
              <w:bidi w:val="0"/>
              <w:spacing w:before="0" w:after="283"/>
              <w:jc w:val="center"/>
              <w:rPr>
                <w:b/>
              </w:rPr>
            </w:pPr>
            <w:r>
              <w:rPr>
                <w:b/>
              </w:rPr>
              <w:t>BROKER NON-VOTES</w:t>
            </w:r>
          </w:p>
        </w:tc>
        <w:tc>
          <w:tcPr>
            <w:tcW w:w="75" w:type="dxa"/>
            <w:tcBorders/>
            <w:tcMar>
              <w:bottom w:w="0" w:type="dxa"/>
            </w:tcMar>
            <w:vAlign w:val="center"/>
          </w:tcPr>
          <w:p>
            <w:pPr>
              <w:pStyle w:val="TableContents"/>
              <w:bidi w:val="0"/>
              <w:spacing w:before="0" w:after="283"/>
              <w:jc w:val="center"/>
              <w:rPr/>
            </w:pPr>
            <w:r>
              <w:rPr/>
              <w:t> </w:t>
            </w:r>
          </w:p>
        </w:tc>
      </w:tr>
      <w:tr>
        <w:trPr/>
        <w:tc>
          <w:tcPr>
            <w:tcW w:w="995" w:type="dxa"/>
            <w:tcBorders/>
            <w:shd w:fill="CCEEFF" w:val="clear"/>
            <w:tcMar>
              <w:bottom w:w="0" w:type="dxa"/>
            </w:tcMar>
            <w:vAlign w:val="center"/>
          </w:tcPr>
          <w:p>
            <w:pPr>
              <w:pStyle w:val="TableContents"/>
              <w:bidi w:val="0"/>
              <w:spacing w:before="0" w:after="283"/>
              <w:jc w:val="center"/>
              <w:rPr/>
            </w:pPr>
            <w:r>
              <w:rPr/>
              <w:t>6,855,209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30" w:type="dxa"/>
            <w:tcBorders/>
            <w:shd w:fill="CCEEFF" w:val="clear"/>
            <w:tcMar>
              <w:bottom w:w="0" w:type="dxa"/>
            </w:tcMar>
            <w:vAlign w:val="center"/>
          </w:tcPr>
          <w:p>
            <w:pPr>
              <w:pStyle w:val="TableContents"/>
              <w:bidi w:val="0"/>
              <w:spacing w:before="0" w:after="283"/>
              <w:jc w:val="center"/>
              <w:rPr/>
            </w:pPr>
            <w:r>
              <w:rPr/>
              <w:t>160,652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15" w:type="dxa"/>
            <w:tcBorders/>
            <w:shd w:fill="CCEEFF" w:val="clear"/>
            <w:tcMar>
              <w:bottom w:w="0" w:type="dxa"/>
            </w:tcMar>
            <w:vAlign w:val="center"/>
          </w:tcPr>
          <w:p>
            <w:pPr>
              <w:pStyle w:val="TableContents"/>
              <w:bidi w:val="0"/>
              <w:spacing w:before="0" w:after="283"/>
              <w:jc w:val="center"/>
              <w:rPr/>
            </w:pPr>
            <w:r>
              <w:rPr/>
              <w:t>119,666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570" w:type="dxa"/>
            <w:tcBorders/>
            <w:shd w:fill="CCEEFF" w:val="clear"/>
            <w:tcMar>
              <w:bottom w:w="0" w:type="dxa"/>
            </w:tcMar>
            <w:vAlign w:val="center"/>
          </w:tcPr>
          <w:p>
            <w:pPr>
              <w:pStyle w:val="TableContents"/>
              <w:bidi w:val="0"/>
              <w:spacing w:before="0" w:after="283"/>
              <w:jc w:val="center"/>
              <w:rPr/>
            </w:pPr>
            <w:r>
              <w:rPr/>
              <w:t>1,596,205</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 w:right="144"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320"/>
        <w:gridCol w:w="3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Steven Bernstein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Bernstein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594</Words>
  <Characters>3330</Characters>
  <CharactersWithSpaces>3954</CharactersWithSpaces>
  <Paragraphs>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