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860" w:hanging="21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860" w:hanging="21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p>
      <w:pPr>
        <w:ind w:left="3140"/>
        <w:spacing w:after="0"/>
        <w:tabs>
          <w:tab w:leader="none" w:pos="65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3374390</wp:posOffset>
            </wp:positionH>
            <wp:positionV relativeFrom="paragraph">
              <wp:posOffset>-7620</wp:posOffset>
            </wp:positionV>
            <wp:extent cx="1602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20"/>
        </w:trPr>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80" w:type="dxa"/>
            <w:vAlign w:val="bottom"/>
          </w:tcPr>
          <w:p>
            <w:pPr>
              <w:spacing w:after="0"/>
              <w:rPr>
                <w:sz w:val="20"/>
                <w:szCs w:val="20"/>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80" w:type="dxa"/>
            <w:vAlign w:val="bottom"/>
          </w:tcPr>
          <w:p>
            <w:pPr>
              <w:spacing w:after="0"/>
              <w:rPr>
                <w:sz w:val="24"/>
                <w:szCs w:val="24"/>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26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4720" w:type="dxa"/>
            <w:vAlign w:val="bottom"/>
            <w:gridSpan w:val="3"/>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6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6"/>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0"/>
        </w:trPr>
        <w:tc>
          <w:tcPr>
            <w:tcW w:w="44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2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FEIM</w:t>
            </w:r>
          </w:p>
        </w:tc>
        <w:tc>
          <w:tcPr>
            <w:tcW w:w="43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1" w:right="47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380" w:space="720"/>
            <w:col w:w="4860"/>
          </w:cols>
          <w:pgMar w:left="460" w:top="371" w:right="47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December 11, 2023 – 9,415,417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1"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140" w:type="dxa"/>
            <w:vAlign w:val="bottom"/>
            <w:gridSpan w:val="8"/>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40" w:type="dxa"/>
            <w:vAlign w:val="bottom"/>
            <w:gridSpan w:val="8"/>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10160" w:type="dxa"/>
            <w:vAlign w:val="bottom"/>
            <w:gridSpan w:val="17"/>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 Financial Statements:</w:t>
            </w:r>
          </w:p>
        </w:tc>
        <w:tc>
          <w:tcPr>
            <w:tcW w:w="750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 October 31, 2023 (unaudited) and April 30, 2023</w:t>
            </w:r>
          </w:p>
        </w:tc>
        <w:tc>
          <w:tcPr>
            <w:tcW w:w="270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 – Three and Six Months Ended October</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31, 2023 and 2022 (unaudited)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Six Months Ended October 31, 2023 and 2022 (unaudited)</w:t>
            </w:r>
          </w:p>
        </w:tc>
        <w:tc>
          <w:tcPr>
            <w:tcW w:w="13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 Three and Six Months Ended October 31, 2023 and</w:t>
            </w:r>
          </w:p>
        </w:tc>
        <w:tc>
          <w:tcPr>
            <w:tcW w:w="220" w:type="dxa"/>
            <w:vAlign w:val="bottom"/>
            <w:gridSpan w:val="2"/>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340" w:type="dxa"/>
            <w:vAlign w:val="bottom"/>
            <w:gridSpan w:val="15"/>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2022 (unaudited)</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340" w:type="dxa"/>
            <w:vAlign w:val="bottom"/>
            <w:gridSpan w:val="15"/>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14-19</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70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260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4 - Controls and Procedures</w:t>
            </w:r>
          </w:p>
        </w:tc>
        <w:tc>
          <w:tcPr>
            <w:tcW w:w="2580" w:type="dxa"/>
            <w:vAlign w:val="bottom"/>
            <w:tcBorders>
              <w:top w:val="single" w:sz="8" w:color="0000EE"/>
            </w:tcBorders>
            <w:gridSpan w:val="2"/>
          </w:tcPr>
          <w:p>
            <w:pPr>
              <w:spacing w:after="0"/>
              <w:rPr>
                <w:sz w:val="24"/>
                <w:szCs w:val="24"/>
                <w:color w:val="auto"/>
              </w:rPr>
            </w:pPr>
          </w:p>
        </w:tc>
        <w:tc>
          <w:tcPr>
            <w:tcW w:w="470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453"/>
        </w:trPr>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Item 1A – Risk Factors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6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6 - Exhibits</w:t>
            </w:r>
          </w:p>
        </w:tc>
        <w:tc>
          <w:tcPr>
            <w:tcW w:w="8000" w:type="dxa"/>
            <w:vAlign w:val="bottom"/>
            <w:gridSpan w:val="11"/>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2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6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vMerge w:val="restart"/>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$111 at October 31, 2023 and April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30, 2023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74,729</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74,496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provision accrual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9,404 shares issued and 9,403 shares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outstanding at October 31, 2023; 9,374 shares issued and 9,373 shares outstanding at April 30, 2023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cost (1 share at October 31, 2023 and April 30, 2023)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74,729</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09"/>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(expense) income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(2,314)</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460" w:top="121"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income (loss) per common share:</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Basic and diluted income (loss) per share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(0.25)</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-736600</wp:posOffset>
            </wp:positionV>
            <wp:extent cx="696087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-436245</wp:posOffset>
            </wp:positionV>
            <wp:extent cx="696087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-162560</wp:posOffset>
            </wp:positionV>
            <wp:extent cx="696087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140"/>
          </w:cols>
          <w:pgMar w:left="460" w:top="121" w:right="47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53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(2,314)</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 reclassification,</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of tax</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gridSpan w:val="2"/>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 net income</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 net of tax</w:t>
            </w: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unrealized loss on marketable securities, net of tax</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(2,879)</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360" w:type="dxa"/>
            <w:vAlign w:val="bottom"/>
            <w:gridSpan w:val="9"/>
          </w:tcPr>
          <w:p>
            <w:pPr>
              <w:jc w:val="center"/>
              <w:ind w:left="247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14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09"/>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plant, and equipment, and other assets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Borders>
              <w:right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refunded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Months Ended October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2023</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9,373,776</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(25,621)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July 31, 2023</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9,390,789</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49,360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(23,579)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12,885</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9,404,424</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49,636</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(22,782)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90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Treasury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(at cost)</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2022</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9,298,178</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(20,120)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July 31,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9,314,886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58,036</w:t>
            </w:r>
          </w:p>
        </w:tc>
        <w:tc>
          <w:tcPr>
            <w:tcW w:w="12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(23,237)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of stock to 401(k) plan</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18,632</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(2,314)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2022</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9,334,268</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(25,551)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October 31, 2023 and the results of its operations, changes in stockholders’ equity for the three and six months ended October 31, 2023 and 2022, and cash flows for the six months ended October 31, 2023 and 2022. The April 30, 2023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2023, filed on July 27, 2023 with the Securities and Exchange Commission (the “Form 10-K”). The results of operations for such interim periods are not necessarily indicative of the operating results for the full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(LOSS)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income (loss) per share (“EPS”) for the three and six months ended October 31, 2023 and 2022, respectively, were as follows:</w:t>
      </w:r>
    </w:p>
    <w:p>
      <w:pPr>
        <w:sectPr>
          <w:pgSz w:w="11900" w:h="16838" w:orient="portrait"/>
          <w:cols w:equalWidth="0" w:num="1">
            <w:col w:w="10960"/>
          </w:cols>
          <w:pgMar w:left="46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Periods ended October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0" w:type="dxa"/>
            <w:vAlign w:val="bottom"/>
            <w:tcBorders>
              <w:top w:val="single" w:sz="8" w:color="auto"/>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Borders>
              <w:top w:val="single" w:sz="8" w:color="auto"/>
              <w:bottom w:val="single" w:sz="8" w:color="auto"/>
            </w:tcBorders>
          </w:tcPr>
          <w:p>
            <w:pPr>
              <w:spacing w:after="0"/>
              <w:rPr>
                <w:sz w:val="18"/>
                <w:szCs w:val="18"/>
                <w:color w:val="auto"/>
              </w:rPr>
            </w:pPr>
          </w:p>
        </w:tc>
      </w:tr>
      <w:tr>
        <w:trPr>
          <w:trHeight w:val="210"/>
        </w:trPr>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407"/>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9,399,052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9,326,347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9,391,714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9,317,143</w:t>
            </w:r>
          </w:p>
        </w:tc>
      </w:tr>
      <w:tr>
        <w:trPr>
          <w:trHeight w:val="234"/>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9,399,052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9,326,347</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9,391,714</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9,317,143</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-445135</wp:posOffset>
            </wp:positionV>
            <wp:extent cx="696087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-162560</wp:posOffset>
            </wp:positionV>
            <wp:extent cx="696087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120" w:space="720"/>
            <w:col w:w="5120"/>
          </w:cols>
          <w:pgMar w:left="460" w:top="121" w:right="479" w:bottom="1440" w:gutter="0" w:footer="0" w:header="0"/>
          <w:type w:val="continuous"/>
        </w:sectPr>
      </w:pPr>
    </w:p>
    <w:p>
      <w:pPr>
        <w:jc w:val="both"/>
        <w:ind w:firstLine="646"/>
        <w:spacing w:after="0" w:line="266"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October 31, 2023 and 2022, dilutive securities are excluded from the calculation of EPS since the inclusion of such shares would be antidilutive. The exercisable shares excluded for the three and six months ended October 31, 2023 was 97,000 shares. The exercisable shares excluded for the three and six months ended October 31, 2022 was 243,625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(LIABILITIES) ASSETS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October 31, 2023 and April 30, 2023, contract assets and contract liabilities, consisted of the following (in thousands):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Contract assets represent revenue recognized on long-term contracts that have not been billed at the balance sheet dates, and contract liabilities represent a liability for amounts billed in excess of the revenue recognized. Amounts are billed to customers pursuant to contract terms. In general, the recorded amounts will be billed and collected or revenue recognized within twelve months of the balance sheet dates. Revenue on these long-term contracts are accounted for over time using the percentage-of-completion (“POC”) method. Fluctuations of contract assets and contract liabilities are due to the timing of funding, amounts billed and revenue recorded. Contract assets increased $2.5 million during the six months ended October 31, 2023, primarily due to revenue recognized during the six months ended October 31, 2023 for which we have not yet billed our customers. Contract liabilities decreased $2.2 million during the six months ended October 31, 2023, primarily due to revenue recognized on these performance obligations. During the three and six months ended October 31, 2023, we recognized $4.4 million and $8.1 million, respectively, of our contract liabilities at April 30, 2023 as revenue. During the three and six months ended October 31, 2022, we recognized $1.9 million and $4.4 million, respectively, of our contract liabilities at April 30, 2022 as revenue. During the three and six months ended October 31, 2023, revenue recognized under POC contracts was approximately $12.3 million and $24.0 million, respectively. During the three and six months ended October 31, 2022, revenue recognized under POC contracts was approximately $8.7 million and $16.6 million, respectively. If contract losses are anticipated, a loss provision is recorded for the full amount of such losses when they are determinable. Total contract losses, recorded in cost of revenue, for the three and six months ended October 31, 2023 were approximately $1.4 million and $1.5 million, respectively. Total contract losses, recorded in cost of revenue, for the three and six months ended October 31, 2022 were approximately $0.7 million and $2.0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EMPLOYEE BENEFIT PLANS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October 31, 2023, the Company made contributions of 12,885 and 29,898 shares, respectively, of its common stock to the Company’s profit-sharing plan and trust under Section 401(k) of the Internal Revenue Code. Such contributions are in accordance with the Company’s discretionary match of employee voluntary contributions to this plan.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compensation expense charged to selling and administrative expenses during the three and six months ended October 31, 2023, was approximately $109,000 and $217,000, respectively. Payments made related to deferred compensation, inclusive of approximately $29,000 and $60,000, respectively, of interest expense, were approximately $175,000 and $361,000 for the same periods. Deferred compensation expense charged to selling and administrative expenses during the three and six months ended October 31, 2022, was approximately $109,000 and $218,000, respectively. Payments made related to deferred compensation, inclusive of approximately $18,000 and $36,000, respectively, of interest expense were approximately $159,000 and $320,000 for the same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October 31, 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8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facilities and Research and Development (“R&amp;D”) facilities which expire at various times through 2029 and are operating leases. Contractual arrangements are evaluated at inception to determine if the agreement contains a lease.</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New York lease. </w:t>
      </w:r>
      <w:r>
        <w:rPr>
          <w:rFonts w:ascii="Times New Roman" w:cs="Times New Roman" w:eastAsia="Times New Roman" w:hAnsi="Times New Roman"/>
          <w:sz w:val="18"/>
          <w:szCs w:val="18"/>
          <w:color w:val="auto"/>
        </w:rPr>
        <w:t>In February 2019, the Company entered into an agreement to lease a building to be used as a corporate headquarters office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facility in Mitchell Field, NY (“New York lease”). The New York lease expires September 30, 2029 and contains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October 31, 2023,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California lease</w:t>
      </w:r>
      <w:r>
        <w:rPr>
          <w:rFonts w:ascii="Times New Roman" w:cs="Times New Roman" w:eastAsia="Times New Roman" w:hAnsi="Times New Roman"/>
          <w:sz w:val="18"/>
          <w:szCs w:val="18"/>
          <w:color w:val="auto"/>
        </w:rPr>
        <w:t>. In October 2017, the Company entered into an agreement to lease a building to be used as an office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Garden Grove, CA (“California lease”). The California lease expires January 31, 2025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October 31, 2023,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New Jersey lease</w:t>
      </w:r>
      <w:r>
        <w:rPr>
          <w:rFonts w:ascii="Times New Roman" w:cs="Times New Roman" w:eastAsia="Times New Roman" w:hAnsi="Times New Roman"/>
          <w:sz w:val="18"/>
          <w:szCs w:val="18"/>
          <w:color w:val="auto"/>
        </w:rPr>
        <w:t>. In February 2022, the Company entered into an agreement to lease a building to be used as an office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Northvale, NJ (“New Jersey lease”). The New Jersey lease expires January 31, 2025 and contains renewal options, early termination, rent abatement, and escalation clauses that are factored into our determination of lease payments when appropriate. We include options to extend or terminate leases in the ROU operating lease asset and liability when it is reasonably certain we will exercise these options. As of October 31, 2023,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12 months or less to be recorded on a straight-line basis over the lease term without being recognized on the consolidated balance sheets.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ROU assets and liabilities recorded on the respective consolidated balance sheets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20"/>
                <w:szCs w:val="20"/>
                <w:color w:val="auto"/>
              </w:rPr>
            </w:pPr>
          </w:p>
        </w:tc>
        <w:tc>
          <w:tcPr>
            <w:tcW w:w="406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0" w:type="dxa"/>
            <w:vAlign w:val="bottom"/>
          </w:tcPr>
          <w:p>
            <w:pPr>
              <w:spacing w:after="0"/>
              <w:rPr>
                <w:sz w:val="1"/>
                <w:szCs w:val="1"/>
                <w:color w:val="auto"/>
              </w:rPr>
            </w:pPr>
          </w:p>
        </w:tc>
      </w:tr>
      <w:tr>
        <w:trPr>
          <w:trHeight w:val="209"/>
        </w:trPr>
        <w:tc>
          <w:tcPr>
            <w:tcW w:w="3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6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$466,000 and $921,000 for the three and six months ended October 31, 2023, respectively, the majority of which is included in cost of revenues and the remaining amount in selling and administrative expenses on the unaudited condensed consolidated statements of operations. Total operating lease expense was $481,000 and $962,000 for the three and six months ended October 31, 2022, respectively, the majority of which is included in cost of revenues and the remaining amount in selling and administrative expenses on the unaudited condensed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four fiscal years and total of the remaining fiscal years to the operating lease liabilities recorded on the unaudited condensed consolidated balance sheet as of October 31, 2023:</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76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Fiscal Year Ending April 30,</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76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4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2023 and 2022, the weighted-average remaining lease term for all operating leases was 5.27 years and 5.97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October 31, 2023 and 2022, was 6.28% and 6.19%,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100" w:right="20" w:hanging="679"/>
        <w:spacing w:after="0" w:line="257"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Times New Roman" w:cs="Times New Roman" w:eastAsia="Times New Roman" w:hAnsi="Times New Roman"/>
          <w:sz w:val="18"/>
          <w:szCs w:val="18"/>
          <w:color w:val="auto"/>
        </w:rPr>
      </w:pPr>
    </w:p>
    <w:p>
      <w:pPr>
        <w:ind w:left="11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81" w:lineRule="exact"/>
        <w:rPr>
          <w:rFonts w:ascii="Times New Roman" w:cs="Times New Roman" w:eastAsia="Times New Roman" w:hAnsi="Times New Roman"/>
          <w:sz w:val="18"/>
          <w:szCs w:val="18"/>
          <w:color w:val="auto"/>
        </w:rPr>
      </w:pPr>
    </w:p>
    <w:p>
      <w:pPr>
        <w:jc w:val="both"/>
        <w:ind w:left="1100" w:right="20" w:hanging="679"/>
        <w:spacing w:after="0" w:line="261"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Summary of Accounting Policies” to the consolidated financial statements included in the Form 10-K. The Company evaluates the performance of its segments and allocates resources to them based on operating profit (loss), which is defined as income before investment (expense) income, interest expense, other income (expense), and taxes. All acquired assets, including intangible assets, are included in the assets of the applicable reporting segment.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condensed consolidated statements of operations or the consolidated balance sheets for each of the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2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profit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Identifiable assets: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22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37,315</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74,729</w:t>
            </w:r>
          </w:p>
        </w:tc>
        <w:tc>
          <w:tcPr>
            <w:tcW w:w="120" w:type="dxa"/>
            <w:vAlign w:val="bottom"/>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74,496</w:t>
            </w:r>
          </w:p>
        </w:tc>
        <w:tc>
          <w:tcPr>
            <w:tcW w:w="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left w:val="single" w:sz="8" w:color="CCEEFF"/>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Total revenue recognized over time as POC and Passage of Title (“POT”) was approximately $12.3 million and $1.3 million, respectively, of the $13.6 million reported for the three months ended October 31, 2023. Total revenue recognized over time as POC and POT was approximately $24.0 million and $2.0 million, respectively, of the $26.0 million reported for the six months ended October 31, 2023. Total revenue recognized over time as POC and POT was approximately $8.7 million and $0.3 million, respectively, of the $9.0 million reported for the three months ended October 31, 2022. Total revenue recognized over time as POC and POT was approximately $16.6 million and $0.5 million, respectively, of the $17.2 million reported for the six months ended October 31, 2022. The amounts by segment and product line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POT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r>
      <w:tr>
        <w:trPr>
          <w:trHeight w:val="238"/>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r>
      <w:tr>
        <w:trPr>
          <w:trHeight w:val="20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0"/>
        </w:trPr>
        <w:tc>
          <w:tcPr>
            <w:tcW w:w="20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00" w:type="dxa"/>
            <w:vAlign w:val="bottom"/>
          </w:tcPr>
          <w:p>
            <w:pPr>
              <w:spacing w:after="0"/>
              <w:rPr>
                <w:sz w:val="18"/>
                <w:szCs w:val="18"/>
                <w:color w:val="auto"/>
              </w:rPr>
            </w:pPr>
          </w:p>
        </w:tc>
      </w:tr>
      <w:tr>
        <w:trPr>
          <w:trHeight w:val="20"/>
        </w:trPr>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70"/>
              <w:spacing w:after="0" w:line="201" w:lineRule="exact"/>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POT</w:t>
            </w:r>
          </w:p>
        </w:tc>
        <w:tc>
          <w:tcPr>
            <w:tcW w:w="140" w:type="dxa"/>
            <w:vAlign w:val="bottom"/>
          </w:tcPr>
          <w:p>
            <w:pPr>
              <w:spacing w:after="0"/>
              <w:rPr>
                <w:sz w:val="17"/>
                <w:szCs w:val="17"/>
                <w:color w:val="auto"/>
              </w:rPr>
            </w:pPr>
          </w:p>
        </w:tc>
        <w:tc>
          <w:tcPr>
            <w:tcW w:w="940" w:type="dxa"/>
            <w:vAlign w:val="bottom"/>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POC</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 held Russian company, which manufactures high precision quartz resonators and crystal oscillators. The Company has also licensed certain technology to Morion. During the three and six months ended October 31, 2023, the Company did not acquire any product from Morion. During the three and six months ended October 31, 2022, the Company acquired product from Morion in the aggregate amount of approximately $31,000 for both periods.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accounts for its investment in Morion on the cost basis. Morion is a less than wholly 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current Russia-Ukraine conflict and resulting sanctions, the future status of the Company’s equity investment in Morion is uncertain. In response to these conditions, in connection with the preparation of the audited financial statements included in the Form 10-K for the fiscal year ended April 30, 2022, as amended, the Company impaired its investment in Morion in full. The likelihood of future sales to, purchases from, and dividend payments from Morion is remote.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RECENT ACCOUNTING PRONOUNCEMENTS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expands on the required disclosure of incremental segment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guidance is effective for fiscal years beginning after December 15, 2023, and interim periods within fiscal years beginning after December 15, 2024, with early adoption permitted. The Company expects the new standard to have an immaterial effect on its consolidated financial statements when adopted in fiscal year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CREDIT FACILITY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October 31, 2023, the Company neither had any borrowings nor any borrowing capacity pursuant to a credit facility. As of April 30, 2023, the Company retired its advisory credit arrangement with UBS Bank USA. Prior to retiring the advisory credit arrangement, no borrowings were made during fiscal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DEFERRED INCOME TAXES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October 31, 2023, and April 30, 2023,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including the U.S government,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Part I, Item 1A (Risk Factors) of the Company’s Annual Report on Form 10-K for the fiscal year ended April 30, 2023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and the valuation of inventory. Both of these areas require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six months ended October 31, 2023.</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Revenues are reported in operating results predominantly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and six months ended October 31, 2023 and 2022, respectively, the percentage of consolidated revenues represented by certain items in the Company’s condensed consolidated statements of operations or notes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68.3%</w:t>
            </w:r>
          </w:p>
        </w:tc>
        <w:tc>
          <w:tcPr>
            <w:tcW w:w="6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72.2%</w:t>
            </w: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100.0</w:t>
            </w: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96.1</w:t>
            </w: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right"/>
              <w:ind w:right="136"/>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18"/>
                <w:szCs w:val="18"/>
                <w:color w:val="auto"/>
              </w:rPr>
            </w:pPr>
          </w:p>
        </w:tc>
        <w:tc>
          <w:tcPr>
            <w:tcW w:w="7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tcPr>
          <w:p>
            <w:pPr>
              <w:spacing w:after="0"/>
              <w:rPr>
                <w:sz w:val="18"/>
                <w:szCs w:val="18"/>
                <w:color w:val="auto"/>
              </w:rPr>
            </w:pPr>
          </w:p>
        </w:tc>
        <w:tc>
          <w:tcPr>
            <w:tcW w:w="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8"/>
              </w:rPr>
              <w:t>10.9%</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5"/>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1,591</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3,195</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140" w:type="dxa"/>
            <w:vAlign w:val="bottom"/>
          </w:tcPr>
          <w:p>
            <w:pPr>
              <w:spacing w:after="0"/>
              <w:rPr>
                <w:sz w:val="18"/>
                <w:szCs w:val="18"/>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4,626</w:t>
            </w:r>
          </w:p>
        </w:tc>
        <w:tc>
          <w:tcPr>
            <w:tcW w:w="14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October 31, 2023, revenues from commercial and U.S. Government communication satellite programs accounted for approximately 34% of consolidated revenues compared to approximately 48% of consolidated revenues during this same period in the prior fiscal year. Revenues are recognized primarily over time under the POC method. Revenues from the satellite market are recorded in the FEI-NY segment. Revenues from non-space U.S. Government/Department of Defense (“DOD”) customers, which are recorded in both the FEI-NY and FEI-Zyfer segments, accounted for approximately 60% of consolidated revenues for the three months ended October, 31, 2023 compared to approximately 44% of consolidated revenue during the same period in the prior fiscal year. Other commercial and industrial revenues for the three months ended October 31, 2023 accounted for approximately 5% of consolidated revenue compared to 8% in the same period of the prior fiscal year. The significant increase in revenue for this quarter, compared to the same quarter in the previous fiscal year, was in both segments and primarily related to contract awards coming in, resolution of technical problems from the previous fiscal year, and improvements made by management.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October 31, 2023, revenues from commercial and U.S. Government communication satellite programs accounted for approximately 37% of consolidated revenues compared to approximately 46% of consolidated revenues during this same period in the prior fiscal year. Revenues are recognized primarily over time under the POC method. Revenunes from the satellite market are recorded in the FEI-NY segment. Revenues from non-space U.S. Government/DOD customers, which are recorded in both the FEI-NY and FEI-Zyfer segments, accounted for approximately 58% of consolidated revenues for the six months ended October, 31, 2023 compared to approximately 47% of consolidated revenue during the same period in the prior fiscal year. Other commercial and industrial revenues for the six months ended October 31, 2023 accounted for approximately 5% of consolidated revenue compared to 8% in the same period of the prior fiscal year. The significant increase in revenue for this period, compared to the same period in the previous fiscal year, was in both segments and primarily related to contract awards coming in, resolution of technical problems from the previous fiscal year, and improvements made by management.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0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40" w:type="dxa"/>
            <w:vAlign w:val="bottom"/>
            <w:gridSpan w:val="6"/>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3,980</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1,137.1%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8,853</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2,566.1%</w:t>
            </w:r>
          </w:p>
        </w:tc>
      </w:tr>
      <w:tr>
        <w:trPr>
          <w:trHeight w:val="234"/>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margin rate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October 31, 2023, gross margin (“GM”) and GM Rate increased compared to the same period in the prior fiscal year. The gross margin dollars increased as a direct result of the increase in revenue. The GM Rate increased significantly due to the fact that many of the technical challenges faced in the prior fiscal year have been resolved and, as a result, the related programs are now moving forward and running more efficiently. Previous programs that sustained lower margins due to technical issues are near completion, or have been completed.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3"/>
        </w:trPr>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7"/>
        </w:trPr>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0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8"/>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2,034</w:t>
            </w:r>
          </w:p>
        </w:tc>
        <w:tc>
          <w:tcPr>
            <w:tcW w:w="10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518</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827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31, 2023 and 2022, selling, general, and administrative (“SG&amp;A”) expenses were approximately 19% and 23%, respectively, of consolidated revenues. The percentage of consolidated revenue decreased 4% due to an increase in sales for the three months ended October 31, 2023 as compared to the three months ended October 31, 2022. The increase in SG&amp;A expenses for the three months ended October 31, 2023 as compared to the prior year period was largely due to an increase in professional fees and payroll and associated costs.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October 31, 2023 and 2022 SG&amp;A expenses were approximately 19% and 23%, respectively, of consolidated revenues. The percentage of consolidated revenue decreased 5% due to an increase in sales for the six months ended October 31, 2023 as compared to the six months ended October 31, 2022. The increase in SG&amp;A expenses for the six months ended October 31, 2023 as compared to the prior year period was largely due to an increase in professional fees and payroll and associated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87"/>
        </w:trPr>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gridSpan w:val="4"/>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09"/>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241</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(362)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R&amp;D expenditures represent investments intended to keep the Company’s products at the leading edge of time and frequency technology and enhance future competitiveness. The change in R&amp;D expenditures for the three and six months ended October 31, 2023, was primarily due to a shift of employees between production and development depending upon availability, scheduling and necessity. The Company plans to continue to invest in R&amp;D in the future to keep its products at the state of the 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87"/>
        </w:trPr>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0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8"/>
        </w:trPr>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9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w:t>
            </w: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3,221</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141.1%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8,388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October 31, 2023, operating income increased due to a combination of increased revenue and gross margin, and the effects of certain cost cutting measures instituted by management that began in fiscal year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187"/>
        </w:trPr>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7"/>
          </w:tcPr>
          <w:p>
            <w:pPr>
              <w:jc w:val="right"/>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8"/>
        </w:trPr>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10"/>
        </w:trPr>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191"/>
        </w:trPr>
        <w:tc>
          <w:tcPr>
            <w:tcW w:w="18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Investment (expense)</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234"/>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0"/>
        </w:trPr>
        <w:tc>
          <w:tcPr>
            <w:tcW w:w="18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w:t>
            </w:r>
          </w:p>
        </w:tc>
      </w:tr>
      <w:tr>
        <w:trPr>
          <w:trHeight w:val="20"/>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is derived from various sources. The income can come from reclaiming of metal, refunds, interest on deferred trust assets, or the sale of a fixed asset. Interest expense is related to the deferred compensation payments made to retired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0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40" w:type="dxa"/>
            <w:vAlign w:val="bottom"/>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98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2100" w:type="dxa"/>
            <w:vAlign w:val="bottom"/>
            <w:gridSpan w:val="4"/>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500.0%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r>
      <w:tr>
        <w:trPr>
          <w:trHeight w:val="432"/>
        </w:trPr>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7"/>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620" w:type="dxa"/>
            <w:vAlign w:val="bottom"/>
            <w:gridSpan w:val="8"/>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Effective tax rate on pre-tax book income (loss):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2024 is 0%.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31, 2023, the Company recorded an income tax provision of $6,000 primarily related to state income taxes and discrete income tax provision related to an accrual of interest for unrecognized tax benefits. For the three months ended October 31, 2022, the Company recorded an income tax provision of $1,000.</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2023, the Company recorded an income tax provision of $13,000 primarily related to state income taxes and discrete income tax provision related to an accrual of interest for unrecognized tax benefits. For the six months ended October 31, 2022, the Company recorded an income tax provision of $2,000.</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October 31, 2023 was an income tax provision of 0.7% on pretax income of $0.8 million compared to an income tax provision of 0.0% on pretax loss of $2.3 million in the comparable prior fiscal year period. The effective tax rate for the three months ended October 31, 2023 differs from the U.S. federal statutory rate of 21% primarily due to domestic losses for which the Company is not recognizing an income tax benefit.</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October 31, 2023 was an income tax provision of 0.5% on pretax income of $2.9 million compared to an income tax provision of 0.0% on pretax loss of $5.4 million in the comparable prior fiscal year period. The effective tax rate for the six months ended October 31, 2023 differs from the U.S. federal statutory rate of 21% primarily due to domestic losses for which the Company is not recognizing an income tax benefit.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(the “Act”) was signed into U.S. law on August 16, 2022. The Act includes various tax provisions, including an excise tax on stock repurchases, expanded tax credits for clean energy incentives, and a corporate alternative minimum tax that generally applies to U.S. corporations with average adjusted annual financial statement income over a three-year period in excess of $1 billion. The Company does not expect the Act to materially impact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continue to reflect a strong working capital position of approximately $24.7 million at October 31, 2023 and $21.0 million at April 30, 2023. Included in working capital at October 31, 2023 and April 30, 2023 was $8.7 million and $12.0 million, respectively, of cash and cash equivalents. The Company’s current ratio was 2.0 to 1 at October 31, 2023 compared to 1.8 to 1 as of April 30, 2023.</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October 31, 2023 and 2022 was approximately $2.9 million and $0.5 million, respectively. The increase in net cash used in operating activities in the first six months of fiscal 2024 as compared to the prior fiscal year period was mainly due to operating income, offset by an increase in inventory and a decrease in contract liabilities. For the six months ended October 31, 2023 and 2022, the Company incurred approximately $2.2 million and $1.2 million, respectively, of non-cash operating expenses including amortization of ROU assets, loss provision accrual, depreciation and amortization, inventory net realizable value adjustments, deferred compensation, and accruals for employee benefit programs.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October 31, 2023 and 2022 was approximately $360,000 and $975,000, respectively. During the six months ended October 31, 2023, no marketable securities were sold or redeemed compared to $1.1 million for the same period of fiscal year 2023. During the six months ended October 31, 2023, no marketable securities were purchased compared to $1.4 million for the same period of fiscal year 2023. The Company acquired property, plant, and equipment in the amount of approximately $360,000 and $729,000 for the six month periods ended October 31, 2023 and 2022, respectively.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financing activities for the six months ended October 31, 2023 or the six months ended October 31, 2022.</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 million worth of shares of its common stock when appropriate opportunities arise. As of October 31, 2023, the Company has repurchased approximately $4 million of its common stock out of the $5 million authorization, the majority of which has since been reissued. For the six months ended October 31, 2023 and 2022, there were no repurchases of shares.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October 31, 2023, the Company’s consolidated funded backlog was approximately $50 million compared to $57 million at April 30, 2023, the end of fiscal year 2023. Approximately 75% of this backlog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short-term operating and investment needs through at least December 15, 2024 and its long-term operation and investment needs for the foreseeable future thereafter.</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October 31, 2023, the Company’s disclosure controls and procedures were effective at a reasonable assurance level.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ended October 31, 2023 that has materially affected, or are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4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12"/>
        </w:trPr>
        <w:tc>
          <w:tcPr>
            <w:tcW w:w="580" w:type="dxa"/>
            <w:vAlign w:val="bottom"/>
          </w:tcPr>
          <w:p>
            <w:pPr>
              <w:spacing w:after="0"/>
              <w:rPr>
                <w:sz w:val="24"/>
                <w:szCs w:val="24"/>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r>
      <w:tr>
        <w:trPr>
          <w:trHeight w:val="20"/>
        </w:trPr>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434"/>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October 31,</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2023 formatted in eXtensible Business Reporting Language (XBRL): (i) Cover Page, (ii) Condensed Consolidated Balance</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Sheets,  (iii)  Condensed  Consolidated  Statements  of  Operations  and  Comprehensive  Income  (Loss),  (iv)  Condensed</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Cash Flows, (v) Condensed Consolidated Statements of Changes in Stockholders’ Equity and (vi)</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The instance document does not appear in the Interactive Data File</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Inline XBRL document.</w:t>
            </w:r>
          </w:p>
        </w:tc>
      </w:tr>
      <w:tr>
        <w:trPr>
          <w:trHeight w:val="43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r>
      <w:tr>
        <w:trPr>
          <w:trHeight w:val="432"/>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15, 2023</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-19050</wp:posOffset>
            </wp:positionV>
            <wp:extent cx="235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-7620</wp:posOffset>
            </wp:positionV>
            <wp:extent cx="23831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60" w:top="121" w:right="47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4960" w:type="dxa"/>
            <w:vAlign w:val="bottom"/>
          </w:tcPr>
          <w:p>
            <w:pPr>
              <w:ind w:left="3560"/>
              <w:spacing w:after="0"/>
              <w:rPr>
                <w:sz w:val="20"/>
                <w:szCs w:val="20"/>
                <w:color w:val="auto"/>
              </w:rPr>
            </w:pPr>
            <w:r>
              <w:rPr>
                <w:rFonts w:ascii="Times New Roman" w:cs="Times New Roman" w:eastAsia="Times New Roman" w:hAnsi="Times New Roman"/>
                <w:sz w:val="18"/>
                <w:szCs w:val="18"/>
                <w:color w:val="auto"/>
                <w:w w:val="97"/>
              </w:rPr>
              <w:t>December 15, 2023</w:t>
            </w:r>
          </w:p>
        </w:tc>
      </w:tr>
      <w:tr>
        <w:trPr>
          <w:trHeight w:val="21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496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96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6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4420" w:type="dxa"/>
            <w:vAlign w:val="bottom"/>
          </w:tcPr>
          <w:p>
            <w:pPr>
              <w:ind w:left="3000"/>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1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442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442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42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2023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4780" w:type="dxa"/>
            <w:vAlign w:val="bottom"/>
          </w:tcPr>
          <w:p>
            <w:pPr>
              <w:ind w:left="3360"/>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18"/>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4780" w:type="dxa"/>
            <w:vAlign w:val="bottom"/>
          </w:tcPr>
          <w:p>
            <w:pPr>
              <w:spacing w:after="0"/>
              <w:rPr>
                <w:sz w:val="18"/>
                <w:szCs w:val="18"/>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78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2023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940" w:type="dxa"/>
            <w:vAlign w:val="bottom"/>
          </w:tcPr>
          <w:p>
            <w:pPr>
              <w:spacing w:after="0"/>
              <w:rPr>
                <w:sz w:val="18"/>
                <w:szCs w:val="18"/>
                <w:color w:val="auto"/>
              </w:rPr>
            </w:pPr>
          </w:p>
        </w:tc>
        <w:tc>
          <w:tcPr>
            <w:tcW w:w="28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December 15, 2023</w:t>
            </w:r>
          </w:p>
        </w:tc>
      </w:tr>
      <w:tr>
        <w:trPr>
          <w:trHeight w:val="21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860" w:type="dxa"/>
            <w:vAlign w:val="bottom"/>
          </w:tcPr>
          <w:p>
            <w:pPr>
              <w:spacing w:after="0"/>
              <w:rPr>
                <w:sz w:val="18"/>
                <w:szCs w:val="18"/>
                <w:color w:val="auto"/>
              </w:rPr>
            </w:pPr>
          </w:p>
        </w:tc>
      </w:tr>
      <w:tr>
        <w:trPr>
          <w:trHeight w:val="234"/>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8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2023-12-15T14:16:57Z</dcterms:created>
  <dcterms:modified xsi:type="dcterms:W3CDTF">2023-12-15T14:16:57Z</dcterms:modified>
</cp:coreProperties>
</file>