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4080" w:right="1820" w:hanging="3424"/>
        <w:spacing w:after="0" w:line="498" w:lineRule="auto"/>
        <w:tabs>
          <w:tab w:leader="none" w:pos="97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 For the Quarterly Period ended July 31,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600" w:right="1800" w:hanging="2944"/>
        <w:spacing w:after="0" w:line="495" w:lineRule="auto"/>
        <w:tabs>
          <w:tab w:leader="none" w:pos="97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FREQUENCY ELECTRONICS,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79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840" w:type="dxa"/>
            <w:vAlign w:val="bottom"/>
          </w:tcPr>
          <w:p>
            <w:pPr>
              <w:jc w:val="center"/>
              <w:ind w:right="11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840" w:type="dxa"/>
            <w:vAlign w:val="bottom"/>
          </w:tcPr>
          <w:p>
            <w:pPr>
              <w:jc w:val="center"/>
              <w:ind w:right="110"/>
              <w:spacing w:after="0"/>
              <w:rPr>
                <w:sz w:val="20"/>
                <w:szCs w:val="20"/>
                <w:color w:val="auto"/>
              </w:rPr>
            </w:pPr>
            <w:r>
              <w:rPr>
                <w:rFonts w:ascii="Arial" w:cs="Arial" w:eastAsia="Arial" w:hAnsi="Arial"/>
                <w:sz w:val="18"/>
                <w:szCs w:val="18"/>
                <w:color w:val="auto"/>
                <w:w w:val="92"/>
              </w:rPr>
              <w:t>incorporation or organization)</w:t>
            </w:r>
          </w:p>
        </w:tc>
        <w:tc>
          <w:tcPr>
            <w:tcW w:w="3720" w:type="dxa"/>
            <w:vAlign w:val="bottom"/>
          </w:tcPr>
          <w:p>
            <w:pPr>
              <w:spacing w:after="0"/>
              <w:rPr>
                <w:sz w:val="20"/>
                <w:szCs w:val="20"/>
                <w:color w:val="auto"/>
              </w:rPr>
            </w:pPr>
          </w:p>
        </w:tc>
      </w:tr>
      <w:tr>
        <w:trPr>
          <w:trHeight w:val="418"/>
        </w:trPr>
        <w:tc>
          <w:tcPr>
            <w:tcW w:w="6840" w:type="dxa"/>
            <w:vAlign w:val="bottom"/>
          </w:tcPr>
          <w:p>
            <w:pPr>
              <w:jc w:val="center"/>
              <w:ind w:right="110"/>
              <w:spacing w:after="0"/>
              <w:rPr>
                <w:sz w:val="20"/>
                <w:szCs w:val="20"/>
                <w:color w:val="auto"/>
              </w:rPr>
            </w:pPr>
            <w:r>
              <w:rPr>
                <w:rFonts w:ascii="Arial" w:cs="Arial" w:eastAsia="Arial" w:hAnsi="Arial"/>
                <w:sz w:val="18"/>
                <w:szCs w:val="18"/>
                <w:b w:val="1"/>
                <w:bCs w:val="1"/>
                <w:color w:val="auto"/>
              </w:rPr>
              <w:t>55 CHARLES LINDBERGH BLVD., MITCHEL FIELD, N.Y.</w:t>
            </w:r>
          </w:p>
        </w:tc>
        <w:tc>
          <w:tcPr>
            <w:tcW w:w="3720" w:type="dxa"/>
            <w:vAlign w:val="bottom"/>
          </w:tcPr>
          <w:p>
            <w:pPr>
              <w:jc w:val="right"/>
              <w:ind w:right="990"/>
              <w:spacing w:after="0"/>
              <w:rPr>
                <w:sz w:val="20"/>
                <w:szCs w:val="20"/>
                <w:color w:val="auto"/>
              </w:rPr>
            </w:pPr>
            <w:r>
              <w:rPr>
                <w:rFonts w:ascii="Arial" w:cs="Arial" w:eastAsia="Arial" w:hAnsi="Arial"/>
                <w:sz w:val="18"/>
                <w:szCs w:val="18"/>
                <w:b w:val="1"/>
                <w:bCs w:val="1"/>
                <w:color w:val="auto"/>
              </w:rPr>
              <w:t>11553</w:t>
            </w:r>
          </w:p>
        </w:tc>
      </w:tr>
      <w:tr>
        <w:trPr>
          <w:trHeight w:val="230"/>
        </w:trPr>
        <w:tc>
          <w:tcPr>
            <w:tcW w:w="684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r>
        <w:trPr>
          <w:trHeight w:val="432"/>
        </w:trPr>
        <w:tc>
          <w:tcPr>
            <w:tcW w:w="684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372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78" w:right="239" w:bottom="1440" w:gutter="0" w:footer="0" w:header="0"/>
        </w:sectPr>
      </w:pPr>
    </w:p>
    <w:p>
      <w:pPr>
        <w:spacing w:after="0" w:line="114" w:lineRule="exact"/>
        <w:rPr>
          <w:sz w:val="24"/>
          <w:szCs w:val="24"/>
          <w:color w:val="auto"/>
        </w:rPr>
      </w:pPr>
    </w:p>
    <w:p>
      <w:pPr>
        <w:ind w:left="4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ind w:left="9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4">
            <w:col w:w="2540" w:space="720"/>
            <w:col w:w="1400" w:space="160"/>
            <w:col w:w="3320" w:space="380"/>
            <w:col w:w="2900"/>
          </w:cols>
          <w:pgMar w:left="240" w:top="778"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3">
            <w:col w:w="8180" w:space="280"/>
            <w:col w:w="460" w:space="220"/>
            <w:col w:w="2280"/>
          </w:cols>
          <w:pgMar w:left="240" w:top="778"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Registrant's Common Stock, par value $1.00 as of September 10, 2012 – 8,392,301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140" w:type="dxa"/>
            <w:vAlign w:val="bottom"/>
          </w:tcPr>
          <w:p>
            <w:pPr>
              <w:jc w:val="center"/>
              <w:ind w:left="290"/>
              <w:spacing w:after="0"/>
              <w:rPr>
                <w:sz w:val="20"/>
                <w:szCs w:val="20"/>
                <w:color w:val="auto"/>
              </w:rPr>
            </w:pPr>
            <w:r>
              <w:rPr>
                <w:rFonts w:ascii="Arial" w:cs="Arial" w:eastAsia="Arial" w:hAnsi="Arial"/>
                <w:sz w:val="18"/>
                <w:szCs w:val="18"/>
                <w:color w:val="auto"/>
                <w:w w:val="95"/>
              </w:rPr>
              <w:t>FREQUENCY ELECTRONICS, INC. and SUBSIDIARIES</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140" w:type="dxa"/>
            <w:vAlign w:val="bottom"/>
          </w:tcPr>
          <w:p>
            <w:pPr>
              <w:jc w:val="center"/>
              <w:ind w:left="290"/>
              <w:spacing w:after="0"/>
              <w:rPr>
                <w:sz w:val="20"/>
                <w:szCs w:val="20"/>
                <w:color w:val="auto"/>
              </w:rPr>
            </w:pPr>
            <w:r>
              <w:rPr>
                <w:rFonts w:ascii="Arial" w:cs="Arial" w:eastAsia="Arial" w:hAnsi="Arial"/>
                <w:sz w:val="18"/>
                <w:szCs w:val="18"/>
                <w:color w:val="auto"/>
              </w:rPr>
              <w:t>INDEX</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320" w:type="dxa"/>
            <w:vAlign w:val="bottom"/>
          </w:tcPr>
          <w:p>
            <w:pPr>
              <w:ind w:left="54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Part I. Financial Information:</w:t>
            </w:r>
          </w:p>
        </w:tc>
        <w:tc>
          <w:tcPr>
            <w:tcW w:w="13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ind w:left="460"/>
              <w:spacing w:after="0"/>
              <w:rPr>
                <w:sz w:val="20"/>
                <w:szCs w:val="20"/>
                <w:color w:val="auto"/>
              </w:rPr>
            </w:pPr>
            <w:r>
              <w:rPr>
                <w:rFonts w:ascii="Arial" w:cs="Arial" w:eastAsia="Arial" w:hAnsi="Arial"/>
                <w:sz w:val="18"/>
                <w:szCs w:val="18"/>
                <w:color w:val="auto"/>
                <w:w w:val="91"/>
              </w:rPr>
              <w:t>Item 1</w:t>
            </w:r>
          </w:p>
        </w:tc>
        <w:tc>
          <w:tcPr>
            <w:tcW w:w="9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Financial Statements:</w:t>
            </w:r>
          </w:p>
        </w:tc>
        <w:tc>
          <w:tcPr>
            <w:tcW w:w="1320" w:type="dxa"/>
            <w:vAlign w:val="bottom"/>
            <w:shd w:val="clear" w:color="auto" w:fill="CCFFCC"/>
          </w:tcPr>
          <w:p>
            <w:pPr>
              <w:jc w:val="center"/>
              <w:ind w:left="33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Condensed Consolidated Balance Sheets - July 31, 2012 and April 30, 2012</w:t>
            </w:r>
          </w:p>
        </w:tc>
        <w:tc>
          <w:tcPr>
            <w:tcW w:w="1320" w:type="dxa"/>
            <w:vAlign w:val="bottom"/>
            <w:shd w:val="clear" w:color="auto" w:fill="CCFFCC"/>
          </w:tcPr>
          <w:p>
            <w:pPr>
              <w:jc w:val="center"/>
              <w:ind w:left="33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w w:val="95"/>
              </w:rPr>
              <w:t>Condensed Consolidated Statements of Income and Comprehensive Income Three Months Ended July 31, 2012 and 2011</w:t>
            </w:r>
          </w:p>
        </w:tc>
        <w:tc>
          <w:tcPr>
            <w:tcW w:w="1320" w:type="dxa"/>
            <w:vAlign w:val="bottom"/>
            <w:shd w:val="clear" w:color="auto" w:fill="CCFFCC"/>
          </w:tcPr>
          <w:p>
            <w:pPr>
              <w:jc w:val="center"/>
              <w:ind w:left="33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Condensed Consolidated Statements of Cash Flows Three Months Ended July 31, 2012 and 2011</w:t>
            </w:r>
          </w:p>
        </w:tc>
        <w:tc>
          <w:tcPr>
            <w:tcW w:w="1320" w:type="dxa"/>
            <w:vAlign w:val="bottom"/>
            <w:shd w:val="clear" w:color="auto" w:fill="CCFFCC"/>
          </w:tcPr>
          <w:p>
            <w:pPr>
              <w:jc w:val="center"/>
              <w:ind w:left="3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Notes to Condensed Consolidated Financial Statements</w:t>
            </w:r>
          </w:p>
        </w:tc>
        <w:tc>
          <w:tcPr>
            <w:tcW w:w="1320" w:type="dxa"/>
            <w:vAlign w:val="bottom"/>
            <w:shd w:val="clear" w:color="auto" w:fill="CCFFCC"/>
          </w:tcPr>
          <w:p>
            <w:pPr>
              <w:jc w:val="center"/>
              <w:ind w:left="310"/>
              <w:spacing w:after="0"/>
              <w:rPr>
                <w:sz w:val="20"/>
                <w:szCs w:val="20"/>
                <w:color w:val="auto"/>
              </w:rPr>
            </w:pPr>
            <w:r>
              <w:rPr>
                <w:rFonts w:ascii="Arial" w:cs="Arial" w:eastAsia="Arial" w:hAnsi="Arial"/>
                <w:sz w:val="18"/>
                <w:szCs w:val="18"/>
                <w:color w:val="auto"/>
                <w:w w:val="88"/>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ind w:left="460"/>
              <w:spacing w:after="0"/>
              <w:rPr>
                <w:sz w:val="20"/>
                <w:szCs w:val="20"/>
                <w:color w:val="auto"/>
              </w:rPr>
            </w:pPr>
            <w:r>
              <w:rPr>
                <w:rFonts w:ascii="Arial" w:cs="Arial" w:eastAsia="Arial" w:hAnsi="Arial"/>
                <w:sz w:val="18"/>
                <w:szCs w:val="18"/>
                <w:color w:val="auto"/>
                <w:w w:val="91"/>
              </w:rPr>
              <w:t>Item 2</w:t>
            </w:r>
          </w:p>
        </w:tc>
        <w:tc>
          <w:tcPr>
            <w:tcW w:w="9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c>
          <w:tcPr>
            <w:tcW w:w="1320" w:type="dxa"/>
            <w:vAlign w:val="bottom"/>
            <w:shd w:val="clear" w:color="auto" w:fill="CCFFCC"/>
          </w:tcPr>
          <w:p>
            <w:pPr>
              <w:jc w:val="center"/>
              <w:ind w:left="330"/>
              <w:spacing w:after="0"/>
              <w:rPr>
                <w:sz w:val="20"/>
                <w:szCs w:val="20"/>
                <w:color w:val="auto"/>
              </w:rPr>
            </w:pPr>
            <w:r>
              <w:rPr>
                <w:rFonts w:ascii="Arial" w:cs="Arial" w:eastAsia="Arial" w:hAnsi="Arial"/>
                <w:sz w:val="18"/>
                <w:szCs w:val="18"/>
                <w:color w:val="auto"/>
                <w:w w:val="91"/>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ind w:left="460"/>
              <w:spacing w:after="0"/>
              <w:rPr>
                <w:sz w:val="20"/>
                <w:szCs w:val="20"/>
                <w:color w:val="auto"/>
              </w:rPr>
            </w:pPr>
            <w:r>
              <w:rPr>
                <w:rFonts w:ascii="Arial" w:cs="Arial" w:eastAsia="Arial" w:hAnsi="Arial"/>
                <w:sz w:val="18"/>
                <w:szCs w:val="18"/>
                <w:color w:val="auto"/>
                <w:w w:val="91"/>
              </w:rPr>
              <w:t>Item 3</w:t>
            </w:r>
          </w:p>
        </w:tc>
        <w:tc>
          <w:tcPr>
            <w:tcW w:w="9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Quantitative and Qualitative Disclosures about Market Risk</w:t>
            </w:r>
          </w:p>
        </w:tc>
        <w:tc>
          <w:tcPr>
            <w:tcW w:w="1320" w:type="dxa"/>
            <w:vAlign w:val="bottom"/>
            <w:shd w:val="clear" w:color="auto" w:fill="CCFFCC"/>
          </w:tcPr>
          <w:p>
            <w:pPr>
              <w:jc w:val="center"/>
              <w:ind w:left="33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Item 4- Controls and Procedures</w:t>
            </w:r>
          </w:p>
        </w:tc>
        <w:tc>
          <w:tcPr>
            <w:tcW w:w="1320" w:type="dxa"/>
            <w:vAlign w:val="bottom"/>
            <w:shd w:val="clear" w:color="auto" w:fill="CCFFCC"/>
          </w:tcPr>
          <w:p>
            <w:pPr>
              <w:jc w:val="center"/>
              <w:ind w:left="33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13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ind w:left="460"/>
              <w:spacing w:after="0"/>
              <w:rPr>
                <w:sz w:val="20"/>
                <w:szCs w:val="20"/>
                <w:color w:val="auto"/>
              </w:rPr>
            </w:pPr>
            <w:r>
              <w:rPr>
                <w:rFonts w:ascii="Arial" w:cs="Arial" w:eastAsia="Arial" w:hAnsi="Arial"/>
                <w:sz w:val="18"/>
                <w:szCs w:val="18"/>
                <w:color w:val="auto"/>
                <w:w w:val="91"/>
              </w:rPr>
              <w:t>Item 6</w:t>
            </w:r>
          </w:p>
        </w:tc>
        <w:tc>
          <w:tcPr>
            <w:tcW w:w="91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Exhibits</w:t>
            </w:r>
          </w:p>
        </w:tc>
        <w:tc>
          <w:tcPr>
            <w:tcW w:w="1320" w:type="dxa"/>
            <w:vAlign w:val="bottom"/>
            <w:shd w:val="clear" w:color="auto" w:fill="CCFFCC"/>
          </w:tcPr>
          <w:p>
            <w:pPr>
              <w:jc w:val="center"/>
              <w:ind w:left="3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Signatures</w:t>
            </w:r>
          </w:p>
        </w:tc>
        <w:tc>
          <w:tcPr>
            <w:tcW w:w="1320" w:type="dxa"/>
            <w:vAlign w:val="bottom"/>
            <w:shd w:val="clear" w:color="auto" w:fill="CCFFCC"/>
          </w:tcPr>
          <w:p>
            <w:pPr>
              <w:jc w:val="center"/>
              <w:ind w:left="33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Exhibits</w:t>
            </w:r>
          </w:p>
        </w:tc>
        <w:tc>
          <w:tcPr>
            <w:tcW w:w="13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0"/>
              </w:rPr>
              <w:t>2 of 21</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142875</wp:posOffset>
            </wp:positionV>
            <wp:extent cx="2546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July 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April 30,</w:t>
            </w:r>
          </w:p>
        </w:tc>
      </w:tr>
      <w:tr>
        <w:trPr>
          <w:trHeight w:val="230"/>
        </w:trPr>
        <w:tc>
          <w:tcPr>
            <w:tcW w:w="13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r>
      <w:tr>
        <w:trPr>
          <w:trHeight w:val="224"/>
        </w:trPr>
        <w:tc>
          <w:tcPr>
            <w:tcW w:w="13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color w:val="auto"/>
                <w:w w:val="98"/>
              </w:rPr>
              <w:t>(NOTE A)</w:t>
            </w:r>
          </w:p>
        </w:tc>
        <w:tc>
          <w:tcPr>
            <w:tcW w:w="100" w:type="dxa"/>
            <w:vAlign w:val="bottom"/>
          </w:tcPr>
          <w:p>
            <w:pPr>
              <w:spacing w:after="0"/>
              <w:rPr>
                <w:sz w:val="19"/>
                <w:szCs w:val="19"/>
                <w:color w:val="auto"/>
              </w:rPr>
            </w:pPr>
          </w:p>
        </w:tc>
      </w:tr>
      <w:tr>
        <w:trPr>
          <w:trHeight w:val="418"/>
        </w:trPr>
        <w:tc>
          <w:tcPr>
            <w:tcW w:w="13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w w:val="99"/>
              </w:rPr>
              <w:t>(In thousands except share data)</w:t>
            </w:r>
          </w:p>
        </w:tc>
      </w:tr>
      <w:tr>
        <w:trPr>
          <w:trHeight w:val="216"/>
        </w:trPr>
        <w:tc>
          <w:tcPr>
            <w:tcW w:w="1340" w:type="dxa"/>
            <w:vAlign w:val="bottom"/>
            <w:shd w:val="clear" w:color="auto" w:fill="CCFFCC"/>
          </w:tcPr>
          <w:p>
            <w:pPr>
              <w:spacing w:after="0"/>
              <w:rPr>
                <w:sz w:val="18"/>
                <w:szCs w:val="18"/>
                <w:color w:val="auto"/>
              </w:rPr>
            </w:pPr>
          </w:p>
        </w:tc>
        <w:tc>
          <w:tcPr>
            <w:tcW w:w="6700" w:type="dxa"/>
            <w:vAlign w:val="bottom"/>
            <w:shd w:val="clear" w:color="auto" w:fill="CCFFCC"/>
          </w:tcPr>
          <w:p>
            <w:pPr>
              <w:jc w:val="center"/>
              <w:ind w:right="1270"/>
              <w:spacing w:after="0"/>
              <w:rPr>
                <w:sz w:val="20"/>
                <w:szCs w:val="20"/>
                <w:color w:val="auto"/>
              </w:rPr>
            </w:pPr>
            <w:r>
              <w:rPr>
                <w:rFonts w:ascii="Arial" w:cs="Arial" w:eastAsia="Arial" w:hAnsi="Arial"/>
                <w:sz w:val="18"/>
                <w:szCs w:val="18"/>
                <w:b w:val="1"/>
                <w:bCs w:val="1"/>
                <w:color w:val="auto"/>
                <w:w w:val="94"/>
              </w:rPr>
              <w:t>ASSETS: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Current assets:</w:t>
            </w:r>
          </w:p>
        </w:tc>
        <w:tc>
          <w:tcPr>
            <w:tcW w:w="6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5,461</w:t>
            </w:r>
          </w:p>
        </w:tc>
        <w:tc>
          <w:tcPr>
            <w:tcW w:w="30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4,782</w:t>
            </w:r>
          </w:p>
        </w:tc>
      </w:tr>
      <w:tr>
        <w:trPr>
          <w:trHeight w:val="216"/>
        </w:trPr>
        <w:tc>
          <w:tcPr>
            <w:tcW w:w="804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16,678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17,658</w:t>
            </w:r>
          </w:p>
        </w:tc>
      </w:tr>
      <w:tr>
        <w:trPr>
          <w:trHeight w:val="216"/>
        </w:trPr>
        <w:tc>
          <w:tcPr>
            <w:tcW w:w="80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5"/>
              </w:rPr>
              <w:t>Accounts receivable, net of allowance for doubtful accounts of $400 at July 31, 2012 and April 30, 2012</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9,699</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10,866</w:t>
            </w:r>
          </w:p>
        </w:tc>
      </w:tr>
      <w:tr>
        <w:trPr>
          <w:trHeight w:val="216"/>
        </w:trPr>
        <w:tc>
          <w:tcPr>
            <w:tcW w:w="8040" w:type="dxa"/>
            <w:vAlign w:val="bottom"/>
            <w:gridSpan w:val="2"/>
          </w:tcPr>
          <w:p>
            <w:pPr>
              <w:ind w:left="160"/>
              <w:spacing w:after="0"/>
              <w:rPr>
                <w:sz w:val="20"/>
                <w:szCs w:val="20"/>
                <w:color w:val="auto"/>
              </w:rPr>
            </w:pPr>
            <w:r>
              <w:rPr>
                <w:rFonts w:ascii="Arial" w:cs="Arial" w:eastAsia="Arial" w:hAnsi="Arial"/>
                <w:sz w:val="18"/>
                <w:szCs w:val="18"/>
                <w:color w:val="auto"/>
              </w:rPr>
              <w:t>Costs and estimated earnings in excess of billings,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8,649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7,207</w:t>
            </w:r>
          </w:p>
        </w:tc>
      </w:tr>
      <w:tr>
        <w:trPr>
          <w:trHeight w:val="216"/>
        </w:trPr>
        <w:tc>
          <w:tcPr>
            <w:tcW w:w="1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Inventories</w:t>
            </w:r>
          </w:p>
        </w:tc>
        <w:tc>
          <w:tcPr>
            <w:tcW w:w="67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34,532</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34,299</w:t>
            </w:r>
          </w:p>
        </w:tc>
      </w:tr>
      <w:tr>
        <w:trPr>
          <w:trHeight w:val="216"/>
        </w:trPr>
        <w:tc>
          <w:tcPr>
            <w:tcW w:w="804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3,033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3,152</w:t>
            </w:r>
          </w:p>
        </w:tc>
      </w:tr>
      <w:tr>
        <w:trPr>
          <w:trHeight w:val="230"/>
        </w:trPr>
        <w:tc>
          <w:tcPr>
            <w:tcW w:w="80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1,306</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1,398</w:t>
            </w:r>
          </w:p>
        </w:tc>
      </w:tr>
      <w:tr>
        <w:trPr>
          <w:trHeight w:val="210"/>
        </w:trPr>
        <w:tc>
          <w:tcPr>
            <w:tcW w:w="804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79,362</w:t>
            </w:r>
          </w:p>
        </w:tc>
        <w:tc>
          <w:tcPr>
            <w:tcW w:w="100" w:type="dxa"/>
            <w:vAlign w:val="bottom"/>
          </w:tcPr>
          <w:p>
            <w:pPr>
              <w:spacing w:after="0"/>
              <w:rPr>
                <w:sz w:val="18"/>
                <w:szCs w:val="18"/>
                <w:color w:val="auto"/>
              </w:rPr>
            </w:pPr>
          </w:p>
        </w:tc>
      </w:tr>
      <w:tr>
        <w:trPr>
          <w:trHeight w:val="216"/>
        </w:trPr>
        <w:tc>
          <w:tcPr>
            <w:tcW w:w="8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8,126</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8,374</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5,692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5,692</w:t>
            </w:r>
          </w:p>
        </w:tc>
      </w:tr>
      <w:tr>
        <w:trPr>
          <w:trHeight w:val="216"/>
        </w:trPr>
        <w:tc>
          <w:tcPr>
            <w:tcW w:w="8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Goodwill and other intangible assets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873</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10,290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10,133</w:t>
            </w:r>
          </w:p>
        </w:tc>
      </w:tr>
      <w:tr>
        <w:trPr>
          <w:trHeight w:val="216"/>
        </w:trPr>
        <w:tc>
          <w:tcPr>
            <w:tcW w:w="8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 affiliates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809</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Other assets</w:t>
            </w:r>
          </w:p>
        </w:tc>
        <w:tc>
          <w:tcPr>
            <w:tcW w:w="6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r>
      <w:tr>
        <w:trPr>
          <w:trHeight w:val="223"/>
        </w:trPr>
        <w:tc>
          <w:tcPr>
            <w:tcW w:w="1340" w:type="dxa"/>
            <w:vAlign w:val="bottom"/>
            <w:tcBorders>
              <w:top w:val="single" w:sz="8" w:color="CCFFCC"/>
              <w:bottom w:val="single" w:sz="8" w:color="CCFFCC"/>
            </w:tcBorders>
            <w:shd w:val="clear" w:color="auto" w:fill="CCFFCC"/>
          </w:tcPr>
          <w:p>
            <w:pPr>
              <w:ind w:left="160"/>
              <w:spacing w:after="0"/>
              <w:rPr>
                <w:sz w:val="20"/>
                <w:szCs w:val="20"/>
                <w:color w:val="auto"/>
              </w:rPr>
            </w:pPr>
            <w:r>
              <w:rPr>
                <w:rFonts w:ascii="Arial" w:cs="Arial" w:eastAsia="Arial" w:hAnsi="Arial"/>
                <w:sz w:val="18"/>
                <w:szCs w:val="18"/>
                <w:b w:val="1"/>
                <w:bCs w:val="1"/>
                <w:color w:val="auto"/>
              </w:rPr>
              <w:t>Total assets</w:t>
            </w:r>
          </w:p>
        </w:tc>
        <w:tc>
          <w:tcPr>
            <w:tcW w:w="670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106,090</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106,227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3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40" w:type="dxa"/>
            <w:vAlign w:val="bottom"/>
            <w:shd w:val="clear" w:color="auto" w:fill="CCFFCC"/>
          </w:tcPr>
          <w:p>
            <w:pPr>
              <w:spacing w:after="0"/>
              <w:rPr>
                <w:sz w:val="18"/>
                <w:szCs w:val="18"/>
                <w:color w:val="auto"/>
              </w:rPr>
            </w:pPr>
          </w:p>
        </w:tc>
        <w:tc>
          <w:tcPr>
            <w:tcW w:w="6700" w:type="dxa"/>
            <w:vAlign w:val="bottom"/>
            <w:shd w:val="clear" w:color="auto" w:fill="CCFFCC"/>
          </w:tcPr>
          <w:p>
            <w:pPr>
              <w:jc w:val="center"/>
              <w:ind w:right="129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5"/>
              </w:rPr>
              <w:t>Current liabilities:</w:t>
            </w:r>
          </w:p>
        </w:tc>
        <w:tc>
          <w:tcPr>
            <w:tcW w:w="6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Short-term credit obligations</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6,317</w:t>
            </w:r>
          </w:p>
        </w:tc>
        <w:tc>
          <w:tcPr>
            <w:tcW w:w="30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6,383</w:t>
            </w:r>
          </w:p>
        </w:tc>
      </w:tr>
      <w:tr>
        <w:trPr>
          <w:trHeight w:val="216"/>
        </w:trPr>
        <w:tc>
          <w:tcPr>
            <w:tcW w:w="8040" w:type="dxa"/>
            <w:vAlign w:val="bottom"/>
            <w:gridSpan w:val="2"/>
          </w:tcPr>
          <w:p>
            <w:pPr>
              <w:ind w:left="160"/>
              <w:spacing w:after="0"/>
              <w:rPr>
                <w:sz w:val="20"/>
                <w:szCs w:val="20"/>
                <w:color w:val="auto"/>
              </w:rPr>
            </w:pPr>
            <w:r>
              <w:rPr>
                <w:rFonts w:ascii="Arial" w:cs="Arial" w:eastAsia="Arial" w:hAnsi="Arial"/>
                <w:sz w:val="18"/>
                <w:szCs w:val="18"/>
                <w:color w:val="auto"/>
              </w:rPr>
              <w:t>Accounts payable - trade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r>
      <w:tr>
        <w:trPr>
          <w:trHeight w:val="216"/>
        </w:trPr>
        <w:tc>
          <w:tcPr>
            <w:tcW w:w="80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6,770</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6,986</w:t>
            </w:r>
          </w:p>
        </w:tc>
      </w:tr>
      <w:tr>
        <w:trPr>
          <w:trHeight w:val="230"/>
        </w:trPr>
        <w:tc>
          <w:tcPr>
            <w:tcW w:w="804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0"/>
        </w:trPr>
        <w:tc>
          <w:tcPr>
            <w:tcW w:w="8040" w:type="dxa"/>
            <w:vAlign w:val="bottom"/>
            <w:tcBorders>
              <w:top w:val="single" w:sz="8" w:color="CCFFCC"/>
            </w:tcBorders>
            <w:gridSpan w:val="2"/>
            <w:shd w:val="clear" w:color="auto" w:fill="CCFFCC"/>
          </w:tcPr>
          <w:p>
            <w:pPr>
              <w:ind w:left="48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15,126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16,109</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Capital lease obligation- noncurrent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10,225</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10,179</w:t>
            </w: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Deferred rent and other liabilities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r>
      <w:tr>
        <w:trPr>
          <w:trHeight w:val="210"/>
        </w:trPr>
        <w:tc>
          <w:tcPr>
            <w:tcW w:w="8040" w:type="dxa"/>
            <w:vAlign w:val="bottom"/>
            <w:tcBorders>
              <w:top w:val="single" w:sz="8" w:color="CCFFCC"/>
            </w:tcBorders>
            <w:gridSpan w:val="2"/>
            <w:shd w:val="clear" w:color="auto" w:fill="CCFFCC"/>
          </w:tcPr>
          <w:p>
            <w:pPr>
              <w:ind w:left="48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26,216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27,095</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1340" w:type="dxa"/>
            <w:vAlign w:val="bottom"/>
          </w:tcPr>
          <w:p>
            <w:pPr>
              <w:ind w:left="160"/>
              <w:spacing w:after="0"/>
              <w:rPr>
                <w:sz w:val="20"/>
                <w:szCs w:val="20"/>
                <w:color w:val="auto"/>
              </w:rPr>
            </w:pPr>
            <w:r>
              <w:rPr>
                <w:rFonts w:ascii="Arial" w:cs="Arial" w:eastAsia="Arial" w:hAnsi="Arial"/>
                <w:sz w:val="18"/>
                <w:szCs w:val="18"/>
                <w:color w:val="auto"/>
                <w:w w:val="95"/>
              </w:rPr>
              <w:t>Preferred stock</w:t>
            </w:r>
          </w:p>
        </w:tc>
        <w:tc>
          <w:tcPr>
            <w:tcW w:w="6700" w:type="dxa"/>
            <w:vAlign w:val="bottom"/>
          </w:tcPr>
          <w:p>
            <w:pPr>
              <w:spacing w:after="0"/>
              <w:rPr>
                <w:sz w:val="20"/>
                <w:szCs w:val="20"/>
                <w:color w:val="auto"/>
              </w:rPr>
            </w:pPr>
            <w:r>
              <w:rPr>
                <w:rFonts w:ascii="Arial" w:cs="Arial" w:eastAsia="Arial" w:hAnsi="Arial"/>
                <w:sz w:val="18"/>
                <w:szCs w:val="18"/>
                <w:color w:val="auto"/>
              </w:rPr>
              <w:t>- $1.00 par value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4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6"/>
              </w:rPr>
              <w:t>Common stock</w:t>
            </w:r>
          </w:p>
        </w:tc>
        <w:tc>
          <w:tcPr>
            <w:tcW w:w="6700" w:type="dxa"/>
            <w:vAlign w:val="bottom"/>
            <w:shd w:val="clear" w:color="auto" w:fill="CCFFCC"/>
          </w:tcPr>
          <w:p>
            <w:pPr>
              <w:spacing w:after="0"/>
              <w:rPr>
                <w:sz w:val="20"/>
                <w:szCs w:val="20"/>
                <w:color w:val="auto"/>
              </w:rPr>
            </w:pPr>
            <w:r>
              <w:rPr>
                <w:rFonts w:ascii="Arial" w:cs="Arial" w:eastAsia="Arial" w:hAnsi="Arial"/>
                <w:sz w:val="18"/>
                <w:szCs w:val="18"/>
                <w:color w:val="auto"/>
              </w:rPr>
              <w:t>- $1.00 par value, issued 9,163,940 shares</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80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51,017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50,797</w:t>
            </w:r>
          </w:p>
        </w:tc>
      </w:tr>
      <w:tr>
        <w:trPr>
          <w:trHeight w:val="230"/>
        </w:trPr>
        <w:tc>
          <w:tcPr>
            <w:tcW w:w="80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19,428</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18,660</w:t>
            </w:r>
          </w:p>
        </w:tc>
      </w:tr>
      <w:tr>
        <w:trPr>
          <w:trHeight w:val="210"/>
        </w:trPr>
        <w:tc>
          <w:tcPr>
            <w:tcW w:w="13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78,621</w:t>
            </w:r>
          </w:p>
        </w:tc>
        <w:tc>
          <w:tcPr>
            <w:tcW w:w="100" w:type="dxa"/>
            <w:vAlign w:val="bottom"/>
          </w:tcPr>
          <w:p>
            <w:pPr>
              <w:spacing w:after="0"/>
              <w:rPr>
                <w:sz w:val="18"/>
                <w:szCs w:val="18"/>
                <w:color w:val="auto"/>
              </w:rPr>
            </w:pPr>
          </w:p>
        </w:tc>
      </w:tr>
      <w:tr>
        <w:trPr>
          <w:trHeight w:val="216"/>
        </w:trPr>
        <w:tc>
          <w:tcPr>
            <w:tcW w:w="8040" w:type="dxa"/>
            <w:vAlign w:val="bottom"/>
            <w:gridSpan w:val="2"/>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2"/>
        </w:trPr>
        <w:tc>
          <w:tcPr>
            <w:tcW w:w="80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89"/>
              </w:rPr>
              <w:t>Common stock reacquired and held in treasury - at cost (771,639 shares at July 31, 2012 and 800,787 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40" w:type="dxa"/>
            <w:vAlign w:val="bottom"/>
            <w:gridSpan w:val="2"/>
          </w:tcPr>
          <w:p>
            <w:pPr>
              <w:ind w:left="320"/>
              <w:spacing w:after="0"/>
              <w:rPr>
                <w:sz w:val="20"/>
                <w:szCs w:val="20"/>
                <w:color w:val="auto"/>
              </w:rPr>
            </w:pPr>
            <w:r>
              <w:rPr>
                <w:rFonts w:ascii="Arial" w:cs="Arial" w:eastAsia="Arial" w:hAnsi="Arial"/>
                <w:sz w:val="18"/>
                <w:szCs w:val="18"/>
                <w:color w:val="auto"/>
              </w:rPr>
              <w:t>at April 30, 2012)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(3,519)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(3,659)</w:t>
            </w:r>
          </w:p>
        </w:tc>
      </w:tr>
      <w:tr>
        <w:trPr>
          <w:trHeight w:val="230"/>
        </w:trPr>
        <w:tc>
          <w:tcPr>
            <w:tcW w:w="80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3,784</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4,170</w:t>
            </w:r>
          </w:p>
        </w:tc>
      </w:tr>
      <w:tr>
        <w:trPr>
          <w:trHeight w:val="210"/>
        </w:trPr>
        <w:tc>
          <w:tcPr>
            <w:tcW w:w="8040" w:type="dxa"/>
            <w:vAlign w:val="bottom"/>
            <w:tcBorders>
              <w:bottom w:val="single" w:sz="8" w:color="CCFFCC"/>
            </w:tcBorders>
            <w:gridSpan w:val="2"/>
          </w:tcPr>
          <w:p>
            <w:pPr>
              <w:ind w:left="4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79,874</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79,132</w:t>
            </w:r>
          </w:p>
        </w:tc>
        <w:tc>
          <w:tcPr>
            <w:tcW w:w="100" w:type="dxa"/>
            <w:vAlign w:val="bottom"/>
            <w:tcBorders>
              <w:bottom w:val="single" w:sz="8" w:color="CCFFCC"/>
            </w:tcBorders>
          </w:tcPr>
          <w:p>
            <w:pPr>
              <w:spacing w:after="0"/>
              <w:rPr>
                <w:sz w:val="18"/>
                <w:szCs w:val="18"/>
                <w:color w:val="auto"/>
              </w:rPr>
            </w:pPr>
          </w:p>
        </w:tc>
      </w:tr>
      <w:tr>
        <w:trPr>
          <w:trHeight w:val="223"/>
        </w:trPr>
        <w:tc>
          <w:tcPr>
            <w:tcW w:w="804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106,090</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106,227</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180" w:type="dxa"/>
            <w:vAlign w:val="bottom"/>
          </w:tcPr>
          <w:p>
            <w:pPr>
              <w:jc w:val="center"/>
              <w:ind w:left="1530"/>
              <w:spacing w:after="0"/>
              <w:rPr>
                <w:sz w:val="20"/>
                <w:szCs w:val="20"/>
                <w:color w:val="auto"/>
              </w:rPr>
            </w:pPr>
            <w:r>
              <w:rPr>
                <w:rFonts w:ascii="Arial" w:cs="Arial" w:eastAsia="Arial" w:hAnsi="Arial"/>
                <w:sz w:val="18"/>
                <w:szCs w:val="18"/>
                <w:color w:val="auto"/>
                <w:w w:val="95"/>
              </w:rPr>
              <w:t>FREQUENCY ELECTRONICS, INC. and SUBSIDIARIES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940" w:type="dxa"/>
            <w:vAlign w:val="bottom"/>
            <w:gridSpan w:val="5"/>
          </w:tcPr>
          <w:p>
            <w:pPr>
              <w:jc w:val="center"/>
              <w:ind w:right="60"/>
              <w:spacing w:after="0"/>
              <w:rPr>
                <w:sz w:val="20"/>
                <w:szCs w:val="20"/>
                <w:color w:val="auto"/>
              </w:rPr>
            </w:pPr>
            <w:r>
              <w:rPr>
                <w:rFonts w:ascii="Arial" w:cs="Arial" w:eastAsia="Arial" w:hAnsi="Arial"/>
                <w:sz w:val="18"/>
                <w:szCs w:val="18"/>
                <w:color w:val="auto"/>
                <w:w w:val="89"/>
              </w:rPr>
              <w:t>Condensed Consolidated Statements of Income and Comprehensive Income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80" w:type="dxa"/>
            <w:vAlign w:val="bottom"/>
          </w:tcPr>
          <w:p>
            <w:pPr>
              <w:jc w:val="center"/>
              <w:ind w:left="1510"/>
              <w:spacing w:after="0"/>
              <w:rPr>
                <w:sz w:val="20"/>
                <w:szCs w:val="20"/>
                <w:color w:val="auto"/>
              </w:rPr>
            </w:pPr>
            <w:r>
              <w:rPr>
                <w:rFonts w:ascii="Arial" w:cs="Arial" w:eastAsia="Arial" w:hAnsi="Arial"/>
                <w:sz w:val="18"/>
                <w:szCs w:val="18"/>
                <w:color w:val="auto"/>
                <w:w w:val="90"/>
              </w:rPr>
              <w:t>Three Months Ended July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180" w:type="dxa"/>
            <w:vAlign w:val="bottom"/>
          </w:tcPr>
          <w:p>
            <w:pPr>
              <w:jc w:val="center"/>
              <w:ind w:left="151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5"/>
          </w:tcPr>
          <w:p>
            <w:pPr>
              <w:jc w:val="right"/>
              <w:ind w:right="210"/>
              <w:spacing w:after="0"/>
              <w:rPr>
                <w:sz w:val="20"/>
                <w:szCs w:val="20"/>
                <w:color w:val="auto"/>
              </w:rPr>
            </w:pPr>
            <w:r>
              <w:rPr>
                <w:rFonts w:ascii="Arial" w:cs="Arial" w:eastAsia="Arial" w:hAnsi="Arial"/>
                <w:sz w:val="18"/>
                <w:szCs w:val="18"/>
                <w:color w:val="auto"/>
                <w:w w:val="91"/>
              </w:rPr>
              <w:t>(In thousands except per share data)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revenues</w:t>
            </w:r>
          </w:p>
        </w:tc>
        <w:tc>
          <w:tcPr>
            <w:tcW w:w="3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16,685</w:t>
            </w:r>
          </w:p>
        </w:tc>
        <w:tc>
          <w:tcPr>
            <w:tcW w:w="40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10,704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gridSpan w:val="2"/>
            <w:shd w:val="clear" w:color="auto" w:fill="CCFFCC"/>
          </w:tcPr>
          <w:p>
            <w:pPr>
              <w:ind w:left="300"/>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5,981</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3,485</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gridSpan w:val="2"/>
            <w:shd w:val="clear" w:color="auto" w:fill="CCFFCC"/>
          </w:tcPr>
          <w:p>
            <w:pPr>
              <w:ind w:left="300"/>
              <w:spacing w:after="0"/>
              <w:rPr>
                <w:sz w:val="20"/>
                <w:szCs w:val="20"/>
                <w:color w:val="auto"/>
              </w:rPr>
            </w:pPr>
            <w:r>
              <w:rPr>
                <w:rFonts w:ascii="Arial" w:cs="Arial" w:eastAsia="Arial" w:hAnsi="Arial"/>
                <w:sz w:val="18"/>
                <w:szCs w:val="18"/>
                <w:color w:val="auto"/>
              </w:rPr>
              <w:t>Operating profit</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1,081</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Equity income</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768</w:t>
            </w:r>
          </w:p>
        </w:tc>
        <w:tc>
          <w:tcPr>
            <w:tcW w:w="40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CFFCC"/>
            </w:tcBorders>
          </w:tcPr>
          <w:p>
            <w:pPr>
              <w:spacing w:after="0" w:line="20" w:lineRule="exact"/>
              <w:rPr>
                <w:sz w:val="1"/>
                <w:szCs w:val="1"/>
                <w:color w:val="auto"/>
              </w:rPr>
            </w:pPr>
          </w:p>
        </w:tc>
        <w:tc>
          <w:tcPr>
            <w:tcW w:w="61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80" w:type="dxa"/>
            <w:vAlign w:val="bottom"/>
            <w:gridSpan w:val="2"/>
          </w:tcPr>
          <w:p>
            <w:pPr>
              <w:ind w:left="30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FFCC"/>
              <w:bottom w:val="single" w:sz="8" w:color="CCFFCC"/>
            </w:tcBorders>
            <w:gridSpan w:val="2"/>
            <w:shd w:val="clear" w:color="auto" w:fill="CCFFCC"/>
          </w:tcPr>
          <w:p>
            <w:pPr>
              <w:ind w:left="300"/>
              <w:spacing w:after="0" w:line="190" w:lineRule="exact"/>
              <w:rPr>
                <w:sz w:val="20"/>
                <w:szCs w:val="20"/>
                <w:color w:val="auto"/>
              </w:rPr>
            </w:pPr>
            <w:r>
              <w:rPr>
                <w:rFonts w:ascii="Arial" w:cs="Arial" w:eastAsia="Arial" w:hAnsi="Arial"/>
                <w:sz w:val="18"/>
                <w:szCs w:val="18"/>
                <w:color w:val="auto"/>
              </w:rPr>
              <w:t>Diluted</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auto"/>
            </w:tcBorders>
            <w:shd w:val="clear" w:color="auto" w:fill="CCFF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0.09</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Average shares outstanding:</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80" w:type="dxa"/>
            <w:vAlign w:val="bottom"/>
            <w:gridSpan w:val="2"/>
          </w:tcPr>
          <w:p>
            <w:pPr>
              <w:ind w:left="3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8,378,247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8,304,484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FFCC"/>
              <w:bottom w:val="single" w:sz="8" w:color="CCFFCC"/>
            </w:tcBorders>
            <w:gridSpan w:val="2"/>
            <w:shd w:val="clear" w:color="auto" w:fill="CCFFCC"/>
          </w:tcPr>
          <w:p>
            <w:pPr>
              <w:ind w:left="300"/>
              <w:spacing w:after="0" w:line="190" w:lineRule="exact"/>
              <w:rPr>
                <w:sz w:val="20"/>
                <w:szCs w:val="20"/>
                <w:color w:val="auto"/>
              </w:rPr>
            </w:pPr>
            <w:r>
              <w:rPr>
                <w:rFonts w:ascii="Arial" w:cs="Arial" w:eastAsia="Arial" w:hAnsi="Arial"/>
                <w:sz w:val="18"/>
                <w:szCs w:val="18"/>
                <w:color w:val="auto"/>
              </w:rPr>
              <w:t>Diluted</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auto"/>
            </w:tcBorders>
            <w:shd w:val="clear" w:color="auto" w:fill="CCFFCC"/>
          </w:tcPr>
          <w:p>
            <w:pPr>
              <w:spacing w:after="0"/>
              <w:rPr>
                <w:sz w:val="17"/>
                <w:szCs w:val="17"/>
                <w:color w:val="auto"/>
              </w:rPr>
            </w:pPr>
          </w:p>
        </w:tc>
        <w:tc>
          <w:tcPr>
            <w:tcW w:w="13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8,544,052</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spacing w:after="0"/>
              <w:rPr>
                <w:sz w:val="17"/>
                <w:szCs w:val="17"/>
                <w:color w:val="auto"/>
              </w:rPr>
            </w:pPr>
          </w:p>
        </w:tc>
        <w:tc>
          <w:tcPr>
            <w:tcW w:w="11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8,503,101</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0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7"/>
              </w:rPr>
              <w:t>Comprehensive Income</w:t>
            </w:r>
          </w:p>
        </w:tc>
        <w:tc>
          <w:tcPr>
            <w:tcW w:w="61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3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320" w:type="dxa"/>
            <w:vAlign w:val="bottom"/>
            <w:tcBorders>
              <w:bottom w:val="single" w:sz="8" w:color="CCFFCC"/>
            </w:tcBorders>
            <w:shd w:val="clear" w:color="auto" w:fill="CCFFCC"/>
          </w:tcPr>
          <w:p>
            <w:pPr>
              <w:spacing w:after="0"/>
              <w:rPr>
                <w:sz w:val="17"/>
                <w:szCs w:val="17"/>
                <w:color w:val="auto"/>
              </w:rPr>
            </w:pPr>
          </w:p>
        </w:tc>
        <w:tc>
          <w:tcPr>
            <w:tcW w:w="11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768</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0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Change in market value of marketable securities</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300"/>
              <w:spacing w:after="0"/>
              <w:rPr>
                <w:sz w:val="20"/>
                <w:szCs w:val="20"/>
                <w:color w:val="auto"/>
              </w:rPr>
            </w:pPr>
            <w:r>
              <w:rPr>
                <w:rFonts w:ascii="Arial" w:cs="Arial" w:eastAsia="Arial" w:hAnsi="Arial"/>
                <w:sz w:val="18"/>
                <w:szCs w:val="18"/>
                <w:color w:val="auto"/>
              </w:rPr>
              <w:t>Deferred tax effect of change in marketable securities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gridSpan w:val="2"/>
            <w:shd w:val="clear" w:color="auto" w:fill="CCFFCC"/>
          </w:tcPr>
          <w:p>
            <w:pPr>
              <w:ind w:left="300"/>
              <w:spacing w:after="0"/>
              <w:rPr>
                <w:sz w:val="20"/>
                <w:szCs w:val="20"/>
                <w:color w:val="auto"/>
              </w:rPr>
            </w:pPr>
            <w:r>
              <w:rPr>
                <w:rFonts w:ascii="Arial" w:cs="Arial" w:eastAsia="Arial" w:hAnsi="Arial"/>
                <w:sz w:val="18"/>
                <w:szCs w:val="18"/>
                <w:color w:val="auto"/>
              </w:rPr>
              <w:t>Total other comprehensive (loss) income</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Comprehensive income</w:t>
            </w:r>
          </w:p>
        </w:tc>
        <w:tc>
          <w:tcPr>
            <w:tcW w:w="3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382</w:t>
            </w:r>
          </w:p>
        </w:tc>
        <w:tc>
          <w:tcPr>
            <w:tcW w:w="400" w:type="dxa"/>
            <w:vAlign w:val="bottom"/>
            <w:gridSpan w:val="2"/>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CFFCC"/>
            </w:tcBorders>
          </w:tcPr>
          <w:p>
            <w:pPr>
              <w:spacing w:after="0" w:line="20" w:lineRule="exact"/>
              <w:rPr>
                <w:sz w:val="1"/>
                <w:szCs w:val="1"/>
                <w:color w:val="auto"/>
              </w:rPr>
            </w:pPr>
          </w:p>
        </w:tc>
        <w:tc>
          <w:tcPr>
            <w:tcW w:w="61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80" w:type="dxa"/>
            <w:vAlign w:val="bottom"/>
          </w:tcPr>
          <w:p>
            <w:pPr>
              <w:jc w:val="center"/>
              <w:ind w:left="3330"/>
              <w:spacing w:after="0"/>
              <w:rPr>
                <w:sz w:val="20"/>
                <w:szCs w:val="20"/>
                <w:color w:val="auto"/>
              </w:rPr>
            </w:pPr>
            <w:r>
              <w:rPr>
                <w:rFonts w:ascii="Arial" w:cs="Arial" w:eastAsia="Arial" w:hAnsi="Arial"/>
                <w:sz w:val="18"/>
                <w:szCs w:val="18"/>
                <w:color w:val="auto"/>
                <w:w w:val="95"/>
              </w:rPr>
              <w:t>FREQUENCY ELECTRONICS, INC. and SUBSIDIARIES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80" w:type="dxa"/>
            <w:vAlign w:val="bottom"/>
          </w:tcPr>
          <w:p>
            <w:pPr>
              <w:jc w:val="center"/>
              <w:ind w:left="3330"/>
              <w:spacing w:after="0"/>
              <w:rPr>
                <w:sz w:val="20"/>
                <w:szCs w:val="20"/>
                <w:color w:val="auto"/>
              </w:rPr>
            </w:pPr>
            <w:r>
              <w:rPr>
                <w:rFonts w:ascii="Arial" w:cs="Arial" w:eastAsia="Arial" w:hAnsi="Arial"/>
                <w:sz w:val="18"/>
                <w:szCs w:val="18"/>
                <w:color w:val="auto"/>
                <w:w w:val="89"/>
              </w:rPr>
              <w:t>Condensed Consolidated Statements of Cash Flows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color w:val="auto"/>
                <w:w w:val="90"/>
              </w:rPr>
              <w:t>Three Months Ended July 31,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2012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97"/>
              </w:rPr>
              <w:t>(In thousands)</w:t>
            </w: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768</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Non-cash charges to earnings, net</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Net changes in operating assets and liabilities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(2,420)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spacing w:after="0"/>
              <w:rPr>
                <w:sz w:val="18"/>
                <w:szCs w:val="18"/>
                <w:color w:val="auto"/>
              </w:rPr>
            </w:pPr>
          </w:p>
        </w:tc>
        <w:tc>
          <w:tcPr>
            <w:tcW w:w="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300"/>
              <w:spacing w:after="0"/>
              <w:rPr>
                <w:sz w:val="20"/>
                <w:szCs w:val="20"/>
                <w:color w:val="auto"/>
              </w:rPr>
            </w:pPr>
            <w:r>
              <w:rPr>
                <w:rFonts w:ascii="Arial" w:cs="Arial" w:eastAsia="Arial" w:hAnsi="Arial"/>
                <w:sz w:val="18"/>
                <w:szCs w:val="18"/>
                <w:color w:val="auto"/>
              </w:rPr>
              <w:t>Proceeds on redemption of marketable securities</w:t>
            </w: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Purchase of fixed assets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spacing w:after="0"/>
              <w:rPr>
                <w:sz w:val="18"/>
                <w:szCs w:val="18"/>
                <w:color w:val="auto"/>
              </w:rPr>
            </w:pPr>
          </w:p>
        </w:tc>
        <w:tc>
          <w:tcPr>
            <w:tcW w:w="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Proceeds from exercise of stock options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Payment of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Net increase in cash and cash equivalents before 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44"/>
        </w:trPr>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26"/>
        </w:trPr>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462</w:t>
            </w:r>
          </w:p>
        </w:tc>
        <w:tc>
          <w:tcPr>
            <w:tcW w:w="1480" w:type="dxa"/>
            <w:vAlign w:val="bottom"/>
          </w:tcPr>
          <w:p>
            <w:pPr>
              <w:jc w:val="right"/>
              <w:spacing w:after="0"/>
              <w:rPr>
                <w:sz w:val="20"/>
                <w:szCs w:val="20"/>
                <w:color w:val="auto"/>
              </w:rPr>
            </w:pPr>
            <w:r>
              <w:rPr>
                <w:rFonts w:ascii="Arial" w:cs="Arial" w:eastAsia="Arial" w:hAnsi="Arial"/>
                <w:sz w:val="18"/>
                <w:szCs w:val="18"/>
                <w:color w:val="auto"/>
              </w:rPr>
              <w:t>2,276</w:t>
            </w:r>
          </w:p>
        </w:tc>
        <w:tc>
          <w:tcPr>
            <w:tcW w:w="60" w:type="dxa"/>
            <w:vAlign w:val="bottom"/>
          </w:tcPr>
          <w:p>
            <w:pPr>
              <w:spacing w:after="0"/>
              <w:rPr>
                <w:sz w:val="24"/>
                <w:szCs w:val="24"/>
                <w:color w:val="auto"/>
              </w:rPr>
            </w:pPr>
          </w:p>
        </w:tc>
      </w:tr>
      <w:tr>
        <w:trPr>
          <w:trHeight w:val="446"/>
        </w:trPr>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148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881"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960" w:type="dxa"/>
            <w:vAlign w:val="bottom"/>
            <w:shd w:val="clear" w:color="auto" w:fill="CCFFCC"/>
          </w:tcPr>
          <w:p>
            <w:pPr>
              <w:spacing w:after="0"/>
              <w:rPr>
                <w:sz w:val="17"/>
                <w:szCs w:val="17"/>
                <w:color w:val="auto"/>
              </w:rPr>
            </w:pPr>
          </w:p>
        </w:tc>
        <w:tc>
          <w:tcPr>
            <w:tcW w:w="21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Net increase in cash and cash equivalents</w:t>
            </w: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FFCC"/>
          </w:tcPr>
          <w:p>
            <w:pPr>
              <w:spacing w:after="0"/>
              <w:rPr>
                <w:sz w:val="18"/>
                <w:szCs w:val="18"/>
                <w:color w:val="auto"/>
              </w:rPr>
            </w:pPr>
          </w:p>
        </w:tc>
        <w:tc>
          <w:tcPr>
            <w:tcW w:w="21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Cash and cash equivalents at beginning of period</w:t>
            </w:r>
          </w:p>
        </w:tc>
        <w:tc>
          <w:tcPr>
            <w:tcW w:w="2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FFCC"/>
            </w:tcBorders>
            <w:shd w:val="clear" w:color="auto" w:fill="CCFFCC"/>
          </w:tcPr>
          <w:p>
            <w:pPr>
              <w:spacing w:after="0"/>
              <w:rPr>
                <w:sz w:val="18"/>
                <w:szCs w:val="18"/>
                <w:color w:val="auto"/>
              </w:rPr>
            </w:pPr>
          </w:p>
        </w:tc>
        <w:tc>
          <w:tcPr>
            <w:tcW w:w="2140" w:type="dxa"/>
            <w:vAlign w:val="bottom"/>
            <w:tcBorders>
              <w:top w:val="single" w:sz="8" w:color="CCFFCC"/>
            </w:tcBorders>
            <w:shd w:val="clear" w:color="auto" w:fill="CCFFCC"/>
          </w:tcPr>
          <w:p>
            <w:pPr>
              <w:spacing w:after="0"/>
              <w:rPr>
                <w:sz w:val="18"/>
                <w:szCs w:val="18"/>
                <w:color w:val="auto"/>
              </w:rPr>
            </w:pPr>
          </w:p>
        </w:tc>
        <w:tc>
          <w:tcPr>
            <w:tcW w:w="6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Cash and cash equivalents at end of period</w:t>
            </w:r>
          </w:p>
        </w:tc>
        <w:tc>
          <w:tcPr>
            <w:tcW w:w="27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5,461</w:t>
            </w:r>
          </w:p>
        </w:tc>
        <w:tc>
          <w:tcPr>
            <w:tcW w:w="68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tcBorders>
              <w:top w:val="single" w:sz="8" w:color="CCFFCC"/>
            </w:tcBorders>
            <w:shd w:val="clear" w:color="auto" w:fill="CCFFCC"/>
          </w:tcPr>
          <w:p>
            <w:pPr>
              <w:spacing w:after="0"/>
              <w:rPr>
                <w:sz w:val="17"/>
                <w:szCs w:val="17"/>
                <w:color w:val="auto"/>
              </w:rPr>
            </w:pPr>
          </w:p>
        </w:tc>
        <w:tc>
          <w:tcPr>
            <w:tcW w:w="2140" w:type="dxa"/>
            <w:vAlign w:val="bottom"/>
            <w:tcBorders>
              <w:top w:val="single" w:sz="8" w:color="CCFFCC"/>
            </w:tcBorders>
            <w:shd w:val="clear" w:color="auto" w:fill="CCFFCC"/>
          </w:tcPr>
          <w:p>
            <w:pPr>
              <w:spacing w:after="0"/>
              <w:rPr>
                <w:sz w:val="17"/>
                <w:szCs w:val="17"/>
                <w:color w:val="auto"/>
              </w:rPr>
            </w:pPr>
          </w:p>
        </w:tc>
        <w:tc>
          <w:tcPr>
            <w:tcW w:w="600" w:type="dxa"/>
            <w:vAlign w:val="bottom"/>
            <w:tcBorders>
              <w:top w:val="single" w:sz="8" w:color="auto"/>
            </w:tcBorders>
            <w:shd w:val="clear" w:color="auto" w:fill="CCFFCC"/>
          </w:tcPr>
          <w:p>
            <w:pPr>
              <w:spacing w:after="0"/>
              <w:rPr>
                <w:sz w:val="17"/>
                <w:szCs w:val="17"/>
                <w:color w:val="auto"/>
              </w:rPr>
            </w:pPr>
          </w:p>
        </w:tc>
        <w:tc>
          <w:tcPr>
            <w:tcW w:w="900" w:type="dxa"/>
            <w:vAlign w:val="bottom"/>
            <w:tcBorders>
              <w:top w:val="single" w:sz="8" w:color="auto"/>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580" w:type="dxa"/>
            <w:vAlign w:val="bottom"/>
            <w:tcBorders>
              <w:top w:val="single" w:sz="8" w:color="auto"/>
            </w:tcBorders>
            <w:shd w:val="clear" w:color="auto" w:fill="CCFFCC"/>
          </w:tcPr>
          <w:p>
            <w:pPr>
              <w:spacing w:after="0"/>
              <w:rPr>
                <w:sz w:val="17"/>
                <w:szCs w:val="17"/>
                <w:color w:val="auto"/>
              </w:rPr>
            </w:pPr>
          </w:p>
        </w:tc>
        <w:tc>
          <w:tcPr>
            <w:tcW w:w="90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Cash paid during the period for:</w:t>
            </w:r>
          </w:p>
        </w:tc>
        <w:tc>
          <w:tcPr>
            <w:tcW w:w="21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960" w:type="dxa"/>
            <w:vAlign w:val="bottom"/>
          </w:tcPr>
          <w:p>
            <w:pPr>
              <w:ind w:left="460"/>
              <w:spacing w:after="0"/>
              <w:rPr>
                <w:sz w:val="20"/>
                <w:szCs w:val="20"/>
                <w:color w:val="auto"/>
              </w:rPr>
            </w:pPr>
            <w:r>
              <w:rPr>
                <w:rFonts w:ascii="Arial" w:cs="Arial" w:eastAsia="Arial" w:hAnsi="Arial"/>
                <w:sz w:val="18"/>
                <w:szCs w:val="18"/>
                <w:color w:val="auto"/>
              </w:rPr>
              <w:t>Interest</w:t>
            </w:r>
          </w:p>
        </w:tc>
        <w:tc>
          <w:tcPr>
            <w:tcW w:w="27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68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Borders>
              <w:top w:val="single" w:sz="8" w:color="CCFFCC"/>
              <w:bottom w:val="single" w:sz="8" w:color="CCFFCC"/>
            </w:tcBorders>
            <w:shd w:val="clear" w:color="auto" w:fill="CCFFCC"/>
          </w:tcPr>
          <w:p>
            <w:pPr>
              <w:ind w:left="460"/>
              <w:spacing w:after="0" w:line="190" w:lineRule="exact"/>
              <w:rPr>
                <w:sz w:val="20"/>
                <w:szCs w:val="20"/>
                <w:color w:val="auto"/>
              </w:rPr>
            </w:pPr>
            <w:r>
              <w:rPr>
                <w:rFonts w:ascii="Arial" w:cs="Arial" w:eastAsia="Arial" w:hAnsi="Arial"/>
                <w:sz w:val="18"/>
                <w:szCs w:val="18"/>
                <w:color w:val="auto"/>
              </w:rPr>
              <w:t>Income Taxes</w:t>
            </w:r>
          </w:p>
        </w:tc>
        <w:tc>
          <w:tcPr>
            <w:tcW w:w="2140" w:type="dxa"/>
            <w:vAlign w:val="bottom"/>
            <w:tcBorders>
              <w:top w:val="single" w:sz="8" w:color="CCFFCC"/>
              <w:bottom w:val="single" w:sz="8" w:color="CCFFCC"/>
            </w:tcBorders>
            <w:shd w:val="clear" w:color="auto" w:fill="CCFFCC"/>
          </w:tcPr>
          <w:p>
            <w:pPr>
              <w:spacing w:after="0"/>
              <w:rPr>
                <w:sz w:val="17"/>
                <w:szCs w:val="17"/>
                <w:color w:val="auto"/>
              </w:rPr>
            </w:pPr>
          </w:p>
        </w:tc>
        <w:tc>
          <w:tcPr>
            <w:tcW w:w="600" w:type="dxa"/>
            <w:vAlign w:val="bottom"/>
            <w:tcBorders>
              <w:top w:val="single" w:sz="8" w:color="auto"/>
              <w:bottom w:val="single" w:sz="8" w:color="auto"/>
            </w:tcBorders>
            <w:shd w:val="clear" w:color="auto" w:fill="CCFFC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150</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580" w:type="dxa"/>
            <w:vAlign w:val="bottom"/>
            <w:tcBorders>
              <w:top w:val="single" w:sz="8" w:color="auto"/>
              <w:bottom w:val="single" w:sz="8" w:color="auto"/>
            </w:tcBorders>
            <w:shd w:val="clear" w:color="auto" w:fill="CCFFCC"/>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2012 and the results of its operations and cash flows for the three months ended July 31, 2012 and 2011. The April 30, 2012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Annual Report on Form 10-K for the year ended April 30, 2012. The results of operations for such interim periods are not necessarily indicative of the operating results for the full fiscal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900" w:type="dxa"/>
            <w:vAlign w:val="bottom"/>
          </w:tcPr>
          <w:p>
            <w:pPr>
              <w:spacing w:after="0"/>
              <w:rPr>
                <w:sz w:val="19"/>
                <w:szCs w:val="19"/>
                <w:color w:val="auto"/>
              </w:rPr>
            </w:pPr>
          </w:p>
        </w:tc>
        <w:tc>
          <w:tcPr>
            <w:tcW w:w="2800" w:type="dxa"/>
            <w:vAlign w:val="bottom"/>
            <w:gridSpan w:val="5"/>
          </w:tcPr>
          <w:p>
            <w:pPr>
              <w:ind w:left="300"/>
              <w:spacing w:after="0"/>
              <w:rPr>
                <w:sz w:val="20"/>
                <w:szCs w:val="20"/>
                <w:color w:val="auto"/>
              </w:rPr>
            </w:pPr>
            <w:r>
              <w:rPr>
                <w:rFonts w:ascii="Arial" w:cs="Arial" w:eastAsia="Arial" w:hAnsi="Arial"/>
                <w:sz w:val="18"/>
                <w:szCs w:val="18"/>
                <w:color w:val="auto"/>
              </w:rPr>
              <w:t>Three months ended July 31,</w:t>
            </w:r>
          </w:p>
        </w:tc>
      </w:tr>
      <w:tr>
        <w:trPr>
          <w:trHeight w:val="230"/>
        </w:trPr>
        <w:tc>
          <w:tcPr>
            <w:tcW w:w="6900" w:type="dxa"/>
            <w:vAlign w:val="bottom"/>
            <w:tcBorders>
              <w:bottom w:val="single" w:sz="8" w:color="CCFFC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CCFFCC"/>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r>
      <w:tr>
        <w:trPr>
          <w:trHeight w:val="210"/>
        </w:trPr>
        <w:tc>
          <w:tcPr>
            <w:tcW w:w="690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w:t>
            </w: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900" w:type="dxa"/>
            <w:vAlign w:val="bottom"/>
          </w:tcPr>
          <w:p>
            <w:pPr>
              <w:ind w:left="160"/>
              <w:spacing w:after="0"/>
              <w:rPr>
                <w:sz w:val="20"/>
                <w:szCs w:val="20"/>
                <w:color w:val="auto"/>
              </w:rPr>
            </w:pPr>
            <w:r>
              <w:rPr>
                <w:rFonts w:ascii="Arial" w:cs="Arial" w:eastAsia="Arial" w:hAnsi="Arial"/>
                <w:sz w:val="18"/>
                <w:szCs w:val="18"/>
                <w:color w:val="auto"/>
              </w:rPr>
              <w:t>(weighted average)</w:t>
            </w:r>
          </w:p>
        </w:tc>
        <w:tc>
          <w:tcPr>
            <w:tcW w:w="1260" w:type="dxa"/>
            <w:vAlign w:val="bottom"/>
          </w:tcPr>
          <w:p>
            <w:pPr>
              <w:jc w:val="right"/>
              <w:spacing w:after="0"/>
              <w:rPr>
                <w:sz w:val="20"/>
                <w:szCs w:val="20"/>
                <w:color w:val="auto"/>
              </w:rPr>
            </w:pPr>
            <w:r>
              <w:rPr>
                <w:rFonts w:ascii="Arial" w:cs="Arial" w:eastAsia="Arial" w:hAnsi="Arial"/>
                <w:sz w:val="18"/>
                <w:szCs w:val="18"/>
                <w:color w:val="auto"/>
              </w:rPr>
              <w:t>8,378,247</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8,304,484</w:t>
            </w:r>
          </w:p>
        </w:tc>
        <w:tc>
          <w:tcPr>
            <w:tcW w:w="80" w:type="dxa"/>
            <w:vAlign w:val="bottom"/>
          </w:tcPr>
          <w:p>
            <w:pPr>
              <w:spacing w:after="0"/>
              <w:rPr>
                <w:sz w:val="18"/>
                <w:szCs w:val="18"/>
                <w:color w:val="auto"/>
              </w:rPr>
            </w:pPr>
          </w:p>
        </w:tc>
      </w:tr>
      <w:tr>
        <w:trPr>
          <w:trHeight w:val="230"/>
        </w:trPr>
        <w:tc>
          <w:tcPr>
            <w:tcW w:w="6900" w:type="dxa"/>
            <w:vAlign w:val="bottom"/>
            <w:shd w:val="clear" w:color="auto" w:fill="CCFFCC"/>
          </w:tcPr>
          <w:p>
            <w:pPr>
              <w:spacing w:after="0"/>
              <w:rPr>
                <w:sz w:val="20"/>
                <w:szCs w:val="20"/>
                <w:color w:val="auto"/>
              </w:rPr>
            </w:pPr>
            <w:r>
              <w:rPr>
                <w:rFonts w:ascii="Arial" w:cs="Arial" w:eastAsia="Arial" w:hAnsi="Arial"/>
                <w:sz w:val="18"/>
                <w:szCs w:val="18"/>
                <w:color w:val="auto"/>
              </w:rPr>
              <w:t>Effect of Dilutive Securities</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165,805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198,617</w:t>
            </w:r>
          </w:p>
        </w:tc>
        <w:tc>
          <w:tcPr>
            <w:tcW w:w="80" w:type="dxa"/>
            <w:vAlign w:val="bottom"/>
            <w:shd w:val="clear" w:color="auto" w:fill="CCFFC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Diluted EPS Shares outstanding</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8,544,052</w:t>
            </w:r>
          </w:p>
        </w:tc>
        <w:tc>
          <w:tcPr>
            <w:tcW w:w="1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8,503,101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computation of diluted earnings per share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for the three months ended July 31, 2012 and 2011 were 746,375 and 424,375,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July 31, 2012 and April 30, 2012, costs and estimated earnings in excess of billings, net, consist of the following:</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July 31, 2012</w:t>
            </w: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April 30, 2012</w:t>
            </w:r>
          </w:p>
        </w:tc>
      </w:tr>
      <w:tr>
        <w:trPr>
          <w:trHeight w:val="210"/>
        </w:trPr>
        <w:tc>
          <w:tcPr>
            <w:tcW w:w="5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r>
      <w:tr>
        <w:trPr>
          <w:trHeight w:val="216"/>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Costs and estimated earnings in excess of billings</w:t>
            </w:r>
          </w:p>
        </w:tc>
        <w:tc>
          <w:tcPr>
            <w:tcW w:w="1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10,372</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9,552</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(2,345)</w:t>
            </w:r>
          </w:p>
        </w:tc>
      </w:tr>
      <w:tr>
        <w:trPr>
          <w:trHeight w:val="223"/>
        </w:trPr>
        <w:tc>
          <w:tcPr>
            <w:tcW w:w="52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w:t>
            </w:r>
          </w:p>
        </w:tc>
        <w:tc>
          <w:tcPr>
            <w:tcW w:w="166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8,649</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7,207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three months ended July 31, 2012 and 2011, revenue recognized under percentage of completion contracts was approximately $8.6 million and $8.3 million,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NOTE D - INVENTORIES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820" w:type="dxa"/>
            <w:vAlign w:val="bottom"/>
            <w:gridSpan w:val="2"/>
          </w:tcPr>
          <w:p>
            <w:pPr>
              <w:ind w:left="660"/>
              <w:spacing w:after="0"/>
              <w:rPr>
                <w:sz w:val="20"/>
                <w:szCs w:val="20"/>
                <w:color w:val="auto"/>
              </w:rPr>
            </w:pPr>
            <w:r>
              <w:rPr>
                <w:rFonts w:ascii="Arial" w:cs="Arial" w:eastAsia="Arial" w:hAnsi="Arial"/>
                <w:sz w:val="18"/>
                <w:szCs w:val="18"/>
                <w:color w:val="auto"/>
              </w:rPr>
              <w:t>Inventories, which are reported at the lower of cost or market, consist of the following:</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9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July 31, 2012</w:t>
            </w:r>
          </w:p>
        </w:tc>
        <w:tc>
          <w:tcPr>
            <w:tcW w:w="10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April 30, 2012</w:t>
            </w:r>
          </w:p>
        </w:tc>
      </w:tr>
      <w:tr>
        <w:trPr>
          <w:trHeight w:val="210"/>
        </w:trPr>
        <w:tc>
          <w:tcPr>
            <w:tcW w:w="9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(In thousands)</w:t>
            </w:r>
          </w:p>
        </w:tc>
        <w:tc>
          <w:tcPr>
            <w:tcW w:w="80" w:type="dxa"/>
            <w:vAlign w:val="bottom"/>
            <w:gridSpan w:val="2"/>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90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15,434</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15,813</w:t>
            </w:r>
          </w:p>
        </w:tc>
        <w:tc>
          <w:tcPr>
            <w:tcW w:w="60" w:type="dxa"/>
            <w:vAlign w:val="bottom"/>
            <w:shd w:val="clear" w:color="auto" w:fill="CCFFCC"/>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Work in Progress</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16,378</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15,762</w:t>
            </w:r>
          </w:p>
        </w:tc>
        <w:tc>
          <w:tcPr>
            <w:tcW w:w="6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6900" w:type="dxa"/>
            <w:vAlign w:val="bottom"/>
            <w:shd w:val="clear" w:color="auto" w:fill="CCFFCC"/>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2,724</w:t>
            </w:r>
          </w:p>
        </w:tc>
        <w:tc>
          <w:tcPr>
            <w:tcW w:w="60" w:type="dxa"/>
            <w:vAlign w:val="bottom"/>
            <w:shd w:val="clear" w:color="auto" w:fill="CCFFCC"/>
          </w:tcPr>
          <w:p>
            <w:pPr>
              <w:spacing w:after="0"/>
              <w:rPr>
                <w:sz w:val="19"/>
                <w:szCs w:val="19"/>
                <w:color w:val="auto"/>
              </w:rPr>
            </w:pPr>
          </w:p>
        </w:tc>
      </w:tr>
      <w:tr>
        <w:trPr>
          <w:trHeight w:val="223"/>
        </w:trPr>
        <w:tc>
          <w:tcPr>
            <w:tcW w:w="9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34,532</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 of July 31, 2012 and April 30, 2012, approximately $25.1 million and $25.5 million, respectively, of total inventory is located in the United States, approximately $8.8 million and $8.2 million, respectively, is located in Belgium and $0.6 million and $0.6 million, respectively, is located in China.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three reportable segments based on the geographic locations of its subsidiaries:</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1300" w:right="20" w:hanging="644"/>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Gillam-FEI - operates out of Belgium and France and primarily sells wireline synchronization and network management systems in non-U.S. markets. All sales from Gillam-FEI to the United States are to other segments of the Company.</w:t>
      </w:r>
    </w:p>
    <w:p>
      <w:pPr>
        <w:jc w:val="both"/>
        <w:ind w:left="1300" w:hanging="644"/>
        <w:spacing w:after="0" w:line="25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9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FEI-NY segment also includes the operations of the Company’s wholly-owned subsidiaries, FEI-Elcom Tech (“FEI-Elcom”) and FEI-Asia. FEI-Asia functions primarily as a manufacturing facility for the Company’s commercial product subsidiaries with minimal sales to outside customers. FEI-Elcom, in addition to its own product line, provides design and technical support for the FEI-NY segment’s satellite business.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location rather than on the specific types of customers or end- users. Consequently, the Company determined that the segments indicated above most appropriately reflect the way the Company’s management views the business.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 below presents information about reported segments with reconciliation of segment amounts to consolidated amounts as reported in the statement of operations or the balance sheet for each of the periods. The July 31, 2011 amounts do not include FEI-Elcom (in thousands):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FEI-NY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Gillam-FEI</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FEI-Zyfer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less intercompany revenues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Consolidated revenues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6"/>
          </w:tcPr>
          <w:p>
            <w:pPr>
              <w:jc w:val="right"/>
              <w:ind w:right="380"/>
              <w:spacing w:after="0"/>
              <w:rPr>
                <w:sz w:val="20"/>
                <w:szCs w:val="20"/>
                <w:color w:val="auto"/>
              </w:rPr>
            </w:pPr>
            <w:r>
              <w:rPr>
                <w:rFonts w:ascii="Arial" w:cs="Arial" w:eastAsia="Arial" w:hAnsi="Arial"/>
                <w:sz w:val="18"/>
                <w:szCs w:val="18"/>
                <w:color w:val="auto"/>
                <w:w w:val="93"/>
              </w:rPr>
              <w:t>Three months ended July 31,</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r>
      <w:tr>
        <w:trPr>
          <w:trHeight w:val="411"/>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11,848</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10,615</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3,357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3,773</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(437)</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-882650</wp:posOffset>
            </wp:positionV>
            <wp:extent cx="615759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-599440</wp:posOffset>
            </wp:positionV>
            <wp:extent cx="61575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-325120</wp:posOffset>
            </wp:positionV>
            <wp:extent cx="615759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80" w:space="720"/>
            <w:col w:w="4520"/>
          </w:cols>
          <w:pgMar w:left="240" w:top="88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6"/>
          </w:tcPr>
          <w:p>
            <w:pPr>
              <w:jc w:val="right"/>
              <w:ind w:right="400"/>
              <w:spacing w:after="0"/>
              <w:rPr>
                <w:sz w:val="20"/>
                <w:szCs w:val="20"/>
                <w:color w:val="auto"/>
              </w:rPr>
            </w:pPr>
            <w:r>
              <w:rPr>
                <w:rFonts w:ascii="Arial" w:cs="Arial" w:eastAsia="Arial" w:hAnsi="Arial"/>
                <w:sz w:val="18"/>
                <w:szCs w:val="18"/>
                <w:color w:val="auto"/>
                <w:w w:val="96"/>
              </w:rPr>
              <w:t>Three months ended July 31,</w:t>
            </w:r>
          </w:p>
        </w:tc>
      </w:tr>
      <w:tr>
        <w:trPr>
          <w:trHeight w:val="230"/>
        </w:trPr>
        <w:tc>
          <w:tcPr>
            <w:tcW w:w="5160" w:type="dxa"/>
            <w:vAlign w:val="bottom"/>
            <w:tcBorders>
              <w:bottom w:val="single" w:sz="8" w:color="CCFFCC"/>
            </w:tcBorders>
          </w:tcPr>
          <w:p>
            <w:pPr>
              <w:spacing w:after="0"/>
              <w:rPr>
                <w:sz w:val="20"/>
                <w:szCs w:val="20"/>
                <w:color w:val="auto"/>
              </w:rPr>
            </w:pPr>
          </w:p>
        </w:tc>
        <w:tc>
          <w:tcPr>
            <w:tcW w:w="174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CCFFCC"/>
            </w:tcBorders>
          </w:tcPr>
          <w:p>
            <w:pPr>
              <w:spacing w:after="0"/>
              <w:rPr>
                <w:sz w:val="20"/>
                <w:szCs w:val="20"/>
                <w:color w:val="auto"/>
              </w:rPr>
            </w:pPr>
          </w:p>
        </w:tc>
      </w:tr>
      <w:tr>
        <w:trPr>
          <w:trHeight w:val="210"/>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Operating profit (loss):</w:t>
            </w:r>
          </w:p>
        </w:tc>
        <w:tc>
          <w:tcPr>
            <w:tcW w:w="1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FEI-NY</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1,122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1,890</w:t>
            </w:r>
          </w:p>
        </w:tc>
      </w:tr>
      <w:tr>
        <w:trPr>
          <w:trHeight w:val="216"/>
        </w:trPr>
        <w:tc>
          <w:tcPr>
            <w:tcW w:w="5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(230)</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r>
      <w:tr>
        <w:trPr>
          <w:trHeight w:val="230"/>
        </w:trPr>
        <w:tc>
          <w:tcPr>
            <w:tcW w:w="5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w:t>
            </w:r>
          </w:p>
        </w:tc>
        <w:tc>
          <w:tcPr>
            <w:tcW w:w="17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(69)</w:t>
            </w:r>
          </w:p>
        </w:tc>
      </w:tr>
      <w:tr>
        <w:trPr>
          <w:trHeight w:val="223"/>
        </w:trPr>
        <w:tc>
          <w:tcPr>
            <w:tcW w:w="5160" w:type="dxa"/>
            <w:vAlign w:val="bottom"/>
          </w:tcPr>
          <w:p>
            <w:pPr>
              <w:ind w:left="320"/>
              <w:spacing w:after="0"/>
              <w:rPr>
                <w:sz w:val="20"/>
                <w:szCs w:val="20"/>
                <w:color w:val="auto"/>
              </w:rPr>
            </w:pPr>
            <w:r>
              <w:rPr>
                <w:rFonts w:ascii="Arial" w:cs="Arial" w:eastAsia="Arial" w:hAnsi="Arial"/>
                <w:sz w:val="18"/>
                <w:szCs w:val="18"/>
                <w:color w:val="auto"/>
              </w:rPr>
              <w:t>Consolidated operating profit</w:t>
            </w:r>
          </w:p>
        </w:tc>
        <w:tc>
          <w:tcPr>
            <w:tcW w:w="1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5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July 31, 2012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April 30, 2012</w:t>
            </w:r>
          </w:p>
        </w:tc>
      </w:tr>
      <w:tr>
        <w:trPr>
          <w:trHeight w:val="210"/>
        </w:trPr>
        <w:tc>
          <w:tcPr>
            <w:tcW w:w="51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17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FEI-NY (approximately $3 million in China)</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52,892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50,234</w:t>
            </w:r>
          </w:p>
        </w:tc>
      </w:tr>
      <w:tr>
        <w:trPr>
          <w:trHeight w:val="216"/>
        </w:trPr>
        <w:tc>
          <w:tcPr>
            <w:tcW w:w="5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 (all in Belgium or France)</w:t>
            </w:r>
          </w:p>
        </w:tc>
        <w:tc>
          <w:tcPr>
            <w:tcW w:w="1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18,939</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20,407</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8,331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9,685</w:t>
            </w:r>
          </w:p>
        </w:tc>
      </w:tr>
      <w:tr>
        <w:trPr>
          <w:trHeight w:val="216"/>
        </w:trPr>
        <w:tc>
          <w:tcPr>
            <w:tcW w:w="5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balances</w:t>
            </w:r>
          </w:p>
        </w:tc>
        <w:tc>
          <w:tcPr>
            <w:tcW w:w="1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(15,070)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(16,424)</w:t>
            </w:r>
          </w:p>
        </w:tc>
      </w:tr>
      <w:tr>
        <w:trPr>
          <w:trHeight w:val="230"/>
        </w:trPr>
        <w:tc>
          <w:tcPr>
            <w:tcW w:w="51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40,998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42,325</w:t>
            </w:r>
          </w:p>
        </w:tc>
      </w:tr>
      <w:tr>
        <w:trPr>
          <w:trHeight w:val="223"/>
        </w:trPr>
        <w:tc>
          <w:tcPr>
            <w:tcW w:w="5160" w:type="dxa"/>
            <w:vAlign w:val="bottom"/>
            <w:tcBorders>
              <w:top w:val="single" w:sz="8" w:color="CCFFCC"/>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174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106,090</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106,227</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F – </w:t>
      </w:r>
      <w:r>
        <w:rPr>
          <w:rFonts w:ascii="Arial" w:cs="Arial" w:eastAsia="Arial" w:hAnsi="Arial"/>
          <w:sz w:val="18"/>
          <w:szCs w:val="18"/>
          <w:u w:val="single" w:color="auto"/>
          <w:color w:val="auto"/>
        </w:rPr>
        <w:t>Investment in Morion, Inc.</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investment in affiliates in the accompanying balance sheets.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July 31, 2012 and 2011, the Company acquired product from Morion in the aggregate amount of approximately $12,000 and $85,000, respectively, and the Company sold product to Morion in the aggregate amount of approximately $30,000 and $766,000, respectively. At July 31, 2012, accounts receivable included $56,000 due from Morion and $6,000 was payable to Morion.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G –ACQUISITION OF ELCOM TECHNOLOGIES, INC.</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February 21, 2012, the Company purchased 74.88% of the capital stock of Elcom Technologies, Inc. (“Elcom” and after the acquisition “FEI-Elcom”). Prior to the acquisition, the Company had a minority ownership interest of 25.12% of the capital stock of Elcom. After the acquisition, the Company owned 100% and changed the subsidiary’s name to FEI-Elcom Tech, Inc. The Company acquired Elcom as, in addition to its own product line, Elcom provides design and technical support for the Company’s satellite business, which accounts for a significant amount of the Company’s consolidated revenue. For the acquisition, the Company paid approximately $4.1 million to the shareholders for their shares of common stock and an additional $910,000 to certain selling shareholders to settle their outstanding debt with Elcom. In addition the Company had notes due from Elcom with a fair value of approximately $1.7 million which was forgiven as an additional investment in Elcom. Based on the amounts paid to the Elcom shareholders, the Company determined that the fair value of Elcom at the date of acquisition was approximately $7.9 million. The Company’s determination of the fair value of Elcom at the date of acquisition included an adjustment for a control premium of 15% based on the total value at the date of acquisition.</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Elcom at the date of the transaction was allocated to $4.6 million of net tangible assets, deferred taxes of $2.6 million, and approximately $700,000 of intangible assets, including goodwill of approximately $400,000. None of the goodwill is expected to be deductible for income tax purposes.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FEI-Elcom transaction was accounted for as a “step acquisition” in accordance with generally accepted accounting principles. Accordingly, the Company remeasured its previously held equity interest in Elcom and adjusted it to fair value. The difference between the fair value of the Company’s ownership in Elcom and the Company’s carrying value of its investment resulted in the recognition of a gain of approximately $730,000 at the date of the acquisition during the fourth quarter of fiscal year 2012.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acquisition of Elcom, the Company recorded its share of Elcom’s income or loss on the equity method. In addition, periodically the Company measured the market value of Elcom based on comparisons to comparable companies as well as Elcom’s forecasts of future financial results. During the second quarter of the prior fiscal year, in addition to its equity share in the income or loss of Elcom during the year, the Company determined that its investment was impaired and recorded impairment charges in the amount $350,000. No impairment charges were recorded during the three months ended July 31, 2011.</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three months ended July 31, 2011, prior to the acquisition of Elcom, the Company acquired technical services from Elcom in the aggregate amount of approximately $16,000 and recorded interest income on notes to Elcom in the amount of approximately $21,000.</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accompanying consolidated statements of income for the three months ended July 31, 2012 include the results of operations of FEI-Elcom. The pro forma financial information set forth below is based upon the Company’s historical consolidated statements of income for the three months ended July 31, 2011, adjusted to give effect to the acquisition of FEI-Elcom as if it had occurred at the beginning of the quarter. The financial information includes the results of operations of FEI-Elcom for the period April 1, 2011 to June 30, 2011.</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 forma financial information is presented for informational purposes only and may not be indicative of what actual results of operations would have been had the acquisition occurred on May 1, 2011, nor does it purport to represent the results of operations for future periods. The pro forma results of operations do not include the gain on the Company’s original investment of $730,000 or the impairment of the Company’s investment in Elcom during fiscal year 2012.</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July 31, 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920" w:type="dxa"/>
            <w:vAlign w:val="bottom"/>
            <w:gridSpan w:val="4"/>
          </w:tcPr>
          <w:p>
            <w:pPr>
              <w:ind w:left="2260"/>
              <w:spacing w:after="0"/>
              <w:rPr>
                <w:sz w:val="20"/>
                <w:szCs w:val="20"/>
                <w:color w:val="auto"/>
              </w:rPr>
            </w:pPr>
            <w:r>
              <w:rPr>
                <w:rFonts w:ascii="Arial" w:cs="Arial" w:eastAsia="Arial" w:hAnsi="Arial"/>
                <w:sz w:val="18"/>
                <w:szCs w:val="18"/>
                <w:color w:val="auto"/>
                <w:w w:val="90"/>
              </w:rPr>
              <w:t>(in thousands except per share data)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2580" w:type="dxa"/>
            <w:vAlign w:val="bottom"/>
            <w:gridSpan w:val="2"/>
            <w:shd w:val="clear" w:color="auto" w:fill="CCFFCC"/>
          </w:tcPr>
          <w:p>
            <w:pPr>
              <w:ind w:left="226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18,986</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Operating profit</w:t>
            </w:r>
          </w:p>
        </w:tc>
        <w:tc>
          <w:tcPr>
            <w:tcW w:w="2260" w:type="dxa"/>
            <w:vAlign w:val="bottom"/>
            <w:tcBorders>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w:t>
            </w:r>
          </w:p>
        </w:tc>
        <w:tc>
          <w:tcPr>
            <w:tcW w:w="2260" w:type="dxa"/>
            <w:vAlign w:val="bottom"/>
            <w:tcBorders>
              <w:bottom w:val="single" w:sz="8" w:color="CCFFCC"/>
            </w:tcBorders>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1,312</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spacing w:after="0"/>
              <w:rPr>
                <w:sz w:val="20"/>
                <w:szCs w:val="20"/>
                <w:color w:val="auto"/>
              </w:rPr>
            </w:pPr>
            <w:r>
              <w:rPr>
                <w:rFonts w:ascii="Arial" w:cs="Arial" w:eastAsia="Arial" w:hAnsi="Arial"/>
                <w:sz w:val="18"/>
                <w:szCs w:val="18"/>
                <w:color w:val="auto"/>
              </w:rPr>
              <w:t>Earnings per share- basic</w:t>
            </w:r>
          </w:p>
        </w:tc>
        <w:tc>
          <w:tcPr>
            <w:tcW w:w="22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Borders>
              <w:bottom w:val="single" w:sz="8" w:color="CCFFCC"/>
            </w:tcBorders>
            <w:vMerge w:val="continue"/>
          </w:tcPr>
          <w:p>
            <w:pPr>
              <w:spacing w:after="0"/>
              <w:rPr>
                <w:sz w:val="20"/>
                <w:szCs w:val="20"/>
                <w:color w:val="auto"/>
              </w:rPr>
            </w:pPr>
          </w:p>
        </w:tc>
        <w:tc>
          <w:tcPr>
            <w:tcW w:w="2260" w:type="dxa"/>
            <w:vAlign w:val="bottom"/>
            <w:tcBorders>
              <w:bottom w:val="single" w:sz="8" w:color="CCFFCC"/>
            </w:tcBorders>
            <w:vMerge w:val="continue"/>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Earnings per share- diluted</w:t>
            </w:r>
          </w:p>
        </w:tc>
        <w:tc>
          <w:tcPr>
            <w:tcW w:w="2260" w:type="dxa"/>
            <w:vAlign w:val="bottom"/>
            <w:tcBorders>
              <w:bottom w:val="single" w:sz="8" w:color="CCFFCC"/>
            </w:tcBorders>
            <w:shd w:val="clear" w:color="auto" w:fill="CCFFCC"/>
          </w:tcPr>
          <w:p>
            <w:pPr>
              <w:spacing w:after="0"/>
              <w:rPr>
                <w:sz w:val="17"/>
                <w:szCs w:val="17"/>
                <w:color w:val="auto"/>
              </w:rPr>
            </w:pPr>
          </w:p>
        </w:tc>
        <w:tc>
          <w:tcPr>
            <w:tcW w:w="320" w:type="dxa"/>
            <w:vAlign w:val="bottom"/>
            <w:tcBorders>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0.15</w:t>
            </w:r>
          </w:p>
        </w:tc>
        <w:tc>
          <w:tcPr>
            <w:tcW w:w="8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OF FINANCIAL INSTRUMENTS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2012 and April 30, 2012 are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color w:val="auto"/>
              </w:rPr>
              <w:t>July 31, 2012</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12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0"/>
        </w:trPr>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Unrealized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Market</w:t>
            </w:r>
          </w:p>
        </w:tc>
        <w:tc>
          <w:tcPr>
            <w:tcW w:w="82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422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CFFCC"/>
            </w:tcBorders>
          </w:tcPr>
          <w:p>
            <w:pPr>
              <w:spacing w:after="0"/>
              <w:rPr>
                <w:sz w:val="20"/>
                <w:szCs w:val="20"/>
                <w:color w:val="auto"/>
              </w:rPr>
            </w:pPr>
          </w:p>
        </w:tc>
        <w:tc>
          <w:tcPr>
            <w:tcW w:w="8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840" w:type="dxa"/>
            <w:vAlign w:val="bottom"/>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10,210</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10,516</w:t>
            </w:r>
          </w:p>
        </w:tc>
        <w:tc>
          <w:tcPr>
            <w:tcW w:w="100" w:type="dxa"/>
            <w:vAlign w:val="bottom"/>
            <w:shd w:val="clear" w:color="auto" w:fill="CCFFCC"/>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5,467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781</w:t>
            </w: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220" w:type="dxa"/>
            <w:vAlign w:val="bottom"/>
            <w:tcBorders>
              <w:top w:val="single" w:sz="8" w:color="CCFFCC"/>
              <w:bottom w:val="single" w:sz="8" w:color="CCFFCC"/>
            </w:tcBorders>
            <w:shd w:val="clear" w:color="auto" w:fill="CCFFCC"/>
          </w:tcPr>
          <w:p>
            <w:pPr>
              <w:spacing w:after="0"/>
              <w:rPr>
                <w:sz w:val="19"/>
                <w:szCs w:val="19"/>
                <w:color w:val="auto"/>
              </w:rPr>
            </w:pPr>
          </w:p>
        </w:tc>
        <w:tc>
          <w:tcPr>
            <w:tcW w:w="840" w:type="dxa"/>
            <w:vAlign w:val="bottom"/>
            <w:tcBorders>
              <w:top w:val="single" w:sz="8" w:color="auto"/>
              <w:bottom w:val="single" w:sz="8" w:color="auto"/>
            </w:tcBorders>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15,677</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1,089</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16,678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8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8"/>
                <w:szCs w:val="18"/>
                <w:color w:val="auto"/>
              </w:rPr>
              <w:t>April 30, 2012</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12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0"/>
        </w:trPr>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Unrealized</w:t>
            </w:r>
          </w:p>
        </w:tc>
        <w:tc>
          <w:tcPr>
            <w:tcW w:w="18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Unrealized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Market</w:t>
            </w:r>
          </w:p>
        </w:tc>
        <w:tc>
          <w:tcPr>
            <w:tcW w:w="82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422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CFFCC"/>
            </w:tcBorders>
          </w:tcPr>
          <w:p>
            <w:pPr>
              <w:spacing w:after="0"/>
              <w:rPr>
                <w:sz w:val="20"/>
                <w:szCs w:val="20"/>
                <w:color w:val="auto"/>
              </w:rPr>
            </w:pPr>
          </w:p>
        </w:tc>
        <w:tc>
          <w:tcPr>
            <w:tcW w:w="8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840" w:type="dxa"/>
            <w:vAlign w:val="bottom"/>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11,573</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shd w:val="clear" w:color="auto" w:fill="CCFFCC"/>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8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5,411</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220" w:type="dxa"/>
            <w:vAlign w:val="bottom"/>
            <w:tcBorders>
              <w:top w:val="single" w:sz="8" w:color="CCFFCC"/>
              <w:bottom w:val="single" w:sz="8" w:color="CCFFCC"/>
            </w:tcBorders>
            <w:shd w:val="clear" w:color="auto" w:fill="CCFFCC"/>
          </w:tcPr>
          <w:p>
            <w:pPr>
              <w:spacing w:after="0"/>
              <w:rPr>
                <w:sz w:val="19"/>
                <w:szCs w:val="19"/>
                <w:color w:val="auto"/>
              </w:rPr>
            </w:pPr>
          </w:p>
        </w:tc>
        <w:tc>
          <w:tcPr>
            <w:tcW w:w="840" w:type="dxa"/>
            <w:vAlign w:val="bottom"/>
            <w:tcBorders>
              <w:top w:val="single" w:sz="8" w:color="auto"/>
              <w:bottom w:val="single" w:sz="8" w:color="auto"/>
            </w:tcBorders>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16,984</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17,658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8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0"/>
              </w:rPr>
              <w:t>9 of 21</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ind w:left="80"/>
              <w:spacing w:after="0"/>
              <w:rPr>
                <w:sz w:val="20"/>
                <w:szCs w:val="20"/>
                <w:color w:val="auto"/>
              </w:rPr>
            </w:pPr>
            <w:r>
              <w:rPr>
                <w:rFonts w:ascii="Arial" w:cs="Arial" w:eastAsia="Arial" w:hAnsi="Arial"/>
                <w:sz w:val="18"/>
                <w:szCs w:val="18"/>
                <w:color w:val="auto"/>
              </w:rPr>
              <w:t>Less than 12 months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12 Months or more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Fair</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Fair</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Unrealized</w:t>
            </w:r>
          </w:p>
        </w:tc>
        <w:tc>
          <w:tcPr>
            <w:tcW w:w="100" w:type="dxa"/>
            <w:vAlign w:val="bottom"/>
            <w:gridSpan w:val="2"/>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Value</w:t>
            </w:r>
          </w:p>
        </w:tc>
        <w:tc>
          <w:tcPr>
            <w:tcW w:w="680" w:type="dxa"/>
            <w:vAlign w:val="bottom"/>
          </w:tcPr>
          <w:p>
            <w:pPr>
              <w:jc w:val="right"/>
              <w:spacing w:after="0"/>
              <w:rPr>
                <w:sz w:val="20"/>
                <w:szCs w:val="20"/>
                <w:color w:val="auto"/>
              </w:rPr>
            </w:pPr>
            <w:r>
              <w:rPr>
                <w:rFonts w:ascii="Arial" w:cs="Arial" w:eastAsia="Arial" w:hAnsi="Arial"/>
                <w:sz w:val="18"/>
                <w:szCs w:val="18"/>
                <w:color w:val="auto"/>
              </w:rPr>
              <w:t>Losses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w w:val="87"/>
              </w:rPr>
              <w:t>Losses</w:t>
            </w:r>
          </w:p>
        </w:tc>
      </w:tr>
      <w:tr>
        <w:trPr>
          <w:trHeight w:val="190"/>
        </w:trPr>
        <w:tc>
          <w:tcPr>
            <w:tcW w:w="20" w:type="dxa"/>
            <w:vAlign w:val="bottom"/>
          </w:tcPr>
          <w:p>
            <w:pPr>
              <w:spacing w:after="0"/>
              <w:rPr>
                <w:sz w:val="16"/>
                <w:szCs w:val="16"/>
                <w:color w:val="auto"/>
              </w:rPr>
            </w:pPr>
          </w:p>
        </w:tc>
        <w:tc>
          <w:tcPr>
            <w:tcW w:w="140" w:type="dxa"/>
            <w:vAlign w:val="bottom"/>
            <w:tcBorders>
              <w:top w:val="single" w:sz="8" w:color="CCFFCC"/>
              <w:bottom w:val="single" w:sz="8" w:color="CCFFCC"/>
            </w:tcBorders>
            <w:shd w:val="clear" w:color="auto" w:fill="CCFFCC"/>
          </w:tcPr>
          <w:p>
            <w:pPr>
              <w:spacing w:after="0"/>
              <w:rPr>
                <w:sz w:val="16"/>
                <w:szCs w:val="16"/>
                <w:color w:val="auto"/>
              </w:rPr>
            </w:pPr>
          </w:p>
        </w:tc>
        <w:tc>
          <w:tcPr>
            <w:tcW w:w="980" w:type="dxa"/>
            <w:vAlign w:val="bottom"/>
            <w:tcBorders>
              <w:top w:val="single" w:sz="8" w:color="CCFFCC"/>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color w:val="auto"/>
                <w:w w:val="89"/>
              </w:rPr>
              <w:t>July 31, 2012</w:t>
            </w:r>
          </w:p>
        </w:tc>
        <w:tc>
          <w:tcPr>
            <w:tcW w:w="1900" w:type="dxa"/>
            <w:vAlign w:val="bottom"/>
            <w:tcBorders>
              <w:top w:val="single" w:sz="8" w:color="CCFFCC"/>
              <w:bottom w:val="single" w:sz="8" w:color="CCFFCC"/>
            </w:tcBorders>
            <w:gridSpan w:val="2"/>
            <w:shd w:val="clear" w:color="auto" w:fill="CCFFCC"/>
          </w:tcPr>
          <w:p>
            <w:pPr>
              <w:spacing w:after="0"/>
              <w:rPr>
                <w:sz w:val="16"/>
                <w:szCs w:val="16"/>
                <w:color w:val="auto"/>
              </w:rPr>
            </w:pPr>
          </w:p>
        </w:tc>
        <w:tc>
          <w:tcPr>
            <w:tcW w:w="1280" w:type="dxa"/>
            <w:vAlign w:val="bottom"/>
            <w:tcBorders>
              <w:top w:val="single" w:sz="8" w:color="CCFFCC"/>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70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720" w:type="dxa"/>
            <w:vAlign w:val="bottom"/>
            <w:tcBorders>
              <w:top w:val="single" w:sz="8" w:color="auto"/>
              <w:bottom w:val="single" w:sz="8" w:color="CCFFCC"/>
            </w:tcBorders>
            <w:shd w:val="clear" w:color="auto" w:fill="CCFFCC"/>
          </w:tcPr>
          <w:p>
            <w:pPr>
              <w:spacing w:after="0"/>
              <w:rPr>
                <w:sz w:val="16"/>
                <w:szCs w:val="16"/>
                <w:color w:val="auto"/>
              </w:rPr>
            </w:pPr>
          </w:p>
        </w:tc>
        <w:tc>
          <w:tcPr>
            <w:tcW w:w="140" w:type="dxa"/>
            <w:vAlign w:val="bottom"/>
            <w:tcBorders>
              <w:top w:val="single" w:sz="8" w:color="CCFFCC"/>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70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680" w:type="dxa"/>
            <w:vAlign w:val="bottom"/>
            <w:tcBorders>
              <w:top w:val="single" w:sz="8" w:color="auto"/>
              <w:bottom w:val="single" w:sz="8" w:color="CCFFCC"/>
            </w:tcBorders>
            <w:shd w:val="clear" w:color="auto" w:fill="CCFFCC"/>
          </w:tcPr>
          <w:p>
            <w:pPr>
              <w:spacing w:after="0"/>
              <w:rPr>
                <w:sz w:val="16"/>
                <w:szCs w:val="16"/>
                <w:color w:val="auto"/>
              </w:rPr>
            </w:pPr>
          </w:p>
        </w:tc>
        <w:tc>
          <w:tcPr>
            <w:tcW w:w="16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680" w:type="dxa"/>
            <w:vAlign w:val="bottom"/>
            <w:tcBorders>
              <w:top w:val="single" w:sz="8" w:color="auto"/>
              <w:bottom w:val="single" w:sz="8" w:color="CCFFCC"/>
            </w:tcBorders>
            <w:shd w:val="clear" w:color="auto" w:fill="CCFFCC"/>
          </w:tcPr>
          <w:p>
            <w:pPr>
              <w:spacing w:after="0"/>
              <w:rPr>
                <w:sz w:val="16"/>
                <w:szCs w:val="16"/>
                <w:color w:val="auto"/>
              </w:rPr>
            </w:pPr>
          </w:p>
        </w:tc>
        <w:tc>
          <w:tcPr>
            <w:tcW w:w="180" w:type="dxa"/>
            <w:vAlign w:val="bottom"/>
            <w:tcBorders>
              <w:top w:val="single" w:sz="8" w:color="CCFFCC"/>
              <w:bottom w:val="single" w:sz="8" w:color="CCFFCC"/>
            </w:tcBorders>
            <w:shd w:val="clear" w:color="auto" w:fill="CCFFCC"/>
          </w:tcPr>
          <w:p>
            <w:pPr>
              <w:spacing w:after="0"/>
              <w:rPr>
                <w:sz w:val="16"/>
                <w:szCs w:val="16"/>
                <w:color w:val="auto"/>
              </w:rPr>
            </w:pPr>
          </w:p>
        </w:tc>
        <w:tc>
          <w:tcPr>
            <w:tcW w:w="20" w:type="dxa"/>
            <w:vAlign w:val="bottom"/>
            <w:tcBorders>
              <w:top w:val="single" w:sz="8" w:color="CCFFCC"/>
              <w:bottom w:val="single" w:sz="8" w:color="CCFFCC"/>
            </w:tcBorders>
            <w:shd w:val="clear" w:color="auto" w:fill="CCFFCC"/>
          </w:tcPr>
          <w:p>
            <w:pPr>
              <w:spacing w:after="0"/>
              <w:rPr>
                <w:sz w:val="16"/>
                <w:szCs w:val="16"/>
                <w:color w:val="auto"/>
              </w:rPr>
            </w:pPr>
          </w:p>
        </w:tc>
        <w:tc>
          <w:tcPr>
            <w:tcW w:w="120" w:type="dxa"/>
            <w:vAlign w:val="bottom"/>
            <w:tcBorders>
              <w:top w:val="single" w:sz="8" w:color="auto"/>
              <w:bottom w:val="single" w:sz="8" w:color="CCFFCC"/>
            </w:tcBorders>
            <w:shd w:val="clear" w:color="auto" w:fill="CCFFCC"/>
          </w:tcPr>
          <w:p>
            <w:pPr>
              <w:spacing w:after="0"/>
              <w:rPr>
                <w:sz w:val="16"/>
                <w:szCs w:val="16"/>
                <w:color w:val="auto"/>
              </w:rPr>
            </w:pPr>
          </w:p>
        </w:tc>
        <w:tc>
          <w:tcPr>
            <w:tcW w:w="680" w:type="dxa"/>
            <w:vAlign w:val="bottom"/>
            <w:tcBorders>
              <w:top w:val="single" w:sz="8" w:color="auto"/>
              <w:bottom w:val="single" w:sz="8" w:color="CCFFCC"/>
            </w:tcBorders>
            <w:shd w:val="clear" w:color="auto" w:fill="CCFFCC"/>
          </w:tcPr>
          <w:p>
            <w:pPr>
              <w:spacing w:after="0"/>
              <w:rPr>
                <w:sz w:val="16"/>
                <w:szCs w:val="16"/>
                <w:color w:val="auto"/>
              </w:rPr>
            </w:pPr>
          </w:p>
        </w:tc>
        <w:tc>
          <w:tcPr>
            <w:tcW w:w="20" w:type="dxa"/>
            <w:vAlign w:val="bottom"/>
            <w:tcBorders>
              <w:top w:val="single" w:sz="8" w:color="CCFFCC"/>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ind w:right="52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30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w:t>
            </w:r>
          </w:p>
        </w:tc>
        <w:tc>
          <w:tcPr>
            <w:tcW w:w="680" w:type="dxa"/>
            <w:vAlign w:val="bottom"/>
            <w:shd w:val="clear" w:color="auto" w:fill="CCFFCC"/>
          </w:tcPr>
          <w:p>
            <w:pPr>
              <w:spacing w:after="0"/>
              <w:rPr>
                <w:sz w:val="19"/>
                <w:szCs w:val="19"/>
                <w:color w:val="auto"/>
              </w:rPr>
            </w:pPr>
          </w:p>
        </w:tc>
        <w:tc>
          <w:tcPr>
            <w:tcW w:w="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0"/>
              </w:rPr>
              <w:t>(2)</w:t>
            </w:r>
          </w:p>
        </w:tc>
        <w:tc>
          <w:tcPr>
            <w:tcW w:w="14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494</w:t>
            </w: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(86)</w:t>
            </w:r>
          </w:p>
        </w:tc>
      </w:tr>
      <w:tr>
        <w:trPr>
          <w:trHeight w:val="263"/>
        </w:trPr>
        <w:tc>
          <w:tcPr>
            <w:tcW w:w="20" w:type="dxa"/>
            <w:vAlign w:val="bottom"/>
          </w:tcPr>
          <w:p>
            <w:pPr>
              <w:spacing w:after="0"/>
              <w:rPr>
                <w:sz w:val="22"/>
                <w:szCs w:val="22"/>
                <w:color w:val="auto"/>
              </w:rPr>
            </w:pPr>
          </w:p>
        </w:tc>
        <w:tc>
          <w:tcPr>
            <w:tcW w:w="140" w:type="dxa"/>
            <w:vAlign w:val="bottom"/>
            <w:tcBorders>
              <w:bottom w:val="single" w:sz="8" w:color="CCFFCC"/>
            </w:tcBorders>
          </w:tcPr>
          <w:p>
            <w:pPr>
              <w:spacing w:after="0"/>
              <w:rPr>
                <w:sz w:val="22"/>
                <w:szCs w:val="22"/>
                <w:color w:val="auto"/>
              </w:rPr>
            </w:pPr>
          </w:p>
        </w:tc>
        <w:tc>
          <w:tcPr>
            <w:tcW w:w="98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820" w:type="dxa"/>
            <w:vAlign w:val="bottom"/>
            <w:tcBorders>
              <w:bottom w:val="single" w:sz="8" w:color="CCFFCC"/>
            </w:tcBorders>
          </w:tcPr>
          <w:p>
            <w:pPr>
              <w:spacing w:after="0"/>
              <w:rPr>
                <w:sz w:val="22"/>
                <w:szCs w:val="22"/>
                <w:color w:val="auto"/>
              </w:rPr>
            </w:pPr>
          </w:p>
        </w:tc>
        <w:tc>
          <w:tcPr>
            <w:tcW w:w="128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79"/>
              </w:rPr>
              <w:t>466</w:t>
            </w:r>
          </w:p>
        </w:tc>
        <w:tc>
          <w:tcPr>
            <w:tcW w:w="22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FFCC"/>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Borders>
              <w:bottom w:val="single" w:sz="8" w:color="CCFFCC"/>
            </w:tcBorders>
          </w:tcPr>
          <w:p>
            <w:pPr>
              <w:spacing w:after="0"/>
              <w:rPr>
                <w:sz w:val="22"/>
                <w:szCs w:val="22"/>
                <w:color w:val="auto"/>
              </w:rPr>
            </w:pPr>
          </w:p>
        </w:tc>
        <w:tc>
          <w:tcPr>
            <w:tcW w:w="2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FF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77"/>
        </w:trPr>
        <w:tc>
          <w:tcPr>
            <w:tcW w:w="20" w:type="dxa"/>
            <w:vAlign w:val="bottom"/>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1060" w:type="dxa"/>
            <w:vAlign w:val="bottom"/>
            <w:tcBorders>
              <w:bottom w:val="single" w:sz="8" w:color="auto"/>
            </w:tcBorders>
            <w:gridSpan w:val="2"/>
            <w:shd w:val="clear" w:color="auto" w:fill="CCFFCC"/>
          </w:tcPr>
          <w:p>
            <w:pPr>
              <w:spacing w:after="0" w:line="156" w:lineRule="exact"/>
              <w:rPr>
                <w:sz w:val="20"/>
                <w:szCs w:val="20"/>
                <w:color w:val="auto"/>
              </w:rPr>
            </w:pPr>
            <w:r>
              <w:rPr>
                <w:rFonts w:ascii="Arial" w:cs="Arial" w:eastAsia="Arial" w:hAnsi="Arial"/>
                <w:sz w:val="18"/>
                <w:szCs w:val="18"/>
                <w:color w:val="auto"/>
                <w:w w:val="93"/>
              </w:rPr>
              <w:t>April 30, 2012</w:t>
            </w:r>
          </w:p>
        </w:tc>
        <w:tc>
          <w:tcPr>
            <w:tcW w:w="1820" w:type="dxa"/>
            <w:vAlign w:val="bottom"/>
            <w:tcBorders>
              <w:bottom w:val="single" w:sz="8" w:color="CCFFCC"/>
            </w:tcBorders>
            <w:shd w:val="clear" w:color="auto" w:fill="CCFFCC"/>
          </w:tcPr>
          <w:p>
            <w:pPr>
              <w:spacing w:after="0"/>
              <w:rPr>
                <w:sz w:val="15"/>
                <w:szCs w:val="15"/>
                <w:color w:val="auto"/>
              </w:rPr>
            </w:pPr>
          </w:p>
        </w:tc>
        <w:tc>
          <w:tcPr>
            <w:tcW w:w="128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70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72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70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68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680" w:type="dxa"/>
            <w:vAlign w:val="bottom"/>
            <w:tcBorders>
              <w:bottom w:val="single" w:sz="8" w:color="CCFFCC"/>
            </w:tcBorders>
            <w:shd w:val="clear" w:color="auto" w:fill="CCFFCC"/>
          </w:tcPr>
          <w:p>
            <w:pPr>
              <w:spacing w:after="0"/>
              <w:rPr>
                <w:sz w:val="15"/>
                <w:szCs w:val="15"/>
                <w:color w:val="auto"/>
              </w:rPr>
            </w:pPr>
          </w:p>
        </w:tc>
        <w:tc>
          <w:tcPr>
            <w:tcW w:w="180" w:type="dxa"/>
            <w:vAlign w:val="bottom"/>
            <w:tcBorders>
              <w:bottom w:val="single" w:sz="8" w:color="CCFFCC"/>
            </w:tcBorders>
            <w:shd w:val="clear" w:color="auto" w:fill="CCFFCC"/>
          </w:tcPr>
          <w:p>
            <w:pPr>
              <w:spacing w:after="0"/>
              <w:rPr>
                <w:sz w:val="15"/>
                <w:szCs w:val="15"/>
                <w:color w:val="auto"/>
              </w:rPr>
            </w:pPr>
          </w:p>
        </w:tc>
        <w:tc>
          <w:tcPr>
            <w:tcW w:w="20" w:type="dxa"/>
            <w:vAlign w:val="bottom"/>
            <w:tcBorders>
              <w:bottom w:val="single" w:sz="8" w:color="CCFFCC"/>
            </w:tcBorders>
            <w:shd w:val="clear" w:color="auto" w:fill="CCFFCC"/>
          </w:tcPr>
          <w:p>
            <w:pPr>
              <w:spacing w:after="0"/>
              <w:rPr>
                <w:sz w:val="15"/>
                <w:szCs w:val="15"/>
                <w:color w:val="auto"/>
              </w:rPr>
            </w:pPr>
          </w:p>
        </w:tc>
        <w:tc>
          <w:tcPr>
            <w:tcW w:w="120" w:type="dxa"/>
            <w:vAlign w:val="bottom"/>
            <w:tcBorders>
              <w:bottom w:val="single" w:sz="8" w:color="CCFFCC"/>
            </w:tcBorders>
            <w:shd w:val="clear" w:color="auto" w:fill="CCFFCC"/>
          </w:tcPr>
          <w:p>
            <w:pPr>
              <w:spacing w:after="0"/>
              <w:rPr>
                <w:sz w:val="15"/>
                <w:szCs w:val="15"/>
                <w:color w:val="auto"/>
              </w:rPr>
            </w:pPr>
          </w:p>
        </w:tc>
        <w:tc>
          <w:tcPr>
            <w:tcW w:w="680" w:type="dxa"/>
            <w:vAlign w:val="bottom"/>
            <w:tcBorders>
              <w:bottom w:val="single" w:sz="8" w:color="CCFFCC"/>
            </w:tcBorders>
            <w:shd w:val="clear" w:color="auto" w:fill="CCFFCC"/>
          </w:tcPr>
          <w:p>
            <w:pPr>
              <w:spacing w:after="0"/>
              <w:rPr>
                <w:sz w:val="15"/>
                <w:szCs w:val="15"/>
                <w:color w:val="auto"/>
              </w:rPr>
            </w:pPr>
          </w:p>
        </w:tc>
        <w:tc>
          <w:tcPr>
            <w:tcW w:w="2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301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ind w:right="52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30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2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539</w:t>
            </w: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(169)</w:t>
            </w: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79"/>
              </w:rPr>
              <w:t>840</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ind w:right="52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2012 are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July 31, 2012 and 2011, the Company redeemed available-for-sale securities in the amounts of $2.0 million and $4.5 million, respectively, realizing no gain in fiscal year 2013 and realized a gain of $6,800 in fiscal year 2012, which amounts are included in the determination of net income for those periods.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fixed income securities classified as available-for-sale at July 31, 2012 are as follows, at cost (in thousands):</w:t>
      </w:r>
    </w:p>
    <w:p>
      <w:pPr>
        <w:spacing w:after="0" w:line="24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420" w:type="dxa"/>
            <w:vAlign w:val="bottom"/>
            <w:gridSpan w:val="2"/>
            <w:shd w:val="clear" w:color="auto" w:fill="CCFFCC"/>
          </w:tcPr>
          <w:p>
            <w:pPr>
              <w:jc w:val="right"/>
              <w:ind w:right="24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1,005</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8,542</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20" w:type="dxa"/>
            <w:vAlign w:val="bottom"/>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663</w:t>
            </w:r>
          </w:p>
        </w:tc>
        <w:tc>
          <w:tcPr>
            <w:tcW w:w="60" w:type="dxa"/>
            <w:vAlign w:val="bottom"/>
            <w:shd w:val="clear" w:color="auto" w:fill="CCFFC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6" w:lineRule="exact"/>
        <w:rPr>
          <w:sz w:val="20"/>
          <w:szCs w:val="20"/>
          <w:color w:val="auto"/>
        </w:rPr>
      </w:pPr>
    </w:p>
    <w:p>
      <w:pPr>
        <w:ind w:left="1300" w:right="20" w:hanging="971"/>
        <w:spacing w:after="0" w:line="277" w:lineRule="auto"/>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Level2</w:t>
      </w:r>
      <w:r>
        <w:rPr>
          <w:sz w:val="20"/>
          <w:szCs w:val="20"/>
          <w:color w:val="auto"/>
        </w:rPr>
        <w:tab/>
      </w:r>
      <w:r>
        <w:rPr>
          <w:rFonts w:ascii="Arial" w:cs="Arial" w:eastAsia="Arial" w:hAnsi="Arial"/>
          <w:sz w:val="18"/>
          <w:szCs w:val="18"/>
          <w:color w:val="auto"/>
        </w:rPr>
        <w:t>Inputs to the valuation methodology include:</w:t>
      </w:r>
    </w:p>
    <w:p>
      <w:pPr>
        <w:spacing w:after="0" w:line="23" w:lineRule="exact"/>
        <w:rPr>
          <w:sz w:val="20"/>
          <w:szCs w:val="20"/>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Level3</w:t>
      </w:r>
      <w:r>
        <w:rPr>
          <w:sz w:val="20"/>
          <w:szCs w:val="20"/>
          <w:color w:val="auto"/>
        </w:rPr>
        <w:tab/>
      </w:r>
      <w:r>
        <w:rPr>
          <w:rFonts w:ascii="Arial" w:cs="Arial" w:eastAsia="Arial" w:hAnsi="Arial"/>
          <w:sz w:val="18"/>
          <w:szCs w:val="18"/>
          <w:color w:val="auto"/>
        </w:rPr>
        <w:t>Inputs to the valuation methodology are unobservable and significant to the fair value measurement.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I - RECENTLY ISSUED ACCOUNTING PRONOUNCEMENTS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2011, the Financial Accounting Standards Board (“FASB”) issued Accounting Standards Update (“ASU”) No. 2011-05 “Comprehensive Income (Topic 220): Presentation of Comprehensive Income” (“ASU No. 2011-05”). Under ASU No. 2011-5, an entity has the option to present the total of comprehensive income, the components of net income, and the components of other comprehensive income either in a single continuous statement of comprehensive income or in two separate but consecutive statements. Regardless of which option is selected, an entity is required to present each component of net income along with total net income, each component of other comprehensive income along with a total for other comprehensive income, and a total amount for comprehensive income. ASU No. 2011-5 eliminates the option (previously utilized by the Company) to present the components of other comprehensive income as part of the statement of changes in stockholders’ equity. ASU No. 2011-5 was adopted by the Company at the beginning of the current fiscal year, and affects only the presentation of financial statements and has no financial impact on the Company’s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J – INCOME TAXES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fiscal years 2012 and 2011, the Company reduced the valuation allowance on the deferred tax assets of its U.S. subsidiaries. Consequently, for the three months ended July 31, 2012 and 2011, the Company recorded provisions for income taxes based on both current taxes due in the United States as well as the tax provision or benefit to be realized from temporary tax differences. As of July 31, 2012 and April 30, 2012, the remaining deferred tax asset valuation allowance is approximately $1.5 million and is primarily related to deferred tax assets of the Company’s non-U.S.-based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K – TREASURY STOCK TRANSACTIONS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 period ended July 31, 2012, the Company made a contribution of 15,075 shares of its common stock held in treasury to the Company’s profit sharing plan and trust under section 401(k) of the Internal Revenue Code. Such contributions are in accordance with the Company’s discretionary match of employee voluntary contributions to this plan. During the same period, the Company issued 14,073 shares from treasury upon the exercise of stock options and SARs by certain officers and employees of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for revisions or changes after the date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2012.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updating estimated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and obsolete items and are based upon management’s experience and expectations for future business. Any changes arising from revised expectations are reflected in cost of sales in the period the revision is made.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492"/>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sets forth for the respective periods of fiscal years 2013 and 2012 (which end on April 30, 2013 and 2012, respectively) the percentage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gridSpan w:val="4"/>
          </w:tcPr>
          <w:p>
            <w:pPr>
              <w:jc w:val="right"/>
              <w:ind w:right="370"/>
              <w:spacing w:after="0"/>
              <w:rPr>
                <w:sz w:val="20"/>
                <w:szCs w:val="20"/>
                <w:color w:val="auto"/>
              </w:rPr>
            </w:pPr>
            <w:r>
              <w:rPr>
                <w:rFonts w:ascii="Arial" w:cs="Arial" w:eastAsia="Arial" w:hAnsi="Arial"/>
                <w:sz w:val="18"/>
                <w:szCs w:val="18"/>
                <w:color w:val="auto"/>
                <w:w w:val="89"/>
              </w:rPr>
              <w:t>of consolidated revenues represented by certain items in the Company’s consolidated statements of operations: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440" w:type="dxa"/>
            <w:vAlign w:val="bottom"/>
            <w:gridSpan w:val="4"/>
          </w:tcPr>
          <w:p>
            <w:pPr>
              <w:jc w:val="right"/>
              <w:ind w:right="170"/>
              <w:spacing w:after="0"/>
              <w:rPr>
                <w:sz w:val="20"/>
                <w:szCs w:val="20"/>
                <w:color w:val="auto"/>
              </w:rPr>
            </w:pPr>
            <w:r>
              <w:rPr>
                <w:rFonts w:ascii="Arial" w:cs="Arial" w:eastAsia="Arial" w:hAnsi="Arial"/>
                <w:sz w:val="18"/>
                <w:szCs w:val="18"/>
                <w:color w:val="auto"/>
                <w:w w:val="92"/>
              </w:rPr>
              <w:t>Three months ended July 31,</w:t>
            </w:r>
          </w:p>
        </w:tc>
      </w:tr>
      <w:tr>
        <w:trPr>
          <w:trHeight w:val="230"/>
        </w:trPr>
        <w:tc>
          <w:tcPr>
            <w:tcW w:w="260" w:type="dxa"/>
            <w:vAlign w:val="bottom"/>
          </w:tcPr>
          <w:p>
            <w:pPr>
              <w:spacing w:after="0"/>
              <w:rPr>
                <w:sz w:val="20"/>
                <w:szCs w:val="20"/>
                <w:color w:val="auto"/>
              </w:rPr>
            </w:pPr>
          </w:p>
        </w:tc>
        <w:tc>
          <w:tcPr>
            <w:tcW w:w="69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CCFFCC"/>
            </w:tcBorders>
          </w:tcPr>
          <w:p>
            <w:pPr>
              <w:spacing w:after="0"/>
              <w:rPr>
                <w:sz w:val="20"/>
                <w:szCs w:val="20"/>
                <w:color w:val="auto"/>
              </w:rPr>
            </w:pPr>
          </w:p>
        </w:tc>
      </w:tr>
      <w:tr>
        <w:trPr>
          <w:trHeight w:val="210"/>
        </w:trPr>
        <w:tc>
          <w:tcPr>
            <w:tcW w:w="26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Net Revenues</w:t>
            </w:r>
          </w:p>
        </w:tc>
        <w:tc>
          <w:tcPr>
            <w:tcW w:w="10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FEI-NY</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71.0%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260" w:type="dxa"/>
            <w:vAlign w:val="bottom"/>
          </w:tcPr>
          <w:p>
            <w:pPr>
              <w:spacing w:after="0"/>
              <w:rPr>
                <w:sz w:val="18"/>
                <w:szCs w:val="18"/>
                <w:color w:val="auto"/>
              </w:rPr>
            </w:pPr>
          </w:p>
        </w:tc>
        <w:tc>
          <w:tcPr>
            <w:tcW w:w="6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126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11.4</w:t>
            </w:r>
          </w:p>
        </w:tc>
        <w:tc>
          <w:tcPr>
            <w:tcW w:w="11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12.5</w:t>
            </w:r>
          </w:p>
        </w:tc>
      </w:tr>
      <w:tr>
        <w:trPr>
          <w:trHeight w:val="216"/>
        </w:trPr>
        <w:tc>
          <w:tcPr>
            <w:tcW w:w="26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FEI-Zyfer</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20.1</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23.7</w:t>
            </w:r>
          </w:p>
        </w:tc>
      </w:tr>
      <w:tr>
        <w:trPr>
          <w:trHeight w:val="230"/>
        </w:trPr>
        <w:tc>
          <w:tcPr>
            <w:tcW w:w="260" w:type="dxa"/>
            <w:vAlign w:val="bottom"/>
          </w:tcPr>
          <w:p>
            <w:pPr>
              <w:spacing w:after="0"/>
              <w:rPr>
                <w:sz w:val="19"/>
                <w:szCs w:val="19"/>
                <w:color w:val="auto"/>
              </w:rPr>
            </w:pPr>
          </w:p>
        </w:tc>
        <w:tc>
          <w:tcPr>
            <w:tcW w:w="69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intersegment revenues</w:t>
            </w:r>
          </w:p>
        </w:tc>
        <w:tc>
          <w:tcPr>
            <w:tcW w:w="12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(2.5)</w:t>
            </w:r>
          </w:p>
        </w:tc>
        <w:tc>
          <w:tcPr>
            <w:tcW w:w="11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(2.8)</w:t>
            </w:r>
          </w:p>
        </w:tc>
      </w:tr>
      <w:tr>
        <w:trPr>
          <w:trHeight w:val="210"/>
        </w:trPr>
        <w:tc>
          <w:tcPr>
            <w:tcW w:w="2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Cost of revenues</w:t>
            </w:r>
          </w:p>
        </w:tc>
        <w:tc>
          <w:tcPr>
            <w:tcW w:w="126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64.2</w:t>
            </w:r>
          </w:p>
        </w:tc>
        <w:tc>
          <w:tcPr>
            <w:tcW w:w="11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61.5</w:t>
            </w:r>
          </w:p>
        </w:tc>
      </w:tr>
      <w:tr>
        <w:trPr>
          <w:trHeight w:val="210"/>
        </w:trPr>
        <w:tc>
          <w:tcPr>
            <w:tcW w:w="260" w:type="dxa"/>
            <w:vAlign w:val="bottom"/>
          </w:tcPr>
          <w:p>
            <w:pPr>
              <w:spacing w:after="0"/>
              <w:rPr>
                <w:sz w:val="18"/>
                <w:szCs w:val="18"/>
                <w:color w:val="auto"/>
              </w:rPr>
            </w:pPr>
          </w:p>
        </w:tc>
        <w:tc>
          <w:tcPr>
            <w:tcW w:w="692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26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20.9</w:t>
            </w:r>
          </w:p>
        </w:tc>
        <w:tc>
          <w:tcPr>
            <w:tcW w:w="11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19.8</w:t>
            </w:r>
          </w:p>
        </w:tc>
      </w:tr>
      <w:tr>
        <w:trPr>
          <w:trHeight w:val="230"/>
        </w:trPr>
        <w:tc>
          <w:tcPr>
            <w:tcW w:w="2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8.4</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7.5</w:t>
            </w:r>
          </w:p>
        </w:tc>
      </w:tr>
      <w:tr>
        <w:trPr>
          <w:trHeight w:val="210"/>
        </w:trPr>
        <w:tc>
          <w:tcPr>
            <w:tcW w:w="260" w:type="dxa"/>
            <w:vAlign w:val="bottom"/>
          </w:tcPr>
          <w:p>
            <w:pPr>
              <w:spacing w:after="0"/>
              <w:rPr>
                <w:sz w:val="18"/>
                <w:szCs w:val="18"/>
                <w:color w:val="auto"/>
              </w:rPr>
            </w:pPr>
          </w:p>
        </w:tc>
        <w:tc>
          <w:tcPr>
            <w:tcW w:w="6920" w:type="dxa"/>
            <w:vAlign w:val="bottom"/>
            <w:tcBorders>
              <w:top w:val="single" w:sz="8" w:color="CCFFCC"/>
            </w:tcBorders>
            <w:shd w:val="clear" w:color="auto" w:fill="CCFFCC"/>
          </w:tcPr>
          <w:p>
            <w:pPr>
              <w:jc w:val="right"/>
              <w:ind w:right="5330"/>
              <w:spacing w:after="0"/>
              <w:rPr>
                <w:sz w:val="20"/>
                <w:szCs w:val="20"/>
                <w:color w:val="auto"/>
              </w:rPr>
            </w:pPr>
            <w:r>
              <w:rPr>
                <w:rFonts w:ascii="Arial" w:cs="Arial" w:eastAsia="Arial" w:hAnsi="Arial"/>
                <w:sz w:val="18"/>
                <w:szCs w:val="18"/>
                <w:color w:val="auto"/>
              </w:rPr>
              <w:t>Operating profit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top w:val="single" w:sz="8" w:color="CCFFCC"/>
            </w:tcBorders>
            <w:shd w:val="clear" w:color="auto" w:fill="CCFFCC"/>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income, net</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0.7</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r>
      <w:tr>
        <w:trPr>
          <w:trHeight w:val="210"/>
        </w:trPr>
        <w:tc>
          <w:tcPr>
            <w:tcW w:w="260" w:type="dxa"/>
            <w:vAlign w:val="bottom"/>
          </w:tcPr>
          <w:p>
            <w:pPr>
              <w:spacing w:after="0"/>
              <w:rPr>
                <w:sz w:val="18"/>
                <w:szCs w:val="18"/>
                <w:color w:val="auto"/>
              </w:rPr>
            </w:pPr>
          </w:p>
        </w:tc>
        <w:tc>
          <w:tcPr>
            <w:tcW w:w="69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Pretax income</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top w:val="single" w:sz="8" w:color="CCFFCC"/>
            </w:tcBorders>
            <w:shd w:val="clear" w:color="auto" w:fill="CCFFCC"/>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2.6</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r>
      <w:tr>
        <w:trPr>
          <w:trHeight w:val="223"/>
        </w:trPr>
        <w:tc>
          <w:tcPr>
            <w:tcW w:w="260" w:type="dxa"/>
            <w:vAlign w:val="bottom"/>
          </w:tcPr>
          <w:p>
            <w:pPr>
              <w:spacing w:after="0"/>
              <w:rPr>
                <w:sz w:val="19"/>
                <w:szCs w:val="19"/>
                <w:color w:val="auto"/>
              </w:rPr>
            </w:pPr>
          </w:p>
        </w:tc>
        <w:tc>
          <w:tcPr>
            <w:tcW w:w="6920" w:type="dxa"/>
            <w:vAlign w:val="bottom"/>
            <w:tcBorders>
              <w:top w:val="single" w:sz="8" w:color="CCFFCC"/>
              <w:bottom w:val="single" w:sz="8" w:color="CCFFCC"/>
            </w:tcBorders>
            <w:shd w:val="clear" w:color="auto" w:fill="CCFFCC"/>
          </w:tcPr>
          <w:p>
            <w:pPr>
              <w:jc w:val="right"/>
              <w:ind w:right="5330"/>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FEI-Elcom Acquisition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Fiscal year 2013 results include the results of operations of the Company’s newly acquired subsidiary, FEI-Elcom Tech, Inc. (formerly Elcom Technologies, Inc. or “Elcom” and after the acquisition, “FEI-Elcom”), which is included in the FEI-NY segment. FEI-Elcom’s third-party revenues were less than $1 million and the subsidiary recorded an operating loss of approximately $900,000 for the quarter ended July 31, 2012. In the comparable three-month period of the prior fiscal year, before the acquisition, Elcom recorded revenues of approximately $3.0 million, an operating profit of approximately $140,000 and net income of approximately $77,000. In the discussion below, all amounts for the three months ended July 31, 2011; do not include FEI-Elcom with the exception of the Company’s “Other income (expenses)” which includes $19,000 of equity income from its minority interest in Elcom at that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7"/>
            <w:vMerge w:val="restart"/>
          </w:tcPr>
          <w:p>
            <w:pPr>
              <w:ind w:left="20"/>
              <w:spacing w:after="0"/>
              <w:rPr>
                <w:sz w:val="20"/>
                <w:szCs w:val="20"/>
                <w:color w:val="auto"/>
              </w:rPr>
            </w:pPr>
            <w:r>
              <w:rPr>
                <w:rFonts w:ascii="Arial" w:cs="Arial" w:eastAsia="Arial" w:hAnsi="Arial"/>
                <w:sz w:val="18"/>
                <w:szCs w:val="18"/>
                <w:color w:val="auto"/>
              </w:rPr>
              <w:t>Three months ended July 31,</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0" w:type="dxa"/>
            <w:vAlign w:val="bottom"/>
            <w:tcBorders>
              <w:top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7"/>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Change</w:t>
            </w: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Segment</w:t>
            </w:r>
          </w:p>
        </w:tc>
        <w:tc>
          <w:tcPr>
            <w:tcW w:w="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FFC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FEI-NY</w:t>
            </w:r>
          </w:p>
        </w:tc>
        <w:tc>
          <w:tcPr>
            <w:tcW w:w="2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11,848</w:t>
            </w: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10,615</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1,233</w:t>
            </w: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1,908</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FEI-Zyfer</w:t>
            </w:r>
          </w:p>
        </w:tc>
        <w:tc>
          <w:tcPr>
            <w:tcW w:w="2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3,357</w:t>
            </w:r>
          </w:p>
        </w:tc>
        <w:tc>
          <w:tcPr>
            <w:tcW w:w="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3,773</w:t>
            </w: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(416)</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Intersegment sales</w:t>
            </w: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320" w:type="dxa"/>
            <w:vAlign w:val="bottom"/>
            <w:vMerge w:val="restart"/>
            <w:shd w:val="clear" w:color="auto" w:fill="CCFFCC"/>
          </w:tcPr>
          <w:p>
            <w:pPr>
              <w:spacing w:after="0" w:line="20" w:lineRule="exact"/>
              <w:rPr>
                <w:sz w:val="1"/>
                <w:szCs w:val="1"/>
                <w:color w:val="auto"/>
              </w:rPr>
            </w:pPr>
          </w:p>
        </w:tc>
        <w:tc>
          <w:tcPr>
            <w:tcW w:w="940" w:type="dxa"/>
            <w:vAlign w:val="bottom"/>
            <w:gridSpan w:val="2"/>
            <w:vMerge w:val="restart"/>
            <w:shd w:val="clear" w:color="auto" w:fill="CCFFC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37"/>
        </w:trPr>
        <w:tc>
          <w:tcPr>
            <w:tcW w:w="7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3040" w:type="dxa"/>
            <w:vAlign w:val="bottom"/>
            <w:gridSpan w:val="2"/>
            <w:shd w:val="clear" w:color="auto" w:fill="CCFFCC"/>
          </w:tcPr>
          <w:p>
            <w:pPr>
              <w:spacing w:after="0"/>
              <w:rPr>
                <w:sz w:val="20"/>
                <w:szCs w:val="20"/>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16,685</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15,939</w:t>
            </w:r>
          </w:p>
        </w:tc>
        <w:tc>
          <w:tcPr>
            <w:tcW w:w="80" w:type="dxa"/>
            <w:vAlign w:val="bottom"/>
            <w:vMerge w:val="continue"/>
            <w:shd w:val="clear" w:color="auto" w:fill="CCFFCC"/>
          </w:tcPr>
          <w:p>
            <w:pPr>
              <w:spacing w:after="0"/>
              <w:rPr>
                <w:sz w:val="20"/>
                <w:szCs w:val="20"/>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746</w:t>
            </w:r>
          </w:p>
        </w:tc>
        <w:tc>
          <w:tcPr>
            <w:tcW w:w="200" w:type="dxa"/>
            <w:vAlign w:val="bottom"/>
            <w:vMerge w:val="continue"/>
            <w:shd w:val="clear" w:color="auto" w:fill="CCFFCC"/>
          </w:tcPr>
          <w:p>
            <w:pPr>
              <w:spacing w:after="0"/>
              <w:rPr>
                <w:sz w:val="20"/>
                <w:szCs w:val="20"/>
                <w:color w:val="auto"/>
              </w:rPr>
            </w:pPr>
          </w:p>
        </w:tc>
        <w:tc>
          <w:tcPr>
            <w:tcW w:w="320" w:type="dxa"/>
            <w:vAlign w:val="bottom"/>
            <w:vMerge w:val="continue"/>
            <w:shd w:val="clear" w:color="auto" w:fill="CCFFCC"/>
          </w:tcPr>
          <w:p>
            <w:pPr>
              <w:spacing w:after="0"/>
              <w:rPr>
                <w:sz w:val="20"/>
                <w:szCs w:val="20"/>
                <w:color w:val="auto"/>
              </w:rPr>
            </w:pPr>
          </w:p>
        </w:tc>
        <w:tc>
          <w:tcPr>
            <w:tcW w:w="940" w:type="dxa"/>
            <w:vAlign w:val="bottom"/>
            <w:gridSpan w:val="2"/>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CCFFCC"/>
            </w:tcBorders>
          </w:tcPr>
          <w:p>
            <w:pPr>
              <w:spacing w:after="0" w:line="20" w:lineRule="exact"/>
              <w:rPr>
                <w:sz w:val="1"/>
                <w:szCs w:val="1"/>
                <w:color w:val="auto"/>
              </w:rPr>
            </w:pPr>
          </w:p>
        </w:tc>
        <w:tc>
          <w:tcPr>
            <w:tcW w:w="29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7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2"/>
        <w:spacing w:after="0" w:line="272" w:lineRule="auto"/>
        <w:rPr>
          <w:sz w:val="20"/>
          <w:szCs w:val="20"/>
          <w:color w:val="auto"/>
        </w:rPr>
      </w:pPr>
      <w:r>
        <w:rPr>
          <w:rFonts w:ascii="Arial" w:cs="Arial" w:eastAsia="Arial" w:hAnsi="Arial"/>
          <w:sz w:val="17"/>
          <w:szCs w:val="17"/>
          <w:color w:val="auto"/>
        </w:rPr>
        <w:t>For the three months ended July 31, 2012, revenues from recently acquired FEI-Elcom are included in revenues of the FEI-NY segment. In the fiscal year 2013 period, revenues from commercial and U.S. Government satellite programs accounted for approximately 50% of consolidated revenues compared to approximately 40% for the same period of fiscal year 2012. Revenues on these contracts are recognized primarily under the percentage of completion method. Revenues in the U.S. Government/DOD non-space business area which are recorded in the FEI-NY (including FEI-Elcom sales) and FEI-Zyfer segments were lower in fiscal year 2013 and accounted for approximately 15% of consolidated revenues compared to 20% of revenues in the fiscal year 2012 period. Network infrastructure revenues were lower in the FEI-NY and Gillam-FEI segments and accounted for approximately 25% of consolidated revenues in the three month period ended July 31, 2012 compared to less than 30% in the fiscal 2012 period.</w:t>
      </w:r>
    </w:p>
    <w:p>
      <w:pPr>
        <w:spacing w:after="0" w:line="178"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Consolidated revenues for the three months ended July 31, 2011 increased by 31% compared to revenues for the same period of fiscal year 2011, and was generated primarily from satellite payload programs as a result of recent contract bookings in the FEI-NY segment. In the fiscal year 2012 period, revenues from commercial and U.S. Government satellite programs accounted for approximately 40% of consolidated revenues compared to approximately 30% for the same period of fiscal year 2011. Revenues on these contracts are recognized primarily under the percentage of completion method. Increased network infrastructure revenues generated by the FEI-Zyfer segment were partially offset by declines in that business area in the Gillam-FEI segment. Network infrastructure revenues were less than 30% of consolidated revenues for the three months ended July 31, 2011 compared to approximately 30% for the same period of fiscal year 2011. In the fiscal year 2012 quarter, revenues from the U.S. Government/DOD business area, which are recorded in the FEI-NY and FEI-Zyfer segments, were approximately the same dollar amount as the same period of fiscal year 2011, accounting for approximately 20% and 25%, respectively, of consolidated revenues.</w:t>
      </w:r>
    </w:p>
    <w:p>
      <w:pPr>
        <w:spacing w:after="0" w:line="182"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Based on the Company’s current backlog, over two-thirds of which represent satellite payload business, potential for additional new orders, as well as the Company’s acquisition of FEI-Elcom in late fiscal year 2012, revenues for fiscal year 2013 are expected to grow. Satellite payload revenues will remain the dominant portion of the Company’s business but revenues from the other major business areas, U.S. Government/DOD non-space and network infrastructure, are also expected to increase over fiscal year 2012 levels.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Three months ended July 31,</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Change</w:t>
            </w: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6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5,981</w:t>
            </w: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6,144</w:t>
            </w: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FFCC"/>
          </w:tcPr>
          <w:p>
            <w:pPr>
              <w:jc w:val="right"/>
              <w:ind w:right="4085"/>
              <w:spacing w:after="0"/>
              <w:rPr>
                <w:sz w:val="20"/>
                <w:szCs w:val="20"/>
                <w:color w:val="auto"/>
              </w:rPr>
            </w:pPr>
            <w:r>
              <w:rPr>
                <w:rFonts w:ascii="Arial" w:cs="Arial" w:eastAsia="Arial" w:hAnsi="Arial"/>
                <w:sz w:val="18"/>
                <w:szCs w:val="18"/>
                <w:color w:val="auto"/>
                <w:w w:val="88"/>
              </w:rPr>
              <w:t>GM Rate</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Gross margin was impacted by lower revenues at both Gillam-FEI and FEI-Zyfer. The gross margin rate was reduced by the effect of FEI-Elcom as well as a higher percentage of lower margin network infrastructure product sales. In the latter portion of the fiscal first quarter ended July 31, 2012, FEI-Elcom received new orders for its products but was unable to manufacture and ship the products prior to the end of the quarter. The first quarter revenues recognized by FEI-Elcom were insufficient to fully cover its production costs during the fiscal 2013 quarter such that the consolidated gross margin rate was reduced by approximately 2%.</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three months ended July 31, 2011, gross margin improved by 29% compared to the same period of fiscal 2011, reflecting the 31% quarter-to-quarter increase in revenue over the three month period ended July 31, 2010. The different mix of programs on which the Company is working in the fiscal year 2012 period accounted for the small decline in the gross margin rate compared to the three months ended July 31, 2010. Of the Company’s three segments, the FEI-NY segment experienced the largest gross margin rate improvement as the higher volume of business covered more of that segment’s fixed costs.</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gross margin rates recorded in the fiscal year 2013 and 2012 periods were less than the Company’s targeted rate of 40%. As FEI-Elcom sales volume increases and as the sales product mix changes, the Company anticipates that its gross margin rates for the remainder of fiscal year 2013 will reach or exceed its target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14605</wp:posOffset>
            </wp:positionV>
            <wp:extent cx="3035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Change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CCFFC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CCFFC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tcPr>
          <w:p>
            <w:pPr>
              <w:spacing w:after="0"/>
              <w:rPr>
                <w:sz w:val="19"/>
                <w:szCs w:val="19"/>
                <w:color w:val="auto"/>
              </w:rPr>
            </w:pPr>
          </w:p>
        </w:tc>
      </w:tr>
      <w:tr>
        <w:trPr>
          <w:trHeight w:val="210"/>
        </w:trPr>
        <w:tc>
          <w:tcPr>
            <w:tcW w:w="476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3,485</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18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For the three months ended July 31, 2012 and 2011, selling and administrative expenses were 21% and 20%, respectively, of consolidated revenues. The increase in expenses in the fiscal year 2013 quarter compared to the same period of fiscal year 2012 is due to selling and administrative expenses incurred at FEI-Elcom of approximately $600,000 which was partially offset by reduced incentive and deferred compensation expenses and lower operating costs in other segments. For the remainder of fiscal year 2013, the Company expects selling and administrative expenses to be incurred at approximately the same rate and approximate the Company’s target of 20% of revenues or less.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14605</wp:posOffset>
            </wp:positionV>
            <wp:extent cx="3035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Change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CCFFC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CCFFC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tcPr>
          <w:p>
            <w:pPr>
              <w:spacing w:after="0"/>
              <w:rPr>
                <w:sz w:val="19"/>
                <w:szCs w:val="19"/>
                <w:color w:val="auto"/>
              </w:rPr>
            </w:pPr>
          </w:p>
        </w:tc>
      </w:tr>
      <w:tr>
        <w:trPr>
          <w:trHeight w:val="210"/>
        </w:trPr>
        <w:tc>
          <w:tcPr>
            <w:tcW w:w="476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1,415</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1,198</w:t>
            </w:r>
          </w:p>
        </w:tc>
        <w:tc>
          <w:tcPr>
            <w:tcW w:w="180" w:type="dxa"/>
            <w:vAlign w:val="bottom"/>
            <w:shd w:val="clear" w:color="auto" w:fill="CCFFCC"/>
          </w:tcPr>
          <w:p>
            <w:pPr>
              <w:spacing w:after="0"/>
              <w:rPr>
                <w:sz w:val="18"/>
                <w:szCs w:val="18"/>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Research and development expenditures represent investments intended to keep the Company’s products at the leading edge of time and frequency technology and enhance competitiveness for future revenues. Research and development spending for the three-month periods ended July 31, 2012 and 2011, was approximately 8% of revenues each year compared to the Company’s target of 10% of revenues. The quarter-to-quarter increase in spending is due primarily to product development expenditures at FEI-Elcom of approximately $300,000. R&amp;D spending in fiscal year 2013 continued to facilitate development of new satellite payload products from DC to Ka Band, development and improvement of miniaturized rubidium atomic clocks, development of new GPS-based synchronization products and further enhancement of the capabilities of the Company’s line of low g-sensitivity and ruggedized rubidium oscillators. Included in these efforts are product redesign and process improvements to enhance product manufacturability and reduce production costs. In addition, the Company continues to conduct development activities on customer-funded programs the cost of which appears in cost of revenues, thus reducing the level of internal research and development spending. The Company will continue to devote significant resources to develop new products, enhance existing products and implement efficient manufacturing processes. For fiscal year 2013, the Company is targeting to spend under 10% of revenues on internal research and development projects. Internally generated cash and cash reserves are adequate to fund these development efforts.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profit</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14605</wp:posOffset>
            </wp:positionV>
            <wp:extent cx="3035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Change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CCFFC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tcPr>
          <w:p>
            <w:pPr>
              <w:spacing w:after="0"/>
              <w:rPr>
                <w:sz w:val="19"/>
                <w:szCs w:val="19"/>
                <w:color w:val="auto"/>
              </w:rPr>
            </w:pPr>
          </w:p>
        </w:tc>
      </w:tr>
      <w:tr>
        <w:trPr>
          <w:trHeight w:val="210"/>
        </w:trPr>
        <w:tc>
          <w:tcPr>
            <w:tcW w:w="470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1,081</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1,784</w:t>
            </w: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The late fiscal year 2012 addition of FEI-Elcom reduced consolidated operating results for the first quarter of fiscal year 2013. Revenues increased but were offset by higher operating expenses resulting in lower consolidated operating profit in fiscal year 2013 than in fiscal year 2012. As a percentage of revenue, fiscal year 2013 operating profit was 6.5% of revenues compared to 11.2% of revenues last year. The Company anticipates that the FEI-Elcom acquisition will be accretive during fiscal year 2013 as the new subsidiary fully realizes the benefits of recent sales orders but, for the near term, the acquisition may reduce consolidated operating profits. The Company anticipates that for the full fiscal year 2013, it will generate an operating profit that exceeds that of the prior fiscal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6"/>
            <w:vMerge w:val="restart"/>
          </w:tcPr>
          <w:p>
            <w:pPr>
              <w:ind w:left="20"/>
              <w:spacing w:after="0"/>
              <w:rPr>
                <w:sz w:val="20"/>
                <w:szCs w:val="20"/>
                <w:color w:val="auto"/>
              </w:rPr>
            </w:pPr>
            <w:r>
              <w:rPr>
                <w:rFonts w:ascii="Arial" w:cs="Arial" w:eastAsia="Arial" w:hAnsi="Arial"/>
                <w:sz w:val="18"/>
                <w:szCs w:val="18"/>
                <w:color w:val="auto"/>
              </w:rPr>
              <w:t>Three months ended July 31,</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Borders>
              <w:top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Change</w:t>
            </w: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CCFFCC"/>
            </w:tcBorders>
          </w:tcPr>
          <w:p>
            <w:pPr>
              <w:spacing w:after="0"/>
              <w:rPr>
                <w:sz w:val="19"/>
                <w:szCs w:val="19"/>
                <w:color w:val="auto"/>
              </w:rPr>
            </w:pPr>
          </w:p>
        </w:tc>
        <w:tc>
          <w:tcPr>
            <w:tcW w:w="1600" w:type="dxa"/>
            <w:vAlign w:val="bottom"/>
            <w:tcBorders>
              <w:bottom w:val="single" w:sz="8" w:color="CCFFCC"/>
            </w:tcBorders>
          </w:tcPr>
          <w:p>
            <w:pPr>
              <w:spacing w:after="0"/>
              <w:rPr>
                <w:sz w:val="19"/>
                <w:szCs w:val="19"/>
                <w:color w:val="auto"/>
              </w:rPr>
            </w:pPr>
          </w:p>
        </w:tc>
        <w:tc>
          <w:tcPr>
            <w:tcW w:w="1280" w:type="dxa"/>
            <w:vAlign w:val="bottom"/>
            <w:tcBorders>
              <w:bottom w:val="single" w:sz="8" w:color="CCFFC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CCFF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1280" w:type="dxa"/>
            <w:vAlign w:val="bottom"/>
            <w:shd w:val="clear" w:color="auto" w:fill="CCFFCC"/>
          </w:tcPr>
          <w:p>
            <w:pPr>
              <w:spacing w:after="0"/>
              <w:rPr>
                <w:sz w:val="18"/>
                <w:szCs w:val="18"/>
                <w:color w:val="auto"/>
              </w:rPr>
            </w:pPr>
          </w:p>
        </w:tc>
        <w:tc>
          <w:tcPr>
            <w:tcW w:w="76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167</w:t>
            </w:r>
          </w:p>
        </w:tc>
        <w:tc>
          <w:tcPr>
            <w:tcW w:w="200" w:type="dxa"/>
            <w:vAlign w:val="bottom"/>
            <w:shd w:val="clear" w:color="auto" w:fill="CCFFCC"/>
          </w:tcPr>
          <w:p>
            <w:pPr>
              <w:spacing w:after="0"/>
              <w:rPr>
                <w:sz w:val="18"/>
                <w:szCs w:val="18"/>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Other income (expenses), net</w:t>
            </w: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1820" w:type="dxa"/>
            <w:vAlign w:val="bottom"/>
            <w:tcBorders>
              <w:top w:val="single" w:sz="8" w:color="CCFFCC"/>
            </w:tcBorders>
            <w:shd w:val="clear" w:color="auto" w:fill="CCFFCC"/>
          </w:tcPr>
          <w:p>
            <w:pPr>
              <w:spacing w:after="0"/>
              <w:rPr>
                <w:sz w:val="18"/>
                <w:szCs w:val="18"/>
                <w:color w:val="auto"/>
              </w:rPr>
            </w:pPr>
          </w:p>
        </w:tc>
        <w:tc>
          <w:tcPr>
            <w:tcW w:w="160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117</w:t>
            </w:r>
          </w:p>
        </w:tc>
        <w:tc>
          <w:tcPr>
            <w:tcW w:w="2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these securities may vary based on fluctuating interest rate levels and the timing of purchases or sales of securities. During the three months ended July 31, 2012, investments were held in higher yielding marketable securities than those held in the prior fiscal year. In addition, in the fiscal year 2012 period, the Company redeemed marketable securities which resulted in a realized gain of approximately $7,000. No investment gains or losses were recorded in the fiscal 2013 period.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income in the three months ended July 31, 2011, represents the Company’s share of the quarterly income recorded by Elcom in which the Company owned a 25% interest prior to its late fiscal year 2012 acquisition of FEI-Elcom.</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increase in interest expense for the three months ended July 31, 2012 compared to the same period of fiscal year 2012 is due to borrowings under the Company’s line of credit from a financial institution. The Company borrowed $6 million during fiscal year 2012 to finance the acquisition of FEI-Elcom.</w:t>
      </w:r>
    </w:p>
    <w:p>
      <w:pPr>
        <w:spacing w:after="0" w:line="124"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Other income in the three months ended July 31, 2011 resulted primarily from a realized gain of approximately $90,000 derived from the excess of proceeds over the cash values of life insurance policies covering a former employee. No similar gain was recognized during the fiscal year 2013 period. The fiscal year 2012 gain was partially offset by other insignificant non-operating expenses that were similar in type and amount to the current fiscal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14605</wp:posOffset>
            </wp:positionV>
            <wp:extent cx="3035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Change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6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0"/>
        </w:trPr>
        <w:tc>
          <w:tcPr>
            <w:tcW w:w="470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430</w:t>
            </w:r>
          </w:p>
        </w:tc>
        <w:tc>
          <w:tcPr>
            <w:tcW w:w="20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jc w:val="right"/>
              <w:ind w:right="57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640</w:t>
            </w:r>
          </w:p>
        </w:tc>
        <w:tc>
          <w:tcPr>
            <w:tcW w:w="2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provision for income taxes for the three months ended July 31, 2012 decreased from the same period of fiscal year 2012 due to the 40% decrease in pretax income. The effective tax rate in fiscal year 2013 is expected to be in the range of 32% to 36% depending on the level of pretax income or loss recorded at the Company’s foreign subsidiaries. As of July 31, 2012 and April 30, 2012, the remaining deferred tax asset valuation allowance is approximately $1.5 million.</w:t>
      </w:r>
    </w:p>
    <w:p>
      <w:pPr>
        <w:spacing w:after="0" w:line="187"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The Company is subject to taxation in several countries as well as the states of New York, New Jersey and California. The statutory federal rates are 34% in the United States and Belgium. The effective rate is impacted by the income or loss of certain of the Company’s European and Asian subsidiaries which are currently not taxed. In addition, the Company utilizes the availability of research and development tax credits and the Domestic Production Activity credit in the United States to lower its tax rate. As of April 30, 2012, the Company’s European subsidiaries had available net operating loss carryforwards of approximately $1.2 million, which will offset future taxable income. As a result of the FEI-Elcom acquisition, the Company has a federal net operating loss carryforward of $6.6 million which may be applied in annually limited amounts to offset future U.S.-sourced taxable income over the next 20 years. For State of California income tax purposes, the Company has a tax loss carryforward of approximately $2.3 million which expires in 20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14605</wp:posOffset>
            </wp:positionV>
            <wp:extent cx="3035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5"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Change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6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0"/>
        </w:trPr>
        <w:tc>
          <w:tcPr>
            <w:tcW w:w="470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768</w:t>
            </w:r>
          </w:p>
        </w:tc>
        <w:tc>
          <w:tcPr>
            <w:tcW w:w="2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1,344</w:t>
            </w:r>
          </w:p>
        </w:tc>
        <w:tc>
          <w:tcPr>
            <w:tcW w:w="2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As detailed above, for the three months ended July 31, 2012, higher revenues due to the FEI-Elcom acquisition were offset by higher operating expenses, reducing net income for the quarter as compared to the prior year period. As FEI-Elcom executes on its business plan and makes deliveries of product against its increased backlog, the Company expects to record higher consolidated revenue and to realize improved gross margins and operating profits over the remainder of fiscal year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$64.2 million at July 31, 2012, compared to working capital of $63.3 million at April 30, 2012. Included in working capital at July 31, 2012 is $22.1 million consisting of cash, cash equivalents and marketable securities. The Company’s current ratio at July 31, 2012 is 5.2 to 1.</w:t>
      </w:r>
    </w:p>
    <w:p>
      <w:pPr>
        <w:spacing w:after="0" w:line="181"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For the three months ended July 31, 2012, the Company used cash from operations in the amount of $402,000 compared to positive cash flow from operating activities of $2.7 million in the comparable fiscal year 2012 period. The reduced cash flow in the fiscal year 2013 period resulted from the operating loss incurred by recently acquired FEI-Elcom, increased costs and estimated earnings in excess of billings (“unbilled accounts receivables”), increased inventory and payments made against accounts payable-trade. Unbilled receivables arise from the use of the percentage of completion method on the Company’s long-term contracts, including satellite payload contracts. Under this method revenue was recognized but contractual milestones were not yet billed in accordance with the terms of the contracts. For the three months ended July 31, 2012 and 2011, the Company incurred approximately $1.3 million and $1.1 million, respectively, of non-cash operating expenses, such as depreciation and amortization and accruals for employee benefit programs. For the balance of fiscal year 2013, the Company expects to generate positive cash flow from operating activities.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Net cash provided by investing activities for the three months ended July 31, 2012, was $951,000 compared to $333,000 used by such activity for the same period of fiscal year 2012. During the fiscal year 2013 period, marketable securities were redeemed in the amount of $2.0 million compared to $4.5 million of such redemptions during the fiscal year 2012 period. These proceeds and other cash was reinvested in additional marketable securities for the periods ended July 31, 2012 and 2011 in the amount of $717,000 and $4.3 million, respectively. In fiscal years 2013 and 2012, the Company acquired property, plant and equipment in the amount of approximately $332,000 and $520,000, respectively.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$2.0 million and $3.0 million on capital equipment during fiscal year 2013. Internally generated cash is adequate to acquire this level of capital equipment.</w:t>
      </w:r>
    </w:p>
    <w:p>
      <w:pPr>
        <w:spacing w:after="0" w:line="166"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Net cash used in financing activities for the three months ended July 31, 2012 and 2011, was $87,000 and $53,000, respectively. During the fiscal year 2013 and 2012 periods, the Company made payments of $107,000 and $66,000, respectively, against capital lease obligations. In addition, during the three months ended July 31, 2012 and 2011, cash of $20,000 and $13,000, respectively, was received upon exercise of employee stock options or completion of a restricted stock transaction.</w:t>
      </w:r>
    </w:p>
    <w:p>
      <w:pPr>
        <w:spacing w:after="0" w:line="187" w:lineRule="exact"/>
        <w:rPr>
          <w:sz w:val="20"/>
          <w:szCs w:val="20"/>
          <w:color w:val="auto"/>
        </w:rPr>
      </w:pPr>
    </w:p>
    <w:p>
      <w:pPr>
        <w:jc w:val="both"/>
        <w:ind w:firstLine="492"/>
        <w:spacing w:after="0" w:line="264"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July 31, 2012, the Company has repurchased approximately $4 million of its common stock out of the $5 million authorization.</w:t>
      </w:r>
    </w:p>
    <w:p>
      <w:pPr>
        <w:spacing w:after="0" w:line="181"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2013, the Company intends to make a substantial investment of capital and technical resources to develop and acquire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less than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6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July 31, 2012, the Company's consolidated backlog is approximately $58 million. Approximately 70% of this backlog is expected to be realized in the next twelve months. Included in the backlog at July 31, 2012 is approximately $1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July 31, 2012, was in excess of $5 million. The Company expects these contracts to become fully funded over time and will be added to its backlog at that time.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believes that its liquidity is adequate to meet its operating and investment needs through at least July 31, 2013.</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Quantitative and Qualitative Disclosures About Market Risk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for the reasons discussed below, as of July 31, 2012, the Company’s disclosure controls and procedures were not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Material Weaknesses in Internal Control over Financial Reporting</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disclosed in its Annual Report on Form 10-K for the year ended April 30, 2012, the Company has identified a material weakness in its internal control over financial reporting related to accounting for acquisitions. While the Company did not conduct a full assessment of the effectiveness of internal controls over financial reporting at July 31, 2012, for the first three months of fiscal year 2013 there were no substantial changes made to the Company’s internal control over financial reporting since management’s assessment of April 30, 2012, and therefore the weakness previously identified by management continued to exist at July 31, 2012. In order to remediate the material weakness, if and when another acquisition takes place, the Company plans to supplement its technical resources to provide expertise in accounting for acquisitions. Please refer to the Company’s Annual Report on Form 10-K for the year ended April 30, 2012 for a more detailed discussion of the weakness previously identified by management.</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three months ended July 31, 2012 to which this report relates that have materially affected, or are reasonably likely to materially affect, the Company’s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25" w:lineRule="exact"/>
        <w:rPr>
          <w:sz w:val="20"/>
          <w:szCs w:val="20"/>
          <w:color w:val="auto"/>
        </w:rPr>
      </w:pPr>
    </w:p>
    <w:p>
      <w:pPr>
        <w:jc w:val="both"/>
        <w:ind w:left="1620" w:hanging="688"/>
        <w:spacing w:after="0" w:line="277" w:lineRule="auto"/>
        <w:tabs>
          <w:tab w:leader="none" w:pos="160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8"/>
          <w:szCs w:val="18"/>
          <w:color w:val="auto"/>
        </w:rPr>
        <w:t>Certification by the Chief Executive Officer pursuant to Rule 13a-14(a) or 15d-14(a) under the Securities Exchange Act of 1934, as adopted pursuant to Section 302 of the Sarbanes-Oxley Act of 2002.</w:t>
      </w:r>
    </w:p>
    <w:p>
      <w:pPr>
        <w:spacing w:after="0" w:line="170" w:lineRule="exact"/>
        <w:rPr>
          <w:sz w:val="20"/>
          <w:szCs w:val="20"/>
          <w:color w:val="auto"/>
        </w:rPr>
      </w:pPr>
    </w:p>
    <w:p>
      <w:pPr>
        <w:jc w:val="both"/>
        <w:ind w:left="1620" w:hanging="688"/>
        <w:spacing w:after="0" w:line="277" w:lineRule="auto"/>
        <w:tabs>
          <w:tab w:leader="none" w:pos="1600" w:val="left"/>
        </w:tabs>
        <w:rPr>
          <w:sz w:val="20"/>
          <w:szCs w:val="20"/>
          <w:color w:val="auto"/>
        </w:rPr>
      </w:pPr>
      <w:r>
        <w:rPr>
          <w:rFonts w:ascii="Arial" w:cs="Arial" w:eastAsia="Arial" w:hAnsi="Arial"/>
          <w:sz w:val="18"/>
          <w:szCs w:val="18"/>
          <w:color w:val="auto"/>
        </w:rPr>
        <w:t>31.2 -</w:t>
      </w:r>
      <w:r>
        <w:rPr>
          <w:sz w:val="20"/>
          <w:szCs w:val="20"/>
          <w:color w:val="auto"/>
        </w:rPr>
        <w:tab/>
      </w:r>
      <w:r>
        <w:rPr>
          <w:rFonts w:ascii="Arial" w:cs="Arial" w:eastAsia="Arial" w:hAnsi="Arial"/>
          <w:sz w:val="18"/>
          <w:szCs w:val="18"/>
          <w:color w:val="auto"/>
        </w:rPr>
        <w:t>Certification by the Chief Financial Officer pursuant to Rule 13a-14(a) or 15d-14(a) under the Securities Exchange Act of 1934, as adopted pursuant to Section 302 of the Sarbanes-Oxley Act of 2002.</w:t>
      </w:r>
    </w:p>
    <w:p>
      <w:pPr>
        <w:spacing w:after="0" w:line="170" w:lineRule="exact"/>
        <w:rPr>
          <w:sz w:val="20"/>
          <w:szCs w:val="20"/>
          <w:color w:val="auto"/>
        </w:rPr>
      </w:pPr>
    </w:p>
    <w:p>
      <w:pPr>
        <w:jc w:val="both"/>
        <w:ind w:left="1620" w:hanging="688"/>
        <w:spacing w:after="0" w:line="277" w:lineRule="auto"/>
        <w:tabs>
          <w:tab w:leader="none" w:pos="1600" w:val="left"/>
        </w:tabs>
        <w:rPr>
          <w:sz w:val="20"/>
          <w:szCs w:val="20"/>
          <w:color w:val="auto"/>
        </w:rPr>
      </w:pPr>
      <w:r>
        <w:rPr>
          <w:rFonts w:ascii="Arial" w:cs="Arial" w:eastAsia="Arial" w:hAnsi="Arial"/>
          <w:sz w:val="18"/>
          <w:szCs w:val="18"/>
          <w:color w:val="auto"/>
        </w:rPr>
        <w:t>32 -</w:t>
      </w:r>
      <w:r>
        <w:rPr>
          <w:sz w:val="20"/>
          <w:szCs w:val="20"/>
          <w:color w:val="auto"/>
        </w:rPr>
        <w:tab/>
      </w:r>
      <w:r>
        <w:rPr>
          <w:rFonts w:ascii="Arial" w:cs="Arial" w:eastAsia="Arial" w:hAnsi="Arial"/>
          <w:sz w:val="18"/>
          <w:szCs w:val="18"/>
          <w:color w:val="auto"/>
        </w:rPr>
        <w:t>Certifications by the Chief Executive Officer and Chief Financial Officer pursuant to 18 U.S.C. Section 1350, as adopted pursuant to Section 906 of the Sarbanes-Oxley Act of 2002.</w:t>
      </w:r>
    </w:p>
    <w:p>
      <w:pPr>
        <w:spacing w:after="0" w:line="170" w:lineRule="exact"/>
        <w:rPr>
          <w:sz w:val="20"/>
          <w:szCs w:val="20"/>
          <w:color w:val="auto"/>
        </w:rPr>
      </w:pPr>
    </w:p>
    <w:p>
      <w:pPr>
        <w:jc w:val="both"/>
        <w:ind w:left="1620" w:hanging="688"/>
        <w:spacing w:after="0" w:line="259" w:lineRule="auto"/>
        <w:tabs>
          <w:tab w:leader="none" w:pos="1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Frequency Electronics, Inc. Quarterly Report on Form 10-Q for the quarter ended July 31, 2012 formatted in eXtensible Business Reporting Language (XBRL): (i) Condensed Consolidated Balance Sheets, (ii) Condensed Consolidated Statements of Income and Comprehensive Income, (iii) Condensed Consolidated Statements of Cash Flows and (iv) Notes to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760" w:type="dxa"/>
            <w:vAlign w:val="bottom"/>
            <w:gridSpan w:val="2"/>
          </w:tcPr>
          <w:p>
            <w:pPr>
              <w:ind w:left="2860"/>
              <w:spacing w:after="0"/>
              <w:rPr>
                <w:sz w:val="20"/>
                <w:szCs w:val="20"/>
                <w:color w:val="auto"/>
              </w:rPr>
            </w:pPr>
            <w:r>
              <w:rPr>
                <w:rFonts w:ascii="Arial" w:cs="Arial" w:eastAsia="Arial" w:hAnsi="Arial"/>
                <w:sz w:val="18"/>
                <w:szCs w:val="18"/>
                <w:color w:val="auto"/>
              </w:rPr>
              <w:t>FREQUENCY ELECTRONICS, INC.</w:t>
            </w:r>
          </w:p>
        </w:tc>
      </w:tr>
      <w:tr>
        <w:trPr>
          <w:trHeight w:val="230"/>
        </w:trPr>
        <w:tc>
          <w:tcPr>
            <w:tcW w:w="3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560" w:type="dxa"/>
            <w:vAlign w:val="bottom"/>
          </w:tcPr>
          <w:p>
            <w:pPr>
              <w:ind w:left="960"/>
              <w:spacing w:after="0"/>
              <w:rPr>
                <w:sz w:val="20"/>
                <w:szCs w:val="20"/>
                <w:color w:val="auto"/>
              </w:rPr>
            </w:pPr>
            <w:r>
              <w:rPr>
                <w:rFonts w:ascii="Arial" w:cs="Arial" w:eastAsia="Arial" w:hAnsi="Arial"/>
                <w:sz w:val="18"/>
                <w:szCs w:val="18"/>
                <w:color w:val="auto"/>
              </w:rPr>
              <w:t>(Registrant)</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September 14, 2012</w:t>
            </w:r>
          </w:p>
        </w:tc>
        <w:tc>
          <w:tcPr>
            <w:tcW w:w="7760" w:type="dxa"/>
            <w:vAlign w:val="bottom"/>
            <w:gridSpan w:val="2"/>
          </w:tcPr>
          <w:p>
            <w:pPr>
              <w:ind w:left="2860"/>
              <w:spacing w:after="0"/>
              <w:rPr>
                <w:sz w:val="20"/>
                <w:szCs w:val="20"/>
                <w:color w:val="auto"/>
              </w:rPr>
            </w:pPr>
            <w:r>
              <w:rPr>
                <w:rFonts w:ascii="Arial" w:cs="Arial" w:eastAsia="Arial" w:hAnsi="Arial"/>
                <w:sz w:val="18"/>
                <w:szCs w:val="18"/>
                <w:color w:val="auto"/>
              </w:rPr>
              <w:t>BY  /s/  Alan Miller</w:t>
            </w:r>
          </w:p>
        </w:tc>
      </w:tr>
      <w:tr>
        <w:trPr>
          <w:trHeight w:val="195"/>
        </w:trPr>
        <w:tc>
          <w:tcPr>
            <w:tcW w:w="36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56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rPr>
              <w:t>Alan Miller</w:t>
            </w:r>
          </w:p>
        </w:tc>
      </w:tr>
      <w:tr>
        <w:trPr>
          <w:trHeight w:val="216"/>
        </w:trPr>
        <w:tc>
          <w:tcPr>
            <w:tcW w:w="36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6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6"/>
              </w:rPr>
              <w:t>Signing on behalf of the registrant and as principal financial</w:t>
            </w:r>
          </w:p>
        </w:tc>
      </w:tr>
      <w:tr>
        <w:trPr>
          <w:trHeight w:val="230"/>
        </w:trPr>
        <w:tc>
          <w:tcPr>
            <w:tcW w:w="3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r>
        <w:trPr>
          <w:trHeight w:val="648"/>
        </w:trPr>
        <w:tc>
          <w:tcPr>
            <w:tcW w:w="366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ind w:left="1760"/>
              <w:spacing w:after="0"/>
              <w:rPr>
                <w:sz w:val="20"/>
                <w:szCs w:val="20"/>
                <w:color w:val="auto"/>
              </w:rPr>
            </w:pPr>
            <w:r>
              <w:rPr>
                <w:rFonts w:ascii="Arial" w:cs="Arial" w:eastAsia="Arial" w:hAnsi="Arial"/>
                <w:sz w:val="18"/>
                <w:szCs w:val="18"/>
                <w:color w:val="auto"/>
              </w:rPr>
              <w:t>21 of 21</w:t>
            </w:r>
          </w:p>
        </w:tc>
      </w:tr>
    </w:tbl>
    <w:p>
      <w:pPr>
        <w:sectPr>
          <w:pgSz w:w="11900" w:h="16838" w:orient="portrait"/>
          <w:cols w:equalWidth="0" w:num="1">
            <w:col w:w="11420"/>
          </w:cols>
          <w:pgMar w:left="240" w:top="88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Martin Bloch, certify that:</w:t>
      </w:r>
    </w:p>
    <w:p>
      <w:pPr>
        <w:spacing w:after="0" w:line="225"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338"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8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2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86"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097"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103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1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1002"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1003"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Martin Bloch</w:t>
            </w:r>
          </w:p>
        </w:tc>
        <w:tc>
          <w:tcPr>
            <w:tcW w:w="5800" w:type="dxa"/>
            <w:vAlign w:val="bottom"/>
          </w:tcPr>
          <w:p>
            <w:pPr>
              <w:ind w:left="1140"/>
              <w:spacing w:after="0"/>
              <w:rPr>
                <w:sz w:val="20"/>
                <w:szCs w:val="20"/>
                <w:color w:val="auto"/>
              </w:rPr>
            </w:pPr>
            <w:r>
              <w:rPr>
                <w:rFonts w:ascii="Arial" w:cs="Arial" w:eastAsia="Arial" w:hAnsi="Arial"/>
                <w:sz w:val="18"/>
                <w:szCs w:val="18"/>
                <w:color w:val="auto"/>
              </w:rPr>
              <w:t>September 14, 2012</w:t>
            </w:r>
          </w:p>
        </w:tc>
      </w:tr>
      <w:tr>
        <w:trPr>
          <w:trHeight w:val="195"/>
        </w:trPr>
        <w:tc>
          <w:tcPr>
            <w:tcW w:w="5620" w:type="dxa"/>
            <w:vAlign w:val="bottom"/>
          </w:tcPr>
          <w:p>
            <w:pPr>
              <w:ind w:left="180"/>
              <w:spacing w:after="0" w:line="195" w:lineRule="exact"/>
              <w:rPr>
                <w:sz w:val="20"/>
                <w:szCs w:val="20"/>
                <w:color w:val="auto"/>
              </w:rPr>
            </w:pPr>
            <w:r>
              <w:rPr>
                <w:rFonts w:ascii="Arial" w:cs="Arial" w:eastAsia="Arial" w:hAnsi="Arial"/>
                <w:sz w:val="18"/>
                <w:szCs w:val="18"/>
                <w:color w:val="auto"/>
              </w:rPr>
              <w:t>Martin Bloch</w:t>
            </w:r>
          </w:p>
        </w:tc>
        <w:tc>
          <w:tcPr>
            <w:tcW w:w="5800" w:type="dxa"/>
            <w:vAlign w:val="bottom"/>
          </w:tcPr>
          <w:p>
            <w:pPr>
              <w:spacing w:after="0"/>
              <w:rPr>
                <w:sz w:val="16"/>
                <w:szCs w:val="16"/>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5800" w:type="dxa"/>
            <w:vAlign w:val="bottom"/>
          </w:tcPr>
          <w:p>
            <w:pPr>
              <w:spacing w:after="0"/>
              <w:rPr>
                <w:sz w:val="20"/>
                <w:szCs w:val="20"/>
                <w:color w:val="auto"/>
              </w:rPr>
            </w:pPr>
          </w:p>
        </w:tc>
      </w:tr>
      <w:tr>
        <w:trPr>
          <w:trHeight w:val="648"/>
        </w:trPr>
        <w:tc>
          <w:tcPr>
            <w:tcW w:w="56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Alan Miller, certify that</w:t>
      </w:r>
    </w:p>
    <w:p>
      <w:pPr>
        <w:spacing w:after="0" w:line="225"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firstLine="8"/>
        <w:spacing w:after="0" w:line="342" w:lineRule="auto"/>
        <w:tabs>
          <w:tab w:leader="none" w:pos="33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2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86"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09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103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1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1002"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1003"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Alan Miller</w:t>
            </w:r>
          </w:p>
        </w:tc>
        <w:tc>
          <w:tcPr>
            <w:tcW w:w="5800" w:type="dxa"/>
            <w:vAlign w:val="bottom"/>
          </w:tcPr>
          <w:p>
            <w:pPr>
              <w:ind w:left="840"/>
              <w:spacing w:after="0"/>
              <w:rPr>
                <w:sz w:val="20"/>
                <w:szCs w:val="20"/>
                <w:color w:val="auto"/>
              </w:rPr>
            </w:pPr>
            <w:r>
              <w:rPr>
                <w:rFonts w:ascii="Arial" w:cs="Arial" w:eastAsia="Arial" w:hAnsi="Arial"/>
                <w:sz w:val="18"/>
                <w:szCs w:val="18"/>
                <w:color w:val="auto"/>
              </w:rPr>
              <w:t>September 14, 2012</w:t>
            </w:r>
          </w:p>
        </w:tc>
      </w:tr>
      <w:tr>
        <w:trPr>
          <w:trHeight w:val="195"/>
        </w:trPr>
        <w:tc>
          <w:tcPr>
            <w:tcW w:w="5620" w:type="dxa"/>
            <w:vAlign w:val="bottom"/>
          </w:tcPr>
          <w:p>
            <w:pPr>
              <w:ind w:left="180"/>
              <w:spacing w:after="0" w:line="195" w:lineRule="exact"/>
              <w:rPr>
                <w:sz w:val="20"/>
                <w:szCs w:val="20"/>
                <w:color w:val="auto"/>
              </w:rPr>
            </w:pPr>
            <w:r>
              <w:rPr>
                <w:rFonts w:ascii="Arial" w:cs="Arial" w:eastAsia="Arial" w:hAnsi="Arial"/>
                <w:sz w:val="18"/>
                <w:szCs w:val="18"/>
                <w:color w:val="auto"/>
              </w:rPr>
              <w:t>Alan Miller</w:t>
            </w:r>
          </w:p>
        </w:tc>
        <w:tc>
          <w:tcPr>
            <w:tcW w:w="5800" w:type="dxa"/>
            <w:vAlign w:val="bottom"/>
          </w:tcPr>
          <w:p>
            <w:pPr>
              <w:spacing w:after="0"/>
              <w:rPr>
                <w:sz w:val="16"/>
                <w:szCs w:val="16"/>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5800" w:type="dxa"/>
            <w:vAlign w:val="bottom"/>
          </w:tcPr>
          <w:p>
            <w:pPr>
              <w:spacing w:after="0"/>
              <w:rPr>
                <w:sz w:val="20"/>
                <w:szCs w:val="20"/>
                <w:color w:val="auto"/>
              </w:rPr>
            </w:pPr>
          </w:p>
        </w:tc>
      </w:tr>
      <w:tr>
        <w:trPr>
          <w:trHeight w:val="648"/>
        </w:trPr>
        <w:tc>
          <w:tcPr>
            <w:tcW w:w="56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2012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8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Martin Bloch</w:t>
            </w:r>
          </w:p>
        </w:tc>
        <w:tc>
          <w:tcPr>
            <w:tcW w:w="2220" w:type="dxa"/>
            <w:vAlign w:val="bottom"/>
            <w:tcBorders>
              <w:bottom w:val="single" w:sz="8" w:color="auto"/>
            </w:tcBorders>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September 14, 2012</w:t>
            </w:r>
          </w:p>
        </w:tc>
      </w:tr>
      <w:tr>
        <w:trPr>
          <w:trHeight w:val="195"/>
        </w:trPr>
        <w:tc>
          <w:tcPr>
            <w:tcW w:w="3400" w:type="dxa"/>
            <w:vAlign w:val="bottom"/>
          </w:tcPr>
          <w:p>
            <w:pPr>
              <w:ind w:left="160"/>
              <w:spacing w:after="0" w:line="195" w:lineRule="exact"/>
              <w:rPr>
                <w:sz w:val="20"/>
                <w:szCs w:val="20"/>
                <w:color w:val="auto"/>
              </w:rPr>
            </w:pPr>
            <w:r>
              <w:rPr>
                <w:rFonts w:ascii="Arial" w:cs="Arial" w:eastAsia="Arial" w:hAnsi="Arial"/>
                <w:sz w:val="18"/>
                <w:szCs w:val="18"/>
                <w:color w:val="auto"/>
              </w:rPr>
              <w:t>Martin Bloch</w:t>
            </w:r>
          </w:p>
        </w:tc>
        <w:tc>
          <w:tcPr>
            <w:tcW w:w="22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30"/>
        </w:trPr>
        <w:tc>
          <w:tcPr>
            <w:tcW w:w="340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2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3400" w:type="dxa"/>
            <w:vAlign w:val="bottom"/>
          </w:tcPr>
          <w:p>
            <w:pPr>
              <w:spacing w:after="0"/>
              <w:rPr>
                <w:sz w:val="24"/>
                <w:szCs w:val="24"/>
                <w:color w:val="auto"/>
              </w:rPr>
            </w:pPr>
          </w:p>
        </w:tc>
        <w:tc>
          <w:tcPr>
            <w:tcW w:w="450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July 31, 2012 as filed with the Securities and Exchange Commission on the date hereof (the “Report”), I, Alan Miller, Chief Financial Officer of the Company, certify, pursuant to 18 U.S.C. Section 1350, as adopted pursuant to Section 906 of the Sarbanes-Oxley Act of 2002, that to my knowledge:</w:t>
      </w:r>
    </w:p>
    <w:p>
      <w:pPr>
        <w:spacing w:after="0" w:line="18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Alan Miller</w:t>
            </w:r>
          </w:p>
        </w:tc>
        <w:tc>
          <w:tcPr>
            <w:tcW w:w="2280" w:type="dxa"/>
            <w:vAlign w:val="bottom"/>
          </w:tcPr>
          <w:p>
            <w:pPr>
              <w:ind w:left="840"/>
              <w:spacing w:after="0"/>
              <w:rPr>
                <w:sz w:val="20"/>
                <w:szCs w:val="20"/>
                <w:color w:val="auto"/>
              </w:rPr>
            </w:pPr>
            <w:r>
              <w:rPr>
                <w:rFonts w:ascii="Arial" w:cs="Arial" w:eastAsia="Arial" w:hAnsi="Arial"/>
                <w:sz w:val="18"/>
                <w:szCs w:val="18"/>
                <w:color w:val="auto"/>
                <w:w w:val="87"/>
              </w:rPr>
              <w:t>September 14, 2012</w:t>
            </w:r>
          </w:p>
        </w:tc>
      </w:tr>
      <w:tr>
        <w:trPr>
          <w:trHeight w:val="195"/>
        </w:trPr>
        <w:tc>
          <w:tcPr>
            <w:tcW w:w="5620" w:type="dxa"/>
            <w:vAlign w:val="bottom"/>
          </w:tcPr>
          <w:p>
            <w:pPr>
              <w:ind w:left="180"/>
              <w:spacing w:after="0" w:line="195" w:lineRule="exact"/>
              <w:rPr>
                <w:sz w:val="20"/>
                <w:szCs w:val="20"/>
                <w:color w:val="auto"/>
              </w:rPr>
            </w:pPr>
            <w:r>
              <w:rPr>
                <w:rFonts w:ascii="Arial" w:cs="Arial" w:eastAsia="Arial" w:hAnsi="Arial"/>
                <w:sz w:val="18"/>
                <w:szCs w:val="18"/>
                <w:color w:val="auto"/>
              </w:rPr>
              <w:t>Alan Miller</w:t>
            </w:r>
          </w:p>
        </w:tc>
        <w:tc>
          <w:tcPr>
            <w:tcW w:w="2280" w:type="dxa"/>
            <w:vAlign w:val="bottom"/>
          </w:tcPr>
          <w:p>
            <w:pPr>
              <w:spacing w:after="0"/>
              <w:rPr>
                <w:sz w:val="16"/>
                <w:szCs w:val="16"/>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spacing w:after="0"/>
              <w:rPr>
                <w:sz w:val="20"/>
                <w:szCs w:val="20"/>
                <w:color w:val="auto"/>
              </w:rPr>
            </w:pPr>
          </w:p>
        </w:tc>
      </w:tr>
    </w:tbl>
    <w:p>
      <w:pPr>
        <w:spacing w:after="0" w:line="20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16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2019-12-09T07:09:19Z</dcterms:created>
  <dcterms:modified xsi:type="dcterms:W3CDTF">2019-12-09T07:09:19Z</dcterms:modified>
</cp:coreProperties>
</file>