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4080" w:right="1980" w:hanging="3586"/>
        <w:spacing w:after="0" w:line="530" w:lineRule="auto"/>
        <w:tabs>
          <w:tab w:leader="none" w:pos="814"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2014</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600" w:right="1960" w:hanging="3106"/>
        <w:spacing w:after="0" w:line="524" w:lineRule="auto"/>
        <w:tabs>
          <w:tab w:leader="none" w:pos="812"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Arial" w:cs="Arial" w:eastAsia="Arial" w:hAnsi="Arial"/>
          <w:sz w:val="18"/>
          <w:szCs w:val="18"/>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5800" w:type="dxa"/>
            <w:vAlign w:val="bottom"/>
            <w:gridSpan w:val="4"/>
          </w:tcPr>
          <w:p>
            <w:pPr>
              <w:ind w:left="1300"/>
              <w:spacing w:after="0"/>
              <w:rPr>
                <w:sz w:val="20"/>
                <w:szCs w:val="20"/>
                <w:color w:val="auto"/>
              </w:rPr>
            </w:pPr>
            <w:r>
              <w:rPr>
                <w:rFonts w:ascii="Arial" w:cs="Arial" w:eastAsia="Arial" w:hAnsi="Arial"/>
                <w:sz w:val="18"/>
                <w:szCs w:val="18"/>
                <w:color w:val="auto"/>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1000" w:type="dxa"/>
            <w:vAlign w:val="bottom"/>
          </w:tcPr>
          <w:p>
            <w:pPr>
              <w:spacing w:after="0"/>
              <w:rPr>
                <w:sz w:val="24"/>
                <w:szCs w:val="24"/>
                <w:color w:val="auto"/>
              </w:rPr>
            </w:pPr>
          </w:p>
        </w:tc>
        <w:tc>
          <w:tcPr>
            <w:tcW w:w="208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11553</w:t>
            </w:r>
          </w:p>
        </w:tc>
        <w:tc>
          <w:tcPr>
            <w:tcW w:w="880" w:type="dxa"/>
            <w:vAlign w:val="bottom"/>
          </w:tcPr>
          <w:p>
            <w:pPr>
              <w:spacing w:after="0"/>
              <w:rPr>
                <w:sz w:val="24"/>
                <w:szCs w:val="24"/>
                <w:color w:val="auto"/>
              </w:rPr>
            </w:pPr>
          </w:p>
        </w:tc>
      </w:tr>
      <w:tr>
        <w:trPr>
          <w:trHeight w:val="20"/>
        </w:trPr>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480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516-794-4500</w:t>
      </w:r>
    </w:p>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4">
            <w:col w:w="1800" w:space="720"/>
            <w:col w:w="1800" w:space="720"/>
            <w:col w:w="3300" w:space="400"/>
            <w:col w:w="2680"/>
          </w:cols>
          <w:pgMar w:left="240" w:top="297"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46"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APPLICABLE ONLY TO CORPORATE ISSUERS: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453" w:lineRule="exact"/>
        <w:rPr>
          <w:sz w:val="24"/>
          <w:szCs w:val="24"/>
          <w:color w:val="auto"/>
        </w:rPr>
      </w:pPr>
    </w:p>
    <w:p>
      <w:pPr>
        <w:sectPr>
          <w:pgSz w:w="11900" w:h="16838" w:orient="portrait"/>
          <w:cols w:equalWidth="0" w:num="2">
            <w:col w:w="8620" w:space="220"/>
            <w:col w:w="2580"/>
          </w:cols>
          <w:pgMar w:left="240" w:top="297"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September 9, 2014 – 8,590,517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520" w:type="dxa"/>
            <w:vAlign w:val="bottom"/>
            <w:gridSpan w:val="1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00" w:type="dxa"/>
            <w:vAlign w:val="bottom"/>
          </w:tcPr>
          <w:p>
            <w:pPr>
              <w:spacing w:after="0"/>
              <w:rPr>
                <w:sz w:val="14"/>
                <w:szCs w:val="14"/>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40" w:type="dxa"/>
            <w:vAlign w:val="bottom"/>
            <w:gridSpan w:val="6"/>
          </w:tcPr>
          <w:p>
            <w:pPr>
              <w:jc w:val="center"/>
              <w:ind w:right="232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900" w:type="dxa"/>
            <w:vAlign w:val="bottom"/>
          </w:tcPr>
          <w:p>
            <w:pPr>
              <w:spacing w:after="0"/>
              <w:rPr>
                <w:sz w:val="24"/>
                <w:szCs w:val="24"/>
                <w:color w:val="auto"/>
              </w:rPr>
            </w:pPr>
          </w:p>
        </w:tc>
      </w:tr>
      <w:tr>
        <w:trPr>
          <w:trHeight w:val="459"/>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40" w:type="dxa"/>
            <w:vAlign w:val="bottom"/>
            <w:gridSpan w:val="6"/>
          </w:tcPr>
          <w:p>
            <w:pPr>
              <w:jc w:val="center"/>
              <w:ind w:right="2320"/>
              <w:spacing w:after="0"/>
              <w:rPr>
                <w:sz w:val="20"/>
                <w:szCs w:val="20"/>
                <w:color w:val="auto"/>
              </w:rPr>
            </w:pPr>
            <w:r>
              <w:rPr>
                <w:rFonts w:ascii="Arial" w:cs="Arial" w:eastAsia="Arial" w:hAnsi="Arial"/>
                <w:sz w:val="18"/>
                <w:szCs w:val="18"/>
                <w:b w:val="1"/>
                <w:bCs w:val="1"/>
                <w:color w:val="auto"/>
                <w:w w:val="99"/>
              </w:rPr>
              <w:t>TABLE OF CONTENTS</w:t>
            </w:r>
          </w:p>
        </w:tc>
        <w:tc>
          <w:tcPr>
            <w:tcW w:w="900" w:type="dxa"/>
            <w:vAlign w:val="bottom"/>
          </w:tcPr>
          <w:p>
            <w:pPr>
              <w:spacing w:after="0"/>
              <w:rPr>
                <w:sz w:val="24"/>
                <w:szCs w:val="24"/>
                <w:color w:val="auto"/>
              </w:rPr>
            </w:pPr>
          </w:p>
        </w:tc>
      </w:tr>
      <w:tr>
        <w:trPr>
          <w:trHeight w:val="466"/>
        </w:trPr>
        <w:tc>
          <w:tcPr>
            <w:tcW w:w="10520" w:type="dxa"/>
            <w:vAlign w:val="bottom"/>
            <w:gridSpan w:val="14"/>
          </w:tcPr>
          <w:p>
            <w:pPr>
              <w:spacing w:after="0"/>
              <w:rPr>
                <w:sz w:val="20"/>
                <w:szCs w:val="20"/>
                <w:color w:val="auto"/>
              </w:rPr>
            </w:pPr>
            <w:r>
              <w:rPr>
                <w:rFonts w:ascii="Arial" w:cs="Arial" w:eastAsia="Arial" w:hAnsi="Arial"/>
                <w:sz w:val="18"/>
                <w:szCs w:val="18"/>
                <w:b w:val="1"/>
                <w:bCs w:val="1"/>
                <w:color w:val="auto"/>
              </w:rPr>
              <w:t>Part I. Financial Information:</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 No.</w:t>
            </w:r>
          </w:p>
        </w:tc>
      </w:tr>
      <w:tr>
        <w:trPr>
          <w:trHeight w:val="392"/>
        </w:trPr>
        <w:tc>
          <w:tcPr>
            <w:tcW w:w="180" w:type="dxa"/>
            <w:vAlign w:val="bottom"/>
          </w:tcPr>
          <w:p>
            <w:pPr>
              <w:spacing w:after="0"/>
              <w:rPr>
                <w:sz w:val="24"/>
                <w:szCs w:val="24"/>
                <w:color w:val="auto"/>
              </w:rPr>
            </w:pPr>
          </w:p>
        </w:tc>
        <w:tc>
          <w:tcPr>
            <w:tcW w:w="103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9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July 31, 2014 (unaudited) and April 30, 2014</w:t>
              </w:r>
            </w:hyperlink>
          </w:p>
        </w:tc>
        <w:tc>
          <w:tcPr>
            <w:tcW w:w="384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and Comprehensive Income (unaudited) Three Months Ended July 31, 2014 and 2013</w:t>
              </w:r>
            </w:hyperlink>
          </w:p>
        </w:tc>
        <w:tc>
          <w:tcPr>
            <w:tcW w:w="5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Three Months Ended July 31, 2014 and 2013</w:t>
              </w:r>
            </w:hyperlink>
          </w:p>
        </w:tc>
        <w:tc>
          <w:tcPr>
            <w:tcW w:w="230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8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8"/>
              </w:rPr>
              <w:t>6-11</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20" w:type="dxa"/>
            <w:vAlign w:val="bottom"/>
            <w:tcBorders>
              <w:righ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2</w:t>
              </w:r>
            </w:hyperlink>
          </w:p>
        </w:tc>
        <w:tc>
          <w:tcPr>
            <w:tcW w:w="660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 Management's Discussion and Analysis of Financial Condition and Results of Operations</w:t>
              </w:r>
            </w:hyperlink>
          </w:p>
        </w:tc>
        <w:tc>
          <w:tcPr>
            <w:tcW w:w="326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12-18</w:t>
            </w:r>
          </w:p>
        </w:tc>
      </w:tr>
      <w:tr>
        <w:trPr>
          <w:trHeight w:val="412"/>
        </w:trPr>
        <w:tc>
          <w:tcPr>
            <w:tcW w:w="18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3</w:t>
              </w:r>
            </w:hyperlink>
          </w:p>
        </w:tc>
        <w:tc>
          <w:tcPr>
            <w:tcW w:w="4540" w:type="dxa"/>
            <w:vAlign w:val="bottom"/>
            <w:tcBorders>
              <w:bottom w:val="single" w:sz="8" w:color="0000EE"/>
            </w:tcBorders>
            <w:gridSpan w:val="6"/>
          </w:tcPr>
          <w:p>
            <w:pPr>
              <w:ind w:left="20"/>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 Quantitative and Qualitative Disclosures About Market Risk</w:t>
              </w:r>
            </w:hyperlink>
          </w:p>
        </w:tc>
        <w:tc>
          <w:tcPr>
            <w:tcW w:w="532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412"/>
        </w:trPr>
        <w:tc>
          <w:tcPr>
            <w:tcW w:w="18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4</w:t>
              </w:r>
            </w:hyperlink>
          </w:p>
        </w:tc>
        <w:tc>
          <w:tcPr>
            <w:tcW w:w="9860" w:type="dxa"/>
            <w:vAlign w:val="bottom"/>
            <w:gridSpan w:val="11"/>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 Controls and Procedures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0"/>
        </w:trPr>
        <w:tc>
          <w:tcPr>
            <w:tcW w:w="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9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69"/>
        </w:trPr>
        <w:tc>
          <w:tcPr>
            <w:tcW w:w="1052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90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6</w:t>
              </w:r>
            </w:hyperlink>
          </w:p>
        </w:tc>
        <w:tc>
          <w:tcPr>
            <w:tcW w:w="760" w:type="dxa"/>
            <w:vAlign w:val="bottom"/>
            <w:tcBorders>
              <w:bottom w:val="single" w:sz="8" w:color="0000EE"/>
            </w:tcBorders>
            <w:gridSpan w:val="3"/>
          </w:tcPr>
          <w:p>
            <w:pPr>
              <w:ind w:left="20"/>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 Exhibits</w:t>
              </w:r>
            </w:hyperlink>
          </w:p>
        </w:tc>
        <w:tc>
          <w:tcPr>
            <w:tcW w:w="910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12"/>
        </w:trPr>
        <w:tc>
          <w:tcPr>
            <w:tcW w:w="180" w:type="dxa"/>
            <w:vAlign w:val="bottom"/>
          </w:tcPr>
          <w:p>
            <w:pPr>
              <w:spacing w:after="0"/>
              <w:rPr>
                <w:sz w:val="24"/>
                <w:szCs w:val="24"/>
                <w:color w:val="auto"/>
              </w:rPr>
            </w:pPr>
          </w:p>
        </w:tc>
        <w:tc>
          <w:tcPr>
            <w:tcW w:w="103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679"/>
        </w:trPr>
        <w:tc>
          <w:tcPr>
            <w:tcW w:w="18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860" w:type="dxa"/>
            <w:vAlign w:val="bottom"/>
            <w:gridSpan w:val="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5520" w:type="dxa"/>
            <w:vAlign w:val="bottom"/>
          </w:tcPr>
          <w:p>
            <w:pPr>
              <w:jc w:val="center"/>
              <w:ind w:left="49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52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520" w:type="dxa"/>
            <w:vAlign w:val="bottom"/>
          </w:tcPr>
          <w:p>
            <w:pPr>
              <w:jc w:val="center"/>
              <w:ind w:left="4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July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300" w:type="dxa"/>
            <w:vAlign w:val="bottom"/>
            <w:gridSpan w:val="2"/>
          </w:tcPr>
          <w:p>
            <w:pPr>
              <w:jc w:val="center"/>
              <w:spacing w:after="0" w:line="201" w:lineRule="exact"/>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520" w:type="dxa"/>
            <w:vAlign w:val="bottom"/>
            <w:vMerge w:val="restart"/>
          </w:tcPr>
          <w:p>
            <w:pPr>
              <w:jc w:val="center"/>
              <w:ind w:right="2350"/>
              <w:spacing w:after="0"/>
              <w:rPr>
                <w:sz w:val="20"/>
                <w:szCs w:val="20"/>
                <w:color w:val="auto"/>
              </w:rPr>
            </w:pPr>
            <w:r>
              <w:rPr>
                <w:rFonts w:ascii="Arial" w:cs="Arial" w:eastAsia="Arial" w:hAnsi="Arial"/>
                <w:sz w:val="18"/>
                <w:szCs w:val="18"/>
                <w:b w:val="1"/>
                <w:bCs w:val="1"/>
                <w:color w:val="auto"/>
                <w:w w:val="92"/>
              </w:rPr>
              <w:t>ASSETS:</w:t>
            </w:r>
          </w:p>
        </w:tc>
        <w:tc>
          <w:tcPr>
            <w:tcW w:w="200" w:type="dxa"/>
            <w:vAlign w:val="bottom"/>
          </w:tcPr>
          <w:p>
            <w:pPr>
              <w:spacing w:after="0"/>
              <w:rPr>
                <w:sz w:val="20"/>
                <w:szCs w:val="20"/>
                <w:color w:val="auto"/>
              </w:rPr>
            </w:pPr>
          </w:p>
        </w:tc>
        <w:tc>
          <w:tcPr>
            <w:tcW w:w="2720" w:type="dxa"/>
            <w:vAlign w:val="bottom"/>
            <w:gridSpan w:val="6"/>
          </w:tcPr>
          <w:p>
            <w:pPr>
              <w:jc w:val="right"/>
              <w:ind w:right="380"/>
              <w:spacing w:after="0"/>
              <w:rPr>
                <w:sz w:val="20"/>
                <w:szCs w:val="20"/>
                <w:color w:val="auto"/>
              </w:rPr>
            </w:pPr>
            <w:r>
              <w:rPr>
                <w:rFonts w:ascii="Arial" w:cs="Arial" w:eastAsia="Arial" w:hAnsi="Arial"/>
                <w:sz w:val="18"/>
                <w:szCs w:val="18"/>
                <w:color w:val="auto"/>
                <w:w w:val="91"/>
              </w:rPr>
              <w:t>(In thousands except par 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of $216 at July 31, 2014 and $234 at April 30, 2014</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10,447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92,089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87,862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at cost,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124,548</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jc w:val="center"/>
              <w:ind w:right="101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Long term debt- noncurrent</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12,400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Deferred rent and other liabilities</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Preferred stock- $1.00 par value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Common stock-$1.00 par value, issued 9,164 shares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53,523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88,108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at cost (574 shares at July 31, 2014 and</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593 shares at April 30, 2014)</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124,548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119,461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14" w:right="87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July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19,740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14,075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8,857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ind w:left="480"/>
              <w:spacing w:after="0" w:line="201" w:lineRule="exact"/>
              <w:rPr>
                <w:sz w:val="20"/>
                <w:szCs w:val="20"/>
                <w:color w:val="auto"/>
              </w:rPr>
            </w:pPr>
            <w:r>
              <w:rPr>
                <w:rFonts w:ascii="Arial" w:cs="Arial" w:eastAsia="Arial" w:hAnsi="Arial"/>
                <w:sz w:val="18"/>
                <w:szCs w:val="18"/>
                <w:color w:val="auto"/>
                <w:w w:val="93"/>
              </w:rPr>
              <w:t>Change in market value of marketable securities before reclassification, net of tax of ($139)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Reclassification adjustment for realized gains included in net income, net of tax of $95 and $0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Total unrealized gain (loss) on marketable securities, net of tax</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July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(In</w:t>
            </w: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w w:val="73"/>
              </w:rPr>
              <w:t>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719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Non-cash charges to earnings, net</w:t>
            </w:r>
          </w:p>
        </w:tc>
        <w:tc>
          <w:tcPr>
            <w:tcW w:w="4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1,069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Net changes in operating assets and liabilities</w:t>
            </w: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(7,432)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4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(5,644)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(1,018)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w w:val="93"/>
              </w:rPr>
              <w:t>Proceeds on redemption of marketable securities</w:t>
            </w:r>
          </w:p>
        </w:tc>
        <w:tc>
          <w:tcPr>
            <w:tcW w:w="4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2,230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fixed assets</w:t>
            </w: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(1,153)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6"/>
              </w:rPr>
              <w:t>Net cash provided by (used in) investing activities</w:t>
            </w:r>
          </w:p>
        </w:tc>
        <w:tc>
          <w:tcPr>
            <w:tcW w:w="4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from long-term credit facility</w:t>
            </w: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7"/>
              </w:rPr>
              <w:t>2,300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160"/>
              <w:spacing w:after="0"/>
              <w:rPr>
                <w:sz w:val="20"/>
                <w:szCs w:val="20"/>
                <w:color w:val="auto"/>
              </w:rPr>
            </w:pPr>
            <w:r>
              <w:rPr>
                <w:rFonts w:ascii="Arial" w:cs="Arial" w:eastAsia="Arial" w:hAnsi="Arial"/>
                <w:sz w:val="18"/>
                <w:szCs w:val="18"/>
                <w:color w:val="auto"/>
              </w:rPr>
              <w:t>Tax benefit from exercise of stock-based compensation</w:t>
            </w: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lease obligations</w:t>
            </w: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4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2,326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88"/>
              </w:rPr>
              <w:t>Net (decrease) increase in cash and cash equivalents</w:t>
            </w:r>
          </w:p>
        </w:tc>
        <w:tc>
          <w:tcPr>
            <w:tcW w:w="4860" w:type="dxa"/>
            <w:vAlign w:val="bottom"/>
            <w:gridSpan w:val="2"/>
          </w:tcPr>
          <w:p>
            <w:pPr>
              <w:jc w:val="right"/>
              <w:ind w:right="1930"/>
              <w:spacing w:after="0"/>
              <w:rPr>
                <w:sz w:val="20"/>
                <w:szCs w:val="20"/>
                <w:color w:val="auto"/>
              </w:rPr>
            </w:pPr>
            <w:r>
              <w:rPr>
                <w:rFonts w:ascii="Arial" w:cs="Arial" w:eastAsia="Arial" w:hAnsi="Arial"/>
                <w:sz w:val="18"/>
                <w:szCs w:val="18"/>
                <w:color w:val="auto"/>
                <w:w w:val="90"/>
              </w:rPr>
              <w:t>before effect of exchange rate changes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(3,259)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160"/>
              <w:spacing w:after="0"/>
              <w:rPr>
                <w:sz w:val="20"/>
                <w:szCs w:val="20"/>
                <w:color w:val="auto"/>
              </w:rPr>
            </w:pPr>
            <w:r>
              <w:rPr>
                <w:rFonts w:ascii="Arial" w:cs="Arial" w:eastAsia="Arial" w:hAnsi="Arial"/>
                <w:sz w:val="18"/>
                <w:szCs w:val="18"/>
                <w:color w:val="auto"/>
              </w:rPr>
              <w:t>Net (decrease) increase in 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(3,155)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w w:val="92"/>
              </w:rPr>
              <w:t>Cash and cash equivalents at beginning of period</w:t>
            </w:r>
          </w:p>
        </w:tc>
        <w:tc>
          <w:tcPr>
            <w:tcW w:w="4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7,698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48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4,543</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18"/>
                <w:szCs w:val="18"/>
                <w:color w:val="auto"/>
              </w:rPr>
            </w:pPr>
          </w:p>
        </w:tc>
        <w:tc>
          <w:tcPr>
            <w:tcW w:w="4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4"/>
              </w:rPr>
              <w:t>Supplemental disclosures of cash flow information:</w:t>
            </w:r>
          </w:p>
        </w:tc>
        <w:tc>
          <w:tcPr>
            <w:tcW w:w="4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4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Interest</w:t>
            </w:r>
          </w:p>
        </w:tc>
        <w:tc>
          <w:tcPr>
            <w:tcW w:w="48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rPr>
              <w:t>34</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40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41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2014 and the results of its operations and cash flows for the three months ended July 31, 2014 and 2013. The April 30, 2014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2014 filed on July 29, 2014. The results of operations for such interim periods are not necessarily indicative of the operating results for the full fiscal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Three months ended July 31,</w:t>
            </w:r>
          </w:p>
        </w:tc>
      </w:tr>
      <w:tr>
        <w:trPr>
          <w:trHeight w:val="241"/>
        </w:trPr>
        <w:tc>
          <w:tcPr>
            <w:tcW w:w="54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EPS Shares outstanding</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8,578,733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8,489,901</w:t>
            </w:r>
          </w:p>
        </w:tc>
        <w:tc>
          <w:tcPr>
            <w:tcW w:w="120" w:type="dxa"/>
            <w:vAlign w:val="bottom"/>
            <w:shd w:val="clear" w:color="auto" w:fill="CCEEFF"/>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278,116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236,422</w:t>
            </w:r>
          </w:p>
        </w:tc>
      </w:tr>
      <w:tr>
        <w:trPr>
          <w:trHeight w:val="27"/>
        </w:trPr>
        <w:tc>
          <w:tcPr>
            <w:tcW w:w="54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Diluted EPS Shares outstanding</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8,856,849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8,726,323</w:t>
            </w:r>
          </w:p>
        </w:tc>
        <w:tc>
          <w:tcPr>
            <w:tcW w:w="120" w:type="dxa"/>
            <w:vAlign w:val="bottom"/>
            <w:shd w:val="clear" w:color="auto" w:fill="CCEEFF"/>
          </w:tcPr>
          <w:p>
            <w:pPr>
              <w:spacing w:after="0"/>
              <w:rPr>
                <w:sz w:val="20"/>
                <w:szCs w:val="20"/>
                <w:color w:val="auto"/>
              </w:rPr>
            </w:pP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for the three months ended July 31, 2014 and 2013 were 300,875 and 293,375,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July 31, 2014 and April 30, 2014, costs and estimated earnings in excess of billings, net,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July 31, 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2014</w:t>
            </w:r>
          </w:p>
        </w:tc>
        <w:tc>
          <w:tcPr>
            <w:tcW w:w="12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5"/>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(1,526)</w:t>
            </w:r>
          </w:p>
        </w:tc>
      </w:tr>
      <w:tr>
        <w:trPr>
          <w:trHeight w:val="27"/>
        </w:trPr>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10,439</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three months ended July 31, 2014 and 2013, revenue recognized under percentage of completion contracts was approximately $12.9 million and $9.7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 period ended July 31, 2014, the Company made a contribution of 10,569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 the Company issued 8,294 shares from treasury upon the exercise of stock options and SARs by certain officers and employees of the Company.</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NOTE E – INVENTORIES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900" w:type="dxa"/>
            <w:vAlign w:val="bottom"/>
            <w:gridSpan w:val="2"/>
          </w:tcPr>
          <w:p>
            <w:pPr>
              <w:ind w:left="500"/>
              <w:spacing w:after="0"/>
              <w:rPr>
                <w:sz w:val="20"/>
                <w:szCs w:val="20"/>
                <w:color w:val="auto"/>
              </w:rPr>
            </w:pPr>
            <w:r>
              <w:rPr>
                <w:rFonts w:ascii="Arial" w:cs="Arial" w:eastAsia="Arial" w:hAnsi="Arial"/>
                <w:sz w:val="18"/>
                <w:szCs w:val="18"/>
                <w:color w:val="auto"/>
                <w:w w:val="93"/>
              </w:rPr>
              <w:t>Inventories, which are reported at the lower of cost or market, consist of the following:</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July 31, 2014</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2014</w:t>
            </w:r>
          </w:p>
        </w:tc>
        <w:tc>
          <w:tcPr>
            <w:tcW w:w="12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24,986</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12,385</w:t>
            </w: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3,856</w:t>
            </w:r>
          </w:p>
        </w:tc>
      </w:tr>
      <w:tr>
        <w:trPr>
          <w:trHeight w:val="27"/>
        </w:trPr>
        <w:tc>
          <w:tcPr>
            <w:tcW w:w="144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42,806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41,227</w:t>
            </w:r>
          </w:p>
        </w:tc>
      </w:tr>
      <w:tr>
        <w:trPr>
          <w:trHeight w:val="21"/>
        </w:trPr>
        <w:tc>
          <w:tcPr>
            <w:tcW w:w="14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As of July 31, 2014 and April 30, 2014, approximately $32.7 million and $33.4 million, respectively, of total inventory is located in the United States, approximately $8.7 million and $7.1 million, respectively, is located in Belgium and $1.4 million and $0.7 million, respectively, is located in China.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140" w:hanging="297"/>
        <w:spacing w:after="0" w:line="256"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297"/>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297"/>
        <w:spacing w:after="0" w:line="30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tables below presents information about reported segments with reconciliation of segment amounts to consolidated amounts as reported in the statement of operations or the balance sheet for each of the periods (in thousands):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 months ended July 31,</w:t>
            </w:r>
          </w:p>
        </w:tc>
      </w:tr>
      <w:tr>
        <w:trPr>
          <w:trHeight w:val="241"/>
        </w:trPr>
        <w:tc>
          <w:tcPr>
            <w:tcW w:w="382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revenues:</w:t>
            </w:r>
          </w:p>
        </w:tc>
        <w:tc>
          <w:tcPr>
            <w:tcW w:w="16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25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17,257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13,174</w:t>
            </w: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1,491</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2,695</w:t>
            </w: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1,988</w:t>
            </w: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less intercompany revenues</w:t>
            </w: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r>
      <w:tr>
        <w:trPr>
          <w:trHeight w:val="27"/>
        </w:trPr>
        <w:tc>
          <w:tcPr>
            <w:tcW w:w="3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revenues</w:t>
            </w:r>
          </w:p>
        </w:tc>
        <w:tc>
          <w:tcPr>
            <w:tcW w:w="16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19,740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16,827</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 months ended July 31,</w:t>
            </w:r>
          </w:p>
        </w:tc>
      </w:tr>
      <w:tr>
        <w:trPr>
          <w:trHeight w:val="241"/>
        </w:trPr>
        <w:tc>
          <w:tcPr>
            <w:tcW w:w="3960" w:type="dxa"/>
            <w:vAlign w:val="bottom"/>
          </w:tcPr>
          <w:p>
            <w:pPr>
              <w:spacing w:after="0"/>
              <w:rPr>
                <w:sz w:val="20"/>
                <w:szCs w:val="20"/>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Operating profit (loss):</w:t>
            </w:r>
          </w:p>
        </w:tc>
        <w:tc>
          <w:tcPr>
            <w:tcW w:w="15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24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2,080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w:t>
            </w: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r>
      <w:tr>
        <w:trPr>
          <w:trHeight w:val="216"/>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7"/>
        </w:trPr>
        <w:tc>
          <w:tcPr>
            <w:tcW w:w="3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operating profit</w:t>
            </w:r>
          </w:p>
        </w:tc>
        <w:tc>
          <w:tcPr>
            <w:tcW w:w="15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July 31, 2014</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30, 2014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Identifiable assets: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 (approximately $4.6 million in China)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62,969</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Gillam-FEI (all in Belgium or France)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19,595</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less intersegment balances</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(18,403)</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(19,819)</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45,496</w:t>
            </w:r>
          </w:p>
        </w:tc>
      </w:tr>
      <w:tr>
        <w:trPr>
          <w:trHeight w:val="27"/>
        </w:trPr>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ind w:left="320"/>
              <w:spacing w:after="0"/>
              <w:rPr>
                <w:sz w:val="20"/>
                <w:szCs w:val="20"/>
                <w:color w:val="auto"/>
              </w:rPr>
            </w:pPr>
            <w:r>
              <w:rPr>
                <w:rFonts w:ascii="Arial" w:cs="Arial" w:eastAsia="Arial" w:hAnsi="Arial"/>
                <w:sz w:val="18"/>
                <w:szCs w:val="18"/>
                <w:color w:val="auto"/>
              </w:rPr>
              <w:t>Consolidated identifiable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124,548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119,461</w:t>
            </w:r>
          </w:p>
        </w:tc>
      </w:tr>
      <w:tr>
        <w:trPr>
          <w:trHeight w:val="21"/>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INVESTMENT IN MORION, INC.</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months ended July 31, 2014 and 2013, the Company acquired product from Morion in the aggregate amount of approximately $65,000 and $30,000, respectively, and the Company sold product to Morion in the aggregate amount of approximately $183,000 and $142,000, respectively. At July 31, 2014 and April 30, 2014, accounts receivable included $342,000 and $276,000, respectively, due from Morion and $40,000 and $34,000, respectively, was payable to Morion.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On October 22, 2012, the Company entered into an agreement to license its rubidium oscillator production technology to Morion. The agreement requires the Company to sell certain fully-depreciated production equipment currently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In November 2012, Morion paid the Company a $925,000 deposit under the agreement which amount had been recorded on the Company’s balance sheet as deferred revenue. In October 2013, after amending the original document to clarify certain billing events, the Company invoiced Morion for the equipment, certain component parts for the production of rubidium oscillators, training of certain Morion employees and transfer of the production technology and license to Morion. The $925,000 deposit previously recorded as deferred revenue was recognized as income during the second quarter of fiscal year 2014. Additional revenues under the agreement will be recorded after the Company provides further on-site training for Morion personnel, delivers more component parts and obtains relief from certain U.S. Government limitations relating to the sales of items to be manufactured under the license. The United States Department of State has approved the technology transfer called for under the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2014 and April 30, 2014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8"/>
                <w:szCs w:val="18"/>
                <w:b w:val="1"/>
                <w:bCs w:val="1"/>
                <w:color w:val="auto"/>
              </w:rPr>
              <w:t>July 31, 2014</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7,503</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7,708</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14,246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15,211</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8"/>
                <w:szCs w:val="18"/>
                <w:b w:val="1"/>
                <w:bCs w:val="1"/>
                <w:color w:val="auto"/>
              </w:rPr>
              <w:t>April 30, 2014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7,023</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15,194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16,030</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12 Months or more</w:t>
            </w:r>
          </w:p>
        </w:tc>
        <w:tc>
          <w:tcPr>
            <w:tcW w:w="9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Unrealized</w:t>
            </w: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760"/>
              <w:spacing w:after="0" w:line="198" w:lineRule="exact"/>
              <w:rPr>
                <w:sz w:val="20"/>
                <w:szCs w:val="20"/>
                <w:color w:val="auto"/>
              </w:rPr>
            </w:pPr>
            <w:r>
              <w:rPr>
                <w:rFonts w:ascii="Arial" w:cs="Arial" w:eastAsia="Arial" w:hAnsi="Arial"/>
                <w:sz w:val="18"/>
                <w:szCs w:val="18"/>
                <w:b w:val="1"/>
                <w:bCs w:val="1"/>
                <w:color w:val="auto"/>
              </w:rPr>
              <w:t>Fair</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gridSpan w:val="4"/>
          </w:tcPr>
          <w:p>
            <w:pPr>
              <w:jc w:val="center"/>
              <w:ind w:right="680"/>
              <w:spacing w:after="0" w:line="202" w:lineRule="exact"/>
              <w:rPr>
                <w:sz w:val="20"/>
                <w:szCs w:val="20"/>
                <w:color w:val="auto"/>
              </w:rPr>
            </w:pPr>
            <w:r>
              <w:rPr>
                <w:rFonts w:ascii="Arial" w:cs="Arial" w:eastAsia="Arial" w:hAnsi="Arial"/>
                <w:sz w:val="18"/>
                <w:szCs w:val="18"/>
                <w:b w:val="1"/>
                <w:bCs w:val="1"/>
                <w:color w:val="auto"/>
                <w:w w:val="89"/>
              </w:rPr>
              <w:t>July 31, 2014</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Fixed Income Securities</w:t>
            </w:r>
          </w:p>
        </w:tc>
        <w:tc>
          <w:tcPr>
            <w:tcW w:w="10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gridSpan w:val="4"/>
          </w:tcPr>
          <w:p>
            <w:pPr>
              <w:spacing w:after="0" w:line="201"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5"/>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1,480</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(33)</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9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2,070</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1,575</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2,625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40" w:type="dxa"/>
            <w:vAlign w:val="bottom"/>
            <w:tcBorders>
              <w:top w:val="single" w:sz="8" w:color="CCEEFF"/>
            </w:tcBorders>
            <w:gridSpan w:val="4"/>
          </w:tcPr>
          <w:p>
            <w:pPr>
              <w:jc w:val="center"/>
              <w:ind w:right="680"/>
              <w:spacing w:after="0" w:line="196" w:lineRule="exact"/>
              <w:rPr>
                <w:sz w:val="20"/>
                <w:szCs w:val="20"/>
                <w:color w:val="auto"/>
              </w:rPr>
            </w:pPr>
            <w:r>
              <w:rPr>
                <w:rFonts w:ascii="Arial" w:cs="Arial" w:eastAsia="Arial" w:hAnsi="Arial"/>
                <w:sz w:val="18"/>
                <w:szCs w:val="18"/>
                <w:b w:val="1"/>
                <w:bCs w:val="1"/>
                <w:color w:val="auto"/>
                <w:w w:val="93"/>
              </w:rPr>
              <w:t>April 30, 2014</w:t>
            </w: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Fixed Income Securities</w:t>
            </w:r>
          </w:p>
        </w:tc>
        <w:tc>
          <w:tcPr>
            <w:tcW w:w="10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4"/>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11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1,291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2014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three months ended July 31, 2014 and 2013, the Company sold or redeemed available-for-sale securities in the amounts of $2.2 million and $1.0 million, respectively, realizing a gain of approximately $280,000 in the fiscal year 2015 period and no gain in the prior fiscal year.</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July 31, 2014 are as follows, at cost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May 2014, the FASB issued Accounting Standard Update (“ASU”) No.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This ASU is effective for public companies for annual reporting periods beginning on or after December 15, 2016 and for the Company, must be adopted for its fiscal year 2018 beginning on May 1, 2017. The Company is in the process of determining the effect that ASU 2014-09 may have on its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February 2013, the FASB issued ASU No. 2013-02</w:t>
      </w:r>
      <w:r>
        <w:rPr>
          <w:rFonts w:ascii="Arial" w:cs="Arial" w:eastAsia="Arial" w:hAnsi="Arial"/>
          <w:sz w:val="17"/>
          <w:szCs w:val="17"/>
          <w:i w:val="1"/>
          <w:iCs w:val="1"/>
          <w:color w:val="auto"/>
        </w:rPr>
        <w:t>, Other Comprehensive Income</w:t>
      </w:r>
      <w:r>
        <w:rPr>
          <w:rFonts w:ascii="Arial" w:cs="Arial" w:eastAsia="Arial" w:hAnsi="Arial"/>
          <w:sz w:val="17"/>
          <w:szCs w:val="17"/>
          <w:color w:val="auto"/>
        </w:rPr>
        <w:t>. The amendments require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and the Company adopted ASU 2013-02 in fiscal year 2014 which began on May 1, 2013. Such adoption is reflected in the Company’s financial statements resulting in additional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J – CREDIT FACILITY</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credit facility (the “Facility”) with JPMorgan Chase Bank, N.A. (“JPMorgan”) pursuant to a credit agreement (the “Credit Agreement”) between the Company and JPMorgan. Under the Facility the Company may make borrowings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of $12.4 million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21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8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 For the period ended July 31, 2014, the Company met the required covenants for its borrowings under Tranche 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K – VALUATION ALLOWANCE ON DEFERRED TAX ASSETS</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prior fiscal years, the Company reduced the valuation allowance on the deferred tax assets of its U.S. subsidiaries. Consequently, for the three months ended July 31, 2014 and 2013, the Company recorded provisions for income taxes based on both current taxes due in the United States as well as the tax provision or benefit to be realized from temporary tax differences. As of July 31, 2014 and April 30, 2014, the remaining deferred tax asset valuation allowance is approximately $2.1 million and is primarily related to deferred tax assets of the Company’s non-U.S.-based subsidiaries.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2014.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FREQUENCY ELECTRONICS, INC. and SUBSIDIARIES</w:t>
      </w:r>
    </w:p>
    <w:p>
      <w:pPr>
        <w:spacing w:after="0" w:line="1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(Continued)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2015 and 2014 (which end on April 30, 2015 and 2014, respectively) the percentage of consolidated revenues represented by certain items in the Company’s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w w:val="90"/>
              </w:rPr>
              <w:t>Three months ended July 31,</w:t>
            </w: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73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Gillam-FEI</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w w:val="89"/>
              </w:rPr>
              <w:t>Less intersegment revenues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Gross margin</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Arial" w:cs="Arial" w:eastAsia="Arial" w:hAnsi="Arial"/>
                <w:sz w:val="18"/>
                <w:szCs w:val="18"/>
                <w:color w:val="auto"/>
                <w:w w:val="92"/>
              </w:rPr>
              <w:t>Selling and administrative expenses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8"/>
              </w:rPr>
              <w:t>Research and development expenses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ind w:left="480"/>
              <w:spacing w:after="0"/>
              <w:rPr>
                <w:sz w:val="20"/>
                <w:szCs w:val="20"/>
                <w:color w:val="auto"/>
              </w:rPr>
            </w:pPr>
            <w:r>
              <w:rPr>
                <w:rFonts w:ascii="Arial" w:cs="Arial" w:eastAsia="Arial" w:hAnsi="Arial"/>
                <w:sz w:val="18"/>
                <w:szCs w:val="18"/>
                <w:color w:val="auto"/>
              </w:rPr>
              <w:t>Operating profit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Pretax income</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ind w:left="48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36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Revenues</w:t>
            </w: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64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rPr>
              <w:t>Three months ended July 31</w:t>
            </w: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90"/>
              <w:spacing w:after="0"/>
              <w:rPr>
                <w:sz w:val="20"/>
                <w:szCs w:val="20"/>
                <w:color w:val="auto"/>
              </w:rPr>
            </w:pPr>
            <w:r>
              <w:rPr>
                <w:rFonts w:ascii="Arial" w:cs="Arial" w:eastAsia="Arial" w:hAnsi="Arial"/>
                <w:sz w:val="18"/>
                <w:szCs w:val="18"/>
                <w:color w:val="auto"/>
              </w:rPr>
              <w:t>(in thousands)</w:t>
            </w:r>
          </w:p>
        </w:tc>
        <w:tc>
          <w:tcPr>
            <w:tcW w:w="120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w w:val="90"/>
              </w:rPr>
              <w:t>Change</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vMerge w:val="continue"/>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gridSpan w:val="3"/>
          </w:tcPr>
          <w:p>
            <w:pPr>
              <w:ind w:left="740"/>
              <w:spacing w:after="0" w:line="176" w:lineRule="exact"/>
              <w:rPr>
                <w:sz w:val="20"/>
                <w:szCs w:val="20"/>
                <w:color w:val="auto"/>
              </w:rPr>
            </w:pPr>
            <w:r>
              <w:rPr>
                <w:rFonts w:ascii="Arial" w:cs="Arial" w:eastAsia="Arial" w:hAnsi="Arial"/>
                <w:sz w:val="18"/>
                <w:szCs w:val="18"/>
                <w:b w:val="1"/>
                <w:bCs w:val="1"/>
                <w:color w:val="auto"/>
              </w:rPr>
              <w:t>Segment</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w w:val="99"/>
              </w:rPr>
              <w:t>2014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ind w:right="530"/>
              <w:spacing w:after="0" w:line="17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570"/>
              <w:spacing w:after="0" w:line="17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FEI-NY</w:t>
            </w:r>
          </w:p>
        </w:tc>
        <w:tc>
          <w:tcPr>
            <w:tcW w:w="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17,257</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13,174</w:t>
            </w:r>
          </w:p>
        </w:tc>
        <w:tc>
          <w:tcPr>
            <w:tcW w:w="6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FEI-Zyfer</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Intersegment sales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19,740</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16,827</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2,913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For the three months ended July 31, 2014, revenues from commercial and U.S. Government satellite programs accounted for more than 60% of consolidated revenues compared to 55% for the same period of fiscal year 2014. Revenues on these contracts are recognized primarily under the percentage of completion method. Revenues from the satellite market are recorded in the FEI-NY segment. Revenues from non-space U.S. Government/DOD customers, which are recorded in both the FEI-NY and FEI-Zyfer segments, accounted for less than 10% of consolidated revenues as compared to one-fourth of revenues in fiscal year 2014. The Company continues to experience delays in booking non-space U.S. Government business due to uncertainties related to the federal budget process in the United States. Network infrastructure and other industrial revenues accounted for one-fourth of consolidated revenues as compared to 20% of revenues in the prior year. The principal component of this growth is increased third party revenues in the Company’s FEI-Asia subsidiary which is part of the FEI-NY segment. In prior periods, third party revenues for the FEI-Asia subsidiary were insignificant as most of its manufacturing capacity was applied to intersegment orders. Lower revenues at Gillam-FEI are primarily due to reduced intersegment sales.</w:t>
      </w:r>
    </w:p>
    <w:p>
      <w:pPr>
        <w:spacing w:after="0" w:line="19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three months ended July 31, 2013, revenues from commercial and U.S. Government satellite programs accounted for more than 55% of consolidated revenues and increased by 16% over the same period of fiscal year 2013. Revenues on these contracts are recognized primarily under the percentage of completion method. Revenues from non-space U.S. Government/DOD customers, which are recorded in both the FEI-NY and FEI-Zyfer segments, also increased by 40% over the prior year and accounted for approximately one-fourth of consolidated fiscal year 2014 revenues. Network infrastructure and other industrial revenues in the fiscal year 2014 period, declined by approximately 40% from the same period of fiscal year 2013 and accounted for approximately 20% of consolidated revenues. Such revenues are recorded in all three segments although the largest sales are recorded in the Gillam-FEI and FEI-Zyfer segments. Gillam-FEI total revenues increased over the prior year primarily due to intersegment sales which are eliminated in consolidation.</w:t>
      </w:r>
    </w:p>
    <w:p>
      <w:pPr>
        <w:spacing w:after="0" w:line="2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Based on the Company’s current backlog, over three-fourths of which represent satellite payload business, and the potential for additional new orders, revenues for fiscal year 2015 are expected to grow. Satellite payload revenues will remain the dominant portion of the Company’s business and represents the Company’s best growth opportunity. Revenues from non-space U.S. Government/DOD customers are also expected to increase, particularly for the FEI-Zyfer segment, as it receives additional funding on an U.S. Government initiative to protect secure communications from jamming and spoofing of GPS systems.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94"/>
              </w:rPr>
              <w:t>(in thousands)</w:t>
            </w:r>
          </w:p>
        </w:tc>
        <w:tc>
          <w:tcPr>
            <w:tcW w:w="1440" w:type="dxa"/>
            <w:vAlign w:val="bottom"/>
            <w:tcBorders>
              <w:top w:val="single" w:sz="8" w:color="auto"/>
            </w:tcBorders>
            <w:gridSpan w:val="3"/>
            <w:vMerge w:val="restart"/>
          </w:tcPr>
          <w:p>
            <w:pPr>
              <w:ind w:left="66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5,665</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6,266</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060" w:type="dxa"/>
            <w:vAlign w:val="bottom"/>
            <w:gridSpan w:val="2"/>
          </w:tcPr>
          <w:p>
            <w:pPr>
              <w:jc w:val="right"/>
              <w:ind w:right="2310"/>
              <w:spacing w:after="0"/>
              <w:rPr>
                <w:sz w:val="20"/>
                <w:szCs w:val="20"/>
                <w:color w:val="auto"/>
              </w:rPr>
            </w:pPr>
            <w:r>
              <w:rPr>
                <w:rFonts w:ascii="Arial" w:cs="Arial" w:eastAsia="Arial" w:hAnsi="Arial"/>
                <w:sz w:val="18"/>
                <w:szCs w:val="18"/>
                <w:color w:val="auto"/>
                <w:w w:val="88"/>
              </w:rPr>
              <w:t>GM Rate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9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Gross margin for the three month period ended July 31, 2014, decreased primarily due to lower revenues on non-space U.S. Government business and at the Gillam-FEI segment. Low sales volume at the Company’s subsidiaries did not cover the fixed costs of these entities. The FEI-NY segment recorded an increase in gross margin on higher revenues but its gross margin rate was lower due to product mix.</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Gross margin for the three month period ended July 31, 2013, increased as a result of higher revenues particularly in the FEI-NY segment. The gross margin rate in fiscal year 2014, while improved over the prior year, was reduced by unabsorbed overhead costs. The gross margin rate is also impacted by product mix.</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gross margin rates recorded in the fiscal year 2015 and 2014 periods were less than the Company’s targeted rate of 40% at current revenue levels. The Company anticipates revenues will increase at its FEI-Zyfer and Gillam-FEI segments which, along with product mix changes, will result in improved gross margin rates for the remainder of fiscal year 2015.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ind w:left="1080"/>
              <w:spacing w:after="0"/>
              <w:rPr>
                <w:sz w:val="20"/>
                <w:szCs w:val="20"/>
                <w:color w:val="auto"/>
              </w:rPr>
            </w:pPr>
            <w:r>
              <w:rPr>
                <w:rFonts w:ascii="Arial" w:cs="Arial" w:eastAsia="Arial" w:hAnsi="Arial"/>
                <w:sz w:val="18"/>
                <w:szCs w:val="18"/>
                <w:color w:val="auto"/>
              </w:rPr>
              <w:t>(in thousands)</w:t>
            </w:r>
          </w:p>
        </w:tc>
        <w:tc>
          <w:tcPr>
            <w:tcW w:w="200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3,560</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three-month periods ended July 31, 2014 and 2013, selling and administrative ("SG&amp;A”) expenses were approximately 18% and 21%, respectively, of consolidated revenues. The decrease in SG&amp;A expenses in the fiscal year 2015 quarter compared to the same period of fiscal year 2014 was due to lower selling expenses related to the lower sales volume in the Gillam-FEI and FEI-Zyfer segments partially offset by increased incentive compensation in the FEI-NY segment. For the remainder of fiscal year 2015, the Company expects SG&amp;A expenses to be incurred at approximately the same rate and to be less than 20% of consolidated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ind w:left="1080"/>
              <w:spacing w:after="0"/>
              <w:rPr>
                <w:sz w:val="20"/>
                <w:szCs w:val="20"/>
                <w:color w:val="auto"/>
              </w:rPr>
            </w:pPr>
            <w:r>
              <w:rPr>
                <w:rFonts w:ascii="Arial" w:cs="Arial" w:eastAsia="Arial" w:hAnsi="Arial"/>
                <w:sz w:val="18"/>
                <w:szCs w:val="18"/>
                <w:color w:val="auto"/>
              </w:rPr>
              <w:t>(in thousands)</w:t>
            </w:r>
          </w:p>
        </w:tc>
        <w:tc>
          <w:tcPr>
            <w:tcW w:w="200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1,743</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competitiveness for future revenues. R&amp;D spending for the three-month periods ended July 31, 2014 and 2013, was approximately 6% and 10% of revenues, respectively. In the fiscal year 2015 period, the Company continued the development of new satellite payload microwave receivers/converters from DC to Ka band. Such satellite payload products are anticipated to be ready for customer evaluation and new contract awards during fiscal year 2015. Internal R&amp;D spending also includes development and improvement of quartz-based and rubidium atomic clocks, development of new GPS-based synchronization products and further enhancement of the capabilities of the Company’s line of low g-sensitivity and ruggedized rubidium oscillators. Included in these efforts are product design and process improvements to enhance product manufacturability and reduce production costs.</w:t>
      </w:r>
    </w:p>
    <w:p>
      <w:pPr>
        <w:spacing w:after="0" w:line="21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to internal research and development efforts, the Company continues to conduct development activities on customer-funded programs the cost of which appears in cost of revenues. The Company will continue to devote significant resources to develop new products, enhance existing products and implement efficient manufacturing processes. For fiscal year 2015, the Company is targeting to spend less than 10% of revenues on internal research and development projects. Internally generated cash and cash reserves are adequate to fund these development efforts.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(in thousands)</w:t>
            </w:r>
          </w:p>
        </w:tc>
        <w:tc>
          <w:tcPr>
            <w:tcW w:w="200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Higher consolidated revenues were offset by decreased gross margin in fiscal year 2015 compared to the same period of fiscal year 2014. Lower SG&amp;A and R&amp;D expenses for the period ended July 31, 2014 compared to the same period in fiscal 2014 yielded an operating profit comparable to the prior year.</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percentage of revenue, fiscal year 2015 operating profit was 4.7% of revenues compared to 5.7% of revenues last year. The Company anticipates that increased non-space revenues at its subsidiaries for the remainder of fiscal year 2015, will enable it to generate an operating profit that exceeds that of fiscal year 2014.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1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gridSpan w:val="4"/>
          </w:tcPr>
          <w:p>
            <w:pPr>
              <w:jc w:val="right"/>
              <w:ind w:right="550"/>
              <w:spacing w:after="0"/>
              <w:rPr>
                <w:sz w:val="20"/>
                <w:szCs w:val="20"/>
                <w:color w:val="auto"/>
              </w:rPr>
            </w:pPr>
            <w:r>
              <w:rPr>
                <w:rFonts w:ascii="Arial" w:cs="Arial" w:eastAsia="Arial" w:hAnsi="Arial"/>
                <w:sz w:val="18"/>
                <w:szCs w:val="18"/>
                <w:color w:val="auto"/>
                <w:w w:val="92"/>
              </w:rPr>
              <w:t>(in thousands)</w:t>
            </w:r>
          </w:p>
        </w:tc>
        <w:tc>
          <w:tcPr>
            <w:tcW w:w="9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4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1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271</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9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0"/>
                <w:szCs w:val="20"/>
                <w:color w:val="auto"/>
              </w:rPr>
            </w:pPr>
          </w:p>
        </w:tc>
        <w:tc>
          <w:tcPr>
            <w:tcW w:w="11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288</w:t>
            </w:r>
          </w:p>
        </w:tc>
        <w:tc>
          <w:tcPr>
            <w:tcW w:w="3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rates and dividend payout levels and the timing of purchases or sales of securities. During the three months ended July 31, 2014, the Company recorded a gain of approximately $280,000 on the sale of certain marketable securities as compared to no gain during the same period of fiscal year 2014.</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decrease in interest expense for the three months ended July 31, 2014 compared to the same period of fiscal year 2014 is due to the lower interest rate charged under the Company’s credit facility from a bank. This credit facility replaced a line of credit from another financial institution during the first quarter of fiscal year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(in thousands)</w:t>
            </w:r>
          </w:p>
        </w:tc>
        <w:tc>
          <w:tcPr>
            <w:tcW w:w="1460" w:type="dxa"/>
            <w:vAlign w:val="bottom"/>
            <w:tcBorders>
              <w:top w:val="single" w:sz="8" w:color="auto"/>
            </w:tcBorders>
            <w:gridSpan w:val="3"/>
            <w:vMerge w:val="restart"/>
          </w:tcPr>
          <w:p>
            <w:pPr>
              <w:ind w:left="68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Effective  tax  rate  on  pre-tax  book</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income:</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provision for income taxes for the three months ended July 31, 2014 increased from the same period of fiscal year 2014 due to a 24% increase in pretax income as well as an increased effective tax rate. The effective tax rate in fiscal year 2015 is expected to be in the mid-30% range depending on the level of pretax income or loss recorded at the Company’s foreign subsidiaries. During the first quarter of fiscal year 2015, foreign losses as a proportion of consolidated pre-tax income were higher than are expected to be realized during the balance of fiscal year 2015.</w:t>
      </w:r>
    </w:p>
    <w:p>
      <w:pPr>
        <w:spacing w:after="0" w:line="19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provision for income taxes for the three months ended July 31, 2013 decreased from the same period of fiscal year 2013 due to a 12% decrease in pretax income.</w:t>
      </w:r>
    </w:p>
    <w:p>
      <w:pPr>
        <w:spacing w:after="0" w:line="19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is subject to taxation in several countries as well as the states of New York, New Jersey and California. The statutory federal rates are 34% in the United States and Belgium and 25% in China. The effective rate is impacted by the income or loss of certain of the Company’s European and Asian subsidiaries for which no tax benefit is currently available. In addition, the Company utilizes the availability of research and development tax credits (“R&amp;D Credit”) and the Domestic Production Activity credit in the United States to lower its tax rate. The R&amp;D Credit expired on December 31, 2013 and the U.S. Congress has yet to reinstate it. As of April 30, 2014, the Company’s European subsidiaries had available net operating loss carryforwards of approximately $3.6 million, which will offset future taxable income. As a result of the FEI-Elcom acquisition, the Company has a federal net operating loss carryforward of $5.6 million that may be applied in annually limited amounts to offset future U.S.-sourced taxable income over the next 18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(in thousands)</w:t>
            </w:r>
          </w:p>
        </w:tc>
        <w:tc>
          <w:tcPr>
            <w:tcW w:w="202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detailed above, for the three months ended July 31, 2014, operating profit was similar to the prior fiscal year while other income, including a gain on the sale of marketable securities, resulted in a 24% increase in pretax income in the fiscal year 2015 period. The higher provision for income taxes partially offset the increased pretax income resulting in a 6% increase in net income for the quarter as compared to the prior year period. Based on recent bookings and its backlog, the Company expects to record higher consolidated revenue and to realize improved gross margins and operating profits over the remainder of fiscal year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$81.1 million at July 31, 2014, compared to working capital of $78.2 million at April 30, 2014. Included in working capital at July 31, 2014 is $19.8 million consisting of cash, cash equivalents and marketable securities. The Company’s current ratio at July 31, 2014 is 8.3 to 1.</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July 31, 2014, the Company used cash from operations in the amount of $5.6 million compared to the use of cash from operating activities of $2.2 million in the comparable fiscal year 2014 period. The reduced cash flow in the fiscal year 2015 period resulted primarily from a near doubling of accounts receivable and increased inventory levels compared to the balances as of the end of the previous fiscal year. For the three-month periods ended July 31, 2014 and 2013, the Company incurred approximately $1.1 million and $1.3 million, respectively, of non-cash operating expenses such as depreciation and amortization and accruals for employee benefit programs. The Company expects to collect a high percentage of the billed accounts receivable during its second fiscal quarter and anticipates it will generate positive cash flow from operating activities in that quarter and for the balance of fiscal year 2015.</w:t>
      </w:r>
    </w:p>
    <w:p>
      <w:pPr>
        <w:spacing w:after="0" w:line="21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provided by investing activities for the three months ended July 31, 2014, was $59,000 compared to $495,000 used in such activity for the same period of fiscal year 2014. During the fiscal year 2015 period, marketable securities were sold or redeemed in the aggregate amount of $2.2 million compared to $1.0 million of such redemptions during the fiscal year 2014 period. Some of these proceeds and other cash were reinvested in additional marketable securities for the periods ended July 31, 2014 and 2013 in the amount of $1.0 million and $39,000, respectively. In the fiscal quarters ended July 31, 2014 and 2013, the Company acquired property, plant and equipment in the amount of approximately $1.2 million and $1.5 million,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$3.0 million and $4.0 million on capital equipment during fiscal year 2015. Internally generated cash or additional borrowings under the Company’s credit facility will be used to acquire this level of capital equipment.</w:t>
      </w:r>
    </w:p>
    <w:p>
      <w:pPr>
        <w:spacing w:after="0" w:line="20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financing activities for the three months ended July 31, 2014 and 2013 was $2.3 million and $3.3 million, respectively. During the fiscal quarters, the Company borrowed $2.3 million and $3.2 million, respectively, under its credit facility with a bank. Such funds were used for working capital and to finance the acquisition of certain fixed assets. For the three months ended July 31, 2014 and 2013, the Company realized $26,000 and $134,000, respectively, from the tax benefit arising from the exercise of stock-based awards. During the fiscal year 2014 period, the Company made payments of $10,000 against capital lease obligations.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2014, the Company has repurchased approximately $4 million of its common stock out of the $5 million authorization.</w:t>
      </w:r>
    </w:p>
    <w:p>
      <w:pPr>
        <w:spacing w:after="0" w:line="20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2015,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July 31, 2014, the Company's consolidated backlog is approximately $57 million compared to $48 million at April 30, 2014, the end of fiscal year 2014. Approximately 70% of this backlog is expected to be realized in the next twelve months. Included in the backlog at July 31, 2014 is approximately $2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July 31, 2015.</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July 31, 2014,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three months ended July 31, 2014 to which this report relates that have materially affected, or are reasonably likely to materially affect, the Company’s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Exhibits</w:t>
      </w:r>
    </w:p>
    <w:p>
      <w:pPr>
        <w:spacing w:after="0" w:line="256"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u w:val="single" w:color="auto"/>
          <w:color w:val="0000EE"/>
        </w:rPr>
        <w:t>Certification by the Chief Executive Officer pursuant to Rule 13a-14(a) or 15d-14(a) under the Securities Exchange Act of 1934, as adopted pursuant to Section 302 of the Sarbanes-Oxley Act of 2002.</w:t>
      </w:r>
    </w:p>
    <w:p>
      <w:pPr>
        <w:spacing w:after="0" w:line="197"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u w:val="single" w:color="auto"/>
          <w:color w:val="0000EE"/>
        </w:rPr>
        <w:t>Certification by the Chief Financial Officer pursuant to Rule 13a-14(a) or 15d-14(a) under the Securities Exchange Act of 1934, as adopted pursuant to Section 302 of the Sarbanes-Oxley Act of 2002.</w:t>
      </w:r>
    </w:p>
    <w:p>
      <w:pPr>
        <w:spacing w:after="0" w:line="197" w:lineRule="exact"/>
        <w:rPr>
          <w:sz w:val="20"/>
          <w:szCs w:val="20"/>
          <w:color w:val="auto"/>
        </w:rPr>
      </w:pPr>
    </w:p>
    <w:p>
      <w:pPr>
        <w:jc w:val="both"/>
        <w:ind w:left="620" w:hanging="620"/>
        <w:spacing w:after="0" w:line="277" w:lineRule="auto"/>
        <w:tabs>
          <w:tab w:leader="none" w:pos="60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8"/>
          <w:szCs w:val="18"/>
          <w:u w:val="single" w:color="auto"/>
          <w:color w:val="0000EE"/>
        </w:rPr>
        <w:t>Certifications by the Chief Executive Officer and Chief Financial Officer pursuant to 18 U.S.C. Section 1350, as adopted pursuant to Section 906 of the Sarbanes-Oxley Act of 2002.</w:t>
      </w:r>
    </w:p>
    <w:p>
      <w:pPr>
        <w:spacing w:after="0" w:line="197" w:lineRule="exact"/>
        <w:rPr>
          <w:sz w:val="20"/>
          <w:szCs w:val="20"/>
          <w:color w:val="auto"/>
        </w:rPr>
      </w:pPr>
    </w:p>
    <w:p>
      <w:pPr>
        <w:jc w:val="both"/>
        <w:ind w:left="700" w:hanging="688"/>
        <w:spacing w:after="0" w:line="259"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Frequency Electronics, Inc. Quarterly Report on Form 10-Q for the quarter ended July 31, 2014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 September 15, 2014</w:t>
      </w:r>
      <w:r>
        <w:rPr>
          <w:sz w:val="20"/>
          <w:szCs w:val="20"/>
          <w:color w:val="auto"/>
        </w:rPr>
        <w:tab/>
      </w:r>
      <w:r>
        <w:rPr>
          <w:rFonts w:ascii="Arial" w:cs="Arial" w:eastAsia="Arial" w:hAnsi="Arial"/>
          <w:sz w:val="17"/>
          <w:szCs w:val="17"/>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3926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Signing on behalf of the registrant and as principal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240" w:top="121" w:right="1359" w:bottom="1440" w:gutter="0" w:footer="0" w:header="0"/>
        </w:sectPr>
      </w:pPr>
    </w:p>
    <w:bookmarkStart w:id="20" w:name="page21"/>
    <w:bookmarkEnd w:id="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5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1940" w:type="dxa"/>
            <w:vAlign w:val="bottom"/>
          </w:tcPr>
          <w:p>
            <w:pPr>
              <w:ind w:left="500"/>
              <w:spacing w:after="0"/>
              <w:rPr>
                <w:sz w:val="20"/>
                <w:szCs w:val="20"/>
                <w:color w:val="auto"/>
              </w:rPr>
            </w:pPr>
            <w:r>
              <w:rPr>
                <w:rFonts w:ascii="Arial" w:cs="Arial" w:eastAsia="Arial" w:hAnsi="Arial"/>
                <w:sz w:val="18"/>
                <w:szCs w:val="18"/>
                <w:color w:val="auto"/>
                <w:w w:val="87"/>
              </w:rPr>
              <w:t>September 15, 2014</w:t>
            </w:r>
          </w:p>
        </w:tc>
      </w:tr>
      <w:tr>
        <w:trPr>
          <w:trHeight w:val="222"/>
        </w:trPr>
        <w:tc>
          <w:tcPr>
            <w:tcW w:w="2520" w:type="dxa"/>
            <w:vAlign w:val="bottom"/>
          </w:tcPr>
          <w:p>
            <w:pPr>
              <w:ind w:left="280"/>
              <w:spacing w:after="0"/>
              <w:rPr>
                <w:sz w:val="20"/>
                <w:szCs w:val="20"/>
                <w:color w:val="auto"/>
              </w:rPr>
            </w:pPr>
            <w:r>
              <w:rPr>
                <w:rFonts w:ascii="Arial" w:cs="Arial" w:eastAsia="Arial" w:hAnsi="Arial"/>
                <w:sz w:val="18"/>
                <w:szCs w:val="18"/>
                <w:color w:val="auto"/>
              </w:rPr>
              <w:t>Martin Bloch</w:t>
            </w:r>
          </w:p>
        </w:tc>
        <w:tc>
          <w:tcPr>
            <w:tcW w:w="1940" w:type="dxa"/>
            <w:vAlign w:val="bottom"/>
          </w:tcPr>
          <w:p>
            <w:pPr>
              <w:spacing w:after="0"/>
              <w:rPr>
                <w:sz w:val="19"/>
                <w:szCs w:val="19"/>
                <w:color w:val="auto"/>
              </w:rPr>
            </w:pPr>
          </w:p>
        </w:tc>
      </w:tr>
      <w:tr>
        <w:trPr>
          <w:trHeight w:val="230"/>
        </w:trPr>
        <w:tc>
          <w:tcPr>
            <w:tcW w:w="252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1940" w:type="dxa"/>
            <w:vAlign w:val="bottom"/>
          </w:tcPr>
          <w:p>
            <w:pPr>
              <w:spacing w:after="0"/>
              <w:rPr>
                <w:sz w:val="20"/>
                <w:szCs w:val="20"/>
                <w:color w:val="auto"/>
              </w:rPr>
            </w:pPr>
          </w:p>
        </w:tc>
      </w:tr>
    </w:tbl>
    <w:p>
      <w:pPr>
        <w:sectPr>
          <w:pgSz w:w="11900" w:h="16838" w:orient="portrait"/>
          <w:cols w:equalWidth="0" w:num="1">
            <w:col w:w="11420"/>
          </w:cols>
          <w:pgMar w:left="240" w:top="36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Miller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15, 2014</w:t>
            </w:r>
          </w:p>
        </w:tc>
      </w:tr>
      <w:tr>
        <w:trPr>
          <w:trHeight w:val="222"/>
        </w:trPr>
        <w:tc>
          <w:tcPr>
            <w:tcW w:w="2580" w:type="dxa"/>
            <w:vAlign w:val="bottom"/>
          </w:tcPr>
          <w:p>
            <w:pPr>
              <w:ind w:left="280"/>
              <w:spacing w:after="0"/>
              <w:rPr>
                <w:sz w:val="20"/>
                <w:szCs w:val="20"/>
                <w:color w:val="auto"/>
              </w:rPr>
            </w:pPr>
            <w:r>
              <w:rPr>
                <w:rFonts w:ascii="Arial" w:cs="Arial" w:eastAsia="Arial" w:hAnsi="Arial"/>
                <w:sz w:val="18"/>
                <w:szCs w:val="18"/>
                <w:color w:val="auto"/>
              </w:rPr>
              <w:t>Alan Miller</w:t>
            </w:r>
          </w:p>
        </w:tc>
        <w:tc>
          <w:tcPr>
            <w:tcW w:w="1980" w:type="dxa"/>
            <w:vAlign w:val="bottom"/>
          </w:tcPr>
          <w:p>
            <w:pPr>
              <w:spacing w:after="0"/>
              <w:rPr>
                <w:sz w:val="19"/>
                <w:szCs w:val="19"/>
                <w:color w:val="auto"/>
              </w:rPr>
            </w:pPr>
          </w:p>
        </w:tc>
      </w:tr>
      <w:tr>
        <w:trPr>
          <w:trHeight w:val="230"/>
        </w:trPr>
        <w:tc>
          <w:tcPr>
            <w:tcW w:w="258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2014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3440" w:type="dxa"/>
            <w:vAlign w:val="bottom"/>
          </w:tcPr>
          <w:p>
            <w:pPr>
              <w:jc w:val="right"/>
              <w:ind w:right="1310"/>
              <w:spacing w:after="0"/>
              <w:rPr>
                <w:sz w:val="20"/>
                <w:szCs w:val="20"/>
                <w:color w:val="auto"/>
              </w:rPr>
            </w:pPr>
            <w:r>
              <w:rPr>
                <w:rFonts w:ascii="Arial" w:cs="Arial" w:eastAsia="Arial" w:hAnsi="Arial"/>
                <w:sz w:val="18"/>
                <w:szCs w:val="18"/>
                <w:color w:val="auto"/>
              </w:rPr>
              <w:t>September 15, 2014</w:t>
            </w:r>
          </w:p>
        </w:tc>
      </w:tr>
      <w:tr>
        <w:trPr>
          <w:trHeight w:val="222"/>
        </w:trPr>
        <w:tc>
          <w:tcPr>
            <w:tcW w:w="2700" w:type="dxa"/>
            <w:vAlign w:val="bottom"/>
          </w:tcPr>
          <w:p>
            <w:pPr>
              <w:ind w:left="280"/>
              <w:spacing w:after="0"/>
              <w:rPr>
                <w:sz w:val="20"/>
                <w:szCs w:val="20"/>
                <w:color w:val="auto"/>
              </w:rPr>
            </w:pPr>
            <w:r>
              <w:rPr>
                <w:rFonts w:ascii="Arial" w:cs="Arial" w:eastAsia="Arial" w:hAnsi="Arial"/>
                <w:sz w:val="18"/>
                <w:szCs w:val="18"/>
                <w:color w:val="auto"/>
              </w:rPr>
              <w:t>Martin Bloch</w:t>
            </w:r>
          </w:p>
        </w:tc>
        <w:tc>
          <w:tcPr>
            <w:tcW w:w="3440" w:type="dxa"/>
            <w:vAlign w:val="bottom"/>
          </w:tcPr>
          <w:p>
            <w:pPr>
              <w:spacing w:after="0"/>
              <w:rPr>
                <w:sz w:val="19"/>
                <w:szCs w:val="19"/>
                <w:color w:val="auto"/>
              </w:rPr>
            </w:pPr>
          </w:p>
        </w:tc>
      </w:tr>
      <w:tr>
        <w:trPr>
          <w:trHeight w:val="230"/>
        </w:trPr>
        <w:tc>
          <w:tcPr>
            <w:tcW w:w="270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3440" w:type="dxa"/>
            <w:vAlign w:val="bottom"/>
          </w:tcPr>
          <w:p>
            <w:pPr>
              <w:spacing w:after="0"/>
              <w:rPr>
                <w:sz w:val="20"/>
                <w:szCs w:val="20"/>
                <w:color w:val="auto"/>
              </w:rPr>
            </w:pPr>
          </w:p>
        </w:tc>
      </w:tr>
      <w:tr>
        <w:trPr>
          <w:trHeight w:val="459"/>
        </w:trPr>
        <w:tc>
          <w:tcPr>
            <w:tcW w:w="2700" w:type="dxa"/>
            <w:vAlign w:val="bottom"/>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2014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20" w:hanging="30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Miller</w:t>
            </w:r>
          </w:p>
        </w:tc>
        <w:tc>
          <w:tcPr>
            <w:tcW w:w="1860" w:type="dxa"/>
            <w:vAlign w:val="bottom"/>
          </w:tcPr>
          <w:p>
            <w:pPr>
              <w:ind w:left="420"/>
              <w:spacing w:after="0"/>
              <w:rPr>
                <w:sz w:val="20"/>
                <w:szCs w:val="20"/>
                <w:color w:val="auto"/>
              </w:rPr>
            </w:pPr>
            <w:r>
              <w:rPr>
                <w:rFonts w:ascii="Arial" w:cs="Arial" w:eastAsia="Arial" w:hAnsi="Arial"/>
                <w:sz w:val="18"/>
                <w:szCs w:val="18"/>
                <w:color w:val="auto"/>
                <w:w w:val="87"/>
              </w:rPr>
              <w:t>September 15, 2014</w:t>
            </w:r>
          </w:p>
        </w:tc>
      </w:tr>
      <w:tr>
        <w:trPr>
          <w:trHeight w:val="222"/>
        </w:trPr>
        <w:tc>
          <w:tcPr>
            <w:tcW w:w="2700" w:type="dxa"/>
            <w:vAlign w:val="bottom"/>
          </w:tcPr>
          <w:p>
            <w:pPr>
              <w:ind w:left="280"/>
              <w:spacing w:after="0"/>
              <w:rPr>
                <w:sz w:val="20"/>
                <w:szCs w:val="20"/>
                <w:color w:val="auto"/>
              </w:rPr>
            </w:pPr>
            <w:r>
              <w:rPr>
                <w:rFonts w:ascii="Arial" w:cs="Arial" w:eastAsia="Arial" w:hAnsi="Arial"/>
                <w:sz w:val="18"/>
                <w:szCs w:val="18"/>
                <w:color w:val="auto"/>
              </w:rPr>
              <w:t>Alan Miller</w:t>
            </w:r>
          </w:p>
        </w:tc>
        <w:tc>
          <w:tcPr>
            <w:tcW w:w="1860" w:type="dxa"/>
            <w:vAlign w:val="bottom"/>
          </w:tcPr>
          <w:p>
            <w:pPr>
              <w:spacing w:after="0"/>
              <w:rPr>
                <w:sz w:val="19"/>
                <w:szCs w:val="19"/>
                <w:color w:val="auto"/>
              </w:rPr>
            </w:pPr>
          </w:p>
        </w:tc>
      </w:tr>
      <w:tr>
        <w:trPr>
          <w:trHeight w:val="230"/>
        </w:trPr>
        <w:tc>
          <w:tcPr>
            <w:tcW w:w="270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186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2019-12-05T09:33:04Z</dcterms:created>
  <dcterms:modified xsi:type="dcterms:W3CDTF">2019-12-05T09:33:04Z</dcterms:modified>
</cp:coreProperties>
</file>