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83" w:lineRule="exact"/>
        <w:rPr>
          <w:sz w:val="24"/>
          <w:szCs w:val="24"/>
          <w:color w:val="auto"/>
        </w:rPr>
      </w:pPr>
    </w:p>
    <w:p>
      <w:pPr>
        <w:ind w:left="1660" w:hanging="585"/>
        <w:spacing w:after="0"/>
        <w:tabs>
          <w:tab w:leader="none" w:pos="1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 (d) OF THE SECURITIES  EXCHANGE ACT OF 1934</w:t>
      </w:r>
    </w:p>
    <w:p>
      <w:pPr>
        <w:spacing w:after="0" w:line="33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 the Quarterly Period ended January 31, 2008</w:t>
      </w:r>
    </w:p>
    <w:p>
      <w:pPr>
        <w:spacing w:after="0" w:line="27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83" w:lineRule="exact"/>
        <w:rPr>
          <w:sz w:val="24"/>
          <w:szCs w:val="24"/>
          <w:color w:val="auto"/>
        </w:rPr>
      </w:pPr>
    </w:p>
    <w:p>
      <w:pPr>
        <w:ind w:left="1660" w:hanging="585"/>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w:t>
      </w:r>
    </w:p>
    <w:p>
      <w:pPr>
        <w:spacing w:after="0" w:line="333"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1-8061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FREQUENCY ELECTRONICS,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jc w:val="center"/>
              <w:ind w:right="470"/>
              <w:spacing w:after="0"/>
              <w:rPr>
                <w:sz w:val="20"/>
                <w:szCs w:val="20"/>
                <w:color w:val="auto"/>
              </w:rPr>
            </w:pPr>
            <w:r>
              <w:rPr>
                <w:rFonts w:ascii="Arial" w:cs="Arial" w:eastAsia="Arial" w:hAnsi="Arial"/>
                <w:sz w:val="18"/>
                <w:szCs w:val="18"/>
                <w:b w:val="1"/>
                <w:bCs w:val="1"/>
                <w:color w:val="auto"/>
                <w:w w:val="93"/>
              </w:rPr>
              <w:t>Delaware</w:t>
            </w:r>
          </w:p>
        </w:tc>
        <w:tc>
          <w:tcPr>
            <w:tcW w:w="2660" w:type="dxa"/>
            <w:vAlign w:val="bottom"/>
          </w:tcPr>
          <w:p>
            <w:pPr>
              <w:jc w:val="right"/>
              <w:ind w:right="15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860" w:type="dxa"/>
            <w:vAlign w:val="bottom"/>
          </w:tcPr>
          <w:p>
            <w:pPr>
              <w:jc w:val="center"/>
              <w:ind w:right="470"/>
              <w:spacing w:after="0"/>
              <w:rPr>
                <w:sz w:val="20"/>
                <w:szCs w:val="20"/>
                <w:color w:val="auto"/>
              </w:rPr>
            </w:pPr>
            <w:r>
              <w:rPr>
                <w:rFonts w:ascii="Arial" w:cs="Arial" w:eastAsia="Arial" w:hAnsi="Arial"/>
                <w:sz w:val="18"/>
                <w:szCs w:val="18"/>
                <w:color w:val="auto"/>
                <w:w w:val="93"/>
              </w:rPr>
              <w:t>(State or other jurisdiction of</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2"/>
              </w:rPr>
              <w:t>(I.R.S. Employer</w:t>
            </w:r>
          </w:p>
        </w:tc>
      </w:tr>
      <w:tr>
        <w:trPr>
          <w:trHeight w:val="230"/>
        </w:trPr>
        <w:tc>
          <w:tcPr>
            <w:tcW w:w="6860" w:type="dxa"/>
            <w:vAlign w:val="bottom"/>
          </w:tcPr>
          <w:p>
            <w:pPr>
              <w:jc w:val="center"/>
              <w:ind w:right="470"/>
              <w:spacing w:after="0"/>
              <w:rPr>
                <w:sz w:val="20"/>
                <w:szCs w:val="20"/>
                <w:color w:val="auto"/>
              </w:rPr>
            </w:pPr>
            <w:r>
              <w:rPr>
                <w:rFonts w:ascii="Arial" w:cs="Arial" w:eastAsia="Arial" w:hAnsi="Arial"/>
                <w:sz w:val="18"/>
                <w:szCs w:val="18"/>
                <w:color w:val="auto"/>
                <w:w w:val="93"/>
              </w:rPr>
              <w:t>incorporation or organization)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472"/>
        </w:trPr>
        <w:tc>
          <w:tcPr>
            <w:tcW w:w="6860" w:type="dxa"/>
            <w:vAlign w:val="bottom"/>
          </w:tcPr>
          <w:p>
            <w:pPr>
              <w:jc w:val="center"/>
              <w:ind w:right="470"/>
              <w:spacing w:after="0"/>
              <w:rPr>
                <w:sz w:val="20"/>
                <w:szCs w:val="20"/>
                <w:color w:val="auto"/>
              </w:rPr>
            </w:pPr>
            <w:r>
              <w:rPr>
                <w:rFonts w:ascii="Arial" w:cs="Arial" w:eastAsia="Arial" w:hAnsi="Arial"/>
                <w:sz w:val="18"/>
                <w:szCs w:val="18"/>
                <w:b w:val="1"/>
                <w:bCs w:val="1"/>
                <w:color w:val="auto"/>
              </w:rPr>
              <w:t>55 CHARLES LINDBERGH BLVD., MITCHEL FIELD, N.Y.</w:t>
            </w:r>
          </w:p>
        </w:tc>
        <w:tc>
          <w:tcPr>
            <w:tcW w:w="2660" w:type="dxa"/>
            <w:vAlign w:val="bottom"/>
          </w:tcPr>
          <w:p>
            <w:pPr>
              <w:jc w:val="right"/>
              <w:ind w:right="350"/>
              <w:spacing w:after="0"/>
              <w:rPr>
                <w:sz w:val="20"/>
                <w:szCs w:val="20"/>
                <w:color w:val="auto"/>
              </w:rPr>
            </w:pPr>
            <w:r>
              <w:rPr>
                <w:rFonts w:ascii="Arial" w:cs="Arial" w:eastAsia="Arial" w:hAnsi="Arial"/>
                <w:sz w:val="18"/>
                <w:szCs w:val="18"/>
                <w:b w:val="1"/>
                <w:bCs w:val="1"/>
                <w:color w:val="auto"/>
              </w:rPr>
              <w:t>11553</w:t>
            </w:r>
          </w:p>
        </w:tc>
      </w:tr>
      <w:tr>
        <w:trPr>
          <w:trHeight w:val="230"/>
        </w:trPr>
        <w:tc>
          <w:tcPr>
            <w:tcW w:w="6860" w:type="dxa"/>
            <w:vAlign w:val="bottom"/>
          </w:tcPr>
          <w:p>
            <w:pPr>
              <w:jc w:val="center"/>
              <w:ind w:right="47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50"/>
              <w:spacing w:after="0"/>
              <w:rPr>
                <w:sz w:val="20"/>
                <w:szCs w:val="20"/>
                <w:color w:val="auto"/>
              </w:rPr>
            </w:pPr>
            <w:r>
              <w:rPr>
                <w:rFonts w:ascii="Arial" w:cs="Arial" w:eastAsia="Arial" w:hAnsi="Arial"/>
                <w:sz w:val="18"/>
                <w:szCs w:val="18"/>
                <w:color w:val="auto"/>
                <w:w w:val="94"/>
              </w:rPr>
              <w:t>(Zip Code)</w:t>
            </w:r>
          </w:p>
        </w:tc>
      </w:tr>
      <w:tr>
        <w:trPr>
          <w:trHeight w:val="486"/>
        </w:trPr>
        <w:tc>
          <w:tcPr>
            <w:tcW w:w="686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2660" w:type="dxa"/>
            <w:vAlign w:val="bottom"/>
          </w:tcPr>
          <w:p>
            <w:pPr>
              <w:spacing w:after="0"/>
              <w:rPr>
                <w:sz w:val="24"/>
                <w:szCs w:val="24"/>
                <w:color w:val="auto"/>
              </w:rPr>
            </w:pPr>
          </w:p>
        </w:tc>
      </w:tr>
    </w:tbl>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3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Large accelerated filer o Accelerated filer o  Non-accelerated filer x Smaller Reporting Company o</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Yes o No x</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March 10, 2008 - 8,725,876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660" w:type="dxa"/>
            <w:vAlign w:val="bottom"/>
          </w:tcPr>
          <w:p>
            <w:pPr>
              <w:jc w:val="center"/>
              <w:ind w:left="1690"/>
              <w:spacing w:after="0"/>
              <w:rPr>
                <w:sz w:val="20"/>
                <w:szCs w:val="20"/>
                <w:color w:val="auto"/>
              </w:rPr>
            </w:pPr>
            <w:r>
              <w:rPr>
                <w:rFonts w:ascii="Arial" w:cs="Arial" w:eastAsia="Arial" w:hAnsi="Arial"/>
                <w:sz w:val="18"/>
                <w:szCs w:val="18"/>
                <w:color w:val="auto"/>
                <w:w w:val="95"/>
              </w:rPr>
              <w:t>FREQUENCY ELECTRONICS, INC. and SUBSIDIARIES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86"/>
        </w:trPr>
        <w:tc>
          <w:tcPr>
            <w:tcW w:w="9660" w:type="dxa"/>
            <w:vAlign w:val="bottom"/>
          </w:tcPr>
          <w:p>
            <w:pPr>
              <w:jc w:val="center"/>
              <w:ind w:left="1690"/>
              <w:spacing w:after="0"/>
              <w:rPr>
                <w:sz w:val="20"/>
                <w:szCs w:val="20"/>
                <w:color w:val="auto"/>
              </w:rPr>
            </w:pPr>
            <w:r>
              <w:rPr>
                <w:rFonts w:ascii="Arial" w:cs="Arial" w:eastAsia="Arial" w:hAnsi="Arial"/>
                <w:sz w:val="18"/>
                <w:szCs w:val="18"/>
                <w:color w:val="auto"/>
              </w:rPr>
              <w:t>INDEX</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9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Page No.</w:t>
            </w:r>
          </w:p>
        </w:tc>
      </w:tr>
      <w:tr>
        <w:trPr>
          <w:trHeight w:val="264"/>
        </w:trPr>
        <w:tc>
          <w:tcPr>
            <w:tcW w:w="9660" w:type="dxa"/>
            <w:vAlign w:val="bottom"/>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220" w:type="dxa"/>
            <w:vAlign w:val="bottom"/>
            <w:shd w:val="clear" w:color="auto" w:fill="CCFFCC"/>
          </w:tcPr>
          <w:p>
            <w:pPr>
              <w:spacing w:after="0"/>
              <w:rPr>
                <w:sz w:val="22"/>
                <w:szCs w:val="22"/>
                <w:color w:val="auto"/>
              </w:rPr>
            </w:pPr>
          </w:p>
        </w:tc>
        <w:tc>
          <w:tcPr>
            <w:tcW w:w="1420" w:type="dxa"/>
            <w:vAlign w:val="bottom"/>
            <w:tcBorders>
              <w:top w:val="single" w:sz="8" w:color="auto"/>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1 - Financial Statements:</w:t>
            </w:r>
          </w:p>
        </w:tc>
        <w:tc>
          <w:tcPr>
            <w:tcW w:w="220" w:type="dxa"/>
            <w:vAlign w:val="bottom"/>
            <w:shd w:val="clear" w:color="auto" w:fill="CCFFCC"/>
          </w:tcPr>
          <w:p>
            <w:pPr>
              <w:spacing w:after="0"/>
              <w:rPr>
                <w:sz w:val="23"/>
                <w:szCs w:val="23"/>
                <w:color w:val="auto"/>
              </w:rPr>
            </w:pPr>
          </w:p>
        </w:tc>
        <w:tc>
          <w:tcPr>
            <w:tcW w:w="14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Condensed Consolidated Balance Sheets -</w:t>
            </w:r>
          </w:p>
        </w:tc>
        <w:tc>
          <w:tcPr>
            <w:tcW w:w="220" w:type="dxa"/>
            <w:vAlign w:val="bottom"/>
            <w:shd w:val="clear" w:color="auto" w:fill="CCFFCC"/>
          </w:tcPr>
          <w:p>
            <w:pPr>
              <w:spacing w:after="0"/>
              <w:rPr>
                <w:sz w:val="23"/>
                <w:szCs w:val="23"/>
                <w:color w:val="auto"/>
              </w:rPr>
            </w:pPr>
          </w:p>
        </w:tc>
        <w:tc>
          <w:tcPr>
            <w:tcW w:w="14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r>
      <w:tr>
        <w:trPr>
          <w:trHeight w:val="270"/>
        </w:trPr>
        <w:tc>
          <w:tcPr>
            <w:tcW w:w="966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January 31, 2008 and April 30, 2007</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Condensed Consolidated Statements of Operations</w:t>
            </w:r>
          </w:p>
        </w:tc>
        <w:tc>
          <w:tcPr>
            <w:tcW w:w="220" w:type="dxa"/>
            <w:vAlign w:val="bottom"/>
            <w:shd w:val="clear" w:color="auto" w:fill="CCFFCC"/>
          </w:tcPr>
          <w:p>
            <w:pPr>
              <w:spacing w:after="0"/>
              <w:rPr>
                <w:sz w:val="23"/>
                <w:szCs w:val="23"/>
                <w:color w:val="auto"/>
              </w:rPr>
            </w:pPr>
          </w:p>
        </w:tc>
        <w:tc>
          <w:tcPr>
            <w:tcW w:w="14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r>
      <w:tr>
        <w:trPr>
          <w:trHeight w:val="270"/>
        </w:trPr>
        <w:tc>
          <w:tcPr>
            <w:tcW w:w="966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Nine Months Ended January 31, 2008 and 2007</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Condensed Consolidated Statements of Operations</w:t>
            </w:r>
          </w:p>
        </w:tc>
        <w:tc>
          <w:tcPr>
            <w:tcW w:w="220" w:type="dxa"/>
            <w:vAlign w:val="bottom"/>
            <w:shd w:val="clear" w:color="auto" w:fill="CCFFCC"/>
          </w:tcPr>
          <w:p>
            <w:pPr>
              <w:spacing w:after="0"/>
              <w:rPr>
                <w:sz w:val="23"/>
                <w:szCs w:val="23"/>
                <w:color w:val="auto"/>
              </w:rPr>
            </w:pPr>
          </w:p>
        </w:tc>
        <w:tc>
          <w:tcPr>
            <w:tcW w:w="14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r>
      <w:tr>
        <w:trPr>
          <w:trHeight w:val="270"/>
        </w:trPr>
        <w:tc>
          <w:tcPr>
            <w:tcW w:w="966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Three Months Ended January 31, 2008 and 2007</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Condensed Consolidated Statements of Cash Flows</w:t>
            </w:r>
          </w:p>
        </w:tc>
        <w:tc>
          <w:tcPr>
            <w:tcW w:w="220" w:type="dxa"/>
            <w:vAlign w:val="bottom"/>
            <w:shd w:val="clear" w:color="auto" w:fill="CCFFCC"/>
          </w:tcPr>
          <w:p>
            <w:pPr>
              <w:spacing w:after="0"/>
              <w:rPr>
                <w:sz w:val="23"/>
                <w:szCs w:val="23"/>
                <w:color w:val="auto"/>
              </w:rPr>
            </w:pPr>
          </w:p>
        </w:tc>
        <w:tc>
          <w:tcPr>
            <w:tcW w:w="14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r>
      <w:tr>
        <w:trPr>
          <w:trHeight w:val="270"/>
        </w:trPr>
        <w:tc>
          <w:tcPr>
            <w:tcW w:w="966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Nine Months Ended January 31, 2008 and 2007</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Notes to Condensed Consolidated Financial Statements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2 - Management's Discussion and Analysis of Financial Condition and Results of Operations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4T- Controls and Procedures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220" w:type="dxa"/>
            <w:vAlign w:val="bottom"/>
            <w:shd w:val="clear" w:color="auto" w:fill="CCFFCC"/>
          </w:tcPr>
          <w:p>
            <w:pPr>
              <w:spacing w:after="0"/>
              <w:rPr>
                <w:sz w:val="23"/>
                <w:szCs w:val="23"/>
                <w:color w:val="auto"/>
              </w:rPr>
            </w:pPr>
          </w:p>
        </w:tc>
        <w:tc>
          <w:tcPr>
            <w:tcW w:w="14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Items 1, 1A, 2, 3, 4 and 5 are omitted because they are not applicable</w:t>
            </w:r>
          </w:p>
        </w:tc>
        <w:tc>
          <w:tcPr>
            <w:tcW w:w="220" w:type="dxa"/>
            <w:vAlign w:val="bottom"/>
            <w:shd w:val="clear" w:color="auto" w:fill="CCFFCC"/>
          </w:tcPr>
          <w:p>
            <w:pPr>
              <w:spacing w:after="0"/>
              <w:rPr>
                <w:sz w:val="23"/>
                <w:szCs w:val="23"/>
                <w:color w:val="auto"/>
              </w:rPr>
            </w:pPr>
          </w:p>
        </w:tc>
        <w:tc>
          <w:tcPr>
            <w:tcW w:w="14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r>
      <w:tr>
        <w:trPr>
          <w:trHeight w:val="216"/>
        </w:trPr>
        <w:tc>
          <w:tcPr>
            <w:tcW w:w="9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0"/>
        </w:trPr>
        <w:tc>
          <w:tcPr>
            <w:tcW w:w="96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6 – Exhibits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Signatures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FFCC"/>
          </w:tcPr>
          <w:p>
            <w:pPr>
              <w:spacing w:after="0"/>
              <w:rPr>
                <w:sz w:val="23"/>
                <w:szCs w:val="23"/>
                <w:color w:val="auto"/>
              </w:rPr>
            </w:pPr>
          </w:p>
        </w:tc>
      </w:tr>
      <w:tr>
        <w:trPr>
          <w:trHeight w:val="270"/>
        </w:trPr>
        <w:tc>
          <w:tcPr>
            <w:tcW w:w="9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96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Exhibits</w:t>
            </w:r>
          </w:p>
        </w:tc>
        <w:tc>
          <w:tcPr>
            <w:tcW w:w="220" w:type="dxa"/>
            <w:vAlign w:val="bottom"/>
            <w:shd w:val="clear" w:color="auto" w:fill="CCFFCC"/>
          </w:tcPr>
          <w:p>
            <w:pPr>
              <w:spacing w:after="0"/>
              <w:rPr>
                <w:sz w:val="23"/>
                <w:szCs w:val="23"/>
                <w:color w:val="auto"/>
              </w:rPr>
            </w:pPr>
          </w:p>
        </w:tc>
        <w:tc>
          <w:tcPr>
            <w:tcW w:w="14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r>
      <w:tr>
        <w:trPr>
          <w:trHeight w:val="459"/>
        </w:trPr>
        <w:tc>
          <w:tcPr>
            <w:tcW w:w="9660" w:type="dxa"/>
            <w:vAlign w:val="bottom"/>
          </w:tcPr>
          <w:p>
            <w:pPr>
              <w:jc w:val="center"/>
              <w:ind w:left="1690"/>
              <w:spacing w:after="0"/>
              <w:rPr>
                <w:sz w:val="20"/>
                <w:szCs w:val="20"/>
                <w:color w:val="auto"/>
              </w:rPr>
            </w:pPr>
            <w:r>
              <w:rPr>
                <w:rFonts w:ascii="Arial" w:cs="Arial" w:eastAsia="Arial" w:hAnsi="Arial"/>
                <w:sz w:val="18"/>
                <w:szCs w:val="18"/>
                <w:color w:val="auto"/>
                <w:w w:val="84"/>
              </w:rPr>
              <w:t>Page 2</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9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20" w:type="dxa"/>
            <w:vAlign w:val="bottom"/>
            <w:gridSpan w:val="3"/>
          </w:tcPr>
          <w:p>
            <w:pPr>
              <w:jc w:val="center"/>
              <w:ind w:left="2990"/>
              <w:spacing w:after="0"/>
              <w:rPr>
                <w:sz w:val="20"/>
                <w:szCs w:val="20"/>
                <w:color w:val="auto"/>
              </w:rPr>
            </w:pPr>
            <w:r>
              <w:rPr>
                <w:rFonts w:ascii="Arial" w:cs="Arial" w:eastAsia="Arial" w:hAnsi="Arial"/>
                <w:sz w:val="18"/>
                <w:szCs w:val="18"/>
                <w:color w:val="auto"/>
                <w:w w:val="95"/>
              </w:rPr>
              <w:t>FREQUENCY ELECTRONICS, INC. and SUBSIDIARIES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10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Condensed Consolidated Balance Sheets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January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April 30,</w:t>
            </w:r>
          </w:p>
        </w:tc>
      </w:tr>
      <w:tr>
        <w:trPr>
          <w:trHeight w:val="29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rPr>
              <w:t>(AUDITED)</w:t>
            </w:r>
          </w:p>
        </w:tc>
      </w:tr>
      <w:tr>
        <w:trPr>
          <w:trHeight w:val="270"/>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00" w:type="dxa"/>
            <w:vAlign w:val="bottom"/>
            <w:gridSpan w:val="6"/>
          </w:tcPr>
          <w:p>
            <w:pPr>
              <w:jc w:val="right"/>
              <w:ind w:right="480"/>
              <w:spacing w:after="0"/>
              <w:rPr>
                <w:sz w:val="20"/>
                <w:szCs w:val="20"/>
                <w:color w:val="auto"/>
              </w:rPr>
            </w:pPr>
            <w:r>
              <w:rPr>
                <w:rFonts w:ascii="Arial" w:cs="Arial" w:eastAsia="Arial" w:hAnsi="Arial"/>
                <w:sz w:val="18"/>
                <w:szCs w:val="18"/>
                <w:color w:val="auto"/>
                <w:w w:val="91"/>
              </w:rPr>
              <w:t>(In thousands except share data)</w:t>
            </w:r>
          </w:p>
        </w:tc>
      </w:tr>
      <w:tr>
        <w:trPr>
          <w:trHeight w:val="270"/>
        </w:trPr>
        <w:tc>
          <w:tcPr>
            <w:tcW w:w="20" w:type="dxa"/>
            <w:vAlign w:val="bottom"/>
          </w:tcPr>
          <w:p>
            <w:pPr>
              <w:spacing w:after="0"/>
              <w:rPr>
                <w:sz w:val="23"/>
                <w:szCs w:val="23"/>
                <w:color w:val="auto"/>
              </w:rPr>
            </w:pPr>
          </w:p>
        </w:tc>
        <w:tc>
          <w:tcPr>
            <w:tcW w:w="8320" w:type="dxa"/>
            <w:vAlign w:val="bottom"/>
            <w:gridSpan w:val="3"/>
            <w:shd w:val="clear" w:color="auto" w:fill="CCFFCC"/>
          </w:tcPr>
          <w:p>
            <w:pPr>
              <w:ind w:left="36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FFCC"/>
          </w:tcPr>
          <w:p>
            <w:pPr>
              <w:spacing w:after="0"/>
              <w:rPr>
                <w:sz w:val="23"/>
                <w:szCs w:val="23"/>
                <w:color w:val="auto"/>
              </w:rPr>
            </w:pPr>
          </w:p>
        </w:tc>
        <w:tc>
          <w:tcPr>
            <w:tcW w:w="12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2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r>
      <w:tr>
        <w:trPr>
          <w:trHeight w:val="270"/>
        </w:trPr>
        <w:tc>
          <w:tcPr>
            <w:tcW w:w="83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6,673</w:t>
            </w:r>
          </w:p>
        </w:tc>
        <w:tc>
          <w:tcPr>
            <w:tcW w:w="14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1,336</w:t>
            </w:r>
          </w:p>
        </w:tc>
      </w:tr>
      <w:tr>
        <w:trPr>
          <w:trHeight w:val="216"/>
        </w:trPr>
        <w:tc>
          <w:tcPr>
            <w:tcW w:w="20" w:type="dxa"/>
            <w:vAlign w:val="bottom"/>
          </w:tcPr>
          <w:p>
            <w:pPr>
              <w:spacing w:after="0"/>
              <w:rPr>
                <w:sz w:val="18"/>
                <w:szCs w:val="18"/>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14,268</w:t>
            </w:r>
          </w:p>
        </w:tc>
      </w:tr>
      <w:tr>
        <w:trPr>
          <w:trHeight w:val="202"/>
        </w:trPr>
        <w:tc>
          <w:tcPr>
            <w:tcW w:w="20" w:type="dxa"/>
            <w:vAlign w:val="bottom"/>
          </w:tcPr>
          <w:p>
            <w:pPr>
              <w:spacing w:after="0"/>
              <w:rPr>
                <w:sz w:val="17"/>
                <w:szCs w:val="17"/>
                <w:color w:val="auto"/>
              </w:rPr>
            </w:pPr>
          </w:p>
        </w:tc>
        <w:tc>
          <w:tcPr>
            <w:tcW w:w="8320" w:type="dxa"/>
            <w:vAlign w:val="bottom"/>
            <w:gridSpan w:val="3"/>
            <w:shd w:val="clear" w:color="auto" w:fill="CCFFCC"/>
          </w:tcPr>
          <w:p>
            <w:pPr>
              <w:ind w:left="16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$169 at January 31, 2008 and $276 at April</w:t>
            </w:r>
          </w:p>
        </w:tc>
        <w:tc>
          <w:tcPr>
            <w:tcW w:w="18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30, 2007</w:t>
            </w:r>
          </w:p>
        </w:tc>
        <w:tc>
          <w:tcPr>
            <w:tcW w:w="294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19,993</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15,626</w:t>
            </w:r>
          </w:p>
        </w:tc>
      </w:tr>
      <w:tr>
        <w:trPr>
          <w:trHeight w:val="216"/>
        </w:trPr>
        <w:tc>
          <w:tcPr>
            <w:tcW w:w="20" w:type="dxa"/>
            <w:vAlign w:val="bottom"/>
          </w:tcPr>
          <w:p>
            <w:pPr>
              <w:spacing w:after="0"/>
              <w:rPr>
                <w:sz w:val="18"/>
                <w:szCs w:val="18"/>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31,201</w:t>
            </w: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3,075</w:t>
            </w:r>
          </w:p>
        </w:tc>
      </w:tr>
      <w:tr>
        <w:trPr>
          <w:trHeight w:val="216"/>
        </w:trPr>
        <w:tc>
          <w:tcPr>
            <w:tcW w:w="20" w:type="dxa"/>
            <w:vAlign w:val="bottom"/>
          </w:tcPr>
          <w:p>
            <w:pPr>
              <w:spacing w:after="0"/>
              <w:rPr>
                <w:sz w:val="18"/>
                <w:szCs w:val="18"/>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48"/>
        </w:trPr>
        <w:tc>
          <w:tcPr>
            <w:tcW w:w="20" w:type="dxa"/>
            <w:vAlign w:val="bottom"/>
          </w:tcPr>
          <w:p>
            <w:pPr>
              <w:spacing w:after="0"/>
              <w:rPr>
                <w:sz w:val="21"/>
                <w:szCs w:val="21"/>
                <w:color w:val="auto"/>
              </w:rPr>
            </w:pPr>
          </w:p>
        </w:tc>
        <w:tc>
          <w:tcPr>
            <w:tcW w:w="832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1,405</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1,501</w:t>
            </w:r>
          </w:p>
        </w:tc>
      </w:tr>
      <w:tr>
        <w:trPr>
          <w:trHeight w:val="210"/>
        </w:trPr>
        <w:tc>
          <w:tcPr>
            <w:tcW w:w="20" w:type="dxa"/>
            <w:vAlign w:val="bottom"/>
          </w:tcPr>
          <w:p>
            <w:pPr>
              <w:spacing w:after="0"/>
              <w:rPr>
                <w:sz w:val="18"/>
                <w:szCs w:val="18"/>
                <w:color w:val="auto"/>
              </w:rPr>
            </w:pPr>
          </w:p>
        </w:tc>
        <w:tc>
          <w:tcPr>
            <w:tcW w:w="8320" w:type="dxa"/>
            <w:vAlign w:val="bottom"/>
            <w:tcBorders>
              <w:top w:val="single" w:sz="8" w:color="CCFFCC"/>
            </w:tcBorders>
            <w:gridSpan w:val="3"/>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71,552</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67,603</w:t>
            </w: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Property, plant and equipment, at cost, less accumulated depreciation and amortization</w:t>
            </w: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7,839</w:t>
            </w: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Goodwill and other intangible assets, net</w:t>
            </w: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6,815</w:t>
            </w: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Investments in and loans receivable from affiliates</w:t>
            </w: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4,622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7,354</w:t>
            </w:r>
          </w:p>
        </w:tc>
      </w:tr>
      <w:tr>
        <w:trPr>
          <w:trHeight w:val="243"/>
        </w:trPr>
        <w:tc>
          <w:tcPr>
            <w:tcW w:w="20" w:type="dxa"/>
            <w:vAlign w:val="bottom"/>
          </w:tcPr>
          <w:p>
            <w:pPr>
              <w:spacing w:after="0"/>
              <w:rPr>
                <w:sz w:val="21"/>
                <w:szCs w:val="21"/>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FFCC"/>
            </w:tcBorders>
            <w:gridSpan w:val="3"/>
            <w:shd w:val="clear" w:color="auto" w:fill="CCFFCC"/>
          </w:tcPr>
          <w:p>
            <w:pPr>
              <w:ind w:left="4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97,168</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93,826</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51"/>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Short-term credit obligations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5,721</w:t>
            </w:r>
          </w:p>
        </w:tc>
        <w:tc>
          <w:tcPr>
            <w:tcW w:w="14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5,011</w:t>
            </w:r>
          </w:p>
        </w:tc>
      </w:tr>
      <w:tr>
        <w:trPr>
          <w:trHeight w:val="216"/>
        </w:trPr>
        <w:tc>
          <w:tcPr>
            <w:tcW w:w="20" w:type="dxa"/>
            <w:vAlign w:val="bottom"/>
          </w:tcPr>
          <w:p>
            <w:pPr>
              <w:spacing w:after="0"/>
              <w:rPr>
                <w:sz w:val="18"/>
                <w:szCs w:val="18"/>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3,771</w:t>
            </w: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Accrued liabilities and other</w:t>
            </w: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4,352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3,980</w:t>
            </w:r>
          </w:p>
        </w:tc>
      </w:tr>
      <w:tr>
        <w:trPr>
          <w:trHeight w:val="216"/>
        </w:trPr>
        <w:tc>
          <w:tcPr>
            <w:tcW w:w="20" w:type="dxa"/>
            <w:vAlign w:val="bottom"/>
          </w:tcPr>
          <w:p>
            <w:pPr>
              <w:spacing w:after="0"/>
              <w:rPr>
                <w:sz w:val="18"/>
                <w:szCs w:val="18"/>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Pr>
          <w:p>
            <w:pPr>
              <w:spacing w:after="0"/>
              <w:rPr>
                <w:sz w:val="21"/>
                <w:szCs w:val="21"/>
                <w:color w:val="auto"/>
              </w:rPr>
            </w:pPr>
          </w:p>
        </w:tc>
        <w:tc>
          <w:tcPr>
            <w:tcW w:w="832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Dividend payable</w:t>
            </w: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w:t>
            </w:r>
          </w:p>
        </w:tc>
      </w:tr>
      <w:tr>
        <w:trPr>
          <w:trHeight w:val="210"/>
        </w:trPr>
        <w:tc>
          <w:tcPr>
            <w:tcW w:w="20" w:type="dxa"/>
            <w:vAlign w:val="bottom"/>
          </w:tcPr>
          <w:p>
            <w:pPr>
              <w:spacing w:after="0"/>
              <w:rPr>
                <w:sz w:val="18"/>
                <w:szCs w:val="18"/>
                <w:color w:val="auto"/>
              </w:rPr>
            </w:pPr>
          </w:p>
        </w:tc>
        <w:tc>
          <w:tcPr>
            <w:tcW w:w="8320" w:type="dxa"/>
            <w:vAlign w:val="bottom"/>
            <w:tcBorders>
              <w:top w:val="single" w:sz="8" w:color="CCFFCC"/>
            </w:tcBorders>
            <w:gridSpan w:val="3"/>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12,098</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8,742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8,669</w:t>
            </w:r>
          </w:p>
        </w:tc>
      </w:tr>
      <w:tr>
        <w:trPr>
          <w:trHeight w:val="243"/>
        </w:trPr>
        <w:tc>
          <w:tcPr>
            <w:tcW w:w="20" w:type="dxa"/>
            <w:vAlign w:val="bottom"/>
          </w:tcPr>
          <w:p>
            <w:pPr>
              <w:spacing w:after="0"/>
              <w:rPr>
                <w:sz w:val="21"/>
                <w:szCs w:val="21"/>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Deferred gain and long-term credit obligations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r>
      <w:tr>
        <w:trPr>
          <w:trHeight w:val="242"/>
        </w:trPr>
        <w:tc>
          <w:tcPr>
            <w:tcW w:w="20" w:type="dxa"/>
            <w:vAlign w:val="bottom"/>
          </w:tcPr>
          <w:p>
            <w:pPr>
              <w:spacing w:after="0"/>
              <w:rPr>
                <w:sz w:val="20"/>
                <w:szCs w:val="20"/>
                <w:color w:val="auto"/>
              </w:rPr>
            </w:pPr>
          </w:p>
        </w:tc>
        <w:tc>
          <w:tcPr>
            <w:tcW w:w="8320" w:type="dxa"/>
            <w:vAlign w:val="bottom"/>
            <w:tcBorders>
              <w:bottom w:val="single" w:sz="8" w:color="CCFFCC"/>
            </w:tcBorders>
            <w:gridSpan w:val="3"/>
            <w:shd w:val="clear" w:color="auto" w:fill="CCFFCC"/>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22,283</w:t>
            </w:r>
          </w:p>
        </w:tc>
        <w:tc>
          <w:tcPr>
            <w:tcW w:w="1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22,942</w:t>
            </w:r>
          </w:p>
        </w:tc>
      </w:tr>
      <w:tr>
        <w:trPr>
          <w:trHeight w:val="210"/>
        </w:trPr>
        <w:tc>
          <w:tcPr>
            <w:tcW w:w="20" w:type="dxa"/>
            <w:vAlign w:val="bottom"/>
          </w:tcPr>
          <w:p>
            <w:pPr>
              <w:spacing w:after="0"/>
              <w:rPr>
                <w:sz w:val="18"/>
                <w:szCs w:val="18"/>
                <w:color w:val="auto"/>
              </w:rPr>
            </w:pPr>
          </w:p>
        </w:tc>
        <w:tc>
          <w:tcPr>
            <w:tcW w:w="832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Preferred stock - $1.00 par value</w:t>
            </w: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Common stock - $1.00 par value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47,952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47,138</w:t>
            </w:r>
          </w:p>
        </w:tc>
      </w:tr>
      <w:tr>
        <w:trPr>
          <w:trHeight w:val="243"/>
        </w:trPr>
        <w:tc>
          <w:tcPr>
            <w:tcW w:w="20" w:type="dxa"/>
            <w:vAlign w:val="bottom"/>
          </w:tcPr>
          <w:p>
            <w:pPr>
              <w:spacing w:after="0"/>
              <w:rPr>
                <w:sz w:val="21"/>
                <w:szCs w:val="21"/>
                <w:color w:val="auto"/>
              </w:rPr>
            </w:pPr>
          </w:p>
        </w:tc>
        <w:tc>
          <w:tcPr>
            <w:tcW w:w="832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100" w:type="dxa"/>
            <w:vAlign w:val="bottom"/>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4220" w:type="dxa"/>
            <w:vAlign w:val="bottom"/>
            <w:shd w:val="clear" w:color="auto" w:fill="CCFFCC"/>
          </w:tcPr>
          <w:p>
            <w:pPr>
              <w:spacing w:after="0"/>
              <w:rPr>
                <w:sz w:val="22"/>
                <w:szCs w:val="22"/>
                <w:color w:val="auto"/>
              </w:rPr>
            </w:pPr>
          </w:p>
        </w:tc>
        <w:tc>
          <w:tcPr>
            <w:tcW w:w="294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72,334</w:t>
            </w:r>
          </w:p>
        </w:tc>
        <w:tc>
          <w:tcPr>
            <w:tcW w:w="14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69,843</w:t>
            </w:r>
          </w:p>
        </w:tc>
      </w:tr>
      <w:tr>
        <w:trPr>
          <w:trHeight w:val="202"/>
        </w:trPr>
        <w:tc>
          <w:tcPr>
            <w:tcW w:w="20" w:type="dxa"/>
            <w:vAlign w:val="bottom"/>
          </w:tcPr>
          <w:p>
            <w:pPr>
              <w:spacing w:after="0"/>
              <w:rPr>
                <w:sz w:val="17"/>
                <w:szCs w:val="17"/>
                <w:color w:val="auto"/>
              </w:rPr>
            </w:pPr>
          </w:p>
        </w:tc>
        <w:tc>
          <w:tcPr>
            <w:tcW w:w="8320" w:type="dxa"/>
            <w:vAlign w:val="bottom"/>
            <w:gridSpan w:val="3"/>
          </w:tcPr>
          <w:p>
            <w:pPr>
              <w:ind w:left="320"/>
              <w:spacing w:after="0" w:line="201" w:lineRule="exact"/>
              <w:rPr>
                <w:sz w:val="20"/>
                <w:szCs w:val="20"/>
                <w:color w:val="auto"/>
              </w:rPr>
            </w:pPr>
            <w:r>
              <w:rPr>
                <w:rFonts w:ascii="Arial" w:cs="Arial" w:eastAsia="Arial" w:hAnsi="Arial"/>
                <w:sz w:val="18"/>
                <w:szCs w:val="18"/>
                <w:color w:val="auto"/>
                <w:w w:val="94"/>
              </w:rPr>
              <w:t>Common stock reacquired and held in treasury -at cost, 438,064 shares at January 31, 2008 and 474,693</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20" w:type="dxa"/>
            <w:vAlign w:val="bottom"/>
            <w:gridSpan w:val="3"/>
          </w:tcPr>
          <w:p>
            <w:pPr>
              <w:ind w:left="480"/>
              <w:spacing w:after="0"/>
              <w:rPr>
                <w:sz w:val="20"/>
                <w:szCs w:val="20"/>
                <w:color w:val="auto"/>
              </w:rPr>
            </w:pPr>
            <w:r>
              <w:rPr>
                <w:rFonts w:ascii="Arial" w:cs="Arial" w:eastAsia="Arial" w:hAnsi="Arial"/>
                <w:sz w:val="18"/>
                <w:szCs w:val="18"/>
                <w:color w:val="auto"/>
              </w:rPr>
              <w:t>shares at April 30, 2007</w:t>
            </w:r>
          </w:p>
        </w:tc>
        <w:tc>
          <w:tcPr>
            <w:tcW w:w="1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(2,150)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(2,080)</w:t>
            </w:r>
          </w:p>
        </w:tc>
      </w:tr>
      <w:tr>
        <w:trPr>
          <w:trHeight w:val="248"/>
        </w:trPr>
        <w:tc>
          <w:tcPr>
            <w:tcW w:w="20" w:type="dxa"/>
            <w:vAlign w:val="bottom"/>
          </w:tcPr>
          <w:p>
            <w:pPr>
              <w:spacing w:after="0"/>
              <w:rPr>
                <w:sz w:val="21"/>
                <w:szCs w:val="21"/>
                <w:color w:val="auto"/>
              </w:rPr>
            </w:pPr>
          </w:p>
        </w:tc>
        <w:tc>
          <w:tcPr>
            <w:tcW w:w="832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4,701</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3,121</w:t>
            </w:r>
          </w:p>
        </w:tc>
      </w:tr>
      <w:tr>
        <w:trPr>
          <w:trHeight w:val="237"/>
        </w:trPr>
        <w:tc>
          <w:tcPr>
            <w:tcW w:w="20" w:type="dxa"/>
            <w:vAlign w:val="bottom"/>
          </w:tcPr>
          <w:p>
            <w:pPr>
              <w:spacing w:after="0"/>
              <w:rPr>
                <w:sz w:val="20"/>
                <w:szCs w:val="20"/>
                <w:color w:val="auto"/>
              </w:rPr>
            </w:pPr>
          </w:p>
        </w:tc>
        <w:tc>
          <w:tcPr>
            <w:tcW w:w="8320" w:type="dxa"/>
            <w:vAlign w:val="bottom"/>
            <w:tcBorders>
              <w:top w:val="single" w:sz="8" w:color="CCFFCC"/>
            </w:tcBorders>
            <w:gridSpan w:val="3"/>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74,885</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70,884</w:t>
            </w:r>
          </w:p>
        </w:tc>
        <w:tc>
          <w:tcPr>
            <w:tcW w:w="100" w:type="dxa"/>
            <w:vAlign w:val="bottom"/>
            <w:tcBorders>
              <w:top w:val="single" w:sz="8" w:color="CCFFCC"/>
            </w:tcBorders>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FFCC"/>
            </w:tcBorders>
            <w:gridSpan w:val="3"/>
            <w:shd w:val="clear" w:color="auto" w:fill="CCFFCC"/>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97,168</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93,826</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180" w:type="dxa"/>
            <w:vAlign w:val="bottom"/>
            <w:gridSpan w:val="2"/>
          </w:tcPr>
          <w:p>
            <w:pPr>
              <w:jc w:val="center"/>
              <w:ind w:right="210"/>
              <w:spacing w:after="0"/>
              <w:rPr>
                <w:sz w:val="20"/>
                <w:szCs w:val="20"/>
                <w:color w:val="auto"/>
              </w:rPr>
            </w:pPr>
            <w:r>
              <w:rPr>
                <w:rFonts w:ascii="Arial" w:cs="Arial" w:eastAsia="Arial" w:hAnsi="Arial"/>
                <w:sz w:val="18"/>
                <w:szCs w:val="18"/>
                <w:color w:val="auto"/>
                <w:w w:val="95"/>
              </w:rPr>
              <w:t>FREQUENCY ELECTRONICS, INC. and SUBSIDIARIES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80" w:type="dxa"/>
            <w:vAlign w:val="bottom"/>
            <w:gridSpan w:val="2"/>
          </w:tcPr>
          <w:p>
            <w:pPr>
              <w:jc w:val="center"/>
              <w:ind w:right="230"/>
              <w:spacing w:after="0"/>
              <w:rPr>
                <w:sz w:val="20"/>
                <w:szCs w:val="20"/>
                <w:color w:val="auto"/>
              </w:rPr>
            </w:pPr>
            <w:r>
              <w:rPr>
                <w:rFonts w:ascii="Arial" w:cs="Arial" w:eastAsia="Arial" w:hAnsi="Arial"/>
                <w:sz w:val="18"/>
                <w:szCs w:val="18"/>
                <w:color w:val="auto"/>
                <w:w w:val="88"/>
              </w:rPr>
              <w:t>Condensed Consolidated Statements of Operations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80" w:type="dxa"/>
            <w:vAlign w:val="bottom"/>
            <w:gridSpan w:val="2"/>
          </w:tcPr>
          <w:p>
            <w:pPr>
              <w:jc w:val="center"/>
              <w:ind w:right="210"/>
              <w:spacing w:after="0"/>
              <w:rPr>
                <w:sz w:val="20"/>
                <w:szCs w:val="20"/>
                <w:color w:val="auto"/>
              </w:rPr>
            </w:pPr>
            <w:r>
              <w:rPr>
                <w:rFonts w:ascii="Arial" w:cs="Arial" w:eastAsia="Arial" w:hAnsi="Arial"/>
                <w:sz w:val="18"/>
                <w:szCs w:val="18"/>
                <w:color w:val="auto"/>
                <w:w w:val="90"/>
              </w:rPr>
              <w:t>Nine Months Ended January 31,</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18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(Unaudited)</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gridSpan w:val="6"/>
          </w:tcPr>
          <w:p>
            <w:pPr>
              <w:jc w:val="right"/>
              <w:ind w:right="340"/>
              <w:spacing w:after="0"/>
              <w:rPr>
                <w:sz w:val="20"/>
                <w:szCs w:val="20"/>
                <w:color w:val="auto"/>
              </w:rPr>
            </w:pPr>
            <w:r>
              <w:rPr>
                <w:rFonts w:ascii="Arial" w:cs="Arial" w:eastAsia="Arial" w:hAnsi="Arial"/>
                <w:sz w:val="18"/>
                <w:szCs w:val="18"/>
                <w:color w:val="auto"/>
                <w:w w:val="88"/>
              </w:rPr>
              <w:t>(In thousands except per share data)</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326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5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50,105</w:t>
            </w:r>
          </w:p>
        </w:tc>
        <w:tc>
          <w:tcPr>
            <w:tcW w:w="14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40,751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 of sales</w:t>
            </w:r>
          </w:p>
        </w:tc>
        <w:tc>
          <w:tcPr>
            <w:tcW w:w="5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5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15,395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50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5,526</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CFFCC"/>
          </w:tcPr>
          <w:p>
            <w:pPr>
              <w:spacing w:after="0" w:line="20" w:lineRule="exact"/>
              <w:rPr>
                <w:sz w:val="1"/>
                <w:szCs w:val="1"/>
                <w:color w:val="auto"/>
              </w:rPr>
            </w:pPr>
          </w:p>
        </w:tc>
        <w:tc>
          <w:tcPr>
            <w:tcW w:w="50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Operating profit (loss)</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60" w:type="dxa"/>
            <w:vAlign w:val="bottom"/>
            <w:shd w:val="clear" w:color="auto" w:fill="CCFFCC"/>
          </w:tcPr>
          <w:p>
            <w:pPr>
              <w:spacing w:after="0"/>
              <w:rPr>
                <w:sz w:val="23"/>
                <w:szCs w:val="23"/>
                <w:color w:val="auto"/>
              </w:rPr>
            </w:pPr>
          </w:p>
        </w:tc>
        <w:tc>
          <w:tcPr>
            <w:tcW w:w="50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26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income</w:t>
            </w:r>
          </w:p>
        </w:tc>
        <w:tc>
          <w:tcPr>
            <w:tcW w:w="5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Equity (loss) income</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5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50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w w:val="98"/>
              </w:rPr>
              <w:t>Income before provision for income taxes</w:t>
            </w:r>
          </w:p>
        </w:tc>
        <w:tc>
          <w:tcPr>
            <w:tcW w:w="5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4,384</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income</w:t>
            </w:r>
          </w:p>
        </w:tc>
        <w:tc>
          <w:tcPr>
            <w:tcW w:w="5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2,547</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50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26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Basic</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Borders>
              <w:bottom w:val="single" w:sz="8" w:color="CCFFCC"/>
            </w:tcBorders>
            <w:shd w:val="clear" w:color="auto" w:fill="CCFFCC"/>
          </w:tcPr>
          <w:p>
            <w:pPr>
              <w:ind w:left="320"/>
              <w:spacing w:after="0" w:line="196" w:lineRule="exact"/>
              <w:rPr>
                <w:sz w:val="20"/>
                <w:szCs w:val="20"/>
                <w:color w:val="auto"/>
              </w:rPr>
            </w:pPr>
            <w:r>
              <w:rPr>
                <w:rFonts w:ascii="Arial" w:cs="Arial" w:eastAsia="Arial" w:hAnsi="Arial"/>
                <w:sz w:val="18"/>
                <w:szCs w:val="18"/>
                <w:color w:val="auto"/>
              </w:rPr>
              <w:t>Diluted</w:t>
            </w:r>
          </w:p>
        </w:tc>
        <w:tc>
          <w:tcPr>
            <w:tcW w:w="50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0.29</w:t>
            </w:r>
          </w:p>
        </w:tc>
        <w:tc>
          <w:tcPr>
            <w:tcW w:w="1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26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5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20"/>
              <w:spacing w:after="0"/>
              <w:rPr>
                <w:sz w:val="20"/>
                <w:szCs w:val="20"/>
                <w:color w:val="auto"/>
              </w:rPr>
            </w:pPr>
            <w:r>
              <w:rPr>
                <w:rFonts w:ascii="Arial" w:cs="Arial" w:eastAsia="Arial" w:hAnsi="Arial"/>
                <w:sz w:val="18"/>
                <w:szCs w:val="18"/>
                <w:color w:val="auto"/>
              </w:rPr>
              <w:t>Basic</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8,702,755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8,600,700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Borders>
              <w:bottom w:val="single" w:sz="8" w:color="CCFFCC"/>
            </w:tcBorders>
            <w:shd w:val="clear" w:color="auto" w:fill="CCFFCC"/>
          </w:tcPr>
          <w:p>
            <w:pPr>
              <w:ind w:left="320"/>
              <w:spacing w:after="0" w:line="196" w:lineRule="exact"/>
              <w:rPr>
                <w:sz w:val="20"/>
                <w:szCs w:val="20"/>
                <w:color w:val="auto"/>
              </w:rPr>
            </w:pPr>
            <w:r>
              <w:rPr>
                <w:rFonts w:ascii="Arial" w:cs="Arial" w:eastAsia="Arial" w:hAnsi="Arial"/>
                <w:sz w:val="18"/>
                <w:szCs w:val="18"/>
                <w:color w:val="auto"/>
              </w:rPr>
              <w:t>Diluted</w:t>
            </w:r>
          </w:p>
        </w:tc>
        <w:tc>
          <w:tcPr>
            <w:tcW w:w="50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8,782,763</w:t>
            </w:r>
          </w:p>
        </w:tc>
        <w:tc>
          <w:tcPr>
            <w:tcW w:w="1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8,747,110</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20" w:type="dxa"/>
            <w:vAlign w:val="bottom"/>
          </w:tcPr>
          <w:p>
            <w:pPr>
              <w:jc w:val="center"/>
              <w:ind w:left="2990"/>
              <w:spacing w:after="0"/>
              <w:rPr>
                <w:sz w:val="20"/>
                <w:szCs w:val="20"/>
                <w:color w:val="auto"/>
              </w:rPr>
            </w:pPr>
            <w:r>
              <w:rPr>
                <w:rFonts w:ascii="Arial" w:cs="Arial" w:eastAsia="Arial" w:hAnsi="Arial"/>
                <w:sz w:val="18"/>
                <w:szCs w:val="18"/>
                <w:color w:val="auto"/>
                <w:w w:val="95"/>
              </w:rPr>
              <w:t>FREQUENCY ELECTRONICS, INC. and SUBSIDIARIES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color w:val="auto"/>
                <w:w w:val="88"/>
              </w:rPr>
              <w:t>Condensed Consolidated Statements of Operations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8320" w:type="dxa"/>
            <w:vAlign w:val="bottom"/>
          </w:tcPr>
          <w:p>
            <w:pPr>
              <w:jc w:val="center"/>
              <w:ind w:left="2990"/>
              <w:spacing w:after="0"/>
              <w:rPr>
                <w:sz w:val="20"/>
                <w:szCs w:val="20"/>
                <w:color w:val="auto"/>
              </w:rPr>
            </w:pPr>
            <w:r>
              <w:rPr>
                <w:rFonts w:ascii="Arial" w:cs="Arial" w:eastAsia="Arial" w:hAnsi="Arial"/>
                <w:sz w:val="18"/>
                <w:szCs w:val="18"/>
                <w:color w:val="auto"/>
                <w:w w:val="89"/>
              </w:rPr>
              <w:t>Three Months Ended January 31,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gridSpan w:val="6"/>
          </w:tcPr>
          <w:p>
            <w:pPr>
              <w:jc w:val="right"/>
              <w:ind w:right="340"/>
              <w:spacing w:after="0"/>
              <w:rPr>
                <w:sz w:val="20"/>
                <w:szCs w:val="20"/>
                <w:color w:val="auto"/>
              </w:rPr>
            </w:pPr>
            <w:r>
              <w:rPr>
                <w:rFonts w:ascii="Arial" w:cs="Arial" w:eastAsia="Arial" w:hAnsi="Arial"/>
                <w:sz w:val="18"/>
                <w:szCs w:val="18"/>
                <w:color w:val="auto"/>
                <w:w w:val="88"/>
              </w:rPr>
              <w:t>(In thousands except per share data)</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17,055</w:t>
            </w:r>
          </w:p>
        </w:tc>
        <w:tc>
          <w:tcPr>
            <w:tcW w:w="14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5,455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Operating profit (loss)</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income</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Equity income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per common share</w:t>
            </w:r>
          </w:p>
        </w:tc>
        <w:tc>
          <w:tcPr>
            <w:tcW w:w="120" w:type="dxa"/>
            <w:vAlign w:val="bottom"/>
            <w:shd w:val="clear" w:color="auto" w:fill="CCFFCC"/>
          </w:tcPr>
          <w:p>
            <w:pPr>
              <w:spacing w:after="0"/>
              <w:rPr>
                <w:sz w:val="23"/>
                <w:szCs w:val="23"/>
                <w:color w:val="auto"/>
              </w:rPr>
            </w:pPr>
          </w:p>
        </w:tc>
        <w:tc>
          <w:tcPr>
            <w:tcW w:w="126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FFCC"/>
            </w:tcBorders>
            <w:shd w:val="clear" w:color="auto" w:fill="CCFFCC"/>
          </w:tcPr>
          <w:p>
            <w:pPr>
              <w:ind w:left="32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0.09</w:t>
            </w:r>
          </w:p>
        </w:tc>
        <w:tc>
          <w:tcPr>
            <w:tcW w:w="1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(0.09)</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FFCC"/>
          </w:tcPr>
          <w:p>
            <w:pPr>
              <w:spacing w:after="0"/>
              <w:rPr>
                <w:sz w:val="23"/>
                <w:szCs w:val="23"/>
                <w:color w:val="auto"/>
              </w:rPr>
            </w:pPr>
          </w:p>
        </w:tc>
        <w:tc>
          <w:tcPr>
            <w:tcW w:w="126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8,714,104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8,633,283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FFCC"/>
            </w:tcBorders>
            <w:shd w:val="clear" w:color="auto" w:fill="CCFFCC"/>
          </w:tcPr>
          <w:p>
            <w:pPr>
              <w:ind w:left="32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FFCC"/>
          </w:tcPr>
          <w:p>
            <w:pPr>
              <w:spacing w:after="0"/>
              <w:rPr>
                <w:sz w:val="20"/>
                <w:szCs w:val="20"/>
                <w:color w:val="auto"/>
              </w:rPr>
            </w:pPr>
          </w:p>
        </w:tc>
        <w:tc>
          <w:tcPr>
            <w:tcW w:w="12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8,780,308</w:t>
            </w:r>
          </w:p>
        </w:tc>
        <w:tc>
          <w:tcPr>
            <w:tcW w:w="1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30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8,633,283</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20" w:type="dxa"/>
            <w:vAlign w:val="bottom"/>
          </w:tcPr>
          <w:p>
            <w:pPr>
              <w:jc w:val="center"/>
              <w:ind w:left="2990"/>
              <w:spacing w:after="0"/>
              <w:rPr>
                <w:sz w:val="20"/>
                <w:szCs w:val="20"/>
                <w:color w:val="auto"/>
              </w:rPr>
            </w:pPr>
            <w:r>
              <w:rPr>
                <w:rFonts w:ascii="Arial" w:cs="Arial" w:eastAsia="Arial" w:hAnsi="Arial"/>
                <w:sz w:val="18"/>
                <w:szCs w:val="18"/>
                <w:color w:val="auto"/>
                <w:w w:val="95"/>
              </w:rPr>
              <w:t>FREQUENCY ELECTRONICS, INC. and SUBSIDIARIES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320" w:type="dxa"/>
            <w:vAlign w:val="bottom"/>
          </w:tcPr>
          <w:p>
            <w:pPr>
              <w:jc w:val="center"/>
              <w:ind w:left="2990"/>
              <w:spacing w:after="0"/>
              <w:rPr>
                <w:sz w:val="20"/>
                <w:szCs w:val="20"/>
                <w:color w:val="auto"/>
              </w:rPr>
            </w:pPr>
            <w:r>
              <w:rPr>
                <w:rFonts w:ascii="Arial" w:cs="Arial" w:eastAsia="Arial" w:hAnsi="Arial"/>
                <w:sz w:val="18"/>
                <w:szCs w:val="18"/>
                <w:color w:val="auto"/>
                <w:w w:val="89"/>
              </w:rPr>
              <w:t>Condensed Consolidated Statements of Cash Flows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8320" w:type="dxa"/>
            <w:vAlign w:val="bottom"/>
          </w:tcPr>
          <w:p>
            <w:pPr>
              <w:jc w:val="center"/>
              <w:ind w:left="2990"/>
              <w:spacing w:after="0"/>
              <w:rPr>
                <w:sz w:val="20"/>
                <w:szCs w:val="20"/>
                <w:color w:val="auto"/>
              </w:rPr>
            </w:pPr>
            <w:r>
              <w:rPr>
                <w:rFonts w:ascii="Arial" w:cs="Arial" w:eastAsia="Arial" w:hAnsi="Arial"/>
                <w:sz w:val="18"/>
                <w:szCs w:val="18"/>
                <w:color w:val="auto"/>
                <w:w w:val="90"/>
              </w:rPr>
              <w:t>Nine Months Ended January 31,</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color w:val="auto"/>
                <w:w w:val="91"/>
              </w:rPr>
              <w:t>(Unaudited)</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680" w:type="dxa"/>
            <w:vAlign w:val="bottom"/>
            <w:gridSpan w:val="3"/>
          </w:tcPr>
          <w:p>
            <w:pPr>
              <w:jc w:val="right"/>
              <w:ind w:right="60"/>
              <w:spacing w:after="0"/>
              <w:rPr>
                <w:sz w:val="20"/>
                <w:szCs w:val="20"/>
                <w:color w:val="auto"/>
              </w:rPr>
            </w:pPr>
            <w:r>
              <w:rPr>
                <w:rFonts w:ascii="Arial" w:cs="Arial" w:eastAsia="Arial" w:hAnsi="Arial"/>
                <w:sz w:val="17"/>
                <w:szCs w:val="17"/>
                <w:color w:val="auto"/>
                <w:w w:val="71"/>
              </w:rPr>
              <w:t>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8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2,547</w:t>
            </w:r>
          </w:p>
        </w:tc>
        <w:tc>
          <w:tcPr>
            <w:tcW w:w="14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(income) charges to earnings, net</w:t>
            </w:r>
          </w:p>
        </w:tc>
        <w:tc>
          <w:tcPr>
            <w:tcW w:w="8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Net changes in operating assets and liabilities</w:t>
            </w:r>
          </w:p>
        </w:tc>
        <w:tc>
          <w:tcPr>
            <w:tcW w:w="8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(6,028)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4"/>
              </w:rPr>
              <w:t>(3,954)</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Proceeds from sale of marketable securities and investments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4"/>
              </w:rPr>
              <w:t>(2,099)</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Purchase of fixed assets</w:t>
            </w:r>
          </w:p>
        </w:tc>
        <w:tc>
          <w:tcPr>
            <w:tcW w:w="8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(1,482)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Payment for acquisition and loan to affiliate</w:t>
            </w: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from short-term credit obligations</w:t>
            </w: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Payments on capital lease obligations</w:t>
            </w:r>
          </w:p>
        </w:tc>
        <w:tc>
          <w:tcPr>
            <w:tcW w:w="8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Payment of cash dividend</w:t>
            </w:r>
          </w:p>
        </w:tc>
        <w:tc>
          <w:tcPr>
            <w:tcW w:w="8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4"/>
              </w:rPr>
              <w:t>(1,748)</w:t>
            </w: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Proceeds from stock option exercises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Purchase of stock for treasury</w:t>
            </w:r>
          </w:p>
        </w:tc>
        <w:tc>
          <w:tcPr>
            <w:tcW w:w="88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(1,342)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increase (decrease) in cash and cash equivalents before effect of exchange rate changes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6,673</w:t>
            </w:r>
          </w:p>
        </w:tc>
        <w:tc>
          <w:tcPr>
            <w:tcW w:w="14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significant non-cash transaction:</w:t>
      </w:r>
    </w:p>
    <w:p>
      <w:pPr>
        <w:spacing w:after="0" w:line="23" w:lineRule="exact"/>
        <w:rPr>
          <w:sz w:val="20"/>
          <w:szCs w:val="20"/>
          <w:color w:val="auto"/>
        </w:rPr>
      </w:pPr>
    </w:p>
    <w:p>
      <w:pPr>
        <w:ind w:left="340" w:right="2600"/>
        <w:spacing w:after="0" w:line="261" w:lineRule="auto"/>
        <w:rPr>
          <w:sz w:val="20"/>
          <w:szCs w:val="20"/>
          <w:color w:val="auto"/>
        </w:rPr>
      </w:pPr>
      <w:r>
        <w:rPr>
          <w:rFonts w:ascii="Arial" w:cs="Arial" w:eastAsia="Arial" w:hAnsi="Arial"/>
          <w:sz w:val="18"/>
          <w:szCs w:val="18"/>
          <w:color w:val="auto"/>
        </w:rPr>
        <w:t>During the nine month period ended January 31, 2008, the Company also acquired capital equipment with a value of $1,193,000 and financed such purchase by entering into a five-year capital lease.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January 31, 2008 and the results of its operations and cash flows for the nine and three months ended January 31, 2008 and 2007. The April 30, 2007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2007 Annual Report to Stockholders. The results of operations for such interim periods are not necessarily indicative of the operating results for the full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color w:val="auto"/>
                <w:w w:val="94"/>
              </w:rPr>
              <w:t>Nine months</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w w:val="93"/>
              </w:rPr>
              <w:t>Three months</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91"/>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Periods ended January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4920" w:type="dxa"/>
            <w:vAlign w:val="bottom"/>
          </w:tcPr>
          <w:p>
            <w:pPr>
              <w:spacing w:after="0"/>
              <w:rPr>
                <w:sz w:val="24"/>
                <w:szCs w:val="24"/>
                <w:color w:val="auto"/>
              </w:rPr>
            </w:pPr>
          </w:p>
        </w:tc>
        <w:tc>
          <w:tcPr>
            <w:tcW w:w="1620" w:type="dxa"/>
            <w:vAlign w:val="bottom"/>
            <w:gridSpan w:val="2"/>
          </w:tcPr>
          <w:p>
            <w:pPr>
              <w:jc w:val="right"/>
              <w:ind w:right="45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4"/>
                <w:szCs w:val="24"/>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r>
      <w:tr>
        <w:trPr>
          <w:trHeight w:val="210"/>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w:t>
            </w:r>
          </w:p>
        </w:tc>
        <w:tc>
          <w:tcPr>
            <w:tcW w:w="24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(weighted average)</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8,702,755</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8,600,700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8,714,104</w:t>
            </w:r>
          </w:p>
        </w:tc>
        <w:tc>
          <w:tcPr>
            <w:tcW w:w="4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8,633,283</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80,008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146,410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66,204</w:t>
            </w:r>
          </w:p>
        </w:tc>
        <w:tc>
          <w:tcPr>
            <w:tcW w:w="4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24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8,782,763</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8,747,110</w:t>
            </w:r>
          </w:p>
        </w:tc>
        <w:tc>
          <w:tcPr>
            <w:tcW w:w="2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8,780,308</w:t>
            </w:r>
          </w:p>
        </w:tc>
        <w:tc>
          <w:tcPr>
            <w:tcW w:w="400" w:type="dxa"/>
            <w:vAlign w:val="bottom"/>
            <w:shd w:val="clear" w:color="auto" w:fill="CCFFCC"/>
          </w:tcPr>
          <w:p>
            <w:pPr>
              <w:spacing w:after="0"/>
              <w:rPr>
                <w:sz w:val="22"/>
                <w:szCs w:val="22"/>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8,633,283</w:t>
            </w:r>
          </w:p>
        </w:tc>
      </w:tr>
      <w:tr>
        <w:trPr>
          <w:trHeight w:val="20"/>
        </w:trPr>
        <w:tc>
          <w:tcPr>
            <w:tcW w:w="49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660" w:hanging="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Dilutive securities are excluded for the three month period ended January 31, 2007 since the inclusion of such shares would be antidilutive due to the net loss for the period then ended.</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computation of diluted earnings per share excludes those options with an exercise price in excess of the average market price of the Company’s common shares during the periods presented. The inclusion of such options in the computation of earnings per share would have been antidilutive. The number of excluded options were: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96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color w:val="auto"/>
                <w:w w:val="94"/>
              </w:rPr>
              <w:t>Nine months</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w w:val="93"/>
              </w:rPr>
              <w:t>Three months</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91"/>
        </w:trPr>
        <w:tc>
          <w:tcPr>
            <w:tcW w:w="51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Periods ended January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5160" w:type="dxa"/>
            <w:vAlign w:val="bottom"/>
          </w:tcPr>
          <w:p>
            <w:pPr>
              <w:spacing w:after="0"/>
              <w:rPr>
                <w:sz w:val="24"/>
                <w:szCs w:val="24"/>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Options excluded</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850,675</w:t>
            </w:r>
          </w:p>
        </w:tc>
        <w:tc>
          <w:tcPr>
            <w:tcW w:w="2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571,550</w:t>
            </w:r>
          </w:p>
        </w:tc>
        <w:tc>
          <w:tcPr>
            <w:tcW w:w="2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1,063,175</w:t>
            </w:r>
          </w:p>
        </w:tc>
        <w:tc>
          <w:tcPr>
            <w:tcW w:w="22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571,550</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C - ACCOUNTS RECEIVABLE</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Accounts receivable at January 31, 2008 and April 30, 2007 include costs and estimated earnings in excess of billings on uncompleted contracts accounted for on the percentage of completion basis of approximately $8,744,000 and $6,259,000, respectively. Such amounts represent revenue recognized on long-term contracts that had not been billed at the balance sheet dates. Such amounts are billed pursuant to contract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Inventories, which are reported net of reserves of $5,730,000 and $5,028,000 at January 31, 2008 and April 30, 2007, respectively, consist of the following:</w:t>
      </w: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January 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April 30,</w:t>
            </w:r>
          </w:p>
        </w:tc>
      </w:tr>
      <w:tr>
        <w:trPr>
          <w:trHeight w:val="230"/>
        </w:trPr>
        <w:tc>
          <w:tcPr>
            <w:tcW w:w="8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00" w:type="dxa"/>
            <w:vAlign w:val="bottom"/>
            <w:gridSpan w:val="6"/>
          </w:tcPr>
          <w:p>
            <w:pPr>
              <w:ind w:left="740"/>
              <w:spacing w:after="0"/>
              <w:rPr>
                <w:sz w:val="20"/>
                <w:szCs w:val="20"/>
                <w:color w:val="auto"/>
              </w:rPr>
            </w:pPr>
            <w:r>
              <w:rPr>
                <w:rFonts w:ascii="Arial" w:cs="Arial" w:eastAsia="Arial" w:hAnsi="Arial"/>
                <w:sz w:val="18"/>
                <w:szCs w:val="18"/>
                <w:color w:val="auto"/>
              </w:rPr>
              <w:t>(In thousands)</w:t>
            </w:r>
          </w:p>
        </w:tc>
      </w:tr>
      <w:tr>
        <w:trPr>
          <w:trHeight w:val="216"/>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17,349</w:t>
            </w:r>
          </w:p>
        </w:tc>
        <w:tc>
          <w:tcPr>
            <w:tcW w:w="4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18,380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Work in progress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14,011</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Pr>
          <w:p>
            <w:pPr>
              <w:spacing w:after="0"/>
              <w:rPr>
                <w:sz w:val="21"/>
                <w:szCs w:val="21"/>
                <w:color w:val="auto"/>
              </w:rPr>
            </w:pPr>
          </w:p>
        </w:tc>
      </w:tr>
      <w:tr>
        <w:trPr>
          <w:trHeight w:val="304"/>
        </w:trPr>
        <w:tc>
          <w:tcPr>
            <w:tcW w:w="834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31,360</w:t>
            </w:r>
          </w:p>
        </w:tc>
        <w:tc>
          <w:tcPr>
            <w:tcW w:w="20" w:type="dxa"/>
            <w:vAlign w:val="bottom"/>
            <w:tcBorders>
              <w:bottom w:val="single" w:sz="8" w:color="CCFFCC"/>
            </w:tcBorders>
            <w:shd w:val="clear" w:color="auto" w:fill="CCFFCC"/>
          </w:tcPr>
          <w:p>
            <w:pPr>
              <w:spacing w:after="0"/>
              <w:rPr>
                <w:sz w:val="24"/>
                <w:szCs w:val="24"/>
                <w:color w:val="auto"/>
              </w:rPr>
            </w:pPr>
          </w:p>
        </w:tc>
        <w:tc>
          <w:tcPr>
            <w:tcW w:w="20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31,201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nine months ended January 31, 2008 and 2007, total comprehensive income was $4,128,000 and $1,296,000, respectively. Comprehensive income is composed of net income or loss for the period plus the impact of foreign currency translation adjustments and the change in the valuation allowance on marketable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NOTE F - EQUITY-BASED COMPENSATION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$407,000 and $438,000 was recognized during the nine months ended January 31, 2008 and 2007, respectively, and $137,000 and $162,000, respectively, was recognized during the three month periods then ended. Such amounts include: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w:t>
      </w:r>
    </w:p>
    <w:p>
      <w:pPr>
        <w:spacing w:after="0" w:line="24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adoption of FAS 123(R), the Company elected to continue to value its share-based payment transactions using the Black-Scholes valuation model, which was previously used by the Company for purposes of preparing the pro forma disclosures under FAS 123. Such value is recognized as expense on a straight-line basis over the service period of the awards, which is generally the vesting period, net of estimated forfeitures. This is the same attribution method that was used by the Company for purposes of its pro forma disclosures under FAS 123.</w:t>
      </w:r>
    </w:p>
    <w:p>
      <w:pPr>
        <w:spacing w:after="0" w:line="24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At January 31, 2008, unrecognized compensation cost for all the Company’s stock-based compensation awards was approximately $1.3 million. The unrecognized compensation cost for stock-based compensation awards at January 31, 2008 is expected to be recognized over a weighted average period of 3.0 years.</w:t>
      </w:r>
    </w:p>
    <w:p>
      <w:pPr>
        <w:spacing w:after="0" w:line="2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accordance with the provisions of the Securities and Exchange Commission’s (the “SEC”) Staff Accounting Bulletin No. 107 (“SAB 107”), which requires that compensation be classified in the same expense line items as cash compensation, during the nine months ended January 31, 2008 and 2007, stock-based compensation expense included in cost of sales was $236,000 and $226,000, respectively and the amount charged to selling, general and administrative expense was $171,000 and $212,000, respectively. During the three months ended January 31, 2008 and 2007, stock-based compensation expense included in cost of sales was $82,000 and $87,000, respectively, and the amount charged to selling, general and administrative expense was $55,000 and $75,000, respectively.</w:t>
      </w:r>
    </w:p>
    <w:p>
      <w:pPr>
        <w:spacing w:after="0" w:line="24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weighted average fair value of each option has been estimated on the date of grant using the Black-Scholes options pricing model with the following weighted average assumptions used for grants in the nine months ended January 31, 2008 and 2007: dividend yield of 1.6% and 1.4%, respectively; expected volatility of 38% and 59%, respectively; risk free interest rate of 4.3% and 5.0%, respectively, and expected lives of six and one-half years.</w:t>
      </w:r>
    </w:p>
    <w:p>
      <w:pPr>
        <w:spacing w:after="0" w:line="201" w:lineRule="exact"/>
        <w:rPr>
          <w:sz w:val="20"/>
          <w:szCs w:val="20"/>
          <w:color w:val="auto"/>
        </w:rPr>
      </w:pPr>
    </w:p>
    <w:p>
      <w:pPr>
        <w:jc w:val="both"/>
        <w:ind w:firstLine="541"/>
        <w:spacing w:after="0" w:line="279" w:lineRule="auto"/>
        <w:rPr>
          <w:sz w:val="20"/>
          <w:szCs w:val="20"/>
          <w:color w:val="auto"/>
        </w:rPr>
      </w:pPr>
      <w:r>
        <w:rPr>
          <w:rFonts w:ascii="Arial" w:cs="Arial" w:eastAsia="Arial" w:hAnsi="Arial"/>
          <w:sz w:val="17"/>
          <w:szCs w:val="17"/>
          <w:color w:val="auto"/>
        </w:rPr>
        <w:t>The expected life assumption was determined based on the Company’s historical experience. The expected volatility assumption was based on the historical volatility of the Company’s common stock. The dividend yield assumption was determined based upon the Company’s past history of dividend payments and its intention to make future dividend payments at the time of grant. The risk-free interest rate assumption was determined using the implied yield currently available for zero-coupon U.S. government issues with a remaining term equal to the expected life of the stock options.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7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 has various stock option plans for key management employees, including officers and directors who are employees. The plans include Nonqualified Stock Option (“NQSO”) plans, Incentive Stock Option ("ISO”) plans, and Stock Appreciation Rights (“SARs”). Under these plans, options and awards are granted at the discretion of the Stock Option committee at an exercise price not less than the fair market value of the Company's common stock on the date of grant. Under one NQSO plan the options are exercisable one year after the date of grant. Under the remaining plans the options/awards are exercisable over a four-year period beginning one year after the date of grant. The options/awards expire ten years after the date of grant and are subject to certain restrictions on transferability of the shares obtained on exercise. As of January 31, 2008, eligible employees had been granted awards to purchase approximately 350,000 shares of Company stock under SARs, all of which are outstanding and approximately 43,000 shares of which are exercisable. As of January 31, 2008, eligible employees had been granted options to purchase 1,182,500 shares of Company stock under ISO plans of which approximately 389,000 options are outstanding and approximately 354,000 of which are exercisable. Through January 31, 2008, eligible employees have been granted options to acquire 1,090,000 shares of Company stock under NQSO plans. Of the NQSO options, approximately 640,000 are both outstanding and exercisable (see tables below).</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excess of the consideration received over the par value of the common stock or cost of treasury stock issued under both types of option plans has been recognized as an increase in additional paid-in capital prior to the adoption of FAS 123(R). Unrecognized compensation charges for nonvested awards relating to the SARs grant is approximately $1,096,000 which will be recognized during a weighted average period of 3.1 years. Unrecognized compensation charges for nonvested awards relating to the ISO plan is approximately $168,000, which will be recognized over a weighted average period of 1.2 years.</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the Company continues to maintain a stock repurchase program, no stock repurchases will be necessary to process stock exercises during the fiscal year. Shares issued to individuals as a result of stock exercises will be taken from available treasury stock.</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under these stock award plans, including the weighted average exercise prices of the options,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color w:val="auto"/>
                <w:w w:val="89"/>
              </w:rPr>
              <w:t>Nine months ended January 31, 2008</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2"/>
              </w:rPr>
              <w:t>Weighted</w:t>
            </w:r>
          </w:p>
        </w:tc>
        <w:tc>
          <w:tcPr>
            <w:tcW w:w="160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4"/>
              </w:rPr>
              <w:t>Wtd Avg</w:t>
            </w:r>
          </w:p>
        </w:tc>
        <w:tc>
          <w:tcPr>
            <w:tcW w:w="100" w:type="dxa"/>
            <w:vAlign w:val="bottom"/>
          </w:tcPr>
          <w:p>
            <w:pPr>
              <w:spacing w:after="0"/>
              <w:rPr>
                <w:sz w:val="16"/>
                <w:szCs w:val="16"/>
                <w:color w:val="auto"/>
              </w:rPr>
            </w:pPr>
          </w:p>
        </w:tc>
        <w:tc>
          <w:tcPr>
            <w:tcW w:w="126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1"/>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Ex. Price</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Term (yrs)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2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1,265,587</w:t>
            </w:r>
          </w:p>
        </w:tc>
        <w:tc>
          <w:tcPr>
            <w:tcW w:w="14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177,875</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10.14</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(18,312)</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8.60</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Expired or canceled</w:t>
            </w:r>
          </w:p>
        </w:tc>
        <w:tc>
          <w:tcPr>
            <w:tcW w:w="26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(46,375)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end of period</w:t>
            </w:r>
          </w:p>
        </w:tc>
        <w:tc>
          <w:tcPr>
            <w:tcW w:w="260" w:type="dxa"/>
            <w:vAlign w:val="bottom"/>
            <w:tcBorders>
              <w:top w:val="single" w:sz="8" w:color="auto"/>
              <w:bottom w:val="single" w:sz="8" w:color="auto"/>
            </w:tcBorders>
            <w:shd w:val="clear" w:color="auto" w:fill="CCFFCC"/>
          </w:tcPr>
          <w:p>
            <w:pPr>
              <w:spacing w:after="0"/>
              <w:rPr>
                <w:sz w:val="21"/>
                <w:szCs w:val="21"/>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1,378,775</w:t>
            </w:r>
          </w:p>
        </w:tc>
        <w:tc>
          <w:tcPr>
            <w:tcW w:w="1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11.43</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3,203,000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line="196" w:lineRule="exact"/>
              <w:rPr>
                <w:sz w:val="20"/>
                <w:szCs w:val="20"/>
                <w:color w:val="auto"/>
              </w:rPr>
            </w:pPr>
            <w:r>
              <w:rPr>
                <w:rFonts w:ascii="Arial" w:cs="Arial" w:eastAsia="Arial" w:hAnsi="Arial"/>
                <w:sz w:val="18"/>
                <w:szCs w:val="18"/>
                <w:color w:val="auto"/>
              </w:rPr>
              <w:t>Exercisable at end of period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1,037,650</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11.55</w:t>
            </w:r>
          </w:p>
        </w:tc>
        <w:tc>
          <w:tcPr>
            <w:tcW w:w="16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3,203,000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Available for grant at end of period</w:t>
            </w:r>
          </w:p>
        </w:tc>
        <w:tc>
          <w:tcPr>
            <w:tcW w:w="260" w:type="dxa"/>
            <w:vAlign w:val="bottom"/>
            <w:tcBorders>
              <w:bottom w:val="single" w:sz="8" w:color="auto"/>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49,625</w:t>
            </w:r>
          </w:p>
        </w:tc>
        <w:tc>
          <w:tcPr>
            <w:tcW w:w="14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gridSpan w:val="2"/>
          </w:tcPr>
          <w:p>
            <w:pPr>
              <w:spacing w:after="0"/>
              <w:rPr>
                <w:sz w:val="20"/>
                <w:szCs w:val="20"/>
                <w:color w:val="auto"/>
              </w:rPr>
            </w:pPr>
            <w:r>
              <w:rPr>
                <w:rFonts w:ascii="Arial" w:cs="Arial" w:eastAsia="Arial" w:hAnsi="Arial"/>
                <w:sz w:val="18"/>
                <w:szCs w:val="18"/>
                <w:color w:val="auto"/>
              </w:rPr>
              <w:t>Weighted average fair value of options granted during the period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for in-the-money options, based on the $9.00 closing stock price of the Company’s common stock on the NASDAQ Global Market at January 31, 2008, which would have been received by the option holders had all option holders exercised their options as of that date. As of January 31, 2008, the total number of in-the-money options outstanding was 355,900, all of which were exercisable.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under three reportable segments:</w:t>
      </w:r>
    </w:p>
    <w:p>
      <w:pPr>
        <w:spacing w:after="0" w:line="279" w:lineRule="exact"/>
        <w:rPr>
          <w:sz w:val="20"/>
          <w:szCs w:val="20"/>
          <w:color w:val="auto"/>
        </w:rPr>
      </w:pPr>
    </w:p>
    <w:p>
      <w:pPr>
        <w:jc w:val="both"/>
        <w:ind w:left="720" w:right="20" w:hanging="361"/>
        <w:spacing w:after="0" w:line="25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720" w:hanging="361"/>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monitoring systems.</w:t>
      </w:r>
    </w:p>
    <w:p>
      <w:pPr>
        <w:spacing w:after="0" w:line="48" w:lineRule="exact"/>
        <w:rPr>
          <w:rFonts w:ascii="Arial" w:cs="Arial" w:eastAsia="Arial" w:hAnsi="Arial"/>
          <w:sz w:val="18"/>
          <w:szCs w:val="18"/>
          <w:color w:val="auto"/>
        </w:rPr>
      </w:pPr>
    </w:p>
    <w:p>
      <w:pPr>
        <w:ind w:left="720" w:right="20" w:hanging="361"/>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center rather than on the specific types of customers or end-users or types of markets served.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93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color w:val="auto"/>
                <w:w w:val="90"/>
              </w:rPr>
              <w:t>Periods ended January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FEI-NY</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37,175</w:t>
            </w:r>
          </w:p>
        </w:tc>
        <w:tc>
          <w:tcPr>
            <w:tcW w:w="140" w:type="dxa"/>
            <w:vAlign w:val="bottom"/>
          </w:tcPr>
          <w:p>
            <w:pPr>
              <w:spacing w:after="0"/>
              <w:rPr>
                <w:sz w:val="18"/>
                <w:szCs w:val="18"/>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28,449</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11,803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4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7,470</w:t>
            </w: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3,308</w:t>
            </w:r>
          </w:p>
        </w:tc>
        <w:tc>
          <w:tcPr>
            <w:tcW w:w="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FEI-Zyfer</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6,155</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less intersegment sales</w:t>
            </w:r>
          </w:p>
        </w:tc>
        <w:tc>
          <w:tcPr>
            <w:tcW w:w="28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(1,861)</w:t>
            </w:r>
          </w:p>
        </w:tc>
        <w:tc>
          <w:tcPr>
            <w:tcW w:w="8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(1,323)</w:t>
            </w:r>
          </w:p>
        </w:tc>
        <w:tc>
          <w:tcPr>
            <w:tcW w:w="300" w:type="dxa"/>
            <w:vAlign w:val="bottom"/>
            <w:tcBorders>
              <w:bottom w:val="single" w:sz="8" w:color="CCFFCC"/>
            </w:tcBorders>
            <w:shd w:val="clear" w:color="auto" w:fill="CCFFCC"/>
          </w:tcPr>
          <w:p>
            <w:pPr>
              <w:spacing w:after="0"/>
              <w:rPr>
                <w:sz w:val="19"/>
                <w:szCs w:val="19"/>
                <w:color w:val="auto"/>
              </w:rPr>
            </w:pPr>
          </w:p>
        </w:tc>
        <w:tc>
          <w:tcPr>
            <w:tcW w:w="12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FFCC"/>
              <w:right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3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Consolidated sales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40,751</w:t>
            </w:r>
          </w:p>
        </w:tc>
        <w:tc>
          <w:tcPr>
            <w:tcW w:w="2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17,055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vMerge w:val="restart"/>
          </w:tcPr>
          <w:p>
            <w:pPr>
              <w:spacing w:after="0"/>
              <w:rPr>
                <w:sz w:val="21"/>
                <w:szCs w:val="21"/>
                <w:color w:val="auto"/>
              </w:rPr>
            </w:pPr>
          </w:p>
        </w:tc>
        <w:tc>
          <w:tcPr>
            <w:tcW w:w="51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tcBorders>
              <w:right w:val="single" w:sz="8" w:color="CCFFCC"/>
            </w:tcBorders>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tcBorders>
              <w:right w:val="single" w:sz="8" w:color="CCFFCC"/>
            </w:tcBorders>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profit (loss):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FEI-NY</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(1,063)</w:t>
            </w:r>
          </w:p>
        </w:tc>
        <w:tc>
          <w:tcPr>
            <w:tcW w:w="300" w:type="dxa"/>
            <w:vAlign w:val="bottom"/>
            <w:shd w:val="clear" w:color="auto" w:fill="CCFFCC"/>
          </w:tcPr>
          <w:p>
            <w:pPr>
              <w:jc w:val="right"/>
              <w:ind w:right="114"/>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517</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Gillam-FEI</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FEI-Zyfer</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4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317</w:t>
            </w:r>
          </w:p>
        </w:tc>
        <w:tc>
          <w:tcPr>
            <w:tcW w:w="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Consolidated operating profit (loss)</w:t>
            </w:r>
          </w:p>
        </w:tc>
        <w:tc>
          <w:tcPr>
            <w:tcW w:w="280" w:type="dxa"/>
            <w:vAlign w:val="bottom"/>
            <w:tcBorders>
              <w:top w:val="single" w:sz="8" w:color="auto"/>
              <w:bottom w:val="single" w:sz="8" w:color="auto"/>
            </w:tcBorders>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top w:val="single" w:sz="8" w:color="auto"/>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Borders>
              <w:bottom w:val="single" w:sz="8" w:color="CCFFCC"/>
              <w:right w:val="single" w:sz="8" w:color="CCFFCC"/>
            </w:tcBorders>
            <w:shd w:val="clear" w:color="auto" w:fill="CCFFCC"/>
          </w:tcPr>
          <w:p>
            <w:pPr>
              <w:spacing w:after="0"/>
              <w:rPr>
                <w:sz w:val="21"/>
                <w:szCs w:val="21"/>
                <w:color w:val="auto"/>
              </w:rPr>
            </w:pPr>
          </w:p>
        </w:tc>
        <w:tc>
          <w:tcPr>
            <w:tcW w:w="300" w:type="dxa"/>
            <w:vAlign w:val="bottom"/>
            <w:tcBorders>
              <w:top w:val="single" w:sz="8" w:color="auto"/>
              <w:bottom w:val="single" w:sz="8" w:color="auto"/>
            </w:tcBorders>
            <w:shd w:val="clear" w:color="auto" w:fill="CCFFCC"/>
          </w:tcPr>
          <w:p>
            <w:pPr>
              <w:jc w:val="right"/>
              <w:ind w:right="11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right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January 31, 2008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April 30,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Identifiable assets:</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tcBorders>
              <w:right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FEI-NY</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3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56,246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Gillam-FEI</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15,474</w:t>
            </w:r>
          </w:p>
        </w:tc>
        <w:tc>
          <w:tcPr>
            <w:tcW w:w="140" w:type="dxa"/>
            <w:vAlign w:val="bottom"/>
            <w:shd w:val="clear" w:color="auto" w:fill="CCFFCC"/>
          </w:tcPr>
          <w:p>
            <w:pPr>
              <w:spacing w:after="0"/>
              <w:rPr>
                <w:sz w:val="18"/>
                <w:szCs w:val="18"/>
                <w:color w:val="auto"/>
              </w:rPr>
            </w:pPr>
          </w:p>
        </w:tc>
        <w:tc>
          <w:tcPr>
            <w:tcW w:w="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FEI-Zyfer</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intercompany balances</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(15,654)</w:t>
            </w:r>
          </w:p>
        </w:tc>
        <w:tc>
          <w:tcPr>
            <w:tcW w:w="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33,569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36,615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Consolidated identifiable assets</w:t>
            </w:r>
          </w:p>
        </w:tc>
        <w:tc>
          <w:tcPr>
            <w:tcW w:w="28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right w:val="single" w:sz="8" w:color="CCFFCC"/>
            </w:tcBorders>
            <w:shd w:val="clear" w:color="auto" w:fill="CCFFCC"/>
          </w:tcPr>
          <w:p>
            <w:pPr>
              <w:spacing w:after="0"/>
              <w:rPr>
                <w:sz w:val="21"/>
                <w:szCs w:val="21"/>
                <w:color w:val="auto"/>
              </w:rPr>
            </w:pPr>
          </w:p>
        </w:tc>
        <w:tc>
          <w:tcPr>
            <w:tcW w:w="300" w:type="dxa"/>
            <w:vAlign w:val="bottom"/>
            <w:tcBorders>
              <w:top w:val="single" w:sz="8" w:color="auto"/>
              <w:bottom w:val="single" w:sz="8" w:color="auto"/>
            </w:tcBorders>
            <w:shd w:val="clear" w:color="auto" w:fill="CCFFCC"/>
          </w:tcPr>
          <w:p>
            <w:pPr>
              <w:jc w:val="right"/>
              <w:ind w:right="13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97,168</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right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93,826</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H - RECENTLY ISSUED ACCOUNTING PRONOUNCEMENTS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2006, the FASB issued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FIN 48 is effective for the Company beginning in fiscal year 2008. The adoption of the provisions of FIN 48 has not had a material impact on the Company’s financial statements.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will comply with the provisions of FAS 157 when it becomes effective in fiscal year 2009. Such adoption is not expected to have a material impact on the Company’s financial statements since the Company utilizes fair value measures wherever required by current GAAP.</w:t>
      </w:r>
    </w:p>
    <w:p>
      <w:pPr>
        <w:spacing w:after="0" w:line="24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SEC issued Staff Accounting Bulletin No. 108 (“SAB 108”) in September 2006. SAB 108 expresses the views of the SEC staff regarding the process of quantifying the materiality of financial misstatements. SAB 108 requires both the balance sheet (iron curtain) and income statement (rollover) approaches be used when quantifying the materiality of misstatement amounts. In addition, SAB 108 contains guidance on correcting errors under the dual approach and provides transition guidance for correcting errors existing in prior years. SAB 108 is now effective for the Company and, for the fiscal year ended April 30, 2007, there was no impact on the Company’s consolidated financial statements from application of this bulletin.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Company is currently evaluating the potential impact of FAS 159 on its financial position and results of operations.</w:t>
      </w:r>
    </w:p>
    <w:p>
      <w:pPr>
        <w:spacing w:after="0" w:line="21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December 2007, the FASB issued Statements No. 141(R), “Business Combinations”, and No. 160, “Noncontrolling Interests in Consolidated Financial Statements.” Effective for fiscal years beginning after December 15, 2008, these statements revise and converge internationally the accounting for business combinations and the reporting of noncontrolling interests in consolidated financial statements. The adoption of these statements is not expected to have a material impact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230505</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w:t>
      </w:r>
      <w:r>
        <w:rPr>
          <w:rFonts w:ascii="Arial" w:cs="Arial" w:eastAsia="Arial" w:hAnsi="Arial"/>
          <w:sz w:val="18"/>
          <w:szCs w:val="18"/>
          <w:color w:val="auto"/>
        </w:rPr>
        <w:t>” Statement under the Private Securities Litigation Reform Act of 1995 :</w:t>
      </w:r>
    </w:p>
    <w:p>
      <w:pPr>
        <w:spacing w:after="0" w:line="2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2007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4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0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For customer orders in the Company’s Gillam-FEI and FEI-Zyfer segments, smaller contracts or orders in the FEI-NY segment,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Stock-based Compensation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$407,000 and $438,000 was recognized during the nine months ended January 31, 2008 and 2007, respectively, and $137,000 and $162,000, respectively, was recognized during the three month periods then ended. Such costs include: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2008 and 2007 the percentage of consolidated net sales represented by certain items in the Company’s consolidated statements of operations:</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FEI-NY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Gillam-FEI</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FEI-Zyfer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Less intersegment sales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Margin</w:t>
      </w:r>
    </w:p>
    <w:p>
      <w:pPr>
        <w:spacing w:after="0" w:line="23" w:lineRule="exact"/>
        <w:rPr>
          <w:sz w:val="20"/>
          <w:szCs w:val="20"/>
          <w:color w:val="auto"/>
        </w:rPr>
      </w:pPr>
    </w:p>
    <w:p>
      <w:pPr>
        <w:ind w:right="1800"/>
        <w:spacing w:after="0" w:line="333" w:lineRule="auto"/>
        <w:rPr>
          <w:sz w:val="20"/>
          <w:szCs w:val="20"/>
          <w:color w:val="auto"/>
        </w:rPr>
      </w:pPr>
      <w:r>
        <w:rPr>
          <w:rFonts w:ascii="Arial" w:cs="Arial" w:eastAsia="Arial" w:hAnsi="Arial"/>
          <w:sz w:val="15"/>
          <w:szCs w:val="15"/>
          <w:color w:val="auto"/>
        </w:rPr>
        <w:t>Selling and administrative expenses Research and development expenses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w w:val="94"/>
              </w:rPr>
              <w:t>Nine months</w:t>
            </w:r>
          </w:p>
        </w:tc>
        <w:tc>
          <w:tcPr>
            <w:tcW w:w="5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3"/>
              </w:rPr>
              <w:t>Three months</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91"/>
        </w:trPr>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89"/>
              </w:rPr>
              <w:t>Periods ended January 31,</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91"/>
        </w:trPr>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4"/>
                <w:szCs w:val="24"/>
                <w:color w:val="auto"/>
              </w:rPr>
            </w:pPr>
          </w:p>
        </w:tc>
      </w:tr>
      <w:tr>
        <w:trPr>
          <w:trHeight w:val="411"/>
        </w:trPr>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69.8%</w:t>
            </w:r>
          </w:p>
        </w:tc>
        <w:tc>
          <w:tcPr>
            <w:tcW w:w="88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40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r>
      <w:tr>
        <w:trPr>
          <w:trHeight w:val="216"/>
        </w:trPr>
        <w:tc>
          <w:tcPr>
            <w:tcW w:w="134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8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r>
      <w:tr>
        <w:trPr>
          <w:trHeight w:val="216"/>
        </w:trPr>
        <w:tc>
          <w:tcPr>
            <w:tcW w:w="134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8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4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r>
      <w:tr>
        <w:trPr>
          <w:trHeight w:val="237"/>
        </w:trPr>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0"/>
        </w:trPr>
        <w:tc>
          <w:tcPr>
            <w:tcW w:w="1340" w:type="dxa"/>
            <w:vAlign w:val="bottom"/>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64"/>
        </w:trPr>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r>
      <w:tr>
        <w:trPr>
          <w:trHeight w:val="243"/>
        </w:trPr>
        <w:tc>
          <w:tcPr>
            <w:tcW w:w="1340" w:type="dxa"/>
            <w:vAlign w:val="bottom"/>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65.7</w:t>
            </w:r>
          </w:p>
        </w:tc>
        <w:tc>
          <w:tcPr>
            <w:tcW w:w="8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4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r>
      <w:tr>
        <w:trPr>
          <w:trHeight w:val="195"/>
        </w:trPr>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30.7</w:t>
            </w:r>
          </w:p>
        </w:tc>
        <w:tc>
          <w:tcPr>
            <w:tcW w:w="220" w:type="dxa"/>
            <w:vAlign w:val="bottom"/>
            <w:tcBorders>
              <w:top w:val="single" w:sz="8" w:color="CCFFC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34.3</w:t>
            </w:r>
          </w:p>
        </w:tc>
        <w:tc>
          <w:tcPr>
            <w:tcW w:w="200" w:type="dxa"/>
            <w:vAlign w:val="bottom"/>
            <w:tcBorders>
              <w:top w:val="single" w:sz="8" w:color="CCFFCC"/>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32.0</w:t>
            </w:r>
          </w:p>
        </w:tc>
        <w:tc>
          <w:tcPr>
            <w:tcW w:w="220" w:type="dxa"/>
            <w:vAlign w:val="bottom"/>
            <w:tcBorders>
              <w:top w:val="single" w:sz="8" w:color="CCFFC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31.2</w:t>
            </w:r>
          </w:p>
        </w:tc>
        <w:tc>
          <w:tcPr>
            <w:tcW w:w="220" w:type="dxa"/>
            <w:vAlign w:val="bottom"/>
            <w:tcBorders>
              <w:top w:val="single" w:sz="8" w:color="CCFFCC"/>
            </w:tcBorders>
          </w:tcPr>
          <w:p>
            <w:pPr>
              <w:spacing w:after="0"/>
              <w:rPr>
                <w:sz w:val="16"/>
                <w:szCs w:val="16"/>
                <w:color w:val="auto"/>
              </w:rPr>
            </w:pPr>
          </w:p>
        </w:tc>
      </w:tr>
      <w:tr>
        <w:trPr>
          <w:trHeight w:val="230"/>
        </w:trPr>
        <w:tc>
          <w:tcPr>
            <w:tcW w:w="134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8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r>
      <w:tr>
        <w:trPr>
          <w:trHeight w:val="243"/>
        </w:trPr>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8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-1474470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-1200150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-290830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-925830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-591185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40" w:space="720"/>
            <w:col w:w="6260"/>
          </w:cols>
          <w:pgMar w:left="240" w:top="39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0"/>
        </w:trPr>
        <w:tc>
          <w:tcPr>
            <w:tcW w:w="5160" w:type="dxa"/>
            <w:vAlign w:val="bottom"/>
            <w:shd w:val="clear" w:color="auto" w:fill="CCFFCC"/>
          </w:tcPr>
          <w:p>
            <w:pPr>
              <w:ind w:left="340"/>
              <w:spacing w:after="0" w:line="189" w:lineRule="exact"/>
              <w:rPr>
                <w:sz w:val="20"/>
                <w:szCs w:val="20"/>
                <w:color w:val="auto"/>
              </w:rPr>
            </w:pPr>
            <w:r>
              <w:rPr>
                <w:rFonts w:ascii="Arial" w:cs="Arial" w:eastAsia="Arial" w:hAnsi="Arial"/>
                <w:sz w:val="18"/>
                <w:szCs w:val="18"/>
                <w:color w:val="auto"/>
              </w:rPr>
              <w:t>Operating Profit (Loss)</w:t>
            </w:r>
          </w:p>
        </w:tc>
        <w:tc>
          <w:tcPr>
            <w:tcW w:w="1340" w:type="dxa"/>
            <w:vAlign w:val="bottom"/>
            <w:shd w:val="clear" w:color="auto" w:fill="CCFFCC"/>
          </w:tcPr>
          <w:p>
            <w:pPr>
              <w:ind w:left="1120"/>
              <w:spacing w:after="0" w:line="189" w:lineRule="exact"/>
              <w:rPr>
                <w:sz w:val="20"/>
                <w:szCs w:val="20"/>
                <w:color w:val="auto"/>
              </w:rPr>
            </w:pPr>
            <w:r>
              <w:rPr>
                <w:rFonts w:ascii="Arial" w:cs="Arial" w:eastAsia="Arial" w:hAnsi="Arial"/>
                <w:sz w:val="18"/>
                <w:szCs w:val="18"/>
                <w:color w:val="auto"/>
                <w:w w:val="79"/>
              </w:rPr>
              <w:t>0.8</w:t>
            </w:r>
          </w:p>
        </w:tc>
        <w:tc>
          <w:tcPr>
            <w:tcW w:w="220" w:type="dxa"/>
            <w:vAlign w:val="bottom"/>
            <w:shd w:val="clear" w:color="auto" w:fill="CCFFCC"/>
          </w:tcPr>
          <w:p>
            <w:pPr>
              <w:spacing w:after="0"/>
              <w:rPr>
                <w:sz w:val="16"/>
                <w:szCs w:val="16"/>
                <w:color w:val="auto"/>
              </w:rPr>
            </w:pPr>
          </w:p>
        </w:tc>
        <w:tc>
          <w:tcPr>
            <w:tcW w:w="1560" w:type="dxa"/>
            <w:vAlign w:val="bottom"/>
            <w:gridSpan w:val="2"/>
            <w:shd w:val="clear" w:color="auto" w:fill="CCFFCC"/>
          </w:tcPr>
          <w:p>
            <w:pPr>
              <w:jc w:val="right"/>
              <w:ind w:right="140"/>
              <w:spacing w:after="0" w:line="189" w:lineRule="exact"/>
              <w:rPr>
                <w:sz w:val="20"/>
                <w:szCs w:val="20"/>
                <w:color w:val="auto"/>
              </w:rPr>
            </w:pPr>
            <w:r>
              <w:rPr>
                <w:rFonts w:ascii="Arial" w:cs="Arial" w:eastAsia="Arial" w:hAnsi="Arial"/>
                <w:sz w:val="18"/>
                <w:szCs w:val="18"/>
                <w:color w:val="auto"/>
              </w:rPr>
              <w:t>(2.5)</w:t>
            </w:r>
          </w:p>
        </w:tc>
        <w:tc>
          <w:tcPr>
            <w:tcW w:w="1580" w:type="dxa"/>
            <w:vAlign w:val="bottom"/>
            <w:gridSpan w:val="2"/>
            <w:shd w:val="clear" w:color="auto" w:fill="CCFFCC"/>
          </w:tcPr>
          <w:p>
            <w:pPr>
              <w:ind w:left="1140"/>
              <w:spacing w:after="0" w:line="189" w:lineRule="exact"/>
              <w:rPr>
                <w:sz w:val="20"/>
                <w:szCs w:val="20"/>
                <w:color w:val="auto"/>
              </w:rPr>
            </w:pPr>
            <w:r>
              <w:rPr>
                <w:rFonts w:ascii="Arial" w:cs="Arial" w:eastAsia="Arial" w:hAnsi="Arial"/>
                <w:sz w:val="18"/>
                <w:szCs w:val="18"/>
                <w:color w:val="auto"/>
              </w:rPr>
              <w:t>4.7</w:t>
            </w:r>
          </w:p>
        </w:tc>
        <w:tc>
          <w:tcPr>
            <w:tcW w:w="1560" w:type="dxa"/>
            <w:vAlign w:val="bottom"/>
            <w:gridSpan w:val="2"/>
            <w:shd w:val="clear" w:color="auto" w:fill="CCFFCC"/>
          </w:tcPr>
          <w:p>
            <w:pPr>
              <w:jc w:val="right"/>
              <w:ind w:right="160"/>
              <w:spacing w:after="0" w:line="189" w:lineRule="exact"/>
              <w:rPr>
                <w:sz w:val="20"/>
                <w:szCs w:val="20"/>
                <w:color w:val="auto"/>
              </w:rPr>
            </w:pPr>
            <w:r>
              <w:rPr>
                <w:rFonts w:ascii="Arial" w:cs="Arial" w:eastAsia="Arial" w:hAnsi="Arial"/>
                <w:sz w:val="18"/>
                <w:szCs w:val="18"/>
                <w:color w:val="auto"/>
              </w:rPr>
              <w:t>(14.1)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income, net</w:t>
            </w:r>
          </w:p>
        </w:tc>
        <w:tc>
          <w:tcPr>
            <w:tcW w:w="1340" w:type="dxa"/>
            <w:vAlign w:val="bottom"/>
          </w:tcPr>
          <w:p>
            <w:pPr>
              <w:ind w:left="1120"/>
              <w:spacing w:after="0"/>
              <w:rPr>
                <w:sz w:val="20"/>
                <w:szCs w:val="20"/>
                <w:color w:val="auto"/>
              </w:rPr>
            </w:pPr>
            <w:r>
              <w:rPr>
                <w:rFonts w:ascii="Arial" w:cs="Arial" w:eastAsia="Arial" w:hAnsi="Arial"/>
                <w:sz w:val="18"/>
                <w:szCs w:val="18"/>
                <w:color w:val="auto"/>
                <w:w w:val="79"/>
              </w:rPr>
              <w:t>8.0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1360" w:type="dxa"/>
            <w:vAlign w:val="bottom"/>
          </w:tcPr>
          <w:p>
            <w:pPr>
              <w:ind w:left="1140"/>
              <w:spacing w:after="0"/>
              <w:rPr>
                <w:sz w:val="20"/>
                <w:szCs w:val="20"/>
                <w:color w:val="auto"/>
              </w:rPr>
            </w:pPr>
            <w:r>
              <w:rPr>
                <w:rFonts w:ascii="Arial" w:cs="Arial" w:eastAsia="Arial" w:hAnsi="Arial"/>
                <w:sz w:val="18"/>
                <w:szCs w:val="18"/>
                <w:color w:val="auto"/>
                <w:w w:val="79"/>
              </w:rPr>
              <w:t>3.4</w:t>
            </w:r>
          </w:p>
        </w:tc>
        <w:tc>
          <w:tcPr>
            <w:tcW w:w="2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r>
      <w:tr>
        <w:trPr>
          <w:trHeight w:val="20"/>
        </w:trPr>
        <w:tc>
          <w:tcPr>
            <w:tcW w:w="5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Pretax Income (Loss)</w:t>
            </w:r>
          </w:p>
        </w:tc>
        <w:tc>
          <w:tcPr>
            <w:tcW w:w="1340" w:type="dxa"/>
            <w:vAlign w:val="bottom"/>
            <w:shd w:val="clear" w:color="auto" w:fill="CCFFCC"/>
          </w:tcPr>
          <w:p>
            <w:pPr>
              <w:ind w:left="1120"/>
              <w:spacing w:after="0"/>
              <w:rPr>
                <w:sz w:val="20"/>
                <w:szCs w:val="20"/>
                <w:color w:val="auto"/>
              </w:rPr>
            </w:pPr>
            <w:r>
              <w:rPr>
                <w:rFonts w:ascii="Arial" w:cs="Arial" w:eastAsia="Arial" w:hAnsi="Arial"/>
                <w:sz w:val="18"/>
                <w:szCs w:val="18"/>
                <w:color w:val="auto"/>
                <w:w w:val="79"/>
              </w:rPr>
              <w:t>8.8</w:t>
            </w: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ind w:left="1140"/>
              <w:spacing w:after="0"/>
              <w:rPr>
                <w:sz w:val="20"/>
                <w:szCs w:val="20"/>
                <w:color w:val="auto"/>
              </w:rPr>
            </w:pPr>
            <w:r>
              <w:rPr>
                <w:rFonts w:ascii="Arial" w:cs="Arial" w:eastAsia="Arial" w:hAnsi="Arial"/>
                <w:sz w:val="18"/>
                <w:szCs w:val="18"/>
                <w:color w:val="auto"/>
                <w:w w:val="79"/>
              </w:rPr>
              <w:t>8.1</w:t>
            </w:r>
          </w:p>
        </w:tc>
        <w:tc>
          <w:tcPr>
            <w:tcW w:w="22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340" w:type="dxa"/>
            <w:vAlign w:val="bottom"/>
          </w:tcPr>
          <w:p>
            <w:pPr>
              <w:ind w:left="1120"/>
              <w:spacing w:after="0"/>
              <w:rPr>
                <w:sz w:val="20"/>
                <w:szCs w:val="20"/>
                <w:color w:val="auto"/>
              </w:rPr>
            </w:pPr>
            <w:r>
              <w:rPr>
                <w:rFonts w:ascii="Arial" w:cs="Arial" w:eastAsia="Arial" w:hAnsi="Arial"/>
                <w:sz w:val="18"/>
                <w:szCs w:val="18"/>
                <w:color w:val="auto"/>
                <w:w w:val="79"/>
              </w:rPr>
              <w:t>3.7</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1360" w:type="dxa"/>
            <w:vAlign w:val="bottom"/>
          </w:tcPr>
          <w:p>
            <w:pPr>
              <w:ind w:left="1140"/>
              <w:spacing w:after="0"/>
              <w:rPr>
                <w:sz w:val="20"/>
                <w:szCs w:val="20"/>
                <w:color w:val="auto"/>
              </w:rPr>
            </w:pPr>
            <w:r>
              <w:rPr>
                <w:rFonts w:ascii="Arial" w:cs="Arial" w:eastAsia="Arial" w:hAnsi="Arial"/>
                <w:sz w:val="18"/>
                <w:szCs w:val="18"/>
                <w:color w:val="auto"/>
                <w:w w:val="79"/>
              </w:rPr>
              <w:t>3.7</w:t>
            </w:r>
          </w:p>
        </w:tc>
        <w:tc>
          <w:tcPr>
            <w:tcW w:w="2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0"/>
        </w:trPr>
        <w:tc>
          <w:tcPr>
            <w:tcW w:w="5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Net Income (Loss)</w:t>
            </w:r>
          </w:p>
        </w:tc>
        <w:tc>
          <w:tcPr>
            <w:tcW w:w="1560" w:type="dxa"/>
            <w:vAlign w:val="bottom"/>
            <w:gridSpan w:val="2"/>
            <w:shd w:val="clear" w:color="auto" w:fill="CCFFCC"/>
          </w:tcPr>
          <w:p>
            <w:pPr>
              <w:ind w:left="1120"/>
              <w:spacing w:after="0"/>
              <w:rPr>
                <w:sz w:val="20"/>
                <w:szCs w:val="20"/>
                <w:color w:val="auto"/>
              </w:rPr>
            </w:pPr>
            <w:r>
              <w:rPr>
                <w:rFonts w:ascii="Arial" w:cs="Arial" w:eastAsia="Arial" w:hAnsi="Arial"/>
                <w:sz w:val="18"/>
                <w:szCs w:val="18"/>
                <w:color w:val="auto"/>
              </w:rPr>
              <w:t>5.1%</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0.8%</w:t>
            </w:r>
          </w:p>
        </w:tc>
        <w:tc>
          <w:tcPr>
            <w:tcW w:w="1580" w:type="dxa"/>
            <w:vAlign w:val="bottom"/>
            <w:gridSpan w:val="2"/>
            <w:shd w:val="clear" w:color="auto" w:fill="CCFFCC"/>
          </w:tcPr>
          <w:p>
            <w:pPr>
              <w:ind w:left="1140"/>
              <w:spacing w:after="0"/>
              <w:rPr>
                <w:sz w:val="20"/>
                <w:szCs w:val="20"/>
                <w:color w:val="auto"/>
              </w:rPr>
            </w:pPr>
            <w:r>
              <w:rPr>
                <w:rFonts w:ascii="Arial" w:cs="Arial" w:eastAsia="Arial" w:hAnsi="Arial"/>
                <w:sz w:val="18"/>
                <w:szCs w:val="18"/>
                <w:color w:val="auto"/>
              </w:rPr>
              <w:t>4.4%</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(Note: All dollar amounts in the following tables are in thousands, except Net Sales which are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7"/>
          </w:tcPr>
          <w:p>
            <w:pPr>
              <w:jc w:val="right"/>
              <w:ind w:right="440"/>
              <w:spacing w:after="0"/>
              <w:rPr>
                <w:sz w:val="20"/>
                <w:szCs w:val="20"/>
                <w:color w:val="auto"/>
              </w:rPr>
            </w:pPr>
            <w:r>
              <w:rPr>
                <w:rFonts w:ascii="Arial" w:cs="Arial" w:eastAsia="Arial" w:hAnsi="Arial"/>
                <w:sz w:val="18"/>
                <w:szCs w:val="18"/>
                <w:color w:val="auto"/>
              </w:rPr>
              <w:t>(dollar amounts in millions)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w w:val="92"/>
              </w:rPr>
              <w:t>Nine months</w:t>
            </w: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w w:val="90"/>
              </w:rPr>
              <w:t>Three months</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8"/>
                <w:szCs w:val="18"/>
                <w:color w:val="auto"/>
              </w:rPr>
              <w:t>Periods ended January 31,</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2008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Change</w:t>
            </w:r>
          </w:p>
        </w:tc>
        <w:tc>
          <w:tcPr>
            <w:tcW w:w="32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5"/>
              </w:rPr>
              <w:t>Change</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FEI-NY</w:t>
            </w:r>
          </w:p>
        </w:tc>
        <w:tc>
          <w:tcPr>
            <w:tcW w:w="26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8.8</w:t>
            </w:r>
          </w:p>
        </w:tc>
        <w:tc>
          <w:tcPr>
            <w:tcW w:w="94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FFCC"/>
          </w:tcPr>
          <w:p>
            <w:pPr>
              <w:jc w:val="center"/>
              <w:ind w:left="190"/>
              <w:spacing w:after="0"/>
              <w:rPr>
                <w:sz w:val="20"/>
                <w:szCs w:val="20"/>
                <w:color w:val="auto"/>
              </w:rPr>
            </w:pPr>
            <w:r>
              <w:rPr>
                <w:rFonts w:ascii="Arial" w:cs="Arial" w:eastAsia="Arial" w:hAnsi="Arial"/>
                <w:sz w:val="18"/>
                <w:szCs w:val="18"/>
                <w:color w:val="auto"/>
                <w:w w:val="87"/>
              </w:rPr>
              <w:t>3.6</w:t>
            </w:r>
          </w:p>
        </w:tc>
        <w:tc>
          <w:tcPr>
            <w:tcW w:w="32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color w:val="auto"/>
                <w:w w:val="87"/>
              </w:rPr>
              <w:t>0.3</w:t>
            </w:r>
          </w:p>
        </w:tc>
        <w:tc>
          <w:tcPr>
            <w:tcW w:w="3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1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FEI-Zyfer</w:t>
            </w:r>
          </w:p>
        </w:tc>
        <w:tc>
          <w:tcPr>
            <w:tcW w:w="2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FFCC"/>
          </w:tcPr>
          <w:p>
            <w:pPr>
              <w:spacing w:after="0"/>
              <w:rPr>
                <w:sz w:val="18"/>
                <w:szCs w:val="18"/>
                <w:color w:val="auto"/>
              </w:rPr>
            </w:pPr>
          </w:p>
        </w:tc>
        <w:tc>
          <w:tcPr>
            <w:tcW w:w="500" w:type="dxa"/>
            <w:vAlign w:val="bottom"/>
            <w:shd w:val="clear" w:color="auto" w:fill="CCFFCC"/>
          </w:tcPr>
          <w:p>
            <w:pPr>
              <w:jc w:val="center"/>
              <w:ind w:left="190"/>
              <w:spacing w:after="0"/>
              <w:rPr>
                <w:sz w:val="20"/>
                <w:szCs w:val="20"/>
                <w:color w:val="auto"/>
              </w:rPr>
            </w:pPr>
            <w:r>
              <w:rPr>
                <w:rFonts w:ascii="Arial" w:cs="Arial" w:eastAsia="Arial" w:hAnsi="Arial"/>
                <w:sz w:val="18"/>
                <w:szCs w:val="18"/>
                <w:color w:val="auto"/>
                <w:w w:val="87"/>
              </w:rPr>
              <w:t>1.0</w:t>
            </w:r>
          </w:p>
        </w:tc>
        <w:tc>
          <w:tcPr>
            <w:tcW w:w="32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w:t>
            </w:r>
          </w:p>
        </w:tc>
      </w:tr>
      <w:tr>
        <w:trPr>
          <w:trHeight w:val="243"/>
        </w:trPr>
        <w:tc>
          <w:tcPr>
            <w:tcW w:w="2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w w:val="94"/>
              </w:rPr>
              <w:t>Intersegment sales</w:t>
            </w: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color w:val="auto"/>
                <w:w w:val="87"/>
              </w:rPr>
              <w:t>0.0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800" w:type="dxa"/>
            <w:vAlign w:val="bottom"/>
            <w:shd w:val="clear" w:color="auto" w:fill="CCFFCC"/>
          </w:tcPr>
          <w:p>
            <w:pPr>
              <w:spacing w:after="0"/>
              <w:rPr>
                <w:sz w:val="24"/>
                <w:szCs w:val="24"/>
                <w:color w:val="auto"/>
              </w:rPr>
            </w:pPr>
          </w:p>
        </w:tc>
        <w:tc>
          <w:tcPr>
            <w:tcW w:w="26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9.3</w:t>
            </w:r>
          </w:p>
        </w:tc>
        <w:tc>
          <w:tcPr>
            <w:tcW w:w="94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FFCC"/>
          </w:tcPr>
          <w:p>
            <w:pPr>
              <w:jc w:val="center"/>
              <w:ind w:left="190"/>
              <w:spacing w:after="0"/>
              <w:rPr>
                <w:sz w:val="20"/>
                <w:szCs w:val="20"/>
                <w:color w:val="auto"/>
              </w:rPr>
            </w:pPr>
            <w:r>
              <w:rPr>
                <w:rFonts w:ascii="Arial" w:cs="Arial" w:eastAsia="Arial" w:hAnsi="Arial"/>
                <w:sz w:val="18"/>
                <w:szCs w:val="18"/>
                <w:color w:val="auto"/>
                <w:w w:val="87"/>
              </w:rPr>
              <w:t>4.9</w:t>
            </w:r>
          </w:p>
        </w:tc>
        <w:tc>
          <w:tcPr>
            <w:tcW w:w="320" w:type="dxa"/>
            <w:vAlign w:val="bottom"/>
            <w:shd w:val="clear" w:color="auto" w:fill="CCFFCC"/>
          </w:tcPr>
          <w:p>
            <w:pPr>
              <w:spacing w:after="0"/>
              <w:rPr>
                <w:sz w:val="24"/>
                <w:szCs w:val="24"/>
                <w:color w:val="auto"/>
              </w:rPr>
            </w:pPr>
          </w:p>
        </w:tc>
        <w:tc>
          <w:tcPr>
            <w:tcW w:w="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illustrated in the table above, the 23% and 41% increases in revenues for the nine and three month periods ended January 31, 2008, respectively, compared to the same periods of fiscal year 2007, were driven by the improvement in revenues in the FEI-NY segment by 31% and 43%, respectively. Revenues from space programs increased by greater than 50% over the revenue rate realized in the prior fiscal year. Similarly, revenues from U.S. Government/Department of Defense (“DOD”) non-satellite sales, which are recorded in both the FEI-NY and FEI-Zyfer segments, were more than 25% higher than the revenue rate realized in the prior year and sales to telecommunication infrastructure equipment manufacturers for the nine months were approximately the same as the record revenue rate recorded in fiscal year 2008. Revenues in the Gillam-FEI segment improved 8% and 10%, respectively, from the same periods of fiscal year 2007 due primarily to the rise in the value of the euro to the dollar. Euro-denominated sales were relatively flat year-to-year. The Company anticipates that fourth quarter fiscal year 2008 revenues for Gillam-FEI will increase in terms of both dollars and euros. Revenues for the FEI-Zyfer segment increased by 9% and 72%, respectively, for the nine and three months ended January 31, 2008 compared to the same periods of fiscal year 2007. The Company expects FEI-Zyfer revenues for the fourth quarter of fiscal year 2008 to be comparable to prior quarters and full year revenues to exceed that realized in fiscal year 2007. The Company expects revenues from both U.S. Government and commercial satellite programs to show continued strength in the final quarter of fiscal year 2008 and should comprise approximately 40% of total revenues for the fiscal year. Historically, revenues from telecommunication infrastructure sales are subject to wide swings over short-term intervals. Certain of the Company’s infrastructure customers indicate that near term requirements have decreased substantially. The Company thus expects telecommunications revenues for the fourth quarter of fiscal year 2008 to decline from current levels. Telecommunication revenues are expected to be between 30% and 35% of consolidated revenues for fiscal year 2008.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9"/>
          </w:tcPr>
          <w:p>
            <w:pPr>
              <w:ind w:left="720"/>
              <w:spacing w:after="0"/>
              <w:rPr>
                <w:sz w:val="20"/>
                <w:szCs w:val="20"/>
                <w:color w:val="auto"/>
              </w:rPr>
            </w:pPr>
            <w:r>
              <w:rPr>
                <w:rFonts w:ascii="Arial" w:cs="Arial" w:eastAsia="Arial" w:hAnsi="Arial"/>
                <w:sz w:val="18"/>
                <w:szCs w:val="18"/>
                <w:color w:val="auto"/>
              </w:rPr>
              <w:t>(dollar amounts in thousands)</w:t>
            </w: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Gross margin</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106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Nine months</w:t>
            </w: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93"/>
              </w:rPr>
              <w:t>Three months</w:t>
            </w: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1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color w:val="auto"/>
              </w:rPr>
              <w:t>Periods ended January 31,</w:t>
            </w: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91"/>
        </w:trPr>
        <w:tc>
          <w:tcPr>
            <w:tcW w:w="1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2008</w:t>
            </w:r>
          </w:p>
        </w:tc>
        <w:tc>
          <w:tcPr>
            <w:tcW w:w="200" w:type="dxa"/>
            <w:vAlign w:val="bottom"/>
          </w:tcPr>
          <w:p>
            <w:pPr>
              <w:spacing w:after="0"/>
              <w:rPr>
                <w:sz w:val="24"/>
                <w:szCs w:val="24"/>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2007</w:t>
            </w:r>
          </w:p>
        </w:tc>
        <w:tc>
          <w:tcPr>
            <w:tcW w:w="2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5"/>
              </w:rPr>
              <w:t>Change</w:t>
            </w: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3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15,395</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3"/>
              </w:rPr>
              <w:t>$  13,970</w:t>
            </w:r>
          </w:p>
        </w:tc>
        <w:tc>
          <w:tcPr>
            <w:tcW w:w="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93"/>
              </w:rPr>
              <w:t>1,425</w:t>
            </w:r>
          </w:p>
        </w:tc>
        <w:tc>
          <w:tcPr>
            <w:tcW w:w="158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10% $   5,455</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3,777</w:t>
            </w:r>
          </w:p>
        </w:tc>
        <w:tc>
          <w:tcPr>
            <w:tcW w:w="780" w:type="dxa"/>
            <w:vAlign w:val="bottom"/>
            <w:shd w:val="clear" w:color="auto" w:fill="CCFFCC"/>
          </w:tcPr>
          <w:p>
            <w:pPr>
              <w:spacing w:after="0"/>
              <w:rPr>
                <w:sz w:val="18"/>
                <w:szCs w:val="18"/>
                <w:color w:val="auto"/>
              </w:rPr>
            </w:pPr>
          </w:p>
        </w:tc>
        <w:tc>
          <w:tcPr>
            <w:tcW w:w="11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   1,678</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w:t>
            </w: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Gross margin rates for the nine months ended January 31, 2008, were lower than those realized during the same period of fiscal year 2007 primarily reflecting the higher engineering costs incurred on certain of the Company’s long-term satellite contracts. A higher level of spending on engineering costs began in the third quarter of fiscal year 2007 and is reflected in the 31.2% rate above. For the three-months ended January 31, 2008, the gross margin rate improved to 32% but continued to be impacted by higher costs. While the rate of engineering spending during fiscal year 2008 has abated from the levels incurred in fiscal year 2007, the current level is still higher than historical averages. As the Company completes the lower margin programs on which these costs are applied, the gross margin rate is expected to improve over the balance of fiscal year 2008. As revenues increase and engineering costs return to more normal levels, the Company expects the gross margin rate to approach its target of 40%.</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Also, for the nine months ended January 31, 2008 and 2007, gross margin was reduced by $236,000 and $226,000, respectively, and for the three months ended January 31, 2008 and 2007, was reduced by $82,000 and $87,000, respectively, due to the inclusion in cost of sales of the charge for stock compensation expense as required by FAS 123(R).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36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Nine months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Three months</w:t>
            </w: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91"/>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rPr>
              <w:t>Periods ended January 31,</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9,480</w:t>
            </w:r>
          </w:p>
        </w:tc>
        <w:tc>
          <w:tcPr>
            <w:tcW w:w="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8,344</w:t>
            </w:r>
          </w:p>
        </w:tc>
        <w:tc>
          <w:tcPr>
            <w:tcW w:w="180" w:type="dxa"/>
            <w:vAlign w:val="bottom"/>
            <w:shd w:val="clear" w:color="auto" w:fill="CCFFCC"/>
          </w:tcPr>
          <w:p>
            <w:pPr>
              <w:spacing w:after="0"/>
              <w:rPr>
                <w:sz w:val="22"/>
                <w:szCs w:val="22"/>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1,136</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14%  $</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3,109</w:t>
            </w:r>
          </w:p>
        </w:tc>
        <w:tc>
          <w:tcPr>
            <w:tcW w:w="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2,889</w:t>
            </w:r>
          </w:p>
        </w:tc>
        <w:tc>
          <w:tcPr>
            <w:tcW w:w="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220</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w:t>
            </w:r>
          </w:p>
        </w:tc>
      </w:tr>
    </w:tbl>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nine and three months ended January 31, 2008 and 2007, selling and administrative expenses were 19% of revenues which is the Company’s target for such expenses. The increases in expenses in the fiscal year 2008 periods were primarily related to compensation, including additional personnel, normal salary increases and accruals for incentive compensation, partially offset by reduced accruals for deferred compensation costs. In addition, during the second quarter of fiscal year 2008, FEI-Zyfer moved to a new facility which increased administrative costs at that segment.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Included in selling and administrative expenses for the nine months ended January 31, 2008 and 2007, is $171,000 and $212,000, respectively, and for the three month periods ended January 31, 2008 and 2007, $55,000 and $75,000, respectively, related to stock compensation expense as described above and in the footnotes to the financial statements.</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fiscal year 2008 revenues at current or increasing levels, the Company expects selling and administrative expenses to remain at 20% or less of revenues.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36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2"/>
              </w:rPr>
              <w:t>Nine months</w:t>
            </w: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color w:val="auto"/>
              </w:rPr>
              <w:t>Three months</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91"/>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color w:val="auto"/>
              </w:rPr>
              <w:t>Periods ended January 31,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5,526</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6,628</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w w:val="97"/>
              </w:rPr>
              <w:t>($ 1,102)</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1,541</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2,600</w:t>
            </w:r>
          </w:p>
        </w:tc>
        <w:tc>
          <w:tcPr>
            <w:tcW w:w="148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($1,059)</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w:t>
            </w:r>
          </w:p>
        </w:tc>
      </w:tr>
    </w:tbl>
    <w:p>
      <w:pPr>
        <w:spacing w:after="0" w:line="25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Research and development expenditures represent investments that keep the Company’s products at the leading edge of time and frequency technology and enhance competitiveness for future sales. An exceptional level of engineering spending and development work on the Company’s satellite payload products began in the second quarter of fiscal year 2007 and continued through the first quarter of fiscal year 2008. As of the second quarter of fiscal year 2008, the initial effort to increase production throughput has been largely achieved and research and development spending has returned to a more normal level. For the quarter ended January 31, 2008, spending on research and development was 9% of revenues which is within the Company’s normal target range.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0"/>
              </w:rPr>
              <w:t>Operating Profit (Loss)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588"/>
        </w:trPr>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Nine months</w:t>
            </w: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w:t>
            </w: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color w:val="auto"/>
                <w:w w:val="97"/>
              </w:rPr>
              <w:t>Periods ended January 31,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Change</w:t>
            </w:r>
          </w:p>
        </w:tc>
        <w:tc>
          <w:tcPr>
            <w:tcW w:w="6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2008</w:t>
            </w:r>
          </w:p>
        </w:tc>
        <w:tc>
          <w:tcPr>
            <w:tcW w:w="220" w:type="dxa"/>
            <w:vAlign w:val="bottom"/>
          </w:tcPr>
          <w:p>
            <w:pPr>
              <w:spacing w:after="0"/>
              <w:rPr>
                <w:sz w:val="24"/>
                <w:szCs w:val="24"/>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389</w:t>
            </w: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   (1,002)</w:t>
            </w:r>
          </w:p>
        </w:tc>
        <w:tc>
          <w:tcPr>
            <w:tcW w:w="800" w:type="dxa"/>
            <w:vAlign w:val="bottom"/>
            <w:gridSpan w:val="2"/>
            <w:shd w:val="clear" w:color="auto" w:fill="CCFFCC"/>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1,391</w:t>
            </w:r>
          </w:p>
        </w:tc>
        <w:tc>
          <w:tcPr>
            <w:tcW w:w="64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9"/>
              </w:rPr>
              <w:t>NM</w:t>
            </w:r>
          </w:p>
        </w:tc>
        <w:tc>
          <w:tcPr>
            <w:tcW w:w="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w:t>
            </w:r>
          </w:p>
        </w:tc>
        <w:tc>
          <w:tcPr>
            <w:tcW w:w="11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   (1,712)</w:t>
            </w:r>
          </w:p>
        </w:tc>
        <w:tc>
          <w:tcPr>
            <w:tcW w:w="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w w:val="88"/>
              </w:rPr>
              <w:t>2,517</w:t>
            </w:r>
          </w:p>
        </w:tc>
        <w:tc>
          <w:tcPr>
            <w:tcW w:w="7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NM</w:t>
            </w:r>
          </w:p>
        </w:tc>
      </w:tr>
    </w:tbl>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Reduced engineering costs on satellite payload programs and lower research and development spending during the nine and three month periods ended January 31, 2008, resulted in significantly improved operating margins. Sequentially, the operating profit in the third quarter of fiscal year 2008 was more than twice the operating profit of the second quarter, continuing the positive trend of increasing profits over the preceding three fiscal quarters. The Company anticipates that as sales are maintained at or increase above current levels and as engineering and development costs are lowered from previous elevated levels, it will generate an operating profit for the full fiscal year 2008.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18"/>
        </w:trPr>
        <w:tc>
          <w:tcPr>
            <w:tcW w:w="182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Nine months</w:t>
            </w: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91"/>
        </w:trPr>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color w:val="auto"/>
                <w:w w:val="88"/>
              </w:rPr>
              <w:t>Periods ended January 31,</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91"/>
        </w:trPr>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2008</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2007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2007</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10"/>
        </w:trPr>
        <w:tc>
          <w:tcPr>
            <w:tcW w:w="3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3,965</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785</w:t>
            </w:r>
          </w:p>
        </w:tc>
        <w:tc>
          <w:tcPr>
            <w:tcW w:w="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3,180</w:t>
            </w:r>
          </w:p>
        </w:tc>
        <w:tc>
          <w:tcPr>
            <w:tcW w:w="30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405%</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w:t>
            </w: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Equity (loss) income</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3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4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3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(547%)</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0"/>
        </w:trPr>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182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40" w:type="dxa"/>
            <w:vAlign w:val="bottom"/>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line="196" w:lineRule="exact"/>
              <w:rPr>
                <w:sz w:val="20"/>
                <w:szCs w:val="20"/>
                <w:color w:val="auto"/>
              </w:rPr>
            </w:pPr>
            <w:r>
              <w:rPr>
                <w:rFonts w:ascii="Arial" w:cs="Arial" w:eastAsia="Arial" w:hAnsi="Arial"/>
                <w:sz w:val="18"/>
                <w:szCs w:val="18"/>
                <w:color w:val="auto"/>
              </w:rPr>
              <w:t>3,995</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120"/>
              <w:spacing w:after="0" w:line="196" w:lineRule="exact"/>
              <w:rPr>
                <w:sz w:val="20"/>
                <w:szCs w:val="20"/>
                <w:color w:val="auto"/>
              </w:rPr>
            </w:pPr>
            <w:r>
              <w:rPr>
                <w:rFonts w:ascii="Arial" w:cs="Arial" w:eastAsia="Arial" w:hAnsi="Arial"/>
                <w:sz w:val="18"/>
                <w:szCs w:val="18"/>
                <w:color w:val="auto"/>
              </w:rPr>
              <w:t>1,547</w:t>
            </w:r>
          </w:p>
        </w:tc>
        <w:tc>
          <w:tcPr>
            <w:tcW w:w="360" w:type="dxa"/>
            <w:vAlign w:val="bottom"/>
            <w:gridSpan w:val="2"/>
            <w:shd w:val="clear" w:color="auto" w:fill="CCFFC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FFCC"/>
          </w:tcPr>
          <w:p>
            <w:pPr>
              <w:jc w:val="right"/>
              <w:ind w:right="140"/>
              <w:spacing w:after="0" w:line="196" w:lineRule="exact"/>
              <w:rPr>
                <w:sz w:val="20"/>
                <w:szCs w:val="20"/>
                <w:color w:val="auto"/>
              </w:rPr>
            </w:pPr>
            <w:r>
              <w:rPr>
                <w:rFonts w:ascii="Arial" w:cs="Arial" w:eastAsia="Arial" w:hAnsi="Arial"/>
                <w:sz w:val="18"/>
                <w:szCs w:val="18"/>
                <w:color w:val="auto"/>
                <w:w w:val="97"/>
              </w:rPr>
              <w:t>2,448</w:t>
            </w:r>
          </w:p>
        </w:tc>
        <w:tc>
          <w:tcPr>
            <w:tcW w:w="300" w:type="dxa"/>
            <w:vAlign w:val="bottom"/>
            <w:shd w:val="clear" w:color="auto" w:fill="CCFFCC"/>
          </w:tcPr>
          <w:p>
            <w:pPr>
              <w:spacing w:after="0"/>
              <w:rPr>
                <w:sz w:val="17"/>
                <w:szCs w:val="17"/>
                <w:color w:val="auto"/>
              </w:rPr>
            </w:pPr>
          </w:p>
        </w:tc>
        <w:tc>
          <w:tcPr>
            <w:tcW w:w="740" w:type="dxa"/>
            <w:vAlign w:val="bottom"/>
            <w:gridSpan w:val="2"/>
            <w:shd w:val="clear" w:color="auto" w:fill="CCFFCC"/>
          </w:tcPr>
          <w:p>
            <w:pPr>
              <w:jc w:val="right"/>
              <w:ind w:right="140"/>
              <w:spacing w:after="0" w:line="196" w:lineRule="exact"/>
              <w:rPr>
                <w:sz w:val="20"/>
                <w:szCs w:val="20"/>
                <w:color w:val="auto"/>
              </w:rPr>
            </w:pPr>
            <w:r>
              <w:rPr>
                <w:rFonts w:ascii="Arial" w:cs="Arial" w:eastAsia="Arial" w:hAnsi="Arial"/>
                <w:sz w:val="18"/>
                <w:szCs w:val="18"/>
                <w:color w:val="auto"/>
              </w:rPr>
              <w:t>158%</w:t>
            </w:r>
          </w:p>
        </w:tc>
        <w:tc>
          <w:tcPr>
            <w:tcW w:w="220" w:type="dxa"/>
            <w:vAlign w:val="bottom"/>
            <w:gridSpan w:val="2"/>
            <w:shd w:val="clear" w:color="auto" w:fill="CCFFC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line="196" w:lineRule="exact"/>
              <w:rPr>
                <w:sz w:val="20"/>
                <w:szCs w:val="20"/>
                <w:color w:val="auto"/>
              </w:rPr>
            </w:pPr>
            <w:r>
              <w:rPr>
                <w:rFonts w:ascii="Arial" w:cs="Arial" w:eastAsia="Arial" w:hAnsi="Arial"/>
                <w:sz w:val="18"/>
                <w:szCs w:val="18"/>
                <w:color w:val="auto"/>
              </w:rPr>
              <w:t>586</w:t>
            </w:r>
          </w:p>
        </w:tc>
        <w:tc>
          <w:tcPr>
            <w:tcW w:w="160" w:type="dxa"/>
            <w:vAlign w:val="bottom"/>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FFCC"/>
          </w:tcPr>
          <w:p>
            <w:pPr>
              <w:jc w:val="right"/>
              <w:ind w:right="160"/>
              <w:spacing w:after="0" w:line="196" w:lineRule="exact"/>
              <w:rPr>
                <w:sz w:val="20"/>
                <w:szCs w:val="20"/>
                <w:color w:val="auto"/>
              </w:rPr>
            </w:pPr>
            <w:r>
              <w:rPr>
                <w:rFonts w:ascii="Arial" w:cs="Arial" w:eastAsia="Arial" w:hAnsi="Arial"/>
                <w:sz w:val="18"/>
                <w:szCs w:val="18"/>
                <w:color w:val="auto"/>
              </w:rPr>
              <w:t>650</w:t>
            </w:r>
          </w:p>
        </w:tc>
        <w:tc>
          <w:tcPr>
            <w:tcW w:w="400" w:type="dxa"/>
            <w:vAlign w:val="bottom"/>
            <w:shd w:val="clear" w:color="auto" w:fill="CCFFC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FFCC"/>
          </w:tcPr>
          <w:p>
            <w:pPr>
              <w:jc w:val="right"/>
              <w:ind w:right="60"/>
              <w:spacing w:after="0" w:line="196" w:lineRule="exact"/>
              <w:rPr>
                <w:sz w:val="20"/>
                <w:szCs w:val="20"/>
                <w:color w:val="auto"/>
              </w:rPr>
            </w:pPr>
            <w:r>
              <w:rPr>
                <w:rFonts w:ascii="Arial" w:cs="Arial" w:eastAsia="Arial" w:hAnsi="Arial"/>
                <w:sz w:val="18"/>
                <w:szCs w:val="18"/>
                <w:color w:val="auto"/>
              </w:rPr>
              <w:t>(64)</w:t>
            </w:r>
          </w:p>
        </w:tc>
        <w:tc>
          <w:tcPr>
            <w:tcW w:w="340" w:type="dxa"/>
            <w:vAlign w:val="bottom"/>
            <w:shd w:val="clear" w:color="auto" w:fill="CCFFCC"/>
          </w:tcPr>
          <w:p>
            <w:pPr>
              <w:spacing w:after="0"/>
              <w:rPr>
                <w:sz w:val="17"/>
                <w:szCs w:val="17"/>
                <w:color w:val="auto"/>
              </w:rPr>
            </w:pPr>
          </w:p>
        </w:tc>
        <w:tc>
          <w:tcPr>
            <w:tcW w:w="720" w:type="dxa"/>
            <w:vAlign w:val="bottom"/>
            <w:gridSpan w:val="2"/>
            <w:shd w:val="clear" w:color="auto" w:fill="CCFFCC"/>
          </w:tcPr>
          <w:p>
            <w:pPr>
              <w:jc w:val="right"/>
              <w:ind w:right="40"/>
              <w:spacing w:after="0" w:line="196" w:lineRule="exact"/>
              <w:rPr>
                <w:sz w:val="20"/>
                <w:szCs w:val="20"/>
                <w:color w:val="auto"/>
              </w:rPr>
            </w:pPr>
            <w:r>
              <w:rPr>
                <w:rFonts w:ascii="Arial" w:cs="Arial" w:eastAsia="Arial" w:hAnsi="Arial"/>
                <w:sz w:val="18"/>
                <w:szCs w:val="18"/>
                <w:color w:val="auto"/>
              </w:rPr>
              <w:t>(10%)</w:t>
            </w:r>
          </w:p>
        </w:tc>
      </w:tr>
    </w:tbl>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nine months ended January 31, 2008, the Company reduced its investment in Morion, Inc. (“Morion”) from 36.6% to 8% by selling its shares to a third party. The Company received proceeds of approximately $5.8 million and realized a gain of approximately $3.0 million. Such gain was included in investment income for the first quarter of fiscal year 2008. During the third quarter of fiscal year 2008, the Company recognized net loss on marketable securities of approximately $5,000 compared to a loss of $56,000 during the same period of the prior fiscal year. In addition to these gains and losses, additional income is derived from dividend and interest income on invested cash. The rates of return in the fiscal year 2008 periods were generally lower than fiscal year 2007.</w:t>
      </w:r>
    </w:p>
    <w:p>
      <w:pPr>
        <w:spacing w:after="0" w:line="2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result of the reduced investment in Morion, the Company no longer records its share of Morion’s earnings on the equity method, as it did in the fiscal year 2007 periods. The equity loss for the nine months ended January 31, 2008 and the equity income for the three months then ended, represent its share of the quarterly loss or profit recorded by Elcom Technologies in which the Company acquired a 25% interest during the third quarter of fiscal year 2007.</w:t>
      </w:r>
    </w:p>
    <w:p>
      <w:pPr>
        <w:spacing w:after="0" w:line="2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interest expense for the nine and three month periods ended January 31, 2008 resulted primarily from an increase in borrowings under the Company’s line of credit during the fiscal year 2008 periods compared to the same periods of fiscal year 2007.</w:t>
      </w:r>
    </w:p>
    <w:p>
      <w:pPr>
        <w:spacing w:after="0" w:line="22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Under the provisions of sale and leaseback accounting, a portion of the gain realized on a fiscal year 2005 real estate transaction is deferred and recognized in income over the initial lease term. Under the caption “Other income, net” the Company recognized deferred gain of $265,000 and $88,000, respectively, for the nine and three months ended January 31, 2008 and 2007. In addition, for the nine and three month periods ended January 31, 2008, other income includes a realized gain of approximately $290,000 derived from the excess of proceeds over the cash values of life insurance policies on the lives of two former employees. In the fiscal year 2008 periods, other income was partially offset by certain nonrecurring expenses at the FEI-NY and Gillam-FEI segments, including certain business interruption costs and foreign currency exchange losses. Other insignificant income and expense items are also recorded under this caption.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5"/>
              </w:rPr>
              <w:t>Net income (loss)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588"/>
        </w:trPr>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Nine months</w:t>
            </w: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Three months</w:t>
            </w: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color w:val="auto"/>
              </w:rPr>
              <w:t>Periods ended January 31,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91"/>
        </w:trPr>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FFCC"/>
          </w:tcPr>
          <w:p>
            <w:pPr>
              <w:spacing w:after="0"/>
              <w:rPr>
                <w:sz w:val="22"/>
                <w:szCs w:val="22"/>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2,547</w:t>
            </w: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2,215</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667%  $</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(754)</w:t>
            </w:r>
          </w:p>
        </w:tc>
        <w:tc>
          <w:tcPr>
            <w:tcW w:w="6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1,512</w:t>
            </w:r>
          </w:p>
        </w:tc>
        <w:tc>
          <w:tcPr>
            <w:tcW w:w="76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NM</w:t>
            </w:r>
          </w:p>
        </w:tc>
      </w:tr>
    </w:tbl>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income for the nine months ended January 31, 2008, was positively impacted by the investment gain recorded on the sale of a portion of the Company’s investment in Morion which is in addition to the operating profit recorded during this period. For the third quarter of fiscal year 2008, an operating profit was generated by higher revenues and lower costs and, coupled with other income as detailed above, resulted in increased profitability. The Company expects to realize improved gross and operating margins in the fourth quarter of fiscal year 2008 and anticipates that it will report a profit for the full year.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2007, the Company’s European subsidiaries had available net operating loss carryforwards of approximately $1.3 million and the Company’s U.S. subsidiaries had operating loss carryforwards of approximately $700,000, which will offset future taxable income. During fiscal year 2008, the Company’s effective tax rate is expected to be higher than in prior years as a result of the gain recognized on the Morion transaction. The Company’s tax basis in its Morion investment was less than its book basis resulting in greater taxable income than that recorded for financial reporting purposes.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balance sheet continues to reflect a strong working capital position of $59 million at January 31, 2008, which is comparable to working capital at April 30, 2007. Included in working capital at January 31, 2008 is $15.7 million of cash, cash equivalents and marketable securities which were offset by $5.5 million in borrowings under its bank line of credit. The Company’s current ratio at January 31, 2008 is 5.9 to 1.</w:t>
      </w:r>
    </w:p>
    <w:p>
      <w:pPr>
        <w:spacing w:after="0" w:line="2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nine months ended January 31, 2008, the Company used approximately $4.0 million in cash from operations compared to $830,000 used in operations in the same period of fiscal year 2007. The most significant uses of cash in the fiscal year 2008 periods was the growth in unbilled accounts receivable and the payment of trade accounts payable. For the fourth quarter of fiscal year 2008, the Company expects to generate positive cash flow from operating activities, particularly as billing milestones are achieved on certain of its large production contracts. Such cash flow may not be sufficient to generate positive operating cash flow for the full fiscal year.</w:t>
      </w:r>
    </w:p>
    <w:p>
      <w:pPr>
        <w:spacing w:after="0" w:line="24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provided by investing activities for the nine months ended January 31, 2008, was $9.7 million compared to $1.8 million for the same period of fiscal year 2007. During the fiscal year 2008 period, the Company received net proceeds of $5.6 million from the sale of a portion of its investment in Morion and an additional $5.5 million on the sale or redemption of other marketable securities, net of purchases. The principal source of cash in the fiscal year 2007 period was the sale or redemption of certain marketable securities, net of purchases, aggregating $6.8 million. During the nine months ended January 31, 2008 and 2007, the Company also acquired capital equipment for approximately $1.5 million and $1.7 million, respectively. In the 2007 period, the Company also made an investment in Elcom Technologies and provided Elcom with a long-term note for an aggregate cash investment of $2.3 million. The Company may continue to acquire or sell marketable securities as dictated by its investment strategies as well as by the cash requirements for its development activities. Capital equipment purchases for all of fiscal year 2008 are expected to aggregate approximately $3.0 million, including approximately $1.2 million of equipment obtained under a long-term capital lease during the 2008 period.</w:t>
      </w:r>
    </w:p>
    <w:p>
      <w:pPr>
        <w:spacing w:after="0" w:line="23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Net cash used in financing activities for the nine months ended January 31, 2008, was $1.3 million compared to a use of cash of $1.6 million during the comparable fiscal year 2007 period. Included in both fiscal periods is payment of the Company’s semiannual dividend in the amount of approximately $1.7 million. During the nine months ended January 31, 2008, the Company borrowed $3.5 million and repaid $3.0 million under its line of credit. In the same period of the prior fiscal year, the Company borrowed $1.6 million under the line of credit and repaid such borrowing early in the second quarter of fiscal year 2007. The Company received an aggregate of $157,000 in fiscal year 2008 and $158,000 in fiscal year 2007 from the exercise of stock options.</w:t>
      </w:r>
    </w:p>
    <w:p>
      <w:pPr>
        <w:spacing w:after="0" w:line="21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nine months ended January 31, 2008, the Company acquired 22,312 shares of its stock under this authorization at an aggregate cost of $233,000.</w:t>
      </w:r>
    </w:p>
    <w:p>
      <w:pPr>
        <w:spacing w:after="0" w:line="20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wireless networks and wireline communication systems which management believes will result in future growth and continued profitability. During fiscal year 2008, the Company intends to make a substantial investment of capital and technical resources to develop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at least 10% of revenues to achieve its development goals. Internally generated cash is expected to be adequate to fund these development efforts.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January 31, 2008, the Company’s backlog amounted to approximately $40 million compared to $44 million at April 30, 2007. Of this backlog, approximately 80% is realizable in the next twelve months. Included in the backlog at January 31, 2008 is approximately $8 million under cost plus contracts which the Company believes represent firm commitments from its customers for which the Company has not received full funding to date.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As of January 31, 2008</w:t>
            </w: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Less than</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1 Year</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1 to 3 Years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3 to 5 Years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42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6,736</w:t>
            </w:r>
          </w:p>
        </w:tc>
        <w:tc>
          <w:tcPr>
            <w:tcW w:w="2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2,220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2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8,742*</w:t>
            </w:r>
          </w:p>
        </w:tc>
        <w:tc>
          <w:tcPr>
            <w:tcW w:w="1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331</w:t>
            </w:r>
          </w:p>
        </w:tc>
        <w:tc>
          <w:tcPr>
            <w:tcW w:w="80" w:type="dxa"/>
            <w:vAlign w:val="bottom"/>
            <w:tcBorders>
              <w:bottom w:val="single" w:sz="8" w:color="CCFFCC"/>
            </w:tcBorders>
            <w:shd w:val="clear" w:color="auto" w:fill="CCFFCC"/>
          </w:tcPr>
          <w:p>
            <w:pPr>
              <w:spacing w:after="0"/>
              <w:rPr>
                <w:sz w:val="19"/>
                <w:szCs w:val="19"/>
                <w:color w:val="auto"/>
              </w:rPr>
            </w:pPr>
          </w:p>
        </w:tc>
        <w:tc>
          <w:tcPr>
            <w:tcW w:w="11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180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16,653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*Deferred Compensation liability reflects payments due to current retirees receiving benefits. The amount of $7,863 in the more than 5 years column includes benefits due to participants in the plan who are not yet receiving benefits although some participants may opt to retire and begin receiving benefits within the next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227330</wp:posOffset>
            </wp:positionV>
            <wp:extent cx="11061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is exposed to market risk related to changes in interest rates and market values of securities. The Company's investments in fixed income and equity securities were approximately $8.6 million and $395,000, respectively, at January 31, 2008.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January 31, 2008, a 10% change in market interest rates would not have a material effect on the fair value of the Company's fixed income securities or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January 31, 2008, the amount related to foreign currency exchange rates is a $4,929,000 unrealized gain.</w:t>
      </w:r>
    </w:p>
    <w:p>
      <w:pPr>
        <w:spacing w:after="0" w:line="24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xml:space="preserve"> .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 Exchange Act ”)) as of the end of the period covered by this report. Based on such evaluation, the Company’s chief executive officer and chief financial officer have concluded that, as of the end of such period, the Company’s disclosure controls and procedures are effective (i) to ensure that information required to be disclosed by the Company in the reports that it files or submits under the Exchange Act is recorded, processed, summarized and reported, within the time periods specified in the SEC’s rules and forms and (ii) to ensure that information required to be disclosed by the Company in the reports that it submits under the Exchange Act is accumulated and communicated to its management, including the Company’s principal executive and principal financial officers, or persons performing similar functions, as appropriate, to allow timely decisions regarding required disclosure.</w:t>
      </w:r>
    </w:p>
    <w:p>
      <w:pPr>
        <w:spacing w:after="0" w:line="2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Internal Control Over Financial Reporting</w:t>
      </w:r>
      <w:r>
        <w:rPr>
          <w:rFonts w:ascii="Arial" w:cs="Arial" w:eastAsia="Arial" w:hAnsi="Arial"/>
          <w:sz w:val="18"/>
          <w:szCs w:val="18"/>
          <w:color w:val="auto"/>
        </w:rPr>
        <w:t xml:space="preserve"> . 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ITEMS 1, 1A, 2, 3, 4 and 5 are omitted because they are not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6 - Exhibits</w:t>
      </w:r>
    </w:p>
    <w:p>
      <w:pPr>
        <w:spacing w:after="0" w:line="279" w:lineRule="exact"/>
        <w:rPr>
          <w:sz w:val="20"/>
          <w:szCs w:val="20"/>
          <w:color w:val="auto"/>
        </w:rPr>
      </w:pPr>
    </w:p>
    <w:p>
      <w:pPr>
        <w:ind w:left="960"/>
        <w:spacing w:after="0"/>
        <w:tabs>
          <w:tab w:leader="none" w:pos="1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w:t>
      </w:r>
    </w:p>
    <w:p>
      <w:pPr>
        <w:spacing w:after="0" w:line="306" w:lineRule="exact"/>
        <w:rPr>
          <w:sz w:val="20"/>
          <w:szCs w:val="20"/>
          <w:color w:val="auto"/>
        </w:rPr>
      </w:pPr>
    </w:p>
    <w:p>
      <w:pPr>
        <w:ind w:left="960"/>
        <w:spacing w:after="0"/>
        <w:tabs>
          <w:tab w:leader="none" w:pos="1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w:t>
      </w:r>
    </w:p>
    <w:p>
      <w:pPr>
        <w:spacing w:after="0" w:line="306" w:lineRule="exact"/>
        <w:rPr>
          <w:sz w:val="20"/>
          <w:szCs w:val="20"/>
          <w:color w:val="auto"/>
        </w:rPr>
      </w:pPr>
    </w:p>
    <w:p>
      <w:pPr>
        <w:ind w:left="1660" w:right="340" w:hanging="701"/>
        <w:spacing w:after="0" w:line="277" w:lineRule="auto"/>
        <w:tabs>
          <w:tab w:leader="none" w:pos="1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18 U.S.C. Section 1350 Adopted Pursuant to Section 906 of the Sarbanes-Oxley Act of 2002.</w:t>
      </w:r>
    </w:p>
    <w:p>
      <w:pPr>
        <w:spacing w:after="0" w:line="224" w:lineRule="exact"/>
        <w:rPr>
          <w:sz w:val="20"/>
          <w:szCs w:val="20"/>
          <w:color w:val="auto"/>
        </w:rPr>
      </w:pPr>
    </w:p>
    <w:p>
      <w:pPr>
        <w:ind w:left="1660" w:right="400" w:hanging="701"/>
        <w:spacing w:after="0" w:line="277" w:lineRule="auto"/>
        <w:tabs>
          <w:tab w:leader="none" w:pos="1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the Chief Financial Officer Pursuant to 18 U.S.C. Section 1350 Adopted Pursuant to Section 906 of the Sarbanes-Oxley Act of 2002.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jc w:val="center"/>
        <w:ind w:right="-15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jc w:val="right"/>
        <w:ind w:right="2920"/>
        <w:spacing w:after="0"/>
        <w:rPr>
          <w:sz w:val="20"/>
          <w:szCs w:val="20"/>
          <w:color w:val="auto"/>
        </w:rPr>
      </w:pPr>
      <w:r>
        <w:rPr>
          <w:rFonts w:ascii="Arial" w:cs="Arial" w:eastAsia="Arial" w:hAnsi="Arial"/>
          <w:sz w:val="18"/>
          <w:szCs w:val="18"/>
          <w:color w:val="auto"/>
        </w:rPr>
        <w:t>/s/ Alan Miller</w:t>
      </w:r>
    </w:p>
    <w:p>
      <w:pPr>
        <w:spacing w:after="0" w:line="23" w:lineRule="exact"/>
        <w:rPr>
          <w:sz w:val="20"/>
          <w:szCs w:val="20"/>
          <w:color w:val="auto"/>
        </w:rPr>
      </w:pPr>
    </w:p>
    <w:p>
      <w:pPr>
        <w:jc w:val="right"/>
        <w:ind w:right="2980"/>
        <w:spacing w:after="0"/>
        <w:rPr>
          <w:sz w:val="20"/>
          <w:szCs w:val="20"/>
          <w:color w:val="auto"/>
        </w:rPr>
      </w:pPr>
      <w:r>
        <w:rPr>
          <w:rFonts w:ascii="Arial" w:cs="Arial" w:eastAsia="Arial" w:hAnsi="Arial"/>
          <w:sz w:val="18"/>
          <w:szCs w:val="18"/>
          <w:color w:val="auto"/>
        </w:rPr>
        <w:t>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-130810</wp:posOffset>
            </wp:positionV>
            <wp:extent cx="261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duly authorized officer</w:t>
      </w: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95" w:right="37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7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79"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800" w:hanging="4"/>
        <w:spacing w:after="0" w:line="342" w:lineRule="auto"/>
        <w:tabs>
          <w:tab w:leader="none" w:pos="915"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7" w:lineRule="exact"/>
        <w:rPr>
          <w:rFonts w:ascii="Arial" w:cs="Arial" w:eastAsia="Arial" w:hAnsi="Arial"/>
          <w:sz w:val="16"/>
          <w:szCs w:val="16"/>
          <w:color w:val="auto"/>
        </w:rPr>
      </w:pPr>
    </w:p>
    <w:p>
      <w:pPr>
        <w:jc w:val="both"/>
        <w:ind w:left="660" w:right="260" w:hanging="4"/>
        <w:spacing w:after="0" w:line="264" w:lineRule="auto"/>
        <w:tabs>
          <w:tab w:leader="none" w:pos="90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200" w:hanging="4"/>
        <w:spacing w:after="0" w:line="277" w:lineRule="auto"/>
        <w:tabs>
          <w:tab w:leader="none" w:pos="90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B. Bloch</w:t>
            </w:r>
          </w:p>
        </w:tc>
        <w:tc>
          <w:tcPr>
            <w:tcW w:w="7980" w:type="dxa"/>
            <w:vAlign w:val="bottom"/>
          </w:tcPr>
          <w:p>
            <w:pPr>
              <w:ind w:left="3420"/>
              <w:spacing w:after="0"/>
              <w:rPr>
                <w:sz w:val="20"/>
                <w:szCs w:val="20"/>
                <w:color w:val="auto"/>
              </w:rPr>
            </w:pPr>
            <w:r>
              <w:rPr>
                <w:rFonts w:ascii="Arial" w:cs="Arial" w:eastAsia="Arial" w:hAnsi="Arial"/>
                <w:sz w:val="18"/>
                <w:szCs w:val="18"/>
                <w:color w:val="auto"/>
              </w:rPr>
              <w:t>March 17, 2008</w:t>
            </w: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Martin B. Bloch</w:t>
            </w:r>
          </w:p>
        </w:tc>
        <w:tc>
          <w:tcPr>
            <w:tcW w:w="798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President &amp; CEO</w:t>
            </w:r>
          </w:p>
        </w:tc>
        <w:tc>
          <w:tcPr>
            <w:tcW w:w="7980" w:type="dxa"/>
            <w:vAlign w:val="bottom"/>
          </w:tcPr>
          <w:p>
            <w:pPr>
              <w:spacing w:after="0"/>
              <w:rPr>
                <w:sz w:val="20"/>
                <w:szCs w:val="20"/>
                <w:color w:val="auto"/>
              </w:rPr>
            </w:pPr>
          </w:p>
        </w:tc>
      </w:tr>
      <w:tr>
        <w:trPr>
          <w:trHeight w:val="902"/>
        </w:trPr>
        <w:tc>
          <w:tcPr>
            <w:tcW w:w="344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7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79"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800" w:hanging="4"/>
        <w:spacing w:after="0" w:line="342" w:lineRule="auto"/>
        <w:tabs>
          <w:tab w:leader="none" w:pos="915"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7" w:lineRule="exact"/>
        <w:rPr>
          <w:rFonts w:ascii="Arial" w:cs="Arial" w:eastAsia="Arial" w:hAnsi="Arial"/>
          <w:sz w:val="16"/>
          <w:szCs w:val="16"/>
          <w:color w:val="auto"/>
        </w:rPr>
      </w:pPr>
    </w:p>
    <w:p>
      <w:pPr>
        <w:jc w:val="both"/>
        <w:ind w:left="660" w:right="260" w:hanging="4"/>
        <w:spacing w:after="0" w:line="264" w:lineRule="auto"/>
        <w:tabs>
          <w:tab w:leader="none" w:pos="90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200" w:hanging="4"/>
        <w:spacing w:after="0" w:line="277" w:lineRule="auto"/>
        <w:tabs>
          <w:tab w:leader="none" w:pos="90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/s/Alan L. Miller</w:t>
            </w:r>
          </w:p>
        </w:tc>
        <w:tc>
          <w:tcPr>
            <w:tcW w:w="7980" w:type="dxa"/>
            <w:vAlign w:val="bottom"/>
          </w:tcPr>
          <w:p>
            <w:pPr>
              <w:ind w:left="3420"/>
              <w:spacing w:after="0"/>
              <w:rPr>
                <w:sz w:val="20"/>
                <w:szCs w:val="20"/>
                <w:color w:val="auto"/>
              </w:rPr>
            </w:pPr>
            <w:r>
              <w:rPr>
                <w:rFonts w:ascii="Arial" w:cs="Arial" w:eastAsia="Arial" w:hAnsi="Arial"/>
                <w:sz w:val="18"/>
                <w:szCs w:val="18"/>
                <w:color w:val="auto"/>
              </w:rPr>
              <w:t>March 17, 2008</w:t>
            </w: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Alan L. Miller</w:t>
            </w:r>
          </w:p>
        </w:tc>
        <w:tc>
          <w:tcPr>
            <w:tcW w:w="798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Treasurer &amp; CFO</w:t>
            </w:r>
          </w:p>
        </w:tc>
        <w:tc>
          <w:tcPr>
            <w:tcW w:w="7980" w:type="dxa"/>
            <w:vAlign w:val="bottom"/>
          </w:tcPr>
          <w:p>
            <w:pPr>
              <w:spacing w:after="0"/>
              <w:rPr>
                <w:sz w:val="20"/>
                <w:szCs w:val="20"/>
                <w:color w:val="auto"/>
              </w:rPr>
            </w:pPr>
          </w:p>
        </w:tc>
      </w:tr>
      <w:tr>
        <w:trPr>
          <w:trHeight w:val="902"/>
        </w:trPr>
        <w:tc>
          <w:tcPr>
            <w:tcW w:w="344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January 31, 2008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220" w:lineRule="exact"/>
        <w:rPr>
          <w:sz w:val="20"/>
          <w:szCs w:val="20"/>
          <w:color w:val="auto"/>
        </w:rPr>
      </w:pPr>
    </w:p>
    <w:p>
      <w:pPr>
        <w:ind w:left="940" w:hanging="351"/>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33" w:lineRule="exact"/>
        <w:rPr>
          <w:rFonts w:ascii="Arial" w:cs="Arial" w:eastAsia="Arial" w:hAnsi="Arial"/>
          <w:sz w:val="18"/>
          <w:szCs w:val="18"/>
          <w:color w:val="auto"/>
        </w:rPr>
      </w:pPr>
    </w:p>
    <w:p>
      <w:pPr>
        <w:ind w:left="940" w:hanging="351"/>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/s/ Martin B. Bloch</w:t>
      </w:r>
      <w:r>
        <w:rPr>
          <w:sz w:val="20"/>
          <w:szCs w:val="20"/>
          <w:color w:val="auto"/>
        </w:rPr>
        <w:tab/>
      </w:r>
      <w:r>
        <w:rPr>
          <w:rFonts w:ascii="Arial" w:cs="Arial" w:eastAsia="Arial" w:hAnsi="Arial"/>
          <w:sz w:val="16"/>
          <w:szCs w:val="16"/>
          <w:color w:val="auto"/>
        </w:rPr>
        <w:t>March 17, 2008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30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2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January 31, 2008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35" w:lineRule="exact"/>
        <w:rPr>
          <w:sz w:val="20"/>
          <w:szCs w:val="20"/>
          <w:color w:val="auto"/>
        </w:rPr>
      </w:pPr>
    </w:p>
    <w:p>
      <w:pPr>
        <w:ind w:left="940" w:hanging="351"/>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33" w:lineRule="exact"/>
        <w:rPr>
          <w:rFonts w:ascii="Arial" w:cs="Arial" w:eastAsia="Arial" w:hAnsi="Arial"/>
          <w:sz w:val="18"/>
          <w:szCs w:val="18"/>
          <w:color w:val="auto"/>
        </w:rPr>
      </w:pPr>
    </w:p>
    <w:p>
      <w:pPr>
        <w:ind w:left="940" w:hanging="351"/>
        <w:spacing w:after="0"/>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/s/ Alan L. Miller</w:t>
      </w:r>
      <w:r>
        <w:rPr>
          <w:sz w:val="20"/>
          <w:szCs w:val="20"/>
          <w:color w:val="auto"/>
        </w:rPr>
        <w:tab/>
      </w:r>
      <w:r>
        <w:rPr>
          <w:rFonts w:ascii="Arial" w:cs="Arial" w:eastAsia="Arial" w:hAnsi="Arial"/>
          <w:sz w:val="16"/>
          <w:szCs w:val="16"/>
          <w:color w:val="auto"/>
        </w:rPr>
        <w:t>March 17, 2008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8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2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2019-12-11T12:39:34Z</dcterms:created>
  <dcterms:modified xsi:type="dcterms:W3CDTF">2019-12-11T12:39:34Z</dcterms:modified>
</cp:coreProperties>
</file>