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160" w:right="1999" w:hanging="625"/>
        <w:spacing w:after="0" w:line="235"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July 31, 2006</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160" w:right="1879" w:hanging="625"/>
        <w:spacing w:after="0" w:line="235" w:lineRule="auto"/>
        <w:tabs>
          <w:tab w:leader="none" w:pos="73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7" w:lineRule="exact"/>
        <w:rPr>
          <w:sz w:val="24"/>
          <w:szCs w:val="24"/>
          <w:color w:val="auto"/>
        </w:rPr>
      </w:pPr>
    </w:p>
    <w:p>
      <w:pPr>
        <w:ind w:left="320" w:right="220" w:hanging="315"/>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to be filed</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by</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Section</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13</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or 15 (d)</w:t>
            </w:r>
          </w:p>
        </w:tc>
        <w:tc>
          <w:tcPr>
            <w:tcW w:w="20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of the  Securities</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Exchange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Act of 1934</w:t>
            </w:r>
          </w:p>
        </w:tc>
      </w:tr>
      <w:tr>
        <w:trPr>
          <w:trHeight w:val="203"/>
        </w:trPr>
        <w:tc>
          <w:tcPr>
            <w:tcW w:w="4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during the preceding 12 months (or for</w:t>
            </w:r>
          </w:p>
        </w:tc>
        <w:tc>
          <w:tcPr>
            <w:tcW w:w="1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such shorter</w:t>
            </w: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period that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was  required</w:t>
            </w:r>
          </w:p>
        </w:tc>
        <w:tc>
          <w:tcPr>
            <w:tcW w:w="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 file such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reports),</w:t>
            </w:r>
          </w:p>
        </w:tc>
        <w:tc>
          <w:tcPr>
            <w:tcW w:w="20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and (2) has been</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subject to such filing</w:t>
            </w: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requirements for the past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days. Yes</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No</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9"/>
              </w:rPr>
              <w:t>Indicate by check mark whether the registrant is a large</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accelerated  filer, an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accelerated</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filer, or a</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non-accelerated</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filer. See definition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"accelerated</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filer and large</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accelerated</w:t>
            </w:r>
          </w:p>
        </w:tc>
        <w:tc>
          <w:tcPr>
            <w:tcW w:w="41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filer" in Rule 12b-2 of the Exchange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Act.  (Check</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one):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rPr>
              <w:t>Large accelerated filer</w:t>
            </w:r>
          </w:p>
        </w:tc>
        <w:tc>
          <w:tcPr>
            <w:tcW w:w="280" w:type="dxa"/>
            <w:vAlign w:val="bottom"/>
          </w:tcPr>
          <w:p>
            <w:pPr>
              <w:spacing w:after="0"/>
              <w:rPr>
                <w:sz w:val="24"/>
                <w:szCs w:val="24"/>
                <w:color w:val="auto"/>
              </w:rPr>
            </w:pPr>
          </w:p>
        </w:tc>
        <w:tc>
          <w:tcPr>
            <w:tcW w:w="24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Accelerated filer</w:t>
            </w:r>
          </w:p>
        </w:tc>
        <w:tc>
          <w:tcPr>
            <w:tcW w:w="29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Non-accelerated filer X</w:t>
            </w:r>
          </w:p>
        </w:tc>
      </w:tr>
      <w:tr>
        <w:trPr>
          <w:trHeight w:val="203"/>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w:t>
      </w:r>
    </w:p>
    <w:p>
      <w:pPr>
        <w:sectPr>
          <w:pgSz w:w="11900" w:h="16838" w:orient="portrait"/>
          <w:cols w:equalWidth="0" w:num="1">
            <w:col w:w="10219"/>
          </w:cols>
          <w:pgMar w:left="240" w:top="244" w:right="1440" w:bottom="0" w:gutter="0" w:footer="0" w:header="0"/>
          <w:type w:val="continuous"/>
        </w:sectPr>
      </w:pPr>
    </w:p>
    <w:p>
      <w:pPr>
        <w:spacing w:after="0" w:line="6"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No X</w:t>
      </w:r>
    </w:p>
    <w:p>
      <w:pPr>
        <w:spacing w:after="0" w:line="4"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020" w:space="0"/>
            <w:col w:w="6199"/>
          </w:cols>
          <w:pgMar w:left="240" w:top="244"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September 8, 2006 - 8,584,625</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23</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FREQUENCY</w:t>
            </w:r>
          </w:p>
        </w:tc>
        <w:tc>
          <w:tcPr>
            <w:tcW w:w="4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ELECTRONICS, INC. and SUBSIDIARIES</w:t>
            </w:r>
          </w:p>
        </w:tc>
        <w:tc>
          <w:tcPr>
            <w:tcW w:w="13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INDEX</w:t>
            </w:r>
          </w:p>
        </w:tc>
        <w:tc>
          <w:tcPr>
            <w:tcW w:w="1320" w:type="dxa"/>
            <w:vAlign w:val="bottom"/>
          </w:tcPr>
          <w:p>
            <w:pPr>
              <w:spacing w:after="0"/>
              <w:rPr>
                <w:sz w:val="24"/>
                <w:szCs w:val="24"/>
                <w:color w:val="auto"/>
              </w:rPr>
            </w:pPr>
          </w:p>
        </w:tc>
      </w:tr>
      <w:tr>
        <w:trPr>
          <w:trHeight w:val="810"/>
        </w:trPr>
        <w:tc>
          <w:tcPr>
            <w:tcW w:w="386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w w:val="97"/>
              </w:rPr>
              <w:t>Part I.  Financial Information:</w:t>
            </w: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386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Item 1 - Financial Statements:</w:t>
            </w: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4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Balance Sheets -</w:t>
            </w:r>
          </w:p>
        </w:tc>
        <w:tc>
          <w:tcPr>
            <w:tcW w:w="1320" w:type="dxa"/>
            <w:vAlign w:val="bottom"/>
          </w:tcPr>
          <w:p>
            <w:pPr>
              <w:spacing w:after="0"/>
              <w:rPr>
                <w:sz w:val="24"/>
                <w:szCs w:val="24"/>
                <w:color w:val="auto"/>
              </w:rPr>
            </w:pPr>
          </w:p>
        </w:tc>
      </w:tr>
      <w:tr>
        <w:trPr>
          <w:trHeight w:val="203"/>
        </w:trPr>
        <w:tc>
          <w:tcPr>
            <w:tcW w:w="3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July 31, 2006 and April 30,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2006</w:t>
            </w:r>
          </w:p>
        </w:tc>
        <w:tc>
          <w:tcPr>
            <w:tcW w:w="2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Statements of</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Operations</w:t>
            </w:r>
          </w:p>
        </w:tc>
        <w:tc>
          <w:tcPr>
            <w:tcW w:w="132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July 31,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2006</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2005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Statements of</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Cash Flows</w:t>
            </w:r>
          </w:p>
        </w:tc>
        <w:tc>
          <w:tcPr>
            <w:tcW w:w="132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July 31,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2006</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2005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38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Notes to Condensed Consolidated</w:t>
            </w:r>
          </w:p>
        </w:tc>
        <w:tc>
          <w:tcPr>
            <w:tcW w:w="3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Financial Statements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Item 2 - Management's Discussion and Analysis of</w:t>
            </w:r>
          </w:p>
        </w:tc>
        <w:tc>
          <w:tcPr>
            <w:tcW w:w="620" w:type="dxa"/>
            <w:vAlign w:val="bottom"/>
          </w:tcPr>
          <w:p>
            <w:pPr>
              <w:spacing w:after="0"/>
              <w:rPr>
                <w:sz w:val="17"/>
                <w:szCs w:val="17"/>
                <w:color w:val="auto"/>
              </w:rPr>
            </w:pPr>
          </w:p>
        </w:tc>
      </w:tr>
      <w:tr>
        <w:trPr>
          <w:trHeight w:val="203"/>
        </w:trPr>
        <w:tc>
          <w:tcPr>
            <w:tcW w:w="7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Item 4- Controls and Procedures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608"/>
        </w:trPr>
        <w:tc>
          <w:tcPr>
            <w:tcW w:w="760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620" w:type="dxa"/>
            <w:vAlign w:val="bottom"/>
          </w:tcPr>
          <w:p>
            <w:pPr>
              <w:spacing w:after="0"/>
              <w:rPr>
                <w:sz w:val="24"/>
                <w:szCs w:val="24"/>
                <w:color w:val="auto"/>
              </w:rPr>
            </w:pP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w w:val="98"/>
              </w:rPr>
              <w:t>Items 1, 1A, 2, 3, 4 and 5 are omitted because they are not applicable</w:t>
            </w:r>
          </w:p>
        </w:tc>
        <w:tc>
          <w:tcPr>
            <w:tcW w:w="620" w:type="dxa"/>
            <w:vAlign w:val="bottom"/>
          </w:tcPr>
          <w:p>
            <w:pPr>
              <w:spacing w:after="0"/>
              <w:rPr>
                <w:sz w:val="24"/>
                <w:szCs w:val="24"/>
                <w:color w:val="auto"/>
              </w:rPr>
            </w:pP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Item 6 - Exhibits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Signatures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7600" w:type="dxa"/>
            <w:vAlign w:val="bottom"/>
          </w:tcPr>
          <w:p>
            <w:pPr>
              <w:ind w:left="120"/>
              <w:spacing w:after="0"/>
              <w:rPr>
                <w:sz w:val="20"/>
                <w:szCs w:val="20"/>
                <w:color w:val="auto"/>
              </w:rPr>
            </w:pPr>
            <w:r>
              <w:rPr>
                <w:rFonts w:ascii="Courier New" w:cs="Courier New" w:eastAsia="Courier New" w:hAnsi="Courier New"/>
                <w:sz w:val="18"/>
                <w:szCs w:val="18"/>
                <w:color w:val="auto"/>
              </w:rPr>
              <w:t>Exhibits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20-23</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5480" w:type="dxa"/>
            <w:vAlign w:val="bottom"/>
            <w:gridSpan w:val="3"/>
          </w:tcPr>
          <w:p>
            <w:pPr>
              <w:jc w:val="center"/>
              <w:ind w:right="752"/>
              <w:spacing w:after="0"/>
              <w:rPr>
                <w:sz w:val="20"/>
                <w:szCs w:val="20"/>
                <w:color w:val="auto"/>
              </w:rPr>
            </w:pPr>
            <w:r>
              <w:rPr>
                <w:rFonts w:ascii="Courier New" w:cs="Courier New" w:eastAsia="Courier New" w:hAnsi="Courier New"/>
                <w:sz w:val="18"/>
                <w:szCs w:val="18"/>
                <w:color w:val="auto"/>
                <w:w w:val="97"/>
              </w:rPr>
              <w:t>FREQUENCY ELECTRONICS, INC. and SUBSIDIARIES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July 31,</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April 30,</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c>
          <w:tcPr>
            <w:tcW w:w="2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6,256</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2,639</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18,111</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21,836</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$276 at</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July 31 and April 30, 2006</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17,050</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15,868</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24,885</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22,971</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2,086</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1,345</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69,733</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66,763</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6,682</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6,663</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2,840</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2,842</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surrender value of life insurance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6,438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3,811</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3,642</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$ 90,002</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credit obligations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1,609</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2,912</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2,202</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3,804</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3,929</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Dividend payable</w:t>
            </w: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8,567</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6,988</w:t>
            </w: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42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8,250</w:t>
            </w:r>
          </w:p>
        </w:tc>
        <w:tc>
          <w:tcPr>
            <w:tcW w:w="2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8,122</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910</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17,727</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16,108</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$1.00 par value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 par value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9,164</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45,906</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45,688</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16,424</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15,527</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71,494</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70,379</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reacquired and held in treasury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 cost, 579,315 shares at July 31, 2006</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592,194 shares at April 30, 2006</w:t>
            </w:r>
          </w:p>
        </w:tc>
        <w:tc>
          <w:tcPr>
            <w:tcW w:w="4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(2,397)</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(2,437)</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3,178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2,691</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72,275</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70,633</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$ 90,002</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1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0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2006</w:t>
            </w:r>
          </w:p>
        </w:tc>
        <w:tc>
          <w:tcPr>
            <w:tcW w:w="13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2005</w:t>
            </w:r>
          </w:p>
        </w:tc>
      </w:tr>
      <w:tr>
        <w:trPr>
          <w:trHeight w:val="203"/>
        </w:trPr>
        <w:tc>
          <w:tcPr>
            <w:tcW w:w="5020" w:type="dxa"/>
            <w:vAlign w:val="bottom"/>
          </w:tcPr>
          <w:p>
            <w:pPr>
              <w:spacing w:after="0"/>
              <w:rPr>
                <w:sz w:val="17"/>
                <w:szCs w:val="17"/>
                <w:color w:val="auto"/>
              </w:rPr>
            </w:pPr>
          </w:p>
        </w:tc>
        <w:tc>
          <w:tcPr>
            <w:tcW w:w="20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020" w:type="dxa"/>
            <w:vAlign w:val="bottom"/>
          </w:tcPr>
          <w:p>
            <w:pPr>
              <w:spacing w:after="0"/>
              <w:rPr>
                <w:sz w:val="17"/>
                <w:szCs w:val="17"/>
                <w:color w:val="auto"/>
              </w:rPr>
            </w:pPr>
          </w:p>
        </w:tc>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except</w:t>
            </w:r>
          </w:p>
        </w:tc>
      </w:tr>
      <w:tr>
        <w:trPr>
          <w:trHeight w:val="203"/>
        </w:trPr>
        <w:tc>
          <w:tcPr>
            <w:tcW w:w="5020" w:type="dxa"/>
            <w:vAlign w:val="bottom"/>
          </w:tcPr>
          <w:p>
            <w:pPr>
              <w:spacing w:after="0"/>
              <w:rPr>
                <w:sz w:val="17"/>
                <w:szCs w:val="17"/>
                <w:color w:val="auto"/>
              </w:rPr>
            </w:pPr>
          </w:p>
        </w:tc>
        <w:tc>
          <w:tcPr>
            <w:tcW w:w="3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per share data)</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$14,314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$11,057</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9,461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6,960</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4,853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2,782</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2,544</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1,442</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1,325</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479</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898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$ 1,142</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$ 0.10</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$ 0.13</w:t>
            </w:r>
          </w:p>
        </w:tc>
      </w:tr>
      <w:tr>
        <w:trPr>
          <w:trHeight w:val="203"/>
        </w:trPr>
        <w:tc>
          <w:tcPr>
            <w:tcW w:w="5020" w:type="dxa"/>
            <w:vAlign w:val="bottom"/>
          </w:tcPr>
          <w:p>
            <w:pPr>
              <w:spacing w:after="0"/>
              <w:rPr>
                <w:sz w:val="17"/>
                <w:szCs w:val="17"/>
                <w:color w:val="auto"/>
              </w:rPr>
            </w:pP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$ 0.10</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$ 0.13</w:t>
            </w:r>
          </w:p>
        </w:tc>
      </w:tr>
      <w:tr>
        <w:trPr>
          <w:trHeight w:val="203"/>
        </w:trPr>
        <w:tc>
          <w:tcPr>
            <w:tcW w:w="5020" w:type="dxa"/>
            <w:vAlign w:val="bottom"/>
          </w:tcPr>
          <w:p>
            <w:pPr>
              <w:spacing w:after="0"/>
              <w:rPr>
                <w:sz w:val="17"/>
                <w:szCs w:val="17"/>
                <w:color w:val="auto"/>
              </w:rPr>
            </w:pP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8,576,705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8,520,020</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8,719,934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8,657,340</w:t>
            </w:r>
          </w:p>
        </w:tc>
      </w:tr>
      <w:tr>
        <w:trPr>
          <w:trHeight w:val="203"/>
        </w:trPr>
        <w:tc>
          <w:tcPr>
            <w:tcW w:w="5020" w:type="dxa"/>
            <w:vAlign w:val="bottom"/>
          </w:tcPr>
          <w:p>
            <w:pPr>
              <w:spacing w:after="0"/>
              <w:rPr>
                <w:sz w:val="17"/>
                <w:szCs w:val="17"/>
                <w:color w:val="auto"/>
              </w:rPr>
            </w:pPr>
          </w:p>
        </w:tc>
        <w:tc>
          <w:tcPr>
            <w:tcW w:w="2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2006</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898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$ 1,142</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(2,518)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(5,315)</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(1,026)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(4,734)</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3,854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6,256</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(2,879)</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investing activities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2,857</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stock option exercises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885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3,339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(2,729)</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Net increase (decrease) in cash</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3,617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(3,012)</w:t>
            </w: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Cash at beginning of period</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2,639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6,701</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Cash at end of period</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$ 6,256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$ 3,689</w:t>
            </w:r>
          </w:p>
        </w:tc>
      </w:tr>
      <w:tr>
        <w:trPr>
          <w:trHeight w:val="203"/>
        </w:trPr>
        <w:tc>
          <w:tcPr>
            <w:tcW w:w="57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2006 and the results of its operations and cash flows for the three months ended July 31, 2006 and 2005. The April 30, 2006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2006 Annual Report to Stockholders. The results of operations for such interim periods are not necessarily indicative of the operating results for the full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ind w:left="4640"/>
        <w:spacing w:after="0"/>
        <w:rPr>
          <w:sz w:val="20"/>
          <w:szCs w:val="20"/>
          <w:color w:val="auto"/>
        </w:rPr>
      </w:pPr>
      <w:r>
        <w:rPr>
          <w:rFonts w:ascii="Courier New" w:cs="Courier New" w:eastAsia="Courier New" w:hAnsi="Courier New"/>
          <w:sz w:val="18"/>
          <w:szCs w:val="18"/>
          <w:color w:val="auto"/>
        </w:rPr>
        <w:t>Three months ended July 31,</w:t>
      </w:r>
    </w:p>
    <w:p>
      <w:pPr>
        <w:ind w:left="4860"/>
        <w:spacing w:after="0" w:line="238" w:lineRule="auto"/>
        <w:tabs>
          <w:tab w:leader="none" w:pos="662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p>
    <w:p>
      <w:pPr>
        <w:ind w:left="486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740"/>
        <w:spacing w:after="0" w:line="237" w:lineRule="auto"/>
        <w:rPr>
          <w:sz w:val="20"/>
          <w:szCs w:val="20"/>
          <w:color w:val="auto"/>
        </w:rPr>
      </w:pPr>
      <w:r>
        <w:rPr>
          <w:rFonts w:ascii="Courier New" w:cs="Courier New" w:eastAsia="Courier New" w:hAnsi="Courier New"/>
          <w:sz w:val="18"/>
          <w:szCs w:val="18"/>
          <w:color w:val="auto"/>
        </w:rPr>
        <w:t>Basic EPS Shares outstanding</w:t>
      </w:r>
    </w:p>
    <w:p>
      <w:pPr>
        <w:sectPr>
          <w:pgSz w:w="11900" w:h="16838" w:orient="portrait"/>
          <w:cols w:equalWidth="0" w:num="1">
            <w:col w:w="10219"/>
          </w:cols>
          <w:pgMar w:left="240" w:top="717" w:right="1440" w:bottom="1440" w:gutter="0" w:footer="0" w:header="0"/>
        </w:sectPr>
      </w:pPr>
    </w:p>
    <w:p>
      <w:pPr>
        <w:ind w:left="960"/>
        <w:spacing w:after="0" w:line="238" w:lineRule="auto"/>
        <w:rPr>
          <w:sz w:val="20"/>
          <w:szCs w:val="20"/>
          <w:color w:val="auto"/>
        </w:rPr>
      </w:pPr>
      <w:r>
        <w:rPr>
          <w:rFonts w:ascii="Courier New" w:cs="Courier New" w:eastAsia="Courier New" w:hAnsi="Courier New"/>
          <w:sz w:val="18"/>
          <w:szCs w:val="18"/>
          <w:color w:val="auto"/>
        </w:rPr>
        <w:t>(weighted average)</w:t>
      </w:r>
    </w:p>
    <w:p>
      <w:pPr>
        <w:ind w:left="740"/>
        <w:spacing w:after="0"/>
        <w:rPr>
          <w:sz w:val="20"/>
          <w:szCs w:val="20"/>
          <w:color w:val="auto"/>
        </w:rPr>
      </w:pPr>
      <w:r>
        <w:rPr>
          <w:rFonts w:ascii="Courier New" w:cs="Courier New" w:eastAsia="Courier New" w:hAnsi="Courier New"/>
          <w:sz w:val="18"/>
          <w:szCs w:val="18"/>
          <w:color w:val="auto"/>
        </w:rPr>
        <w:t>Effect of Dilutive Securities</w:t>
      </w: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Diluted EPS Shares outstanding</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Courier New" w:cs="Courier New" w:eastAsia="Courier New" w:hAnsi="Courier New"/>
          <w:sz w:val="16"/>
          <w:szCs w:val="16"/>
          <w:color w:val="auto"/>
        </w:rPr>
        <w:t>8,576,705</w:t>
      </w:r>
    </w:p>
    <w:p>
      <w:pPr>
        <w:spacing w:after="0" w:line="16"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143,229</w:t>
      </w:r>
    </w:p>
    <w:p>
      <w:pPr>
        <w:spacing w:after="0" w:line="4"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8,719,934</w:t>
      </w:r>
    </w:p>
    <w:p>
      <w:pPr>
        <w:spacing w:after="0" w:line="21"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2939"/>
        <w:spacing w:after="0"/>
        <w:rPr>
          <w:sz w:val="20"/>
          <w:szCs w:val="20"/>
          <w:color w:val="auto"/>
        </w:rPr>
      </w:pPr>
      <w:r>
        <w:rPr>
          <w:rFonts w:ascii="Courier New" w:cs="Courier New" w:eastAsia="Courier New" w:hAnsi="Courier New"/>
          <w:sz w:val="16"/>
          <w:szCs w:val="16"/>
          <w:color w:val="auto"/>
        </w:rPr>
        <w:t>8,520,020</w:t>
      </w:r>
    </w:p>
    <w:p>
      <w:pPr>
        <w:spacing w:after="0" w:line="16"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137,320</w:t>
      </w:r>
    </w:p>
    <w:p>
      <w:pPr>
        <w:spacing w:after="0" w:line="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8,657,340</w:t>
      </w:r>
    </w:p>
    <w:p>
      <w:pPr>
        <w:spacing w:after="0" w:line="21"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900" w:space="640"/>
            <w:col w:w="1060" w:space="720"/>
            <w:col w:w="3899"/>
          </w:cols>
          <w:pgMar w:left="240" w:top="717" w:right="1440" w:bottom="1440" w:gutter="0" w:footer="0" w:header="0"/>
          <w:type w:val="continuous"/>
        </w:sectPr>
      </w:pPr>
    </w:p>
    <w:p>
      <w:pPr>
        <w:spacing w:after="0" w:line="2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Outstanding Options excluded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31,</w:t>
      </w:r>
    </w:p>
    <w:p>
      <w:pPr>
        <w:spacing w:after="0" w:line="16" w:lineRule="exact"/>
        <w:rPr>
          <w:sz w:val="20"/>
          <w:szCs w:val="20"/>
          <w:color w:val="auto"/>
        </w:rPr>
      </w:pPr>
    </w:p>
    <w:p>
      <w:pPr>
        <w:ind w:left="220"/>
        <w:spacing w:after="0"/>
        <w:tabs>
          <w:tab w:leader="none" w:pos="198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p>
    <w:p>
      <w:pPr>
        <w:ind w:left="2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780" w:val="left"/>
        </w:tabs>
        <w:rPr>
          <w:sz w:val="20"/>
          <w:szCs w:val="20"/>
          <w:color w:val="auto"/>
        </w:rPr>
      </w:pPr>
      <w:r>
        <w:rPr>
          <w:rFonts w:ascii="Courier New" w:cs="Courier New" w:eastAsia="Courier New" w:hAnsi="Courier New"/>
          <w:sz w:val="18"/>
          <w:szCs w:val="18"/>
          <w:color w:val="auto"/>
        </w:rPr>
        <w:t>571,550</w:t>
      </w:r>
      <w:r>
        <w:rPr>
          <w:sz w:val="20"/>
          <w:szCs w:val="20"/>
          <w:color w:val="auto"/>
        </w:rPr>
        <w:tab/>
      </w:r>
      <w:r>
        <w:rPr>
          <w:rFonts w:ascii="Courier New" w:cs="Courier New" w:eastAsia="Courier New" w:hAnsi="Courier New"/>
          <w:sz w:val="18"/>
          <w:szCs w:val="18"/>
          <w:color w:val="auto"/>
        </w:rPr>
        <w:t>570,550</w:t>
      </w:r>
    </w:p>
    <w:p>
      <w:pPr>
        <w:spacing w:after="0" w:line="237" w:lineRule="auto"/>
        <w:tabs>
          <w:tab w:leader="none" w:pos="1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July 31, 2006 and April 30, 2006 include costs and estimated earnings in excess of billings on uncompleted contracts accounted for on the percentage of completion basis of approximately $2,367,000 and $4,857,000, respectively. Such amounts represent revenue recognized on long-term contracts that had not been billed at the balance sheet dates. Such amounts are billed pursuant to contract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Inventories, which are reported net of reserves of $4,122,000 and $3,923,000 at July 31, 2006 and April 30, 2006, respectively, consist of the following:</w:t>
      </w:r>
    </w:p>
    <w:p>
      <w:pPr>
        <w:spacing w:after="0" w:line="203" w:lineRule="exact"/>
        <w:rPr>
          <w:sz w:val="20"/>
          <w:szCs w:val="20"/>
          <w:color w:val="auto"/>
        </w:rPr>
      </w:pPr>
    </w:p>
    <w:p>
      <w:pPr>
        <w:jc w:val="center"/>
        <w:ind w:left="920"/>
        <w:spacing w:after="0"/>
        <w:tabs>
          <w:tab w:leader="none" w:pos="1020" w:val="left"/>
        </w:tabs>
        <w:rPr>
          <w:sz w:val="20"/>
          <w:szCs w:val="20"/>
          <w:color w:val="auto"/>
        </w:rPr>
      </w:pPr>
      <w:r>
        <w:rPr>
          <w:rFonts w:ascii="Courier New" w:cs="Courier New" w:eastAsia="Courier New" w:hAnsi="Courier New"/>
          <w:sz w:val="18"/>
          <w:szCs w:val="18"/>
          <w:color w:val="auto"/>
        </w:rPr>
        <w:t>July 31, 2006</w:t>
      </w:r>
      <w:r>
        <w:rPr>
          <w:sz w:val="20"/>
          <w:szCs w:val="20"/>
          <w:color w:val="auto"/>
        </w:rPr>
        <w:tab/>
      </w:r>
      <w:r>
        <w:rPr>
          <w:rFonts w:ascii="Courier New" w:cs="Courier New" w:eastAsia="Courier New" w:hAnsi="Courier New"/>
          <w:sz w:val="16"/>
          <w:szCs w:val="16"/>
          <w:color w:val="auto"/>
        </w:rPr>
        <w:t>April 30, 2006</w:t>
      </w:r>
    </w:p>
    <w:p>
      <w:pPr>
        <w:jc w:val="center"/>
        <w:ind w:left="1240"/>
        <w:spacing w:after="0" w:line="238" w:lineRule="auto"/>
        <w:tabs>
          <w:tab w:leader="none" w:pos="10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717" w:right="1440" w:bottom="1440" w:gutter="0" w:footer="0" w:header="0"/>
          <w:type w:val="continuous"/>
        </w:sectPr>
      </w:pPr>
    </w:p>
    <w:p>
      <w:pPr>
        <w:spacing w:after="0" w:line="3" w:lineRule="exact"/>
        <w:rPr>
          <w:sz w:val="20"/>
          <w:szCs w:val="20"/>
          <w:color w:val="auto"/>
        </w:rPr>
      </w:pPr>
    </w:p>
    <w:p>
      <w:pPr>
        <w:ind w:left="220" w:right="20"/>
        <w:spacing w:after="0" w:line="235" w:lineRule="auto"/>
        <w:rPr>
          <w:sz w:val="20"/>
          <w:szCs w:val="20"/>
          <w:color w:val="auto"/>
        </w:rPr>
      </w:pPr>
      <w:r>
        <w:rPr>
          <w:rFonts w:ascii="Courier New" w:cs="Courier New" w:eastAsia="Courier New" w:hAnsi="Courier New"/>
          <w:sz w:val="18"/>
          <w:szCs w:val="18"/>
          <w:color w:val="auto"/>
        </w:rPr>
        <w:t>Raw materials and Component parts Work in progress</w:t>
      </w:r>
    </w:p>
    <w:p>
      <w:pPr>
        <w:spacing w:after="0" w:line="20" w:lineRule="exact"/>
        <w:rPr>
          <w:sz w:val="20"/>
          <w:szCs w:val="20"/>
          <w:color w:val="auto"/>
        </w:rPr>
      </w:pPr>
      <w:r>
        <w:rPr>
          <w:sz w:val="20"/>
          <w:szCs w:val="20"/>
          <w:color w:val="auto"/>
        </w:rPr>
        <w:br w:type="column"/>
      </w:r>
    </w:p>
    <w:p>
      <w:pPr>
        <w:jc w:val="right"/>
        <w:ind w:right="1180"/>
        <w:spacing w:after="0"/>
        <w:rPr>
          <w:sz w:val="20"/>
          <w:szCs w:val="20"/>
          <w:color w:val="auto"/>
        </w:rPr>
      </w:pPr>
      <w:r>
        <w:rPr>
          <w:rFonts w:ascii="Courier New" w:cs="Courier New" w:eastAsia="Courier New" w:hAnsi="Courier New"/>
          <w:sz w:val="16"/>
          <w:szCs w:val="16"/>
          <w:color w:val="auto"/>
        </w:rPr>
        <w:t>$12,170</w:t>
      </w:r>
    </w:p>
    <w:p>
      <w:pPr>
        <w:spacing w:after="0" w:line="16"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8"/>
          <w:szCs w:val="18"/>
          <w:color w:val="auto"/>
        </w:rPr>
        <w:t>12,715</w:t>
      </w:r>
    </w:p>
    <w:p>
      <w:pPr>
        <w:spacing w:after="0" w:line="4"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6"/>
          <w:szCs w:val="16"/>
          <w:color w:val="auto"/>
        </w:rPr>
        <w:t>$24,885</w:t>
      </w:r>
    </w:p>
    <w:p>
      <w:pPr>
        <w:spacing w:after="0" w:line="21"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2419"/>
        <w:spacing w:after="0"/>
        <w:rPr>
          <w:sz w:val="20"/>
          <w:szCs w:val="20"/>
          <w:color w:val="auto"/>
        </w:rPr>
      </w:pPr>
      <w:r>
        <w:rPr>
          <w:rFonts w:ascii="Courier New" w:cs="Courier New" w:eastAsia="Courier New" w:hAnsi="Courier New"/>
          <w:sz w:val="16"/>
          <w:szCs w:val="16"/>
          <w:color w:val="auto"/>
        </w:rPr>
        <w:t>$11,172</w:t>
      </w:r>
    </w:p>
    <w:p>
      <w:pPr>
        <w:spacing w:after="0" w:line="1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11,799</w:t>
      </w:r>
    </w:p>
    <w:p>
      <w:pPr>
        <w:spacing w:after="0" w:line="4"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$22,971</w:t>
      </w:r>
    </w:p>
    <w:p>
      <w:pPr>
        <w:spacing w:after="0" w:line="2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3720" w:space="720"/>
            <w:col w:w="1900" w:space="720"/>
            <w:col w:w="3159"/>
          </w:cols>
          <w:pgMar w:left="240" w:top="717" w:right="1440" w:bottom="1440" w:gutter="0" w:footer="0" w:header="0"/>
          <w:type w:val="continuous"/>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July 31, 2006 total comprehensive income was $1,385,000 and for the three months ended July 31, 2005, total comprehensive loss was ($154,000).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EQUITY-BASED COMPENSATION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$115,000 was recognized during the three months ended July 31, 2006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July 31, 2006, unrecognized compensation cost for all the Company's stock-based compensation awards was approximately $1.7 million. The unrecognized compensation cost for stock-based compensation awards at July 31, 2006 is expected to be recognized over a weighted average period of 3.2 years.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addition, the Company applied the provisions of Staff Accounting Bulletin No. 107 ("SAB 107"), issued by the Securities and Exchange Commission in March 2005 in its adoption of FAS 123(R). SAB 107 requires stock-based compensation to be classified in the same expense line items as cash compensation. Accordingly, during the three months ended July 31, 2006, stock-based compensation expense was $53,000 in cost of sales and $62,000 in selling, general and administrative expense.</w:t>
      </w:r>
    </w:p>
    <w:p>
      <w:pPr>
        <w:spacing w:after="0" w:line="211"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Prior to the adoption of FAS 123(R), the Company presented all tax benefits resulting from tax deductions associated with the exercise of stock options by employees as cash flows from operating activities in the Consolidated Statements of Cash Flows. Under FAS 123(R) "excess tax benefits" are to be classified as cash flows from financing activities in the Consolidated Statement of Cash Flows. For this purpose, the excess tax benefits are tax benefits related to the difference between the total tax deduction associated with the exercise of stock options by employees and the amount of compensation cost recognized for those options. For the three months ended July 31, 2006, there were no excess tax benefits to be included within Other Financing Activities of the Cash Flows from Financing Activities pursuant to this requirement of FAS 123(R).</w:t>
      </w:r>
    </w:p>
    <w:p>
      <w:pPr>
        <w:sectPr>
          <w:pgSz w:w="11900" w:h="16838" w:orient="portrait"/>
          <w:cols w:equalWidth="0" w:num="1">
            <w:col w:w="10219"/>
          </w:cols>
          <w:pgMar w:left="240" w:top="717" w:right="1440" w:bottom="1440" w:gutter="0" w:footer="0" w:header="0"/>
        </w:sectPr>
      </w:pPr>
    </w:p>
    <w:bookmarkStart w:id="7" w:name="page8"/>
    <w:bookmarkEnd w:id="7"/>
    <w:p>
      <w:pPr>
        <w:ind w:left="640"/>
        <w:spacing w:after="0"/>
        <w:rPr>
          <w:sz w:val="20"/>
          <w:szCs w:val="20"/>
          <w:color w:val="auto"/>
        </w:rPr>
      </w:pPr>
      <w:r>
        <w:rPr>
          <w:rFonts w:ascii="Courier New" w:cs="Courier New" w:eastAsia="Courier New" w:hAnsi="Courier New"/>
          <w:sz w:val="18"/>
          <w:szCs w:val="18"/>
          <w:color w:val="auto"/>
        </w:rPr>
        <w:t>Effect of Adoption of FAS 123(R)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application of FAS 123(R) had the following effect on the reported amounts for the three months ended July 31, 2006, relative to amounts that would have been reported using the intrinsic value method under previous accounting (in thousands, except for per share amounts.)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Using Intrinsic</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FAS 123(R)</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As</w:t>
            </w:r>
          </w:p>
        </w:tc>
      </w:tr>
      <w:tr>
        <w:trPr>
          <w:trHeight w:val="203"/>
        </w:trPr>
        <w:tc>
          <w:tcPr>
            <w:tcW w:w="294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Value Method</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r>
      <w:tr>
        <w:trPr>
          <w:trHeight w:val="203"/>
        </w:trPr>
        <w:tc>
          <w:tcPr>
            <w:tcW w:w="294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806</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691</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Income before provision</w:t>
            </w: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1,353</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1,013</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(115)</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898</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$0.12</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($0.02)</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$0.10</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$0.12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bl>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weighted average fair value of each option has been estimated on the date of grant using the Black-Scholes options pricing model with the following weighted average assumptions used for grants in the three months ended July 31, 2006, and each of the years ended, April 30, 2006, and 2005: dividend yield of 1.4%, 1.4%, and 1.1%; expected volatility of 59%; risk free interest rate of</w:t>
      </w:r>
    </w:p>
    <w:p>
      <w:pPr>
        <w:spacing w:after="0" w:line="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5.0%, 4.1%, and 3.9%; and expected lives of six and one-half years, respectively.</w:t>
      </w:r>
    </w:p>
    <w:p>
      <w:pPr>
        <w:spacing w:after="0" w:line="20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Employee Stock Option Plans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July 31, 2006, eligible employees had been granted awards to purchase 167,500 shares of Company stock under SARs, all of which are outstanding and are not exercisable. As of July 31, 2006, eligible employees had been granted options to purchase 1,182,500 shares of Company stock under ISO plans of which approximately 392,000 options are outstanding and approximately 261,000 are exercisable. Through July 31, 2006, eligible employees have been granted options to acquire 1,090,000 shares of Company stock under NQSO plans. Of the NQSO options, approximately 737,000 are both outstanding and exercisable (see tables below).</w:t>
      </w:r>
    </w:p>
    <w:p>
      <w:pPr>
        <w:spacing w:after="0" w:line="395"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excess of the consideration received over the par value of the common stock or cost of treasury stock issued under both types of option plans has been recognized as an increase in additional paid-in capital prior to the adoption of FAS 123(R). No charges have been made to income with respect to the SARs grant in fiscal year 2007. Unrecognized compensation charges for nonvested awards relating to the SARs grant is approximately $1,032,000 which will be recognized during a weighted average period of 4 years. Unrecognized compensation charges for nonvested awards relating to the ISO plan is approximately $649,000 which will be recognized over a weighted average period of 2.1 years. The Company recorded compensation charges related to these plans totaled approximately $115,000, using the fair value method, for the quarter ended July 31, 2006.</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Although the Company continues to maintain a stock repurchase program, no stock repurchases will be necessary to process stock exercises during the fiscal year. Shares issued to individuals during stock exercises will be taken from available treasury stock.</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Transactions under these stock award plans, including the weighted average exercise prices of the options, are as follows:</w:t>
      </w:r>
    </w:p>
    <w:p>
      <w:pPr>
        <w:sectPr>
          <w:pgSz w:w="11900" w:h="16838" w:orient="portrait"/>
          <w:cols w:equalWidth="0" w:num="1">
            <w:col w:w="10219"/>
          </w:cols>
          <w:pgMar w:left="240" w:top="717" w:right="1440" w:bottom="0" w:gutter="0" w:footer="0" w:header="0"/>
        </w:sectPr>
      </w:pPr>
    </w:p>
    <w:bookmarkStart w:id="8" w:name="page9"/>
    <w:bookmarkEnd w:id="8"/>
    <w:p>
      <w:pPr>
        <w:spacing w:after="0" w:line="193" w:lineRule="auto"/>
        <w:framePr w:w="600" w:h="146" w:wrap="auto" w:vAnchor="page" w:hAnchor="page" w:x="6000" w:y="3586"/>
        <w:rPr>
          <w:rFonts w:ascii="Courier New" w:cs="Courier New" w:eastAsia="Courier New" w:hAnsi="Courier New"/>
          <w:sz w:val="16"/>
          <w:szCs w:val="16"/>
          <w:color w:val="auto"/>
        </w:rPr>
      </w:pPr>
      <w:r>
        <w:rPr>
          <w:rFonts w:ascii="Courier New" w:cs="Courier New" w:eastAsia="Courier New" w:hAnsi="Courier New"/>
          <w:sz w:val="16"/>
          <w:szCs w:val="16"/>
          <w:color w:val="auto"/>
        </w:rPr>
        <w:t>$6.54</w:t>
      </w:r>
    </w:p>
    <w:p>
      <w:pPr>
        <w:spacing w:after="0" w:line="193" w:lineRule="auto"/>
        <w:framePr w:w="600" w:h="146" w:wrap="auto" w:vAnchor="page" w:hAnchor="page" w:x="6000" w:y="3789"/>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700" w:h="146" w:wrap="auto" w:vAnchor="page" w:hAnchor="page" w:x="5800" w:y="75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193" w:lineRule="auto"/>
        <w:framePr w:w="700" w:h="146" w:wrap="auto" w:vAnchor="page" w:hAnchor="page" w:x="5800" w:y="95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040" w:h="146" w:wrap="auto" w:vAnchor="page" w:hAnchor="page" w:x="5680" w:y="1155"/>
        <w:rPr>
          <w:rFonts w:ascii="Courier New" w:cs="Courier New" w:eastAsia="Courier New" w:hAnsi="Courier New"/>
          <w:sz w:val="16"/>
          <w:szCs w:val="16"/>
          <w:color w:val="auto"/>
        </w:rPr>
      </w:pPr>
      <w:r>
        <w:rPr>
          <w:rFonts w:ascii="Courier New" w:cs="Courier New" w:eastAsia="Courier New" w:hAnsi="Courier New"/>
          <w:sz w:val="16"/>
          <w:szCs w:val="16"/>
          <w:color w:val="auto"/>
        </w:rPr>
        <w:t>1,133,387</w:t>
      </w:r>
    </w:p>
    <w:p>
      <w:pPr>
        <w:spacing w:after="0" w:line="193" w:lineRule="auto"/>
        <w:framePr w:w="820" w:h="146" w:wrap="auto" w:vAnchor="page" w:hAnchor="page" w:x="5900" w:y="1358"/>
        <w:rPr>
          <w:rFonts w:ascii="Courier New" w:cs="Courier New" w:eastAsia="Courier New" w:hAnsi="Courier New"/>
          <w:sz w:val="16"/>
          <w:szCs w:val="16"/>
          <w:color w:val="auto"/>
        </w:rPr>
      </w:pPr>
      <w:r>
        <w:rPr>
          <w:rFonts w:ascii="Courier New" w:cs="Courier New" w:eastAsia="Courier New" w:hAnsi="Courier New"/>
          <w:sz w:val="16"/>
          <w:szCs w:val="16"/>
          <w:color w:val="auto"/>
        </w:rPr>
        <w:t>167,500</w:t>
      </w:r>
    </w:p>
    <w:p>
      <w:pPr>
        <w:spacing w:after="0" w:line="193" w:lineRule="auto"/>
        <w:framePr w:w="820" w:h="146" w:wrap="auto" w:vAnchor="page" w:hAnchor="page" w:x="6000" w:y="1560"/>
        <w:rPr>
          <w:rFonts w:ascii="Courier New" w:cs="Courier New" w:eastAsia="Courier New" w:hAnsi="Courier New"/>
          <w:sz w:val="16"/>
          <w:szCs w:val="16"/>
          <w:color w:val="auto"/>
        </w:rPr>
      </w:pPr>
      <w:r>
        <w:rPr>
          <w:rFonts w:ascii="Courier New" w:cs="Courier New" w:eastAsia="Courier New" w:hAnsi="Courier New"/>
          <w:sz w:val="16"/>
          <w:szCs w:val="16"/>
          <w:color w:val="auto"/>
        </w:rPr>
        <w:t>(4,000)</w:t>
      </w:r>
    </w:p>
    <w:p>
      <w:pPr>
        <w:spacing w:after="0" w:line="193" w:lineRule="auto"/>
        <w:framePr w:w="200" w:h="146" w:wrap="auto" w:vAnchor="page" w:hAnchor="page" w:x="6520" w:y="176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040" w:h="146" w:wrap="auto" w:vAnchor="page" w:hAnchor="page" w:x="5680" w:y="196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040" w:h="146" w:wrap="auto" w:vAnchor="page" w:hAnchor="page" w:x="5680" w:y="2168"/>
        <w:rPr>
          <w:rFonts w:ascii="Courier New" w:cs="Courier New" w:eastAsia="Courier New" w:hAnsi="Courier New"/>
          <w:sz w:val="16"/>
          <w:szCs w:val="16"/>
          <w:color w:val="auto"/>
        </w:rPr>
      </w:pPr>
      <w:r>
        <w:rPr>
          <w:rFonts w:ascii="Courier New" w:cs="Courier New" w:eastAsia="Courier New" w:hAnsi="Courier New"/>
          <w:sz w:val="16"/>
          <w:szCs w:val="16"/>
          <w:color w:val="auto"/>
        </w:rPr>
        <w:t>1,296,887</w:t>
      </w:r>
    </w:p>
    <w:p>
      <w:pPr>
        <w:spacing w:after="0" w:line="193" w:lineRule="auto"/>
        <w:framePr w:w="1040" w:h="146" w:wrap="auto" w:vAnchor="page" w:hAnchor="page" w:x="5680" w:y="237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820" w:h="146" w:wrap="auto" w:vAnchor="page" w:hAnchor="page" w:x="5900" w:y="2573"/>
        <w:rPr>
          <w:rFonts w:ascii="Courier New" w:cs="Courier New" w:eastAsia="Courier New" w:hAnsi="Courier New"/>
          <w:sz w:val="16"/>
          <w:szCs w:val="16"/>
          <w:color w:val="auto"/>
        </w:rPr>
      </w:pPr>
      <w:r>
        <w:rPr>
          <w:rFonts w:ascii="Courier New" w:cs="Courier New" w:eastAsia="Courier New" w:hAnsi="Courier New"/>
          <w:sz w:val="16"/>
          <w:szCs w:val="16"/>
          <w:color w:val="auto"/>
        </w:rPr>
        <w:t>998,512</w:t>
      </w:r>
    </w:p>
    <w:p>
      <w:pPr>
        <w:spacing w:after="0" w:line="193" w:lineRule="auto"/>
        <w:framePr w:w="820" w:h="146" w:wrap="auto" w:vAnchor="page" w:hAnchor="page" w:x="5900" w:y="277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820" w:h="146" w:wrap="auto" w:vAnchor="page" w:hAnchor="page" w:x="5900" w:y="2978"/>
        <w:rPr>
          <w:rFonts w:ascii="Courier New" w:cs="Courier New" w:eastAsia="Courier New" w:hAnsi="Courier New"/>
          <w:sz w:val="16"/>
          <w:szCs w:val="16"/>
          <w:color w:val="auto"/>
        </w:rPr>
      </w:pPr>
      <w:r>
        <w:rPr>
          <w:rFonts w:ascii="Courier New" w:cs="Courier New" w:eastAsia="Courier New" w:hAnsi="Courier New"/>
          <w:sz w:val="16"/>
          <w:szCs w:val="16"/>
          <w:color w:val="auto"/>
        </w:rPr>
        <w:t>231,500</w:t>
      </w:r>
    </w:p>
    <w:p>
      <w:pPr>
        <w:spacing w:after="0" w:line="193" w:lineRule="auto"/>
        <w:framePr w:w="820" w:h="146" w:wrap="auto" w:vAnchor="page" w:hAnchor="page" w:x="5900" w:y="318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5"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Outstanding at beginning of period</w:t>
      </w:r>
    </w:p>
    <w:p>
      <w:pPr>
        <w:ind w:left="420"/>
        <w:spacing w:after="0" w:line="238" w:lineRule="auto"/>
        <w:rPr>
          <w:sz w:val="20"/>
          <w:szCs w:val="20"/>
          <w:color w:val="auto"/>
        </w:rPr>
      </w:pPr>
      <w:r>
        <w:rPr>
          <w:rFonts w:ascii="Courier New" w:cs="Courier New" w:eastAsia="Courier New" w:hAnsi="Courier New"/>
          <w:sz w:val="18"/>
          <w:szCs w:val="18"/>
          <w:color w:val="auto"/>
        </w:rPr>
        <w:t>Granted</w:t>
      </w:r>
    </w:p>
    <w:p>
      <w:pPr>
        <w:ind w:left="420"/>
        <w:spacing w:after="0"/>
        <w:rPr>
          <w:sz w:val="20"/>
          <w:szCs w:val="20"/>
          <w:color w:val="auto"/>
        </w:rPr>
      </w:pPr>
      <w:r>
        <w:rPr>
          <w:rFonts w:ascii="Courier New" w:cs="Courier New" w:eastAsia="Courier New" w:hAnsi="Courier New"/>
          <w:sz w:val="18"/>
          <w:szCs w:val="18"/>
          <w:color w:val="auto"/>
        </w:rPr>
        <w:t>Exercised</w:t>
      </w:r>
    </w:p>
    <w:p>
      <w:pPr>
        <w:ind w:left="420"/>
        <w:spacing w:after="0" w:line="237" w:lineRule="auto"/>
        <w:rPr>
          <w:sz w:val="20"/>
          <w:szCs w:val="20"/>
          <w:color w:val="auto"/>
        </w:rPr>
      </w:pPr>
      <w:r>
        <w:rPr>
          <w:rFonts w:ascii="Courier New" w:cs="Courier New" w:eastAsia="Courier New" w:hAnsi="Courier New"/>
          <w:sz w:val="18"/>
          <w:szCs w:val="18"/>
          <w:color w:val="auto"/>
        </w:rPr>
        <w:t>Expired or canceled</w:t>
      </w:r>
    </w:p>
    <w:p>
      <w:pPr>
        <w:spacing w:after="0" w:line="202"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Outstanding at end of period</w:t>
      </w:r>
    </w:p>
    <w:p>
      <w:pPr>
        <w:spacing w:after="0" w:line="201"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Exercisable at end of period</w:t>
      </w:r>
    </w:p>
    <w:p>
      <w:pPr>
        <w:spacing w:after="0" w:line="207"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6"/>
          <w:szCs w:val="16"/>
          <w:color w:val="auto"/>
        </w:rPr>
        <w:t>Available for grant at end of period</w:t>
      </w:r>
    </w:p>
    <w:p>
      <w:pPr>
        <w:spacing w:after="0" w:line="218"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Weighted average fair value</w:t>
      </w:r>
    </w:p>
    <w:p>
      <w:pPr>
        <w:spacing w:after="0" w:line="4"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6"/>
          <w:szCs w:val="16"/>
          <w:color w:val="auto"/>
        </w:rPr>
        <w:t>of options granted during the period</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right="200" w:firstLine="527"/>
        <w:spacing w:after="0" w:line="235" w:lineRule="auto"/>
        <w:rPr>
          <w:sz w:val="20"/>
          <w:szCs w:val="20"/>
          <w:color w:val="auto"/>
        </w:rPr>
      </w:pPr>
      <w:r>
        <w:rPr>
          <w:rFonts w:ascii="Courier New" w:cs="Courier New" w:eastAsia="Courier New" w:hAnsi="Courier New"/>
          <w:sz w:val="18"/>
          <w:szCs w:val="18"/>
          <w:color w:val="auto"/>
        </w:rPr>
        <w:t>The following table summarizes outstanding at July 31, 2006:</w:t>
      </w:r>
    </w:p>
    <w:p>
      <w:pPr>
        <w:spacing w:after="0" w:line="20" w:lineRule="exact"/>
        <w:rPr>
          <w:rFonts w:ascii="Courier New" w:cs="Courier New" w:eastAsia="Courier New" w:hAnsi="Courier New"/>
          <w:sz w:val="16"/>
          <w:szCs w:val="16"/>
          <w:color w:val="auto"/>
        </w:rPr>
      </w:pPr>
      <w:r>
        <w:rPr>
          <w:rFonts w:ascii="Courier New" w:cs="Courier New" w:eastAsia="Courier New" w:hAnsi="Courier New"/>
          <w:sz w:val="16"/>
          <w:szCs w:val="16"/>
          <w:color w:val="auto"/>
        </w:rPr>
        <w:br w:type="column"/>
      </w:r>
    </w:p>
    <w:p>
      <w:pPr>
        <w:jc w:val="center"/>
        <w:ind w:right="1039"/>
        <w:spacing w:after="0"/>
        <w:rPr>
          <w:sz w:val="20"/>
          <w:szCs w:val="20"/>
          <w:color w:val="auto"/>
        </w:rPr>
      </w:pPr>
      <w:r>
        <w:rPr>
          <w:rFonts w:ascii="Courier New" w:cs="Courier New" w:eastAsia="Courier New" w:hAnsi="Courier New"/>
          <w:sz w:val="16"/>
          <w:szCs w:val="16"/>
          <w:color w:val="auto"/>
        </w:rPr>
        <w:t>Three months ended July 31, 2006</w:t>
      </w:r>
    </w:p>
    <w:p>
      <w:pPr>
        <w:spacing w:after="0" w:line="16" w:lineRule="exact"/>
        <w:rPr>
          <w:rFonts w:ascii="Courier New" w:cs="Courier New" w:eastAsia="Courier New" w:hAnsi="Courier New"/>
          <w:sz w:val="16"/>
          <w:szCs w:val="16"/>
          <w:color w:val="auto"/>
        </w:rPr>
      </w:pPr>
    </w:p>
    <w:p>
      <w:pPr>
        <w:jc w:val="center"/>
        <w:ind w:right="-760"/>
        <w:spacing w:after="0"/>
        <w:rPr>
          <w:sz w:val="20"/>
          <w:szCs w:val="20"/>
          <w:color w:val="auto"/>
        </w:rPr>
      </w:pPr>
      <w:r>
        <w:rPr>
          <w:rFonts w:ascii="Courier New" w:cs="Courier New" w:eastAsia="Courier New" w:hAnsi="Courier New"/>
          <w:sz w:val="18"/>
          <w:szCs w:val="18"/>
          <w:color w:val="auto"/>
        </w:rPr>
        <w:t>Wtd Avg</w:t>
      </w:r>
    </w:p>
    <w:p>
      <w:pPr>
        <w:jc w:val="center"/>
        <w:ind w:right="-760"/>
        <w:spacing w:after="0" w:line="238" w:lineRule="auto"/>
        <w:rPr>
          <w:sz w:val="20"/>
          <w:szCs w:val="20"/>
          <w:color w:val="auto"/>
        </w:rPr>
      </w:pPr>
      <w:r>
        <w:rPr>
          <w:rFonts w:ascii="Courier New" w:cs="Courier New" w:eastAsia="Courier New" w:hAnsi="Courier New"/>
          <w:sz w:val="18"/>
          <w:szCs w:val="18"/>
          <w:color w:val="auto"/>
        </w:rPr>
        <w:t>Price</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6"/>
          <w:szCs w:val="16"/>
          <w:color w:val="auto"/>
        </w:rPr>
      </w:pPr>
    </w:p>
    <w:p>
      <w:pPr>
        <w:jc w:val="right"/>
        <w:ind w:left="2960" w:right="2319"/>
        <w:spacing w:after="0" w:line="275" w:lineRule="auto"/>
        <w:rPr>
          <w:sz w:val="20"/>
          <w:szCs w:val="20"/>
          <w:color w:val="auto"/>
        </w:rPr>
      </w:pPr>
      <w:r>
        <w:rPr>
          <w:rFonts w:ascii="Courier New" w:cs="Courier New" w:eastAsia="Courier New" w:hAnsi="Courier New"/>
          <w:sz w:val="16"/>
          <w:szCs w:val="16"/>
          <w:color w:val="auto"/>
        </w:rPr>
        <w:t>$11.32 $11.95 $6.74 -</w:t>
      </w:r>
    </w:p>
    <w:p>
      <w:pPr>
        <w:spacing w:after="0" w:line="182" w:lineRule="exact"/>
        <w:rPr>
          <w:rFonts w:ascii="Courier New" w:cs="Courier New" w:eastAsia="Courier New" w:hAnsi="Courier New"/>
          <w:sz w:val="16"/>
          <w:szCs w:val="16"/>
          <w:color w:val="auto"/>
        </w:rPr>
      </w:pPr>
    </w:p>
    <w:p>
      <w:pPr>
        <w:jc w:val="both"/>
        <w:ind w:left="2960" w:right="2319"/>
        <w:spacing w:after="0" w:line="558" w:lineRule="auto"/>
        <w:rPr>
          <w:sz w:val="20"/>
          <w:szCs w:val="20"/>
          <w:color w:val="auto"/>
        </w:rPr>
      </w:pPr>
      <w:r>
        <w:rPr>
          <w:rFonts w:ascii="Courier New" w:cs="Courier New" w:eastAsia="Courier New" w:hAnsi="Courier New"/>
          <w:sz w:val="16"/>
          <w:szCs w:val="16"/>
          <w:color w:val="auto"/>
        </w:rPr>
        <w:t>$11.41 $11.30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spacing w:after="0"/>
        <w:tabs>
          <w:tab w:leader="none" w:pos="1360" w:val="left"/>
          <w:tab w:leader="none" w:pos="2100" w:val="left"/>
          <w:tab w:leader="none" w:pos="3460" w:val="left"/>
        </w:tabs>
        <w:rPr>
          <w:sz w:val="20"/>
          <w:szCs w:val="20"/>
          <w:color w:val="auto"/>
        </w:rPr>
      </w:pPr>
      <w:r>
        <w:rPr>
          <w:rFonts w:ascii="Courier New" w:cs="Courier New" w:eastAsia="Courier New" w:hAnsi="Courier New"/>
          <w:sz w:val="18"/>
          <w:szCs w:val="18"/>
          <w:color w:val="auto"/>
        </w:rPr>
        <w:t>information</w:t>
        <w:tab/>
        <w:t>about</w:t>
        <w:tab/>
        <w:t>stock-based</w:t>
      </w:r>
      <w:r>
        <w:rPr>
          <w:sz w:val="20"/>
          <w:szCs w:val="20"/>
          <w:color w:val="auto"/>
        </w:rPr>
        <w:tab/>
      </w:r>
      <w:r>
        <w:rPr>
          <w:rFonts w:ascii="Courier New" w:cs="Courier New" w:eastAsia="Courier New" w:hAnsi="Courier New"/>
          <w:sz w:val="16"/>
          <w:szCs w:val="16"/>
          <w:color w:val="auto"/>
        </w:rPr>
        <w:t>awards</w:t>
      </w:r>
    </w:p>
    <w:p>
      <w:pPr>
        <w:spacing w:after="0" w:line="401" w:lineRule="exact"/>
        <w:rPr>
          <w:rFonts w:ascii="Courier New" w:cs="Courier New" w:eastAsia="Courier New" w:hAnsi="Courier New"/>
          <w:sz w:val="16"/>
          <w:szCs w:val="16"/>
          <w:color w:val="auto"/>
        </w:rPr>
      </w:pPr>
    </w:p>
    <w:p>
      <w:pPr>
        <w:sectPr>
          <w:pgSz w:w="11900" w:h="16838" w:orient="portrait"/>
          <w:cols w:equalWidth="0" w:num="2">
            <w:col w:w="4220" w:space="100"/>
            <w:col w:w="5899"/>
          </w:cols>
          <w:pgMar w:left="240" w:top="344" w:right="1440" w:bottom="1440" w:gutter="0" w:footer="0" w:header="0"/>
        </w:sectPr>
      </w:pPr>
    </w:p>
    <w:p>
      <w:pPr>
        <w:spacing w:after="0" w:line="200" w:lineRule="exact"/>
        <w:rPr>
          <w:rFonts w:ascii="Courier New" w:cs="Courier New" w:eastAsia="Courier New" w:hAnsi="Courier New"/>
          <w:sz w:val="16"/>
          <w:szCs w:val="16"/>
          <w:color w:val="auto"/>
        </w:rPr>
      </w:pPr>
    </w:p>
    <w:p>
      <w:pPr>
        <w:spacing w:after="0" w:line="208" w:lineRule="exact"/>
        <w:rPr>
          <w:rFonts w:ascii="Courier New" w:cs="Courier New" w:eastAsia="Courier New" w:hAnsi="Courier New"/>
          <w:sz w:val="16"/>
          <w:szCs w:val="16"/>
          <w:color w:val="auto"/>
        </w:rPr>
      </w:pPr>
    </w:p>
    <w:tbl>
      <w:tblPr>
        <w:tblLayout w:type="fixed"/>
        <w:tblInd w:w="12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Options Outstanding</w:t>
            </w:r>
          </w:p>
        </w:tc>
        <w:tc>
          <w:tcPr>
            <w:tcW w:w="1000" w:type="dxa"/>
            <w:vAlign w:val="bottom"/>
          </w:tcPr>
          <w:p>
            <w:pPr>
              <w:spacing w:after="0"/>
              <w:rPr>
                <w:sz w:val="17"/>
                <w:szCs w:val="17"/>
                <w:color w:val="auto"/>
              </w:rPr>
            </w:pPr>
          </w:p>
        </w:tc>
        <w:tc>
          <w:tcPr>
            <w:tcW w:w="27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Options Exercisable</w:t>
            </w:r>
          </w:p>
        </w:tc>
      </w:tr>
      <w:tr>
        <w:trPr>
          <w:trHeight w:val="203"/>
        </w:trPr>
        <w:tc>
          <w:tcPr>
            <w:tcW w:w="1840" w:type="dxa"/>
            <w:vAlign w:val="bottom"/>
          </w:tcPr>
          <w:p>
            <w:pPr>
              <w:spacing w:after="0"/>
              <w:rPr>
                <w:sz w:val="17"/>
                <w:szCs w:val="17"/>
                <w:color w:val="auto"/>
              </w:rPr>
            </w:pPr>
          </w:p>
        </w:tc>
        <w:tc>
          <w:tcPr>
            <w:tcW w:w="3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71"/>
              </w:rPr>
              <w: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Weighted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Average</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Weighted</w:t>
            </w:r>
          </w:p>
        </w:tc>
        <w:tc>
          <w:tcPr>
            <w:tcW w:w="16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1840" w:type="dxa"/>
            <w:vAlign w:val="bottom"/>
          </w:tcPr>
          <w:p>
            <w:pPr>
              <w:spacing w:after="0"/>
              <w:rPr>
                <w:sz w:val="17"/>
                <w:szCs w:val="17"/>
                <w:color w:val="auto"/>
              </w:rPr>
            </w:pP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Number</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Remaining</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Average</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Number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Range of</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Contractual</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Exercise</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Exercisable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Prices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 7/31/06</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Life</w:t>
            </w:r>
          </w:p>
        </w:tc>
        <w:tc>
          <w:tcPr>
            <w:tcW w:w="3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 7/31/06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$4.375 - 9.970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484,700</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7.64</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433,700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$ 7.44</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10.167 - 16.625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730,187</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5.8</w:t>
            </w:r>
          </w:p>
        </w:tc>
        <w:tc>
          <w:tcPr>
            <w:tcW w:w="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12.53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482,812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12.65</w:t>
            </w:r>
          </w:p>
        </w:tc>
      </w:tr>
      <w:tr>
        <w:trPr>
          <w:trHeight w:val="203"/>
        </w:trPr>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82,000</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23.75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82,000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23.75</w:t>
            </w:r>
          </w:p>
        </w:tc>
      </w:tr>
    </w:tbl>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960"/>
        <w:spacing w:after="0"/>
        <w:rPr>
          <w:sz w:val="20"/>
          <w:szCs w:val="20"/>
          <w:color w:val="auto"/>
        </w:rPr>
      </w:pPr>
      <w:r>
        <w:rPr>
          <w:rFonts w:ascii="Courier New" w:cs="Courier New" w:eastAsia="Courier New" w:hAnsi="Courier New"/>
          <w:sz w:val="18"/>
          <w:szCs w:val="18"/>
          <w:color w:val="auto"/>
        </w:rPr>
        <w:t>Fiscal year 2006</w:t>
      </w:r>
    </w:p>
    <w:p>
      <w:pPr>
        <w:spacing w:after="0" w:line="207" w:lineRule="exact"/>
        <w:rPr>
          <w:rFonts w:ascii="Courier New" w:cs="Courier New" w:eastAsia="Courier New" w:hAnsi="Courier New"/>
          <w:sz w:val="16"/>
          <w:szCs w:val="16"/>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Stock-based compensation in the first quarter of fiscal year 2006 was determined using the intrinsic value method. The following table provides supplemental information for the three months ended July 31, 2005 as if stock-based compensation had been computed under FAS 123(R) (in thousands, except per share data):</w:t>
      </w:r>
    </w:p>
    <w:p>
      <w:pPr>
        <w:spacing w:after="0" w:line="203" w:lineRule="exact"/>
        <w:rPr>
          <w:rFonts w:ascii="Courier New" w:cs="Courier New" w:eastAsia="Courier New" w:hAnsi="Courier New"/>
          <w:sz w:val="16"/>
          <w:szCs w:val="16"/>
          <w:color w:val="auto"/>
        </w:rPr>
      </w:pPr>
    </w:p>
    <w:tbl>
      <w:tblPr>
        <w:tblLayout w:type="fixed"/>
        <w:tblInd w:w="54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as reported</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pro forma</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per share, as reported:</w:t>
            </w:r>
          </w:p>
        </w:tc>
        <w:tc>
          <w:tcPr>
            <w:tcW w:w="142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$ 0.13</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$ 0.13</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pro forma</w:t>
            </w:r>
          </w:p>
        </w:tc>
        <w:tc>
          <w:tcPr>
            <w:tcW w:w="142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$ 0.12</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$ 0.12</w:t>
            </w:r>
          </w:p>
        </w:tc>
      </w:tr>
      <w:tr>
        <w:trPr>
          <w:trHeight w:val="203"/>
        </w:trPr>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44" w:right="1440" w:bottom="1440" w:gutter="0" w:footer="0" w:header="0"/>
          <w:type w:val="continuous"/>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three reportable segments:</w:t>
      </w:r>
    </w:p>
    <w:p>
      <w:pPr>
        <w:spacing w:after="0" w:line="4" w:lineRule="exact"/>
        <w:rPr>
          <w:sz w:val="20"/>
          <w:szCs w:val="20"/>
          <w:color w:val="auto"/>
        </w:rPr>
      </w:pPr>
    </w:p>
    <w:p>
      <w:pPr>
        <w:jc w:val="both"/>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Beginning with the first quarter of fiscal year 2007, the Company is reporting its segment information on a geographic basis. The former Commercial Communications and U.S. Government segments, which operate out of the Company's New York headquarters facility, have been combined into the new segment, FEI-NY. This segment also includes the operations of the Company's wholly-owned subsidiary, FEI-Asia, which functions primarily as a manufacturing facility for the FEI-NY segment.</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Previously, the Company identified its New York-based U.S. Government business as a separate segment even though that segment shared the same facility, equipment and personnel with the Commercial Communications segment. With the acquisition of FEI-Zyfer in fiscal year 2004, the Company now does business on U.S. Government programs out of two separate subsidiaries.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Prior year segment information has been reclassified to conform to the new segment presentation. This includes reclassifying the property, plant and equipment located in the New York facility to the FEI-NY segment and not to corporate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rPr>
              <w:t>The  table</w:t>
            </w:r>
          </w:p>
        </w:tc>
        <w:tc>
          <w:tcPr>
            <w:tcW w:w="34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below  presents   information</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about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reported</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segments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of segment  amounts to</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consolidated</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amounts as reported in the</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statement  of  operations  or the  balance  sheet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each of the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Three months ended July 31,</w:t>
            </w:r>
          </w:p>
        </w:tc>
        <w:tc>
          <w:tcPr>
            <w:tcW w:w="4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22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2005</w:t>
            </w:r>
          </w:p>
        </w:tc>
        <w:tc>
          <w:tcPr>
            <w:tcW w:w="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FEI-NY</w:t>
            </w: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$10,666</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$ 6,856</w:t>
            </w: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Gillam-FEI</w:t>
            </w: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2,030</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2,215</w:t>
            </w: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FEI-Zyfer</w:t>
            </w: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1,907</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2,445</w:t>
            </w:r>
          </w:p>
        </w:tc>
        <w:tc>
          <w:tcPr>
            <w:tcW w:w="480" w:type="dxa"/>
            <w:vAlign w:val="bottom"/>
          </w:tcPr>
          <w:p>
            <w:pPr>
              <w:spacing w:after="0"/>
              <w:rPr>
                <w:sz w:val="17"/>
                <w:szCs w:val="17"/>
                <w:color w:val="auto"/>
              </w:rPr>
            </w:pPr>
          </w:p>
        </w:tc>
      </w:tr>
      <w:tr>
        <w:trPr>
          <w:trHeight w:val="203"/>
        </w:trPr>
        <w:tc>
          <w:tcPr>
            <w:tcW w:w="4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less intercompany sales</w:t>
            </w:r>
          </w:p>
        </w:tc>
        <w:tc>
          <w:tcPr>
            <w:tcW w:w="10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(289)</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(459)</w:t>
            </w:r>
          </w:p>
        </w:tc>
        <w:tc>
          <w:tcPr>
            <w:tcW w:w="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12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$14,314</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$11,057</w:t>
            </w:r>
          </w:p>
        </w:tc>
        <w:tc>
          <w:tcPr>
            <w:tcW w:w="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FEI-NY</w:t>
            </w:r>
          </w:p>
        </w:tc>
        <w:tc>
          <w:tcPr>
            <w:tcW w:w="24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(66)</w:t>
            </w: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Gillam-FEI</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(66)</w:t>
            </w: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FEI-Zyfer</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1260" w:type="dxa"/>
            <w:vAlign w:val="bottom"/>
          </w:tcPr>
          <w:p>
            <w:pPr>
              <w:spacing w:after="0"/>
              <w:rPr>
                <w:sz w:val="17"/>
                <w:szCs w:val="17"/>
                <w:color w:val="auto"/>
              </w:rPr>
            </w:pPr>
          </w:p>
        </w:tc>
        <w:tc>
          <w:tcPr>
            <w:tcW w:w="1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333</w:t>
            </w:r>
          </w:p>
        </w:tc>
        <w:tc>
          <w:tcPr>
            <w:tcW w:w="48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Corporate</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(104)</w:t>
            </w:r>
          </w:p>
        </w:tc>
        <w:tc>
          <w:tcPr>
            <w:tcW w:w="1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(90)</w:t>
            </w:r>
          </w:p>
        </w:tc>
        <w:tc>
          <w:tcPr>
            <w:tcW w:w="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Consolidated Operating Profit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111</w:t>
            </w:r>
          </w:p>
        </w:tc>
        <w:tc>
          <w:tcPr>
            <w:tcW w:w="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31, 2006</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April 30, 2006</w:t>
            </w:r>
          </w:p>
        </w:tc>
      </w:tr>
      <w:tr>
        <w:trPr>
          <w:trHeight w:val="203"/>
        </w:trPr>
        <w:tc>
          <w:tcPr>
            <w:tcW w:w="406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FEI-NY</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$42,752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$44,111</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13,069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13,755</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5,553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5,356</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(10,187)</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(14,585)</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38,815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38,104</w:t>
            </w:r>
          </w:p>
        </w:tc>
      </w:tr>
      <w:tr>
        <w:trPr>
          <w:trHeight w:val="203"/>
        </w:trPr>
        <w:tc>
          <w:tcPr>
            <w:tcW w:w="4060" w:type="dxa"/>
            <w:vAlign w:val="bottom"/>
          </w:tcPr>
          <w:p>
            <w:pPr>
              <w:spacing w:after="0"/>
              <w:rPr>
                <w:sz w:val="17"/>
                <w:szCs w:val="17"/>
                <w:color w:val="auto"/>
              </w:rPr>
            </w:pP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$86,741</w:t>
            </w:r>
          </w:p>
        </w:tc>
      </w:tr>
      <w:tr>
        <w:trPr>
          <w:trHeight w:val="203"/>
        </w:trPr>
        <w:tc>
          <w:tcPr>
            <w:tcW w:w="4060" w:type="dxa"/>
            <w:vAlign w:val="bottom"/>
          </w:tcPr>
          <w:p>
            <w:pPr>
              <w:spacing w:after="0"/>
              <w:rPr>
                <w:sz w:val="17"/>
                <w:szCs w:val="17"/>
                <w:color w:val="auto"/>
              </w:rPr>
            </w:pP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RECENTLY ISSUED ACCOUNTING PRONOUNCEMENTS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the Company in fiscal year 2007. The adoption of FAS 151 is not expected to have a material impact on the Company's financial position or results of operations.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 of the period of the change the cumulative effect of changing to the new accounting principle. The Company will comply with the provisions of FAS 154 although the impact of such adoption is not determinable at this time.</w:t>
      </w: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2300" w:val="left"/>
          <w:tab w:leader="none" w:pos="3360" w:val="left"/>
          <w:tab w:leader="none" w:pos="3880" w:val="left"/>
        </w:tabs>
        <w:rPr>
          <w:sz w:val="20"/>
          <w:szCs w:val="20"/>
          <w:color w:val="auto"/>
        </w:rPr>
      </w:pPr>
      <w:r>
        <w:rPr>
          <w:rFonts w:ascii="Courier New" w:cs="Courier New" w:eastAsia="Courier New" w:hAnsi="Courier New"/>
          <w:sz w:val="18"/>
          <w:szCs w:val="18"/>
          <w:color w:val="auto"/>
        </w:rPr>
        <w:t>Critical</w:t>
        <w:tab/>
        <w:t>Accounting</w:t>
        <w:tab/>
        <w:t>Policies</w:t>
        <w:tab/>
        <w:t>and</w:t>
      </w:r>
      <w:r>
        <w:rPr>
          <w:sz w:val="20"/>
          <w:szCs w:val="20"/>
          <w:color w:val="auto"/>
        </w:rPr>
        <w:tab/>
      </w:r>
      <w:r>
        <w:rPr>
          <w:rFonts w:ascii="Courier New" w:cs="Courier New" w:eastAsia="Courier New" w:hAnsi="Courier New"/>
          <w:sz w:val="16"/>
          <w:szCs w:val="16"/>
          <w:color w:val="auto"/>
        </w:rPr>
        <w:t>Estimates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2006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FEI-NY segment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$115,000 was recognized during the three months ended July 31, 2006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ectPr>
          <w:pgSz w:w="11900" w:h="16838" w:orient="portrait"/>
          <w:cols w:equalWidth="0" w:num="1">
            <w:col w:w="10219"/>
          </w:cols>
          <w:pgMar w:left="240" w:top="717" w:right="1440" w:bottom="371" w:gutter="0" w:footer="0" w:header="0"/>
        </w:sectPr>
      </w:pPr>
    </w:p>
    <w:bookmarkStart w:id="12" w:name="page13"/>
    <w:bookmarkEnd w:id="12"/>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226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(Continued)</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RESULTS OF OPERATIONS</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2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7"/>
              </w:rPr>
              <w:t>The table below sets forth for the respective</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periods of fiscal years 2006</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2005 the percentage of consolidated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represented by certain items</w:t>
            </w:r>
          </w:p>
        </w:tc>
      </w:tr>
      <w:tr>
        <w:trPr>
          <w:trHeight w:val="203"/>
        </w:trPr>
        <w:tc>
          <w:tcPr>
            <w:tcW w:w="5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in the Company's consolidated statements of operations:</w:t>
            </w: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4"/>
          </w:tcPr>
          <w:p>
            <w:pPr>
              <w:jc w:val="right"/>
              <w:ind w:right="552"/>
              <w:spacing w:after="0"/>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2006</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Sales</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FEI-NY</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74.5%</w:t>
            </w:r>
          </w:p>
        </w:tc>
        <w:tc>
          <w:tcPr>
            <w:tcW w:w="800" w:type="dxa"/>
            <w:vAlign w:val="bottom"/>
          </w:tcPr>
          <w:p>
            <w:pPr>
              <w:spacing w:after="0"/>
              <w:rPr>
                <w:sz w:val="17"/>
                <w:szCs w:val="17"/>
                <w:color w:val="auto"/>
              </w:rPr>
            </w:pP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3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Gillam-FEI</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14.2</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3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FEI-Zyfer</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13.3</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42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10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w:t>
            </w:r>
          </w:p>
        </w:tc>
        <w:tc>
          <w:tcPr>
            <w:tcW w:w="800" w:type="dxa"/>
            <w:vAlign w:val="bottom"/>
          </w:tcPr>
          <w:p>
            <w:pPr>
              <w:spacing w:after="0"/>
              <w:rPr>
                <w:sz w:val="17"/>
                <w:szCs w:val="17"/>
                <w:color w:val="auto"/>
              </w:rPr>
            </w:pP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Sales</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66.1</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63.0</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Gross Margin</w:t>
            </w: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33.9</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37.0</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Selling and administrative expenses</w:t>
            </w: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19.4</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23.0</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Operating Profit</w:t>
            </w: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3020" w:type="dxa"/>
            <w:vAlign w:val="bottom"/>
          </w:tcPr>
          <w:p>
            <w:pPr>
              <w:ind w:left="540"/>
              <w:spacing w:after="0"/>
              <w:rPr>
                <w:sz w:val="20"/>
                <w:szCs w:val="20"/>
                <w:color w:val="auto"/>
              </w:rPr>
            </w:pPr>
            <w:r>
              <w:rPr>
                <w:rFonts w:ascii="Courier New" w:cs="Courier New" w:eastAsia="Courier New" w:hAnsi="Courier New"/>
                <w:sz w:val="18"/>
                <w:szCs w:val="18"/>
                <w:color w:val="auto"/>
              </w:rPr>
              <w:t>Other income, net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w:t>
            </w:r>
          </w:p>
        </w:tc>
        <w:tc>
          <w:tcPr>
            <w:tcW w:w="800" w:type="dxa"/>
            <w:vAlign w:val="bottom"/>
          </w:tcPr>
          <w:p>
            <w:pPr>
              <w:spacing w:after="0"/>
              <w:rPr>
                <w:sz w:val="24"/>
                <w:szCs w:val="24"/>
                <w:color w:val="auto"/>
              </w:rPr>
            </w:pPr>
          </w:p>
        </w:tc>
        <w:tc>
          <w:tcPr>
            <w:tcW w:w="17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13.6</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Pretax Income</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c>
          <w:tcPr>
            <w:tcW w:w="800" w:type="dxa"/>
            <w:vAlign w:val="bottom"/>
          </w:tcPr>
          <w:p>
            <w:pPr>
              <w:spacing w:after="0"/>
              <w:rPr>
                <w:sz w:val="17"/>
                <w:szCs w:val="17"/>
                <w:color w:val="auto"/>
              </w:rPr>
            </w:pP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3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40" w:type="dxa"/>
            <w:vAlign w:val="bottom"/>
            <w:gridSpan w:val="6"/>
          </w:tcPr>
          <w:p>
            <w:pPr>
              <w:jc w:val="center"/>
              <w:ind w:left="32"/>
              <w:spacing w:after="0"/>
              <w:rPr>
                <w:sz w:val="20"/>
                <w:szCs w:val="20"/>
                <w:color w:val="auto"/>
              </w:rPr>
            </w:pPr>
            <w:r>
              <w:rPr>
                <w:rFonts w:ascii="Courier New" w:cs="Courier New" w:eastAsia="Courier New" w:hAnsi="Courier New"/>
                <w:sz w:val="18"/>
                <w:szCs w:val="18"/>
                <w:color w:val="auto"/>
                <w:w w:val="97"/>
              </w:rPr>
              <w:t>(Note: All dollar amounts in following tables are in thousands,</w:t>
            </w:r>
          </w:p>
        </w:tc>
      </w:tr>
      <w:tr>
        <w:trPr>
          <w:trHeight w:val="203"/>
        </w:trPr>
        <w:tc>
          <w:tcPr>
            <w:tcW w:w="6700" w:type="dxa"/>
            <w:vAlign w:val="bottom"/>
            <w:gridSpan w:val="5"/>
          </w:tcPr>
          <w:p>
            <w:pPr>
              <w:jc w:val="center"/>
              <w:ind w:left="1752"/>
              <w:spacing w:after="0" w:line="203" w:lineRule="exact"/>
              <w:rPr>
                <w:sz w:val="20"/>
                <w:szCs w:val="20"/>
                <w:color w:val="auto"/>
              </w:rPr>
            </w:pPr>
            <w:r>
              <w:rPr>
                <w:rFonts w:ascii="Courier New" w:cs="Courier New" w:eastAsia="Courier New" w:hAnsi="Courier New"/>
                <w:sz w:val="18"/>
                <w:szCs w:val="18"/>
                <w:color w:val="auto"/>
                <w:w w:val="97"/>
              </w:rPr>
              <w:t>except Net Sales which are in millions)</w:t>
            </w:r>
          </w:p>
        </w:tc>
        <w:tc>
          <w:tcPr>
            <w:tcW w:w="174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00" w:type="dxa"/>
            <w:vAlign w:val="bottom"/>
          </w:tcPr>
          <w:p>
            <w:pPr>
              <w:spacing w:after="0"/>
              <w:rPr>
                <w:sz w:val="24"/>
                <w:szCs w:val="24"/>
                <w:color w:val="auto"/>
              </w:rPr>
            </w:pPr>
          </w:p>
        </w:tc>
        <w:tc>
          <w:tcPr>
            <w:tcW w:w="16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w w:val="96"/>
              </w:rPr>
              <w:t>(in millions)</w:t>
            </w: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368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Three months ended July 31,</w:t>
            </w:r>
          </w:p>
        </w:tc>
        <w:tc>
          <w:tcPr>
            <w:tcW w:w="17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2005</w:t>
            </w:r>
          </w:p>
        </w:tc>
        <w:tc>
          <w:tcPr>
            <w:tcW w:w="620" w:type="dxa"/>
            <w:vAlign w:val="bottom"/>
          </w:tcPr>
          <w:p>
            <w:pPr>
              <w:spacing w:after="0"/>
              <w:rPr>
                <w:sz w:val="17"/>
                <w:szCs w:val="17"/>
                <w:color w:val="auto"/>
              </w:rPr>
            </w:pPr>
          </w:p>
        </w:tc>
        <w:tc>
          <w:tcPr>
            <w:tcW w:w="254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30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254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FEI-NY</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c>
          <w:tcPr>
            <w:tcW w:w="6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6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17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0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As illustrated in the table above, the 29% increase in revenues in the three month period ended July 31, 2006, was driven by the 56% improvement in revenues in the FEI-NY segment. Revenues from space programs were significantly higher than in the prior fiscal year while sales to wireless infrastructure equipment manufacturers also strengthened. Revenues in the Gillam-FEI and FEI-Zyfer segments declined primarily due to customer delays in releasing orders for additional product. Total revenues from U.S. Government related programs, which are recorded in both the FEI-NY and FEI-Zyfer segments, were lower in the fiscal year 2007 period compared to the three month period ended July 31, 2005. As U.S. Government programs receive funding, the Company expects to realize increased revenues from such programs in the future periods of fiscal year 2007. In particular, the Company expects revenues from both U.S. Government and commercial satellite programs to continue to grow throughout fiscal year 2007. Similarly, revenues from wireless equipment manufacturers are expected to increase, particularly when China and India make decisions regarding the implementation of their new networks.</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tbl>
      <w:tblPr>
        <w:tblLayout w:type="fixed"/>
        <w:tblInd w:w="180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38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110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2006</w:t>
            </w: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2005</w:t>
            </w:r>
          </w:p>
        </w:tc>
        <w:tc>
          <w:tcPr>
            <w:tcW w:w="13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Change</w:t>
            </w:r>
          </w:p>
        </w:tc>
      </w:tr>
      <w:tr>
        <w:trPr>
          <w:trHeight w:val="203"/>
        </w:trPr>
        <w:tc>
          <w:tcPr>
            <w:tcW w:w="110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10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$4,853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$4,097</w:t>
            </w:r>
          </w:p>
        </w:tc>
        <w:tc>
          <w:tcPr>
            <w:tcW w:w="13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$756   18%</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GM Rate</w:t>
            </w:r>
          </w:p>
        </w:tc>
        <w:tc>
          <w:tcPr>
            <w:tcW w:w="1320" w:type="dxa"/>
            <w:vAlign w:val="bottom"/>
          </w:tcPr>
          <w:p>
            <w:pPr>
              <w:ind w:left="480"/>
              <w:spacing w:after="0"/>
              <w:rPr>
                <w:sz w:val="20"/>
                <w:szCs w:val="20"/>
                <w:color w:val="auto"/>
              </w:rPr>
            </w:pPr>
            <w:r>
              <w:rPr>
                <w:rFonts w:ascii="Courier New" w:cs="Courier New" w:eastAsia="Courier New" w:hAnsi="Courier New"/>
                <w:sz w:val="18"/>
                <w:szCs w:val="18"/>
                <w:color w:val="auto"/>
              </w:rPr>
              <w:t>33.9%</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37.0%</w:t>
            </w:r>
          </w:p>
        </w:tc>
        <w:tc>
          <w:tcPr>
            <w:tcW w:w="130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18% improvement in gross margin in for the three months ended July 31, 2006, is due to the increase in revenues over the same period of fiscal year 2006. The fiscal year 2007 gross margin rate of 33.9% is indicative of the high engineering costs applied to certain of the Company's long-term contracts during the period. As the level of engineering effort decreases, the Company anticipates that its gross margin rate will improve. As revenues increase, the Company expects the gross margin rate to approach and exceed its target of 40%.</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Also, for the three months ended July 31, 2006, gross margin was reduced by $53,000 due to the inclusion in cost of sales of a charge for stock compensation expense. As disclosed in the footnotes to the financial statements, as of May 1, 2006, the Company is complying with the provisions of FAS 123(R), Accounting for Stock-Based Compensation. In the prior fiscal year, the Company applied the disclosure-only provisions of FAS No. 148, "Accounting for Stock-Based Compensation- Transition and Disclosure" and measured compensation cost in accordance with APB Opinion No. 25, "Accounting for Stock Issued to Employees." This method did not result in compensation cost upon the grant of options under a qualified stock option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Three months ended July 31,</w:t>
      </w:r>
    </w:p>
    <w:tbl>
      <w:tblPr>
        <w:tblLayout w:type="fixed"/>
        <w:tblInd w:w="3380" w:type="dxa"/>
        <w:tblCellMar>
          <w:top w:w="0" w:type="dxa"/>
          <w:left w:w="0" w:type="dxa"/>
          <w:bottom w:w="0" w:type="dxa"/>
          <w:right w:w="0" w:type="dxa"/>
        </w:tblCellMar>
      </w:tblPr>
      <w:tr>
        <w:trPr>
          <w:trHeight w:val="203"/>
        </w:trPr>
        <w:tc>
          <w:tcPr>
            <w:tcW w:w="9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2006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9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$2,782</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$2,544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   9%</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July 31, 2006, selling and administrative expenses were 19.4% of revenues which achieved the Company's target for such expenses. For the comparable period of fiscal year 2006, selling and administrative expenses were 23% of revenues, reflecting the lower level of sales for that period compared to the administrative structure of the Company. The primary increases in expenses in the fiscal year 2007 period were related to compensation, including accruals for incentive compensation, normal salary increases as well as additional personnel.</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Included in selling and administrative expenses for the three months ended July 31, 2006, is $62,000 related to stock compensation expense as described above and in the footnotes to the financial statements.</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With fiscal year 2007 revenues at current or increasing levels, the Company expects selling and administrative expenses to be incurred at 20% or less of revenues.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Three months ended July 31,</w:t>
      </w:r>
    </w:p>
    <w:tbl>
      <w:tblPr>
        <w:tblLayout w:type="fixed"/>
        <w:tblInd w:w="3280" w:type="dxa"/>
        <w:tblCellMar>
          <w:top w:w="0" w:type="dxa"/>
          <w:left w:w="0" w:type="dxa"/>
          <w:bottom w:w="0" w:type="dxa"/>
          <w:right w:w="0" w:type="dxa"/>
        </w:tblCellMar>
      </w:tblPr>
      <w:tr>
        <w:trPr>
          <w:trHeight w:val="203"/>
        </w:trPr>
        <w:tc>
          <w:tcPr>
            <w:tcW w:w="8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2006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8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$1,380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$1,442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 (4%)</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represent investments that keep the Company's products at the leading edge of time and frequency technology and enhance competitiveness for future sales. For the three months ended July 31, 2006, research and development expenditures decreased by 4% from the level of spending in the same period of fiscal year 2006. The decline results from less spending on development of the new US5G wireline synchronization product, which was near completion at the end of fiscal year 2006, but offset by new initiatives in developing a ruggedized rubidium clock for secure military</w:t>
      </w:r>
    </w:p>
    <w:p>
      <w:pPr>
        <w:spacing w:after="0" w:line="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communications, enhancing and miniaturizing products for wireless communications, upgrading its GPS-based synchronization product line, and developing enhanced network monitoring equipment and software.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spending for the quarter ended July 31, 2006, was 9.7% of revenues compared to 13% of revenues for the same period of fiscal year 2006. The Company targets research and development spending at approximately 10% of sales, but the rate of spending can increase or</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Profit</w:t>
      </w:r>
    </w:p>
    <w:p>
      <w:pPr>
        <w:ind w:left="3480"/>
        <w:spacing w:after="0" w:line="238" w:lineRule="auto"/>
        <w:rPr>
          <w:sz w:val="20"/>
          <w:szCs w:val="20"/>
          <w:color w:val="auto"/>
        </w:rPr>
      </w:pPr>
      <w:r>
        <w:rPr>
          <w:rFonts w:ascii="Courier New" w:cs="Courier New" w:eastAsia="Courier New" w:hAnsi="Courier New"/>
          <w:sz w:val="18"/>
          <w:szCs w:val="18"/>
          <w:color w:val="auto"/>
        </w:rPr>
        <w:t>Three months ended July 31,</w:t>
      </w:r>
    </w:p>
    <w:tbl>
      <w:tblPr>
        <w:tblLayout w:type="fixed"/>
        <w:tblInd w:w="3380" w:type="dxa"/>
        <w:tblCellMar>
          <w:top w:w="0" w:type="dxa"/>
          <w:left w:w="0" w:type="dxa"/>
          <w:bottom w:w="0" w:type="dxa"/>
          <w:right w:w="0" w:type="dxa"/>
        </w:tblCellMar>
      </w:tblPr>
      <w:tr>
        <w:trPr>
          <w:trHeight w:val="203"/>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2006</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2005</w:t>
            </w:r>
          </w:p>
        </w:tc>
        <w:tc>
          <w:tcPr>
            <w:tcW w:w="1360" w:type="dxa"/>
            <w:vAlign w:val="bottom"/>
          </w:tcPr>
          <w:p>
            <w:pPr>
              <w:ind w:left="520"/>
              <w:spacing w:after="0"/>
              <w:rPr>
                <w:sz w:val="20"/>
                <w:szCs w:val="20"/>
                <w:color w:val="auto"/>
              </w:rPr>
            </w:pPr>
            <w:r>
              <w:rPr>
                <w:rFonts w:ascii="Courier New" w:cs="Courier New" w:eastAsia="Courier New" w:hAnsi="Courier New"/>
                <w:sz w:val="18"/>
                <w:szCs w:val="18"/>
                <w:color w:val="auto"/>
              </w:rPr>
              <w:t>Change</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$691</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  523%</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improvement in operating profit for the three months ended July 31, 2006, compared to the same period of fiscal year 2006 is due to increased revenues of $3.3 million. The gains realized by the 29% increase in year over year revenue were partially offset by a decline in the gross margin rate from 37% to 34%. Selling, general and administrative expenses in the fiscal year 2007 period increased by 9% while research and development spending decreased by 4% as compared to the three months ended July 31,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8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Three months ended July 31,</w:t>
            </w:r>
          </w:p>
        </w:tc>
        <w:tc>
          <w:tcPr>
            <w:tcW w:w="5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5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Morion</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8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($963)</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(64%)</w:t>
            </w:r>
          </w:p>
        </w:tc>
      </w:tr>
    </w:tbl>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The decrease in investment income for the three months ended July 31, 2006, is due to realized gains of approximately $1.0 million recorded in the first quarter of the prior fiscal year on the sale of a portion of the shares of Reckson Associates Realty Corp. stock ("REIT"). Such shares were obtained during fiscal year 2005 upon the conversion of certain REIT units related to the Company's fiscal year 1998 sale and leaseback of its headquarters building.</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equity income in Morion, Inc. based on its 36% ownership interest in Morion's outstanding shares. The 41% increase in equity income from Morion for the three months ended July 31, 2006 compared to the same period of fiscal year 2006 is due to a 50% increase in Morion's profitability based on higher revenues and improved margins.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increase in interest expense for the three month period ended July 31, 2006 resulted primarily from an increase in borrowings under the Company's line of credit during the fiscal year 2007 period compared to the three month period ended July 31, 2005.</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Under the provisions of sale and leaseback accounting, a portion of the capital gain realized on the real estate transaction referred to above is deferred and recognized in income over the initial lease term. Under the caption "Other, income" the Company recognized deferred gain of $88,000 for each of the three months ended July 31, 2006 and 2005. Other insignificant income and expense items are also recorded under this caption.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tbl>
      <w:tblPr>
        <w:tblLayout w:type="fixed"/>
        <w:tblInd w:w="3280" w:type="dxa"/>
        <w:tblCellMar>
          <w:top w:w="0" w:type="dxa"/>
          <w:left w:w="0" w:type="dxa"/>
          <w:bottom w:w="0" w:type="dxa"/>
          <w:right w:w="0" w:type="dxa"/>
        </w:tblCellMar>
      </w:tblPr>
      <w:tr>
        <w:trPr>
          <w:trHeight w:val="203"/>
        </w:trPr>
        <w:tc>
          <w:tcPr>
            <w:tcW w:w="2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Three months ended</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2006</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$898</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$1,142</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($244) (21%)</w:t>
            </w:r>
          </w:p>
        </w:tc>
      </w:tr>
    </w:tbl>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Net income for the three months ended July 31, 2006, was lower than that realized in the same period of fiscal year 2006 primarily as the result of recognition of a $1.0 million gain on the sale of certain marketable securities in the prior year period. Excluding the effects of that gain, net income for the three months ended July 31, 2006, was higher than the same period of fiscal year 2006 largely on the basis of the 29% increase in revenues.</w:t>
      </w:r>
    </w:p>
    <w:p>
      <w:pPr>
        <w:sectPr>
          <w:pgSz w:w="11900" w:h="16838" w:orient="portrait"/>
          <w:cols w:equalWidth="0" w:num="1">
            <w:col w:w="10219"/>
          </w:cols>
          <w:pgMar w:left="240" w:top="717" w:right="1440" w:bottom="948"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 carryforwards of approximately $2.4 million to offset future taxable income.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$61 million at July 31, 2006, which is comparable to working capital at April 30, 2006. Included in working capital at July 31, 2006 is $24.4 million of cash, cash equivalents and marketable securities. The Company's current ratio at July 31, 2006 is 8.1 to 1.</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For the three months ended July 31, 2006, the Company used $1.0 million in cash from operating activities compared to $4.7 million used by operations in the comparable fiscal year 2006 period. The most significant use of cash in the fiscal year 2007 period was for the acquisition of additional parts inventory to support large programs currently in process. In addition, accounts receivable increased but partially offset by an increase in accounts payable. In the three month period ended July 31, 2005, the significant decrease in operating cash flow was due primarily to the payment of income taxes related to the investment gains realized in the previous fiscal year as well as increases in the value of the Company's accounts receivable and inventory. For the full fiscal year 2007, the Company expects to generate positive cash flow from operating activities, particularly as billing milestones are achieved on certain of its large production contracts.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investing activities for the three months ended July 31, 2006, was $3.5 million compared to $2.9 million for the same period of fiscal year 2006. The principal source of cash in the fiscal year 2007 period was the sale or redemption of certain marketable securities aggregating $3.9 million. In the same period of the prior year, net sales of marketable securities were $3.4 million. During the three months ended July 31, 2006, the Company also acquired capital equipment for approximately $374,000 compared to $520,000 during the same period of the prior year. The Company may continue to acquire or sell marketable securities as dictated by its investment strategies as well as by the cash requirements for its development activities. Capital equipment purchases for all of fiscal year 2007 is expected to aggregate approximately $2.0 million. Internally generated cash is adequate to acquire this level of capital equipment.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provided by financing activities for the three months ended July 31, 2006, was $885,000 compared to cash used in financing activities in the amount of $852,000 during the comparable fiscal year 2006 period. Included in both fiscal periods is payment of the Company's semiannual dividend in the amount of $857,000 and $852,000, respectively. During the three months ended July 31, 2006, the Company borrowed $1.6 million under its line of credit to fund current operations rather than liquidating additional marketable securities. Such borrowings were repaid early in the second quarter of fiscal year 2007.</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July 31, 2006, the Company did not acquire any shares of its stock under this authorization.</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will continue to expend resources to develop and improve products for wireless and wireline communication systems which management believes will result in future growth and continued profitability. During fiscal year 2007, the Company has made and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w:t>
      </w:r>
    </w:p>
    <w:p>
      <w:pPr>
        <w:sectPr>
          <w:pgSz w:w="11900" w:h="16838" w:orient="portrait"/>
          <w:cols w:equalWidth="0" w:num="1">
            <w:col w:w="10219"/>
          </w:cols>
          <w:pgMar w:left="240" w:top="717"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adequate to fund these development efforts</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520"/>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42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520" w:firstLine="527"/>
        <w:spacing w:after="0" w:line="236" w:lineRule="auto"/>
        <w:rPr>
          <w:sz w:val="20"/>
          <w:szCs w:val="20"/>
          <w:color w:val="auto"/>
        </w:rPr>
      </w:pPr>
      <w:r>
        <w:rPr>
          <w:rFonts w:ascii="Courier New" w:cs="Courier New" w:eastAsia="Courier New" w:hAnsi="Courier New"/>
          <w:sz w:val="18"/>
          <w:szCs w:val="18"/>
          <w:color w:val="auto"/>
        </w:rPr>
        <w:t>At July 31, 2006, the Company's backlog amounted to approximately $37 million compared to $36 million at April 30, 2006. Of this backlog, approximately 80% is realizable in the next twelve months.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Off-Balance Sheet Arrangements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520" w:firstLine="527"/>
        <w:spacing w:after="0" w:line="237" w:lineRule="auto"/>
        <w:rPr>
          <w:sz w:val="20"/>
          <w:szCs w:val="20"/>
          <w:color w:val="auto"/>
        </w:rPr>
      </w:pPr>
      <w:r>
        <w:rPr>
          <w:rFonts w:ascii="Courier New" w:cs="Courier New" w:eastAsia="Courier New" w:hAnsi="Courier New"/>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Contractual obligations</w:t>
      </w:r>
    </w:p>
    <w:p>
      <w:pPr>
        <w:ind w:left="6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220" w:type="dxa"/>
        <w:tblCellMar>
          <w:top w:w="0" w:type="dxa"/>
          <w:left w:w="0" w:type="dxa"/>
          <w:bottom w:w="0" w:type="dxa"/>
          <w:right w:w="0" w:type="dxa"/>
        </w:tblCellMar>
      </w:tblPr>
      <w:tr>
        <w:trPr>
          <w:trHeight w:val="203"/>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As of July 31, 2006</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Less than</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Contractual Obligations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 Year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to</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 Years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 to 5 Years</w:t>
            </w:r>
          </w:p>
        </w:tc>
      </w:tr>
      <w:tr>
        <w:trPr>
          <w:trHeight w:val="203"/>
        </w:trPr>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Operating Lease Obligations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$1,452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$ 666</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672</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8,250*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w:t>
            </w:r>
          </w:p>
        </w:tc>
        <w:tc>
          <w:tcPr>
            <w:tcW w:w="580" w:type="dxa"/>
            <w:vAlign w:val="bottom"/>
          </w:tcPr>
          <w:p>
            <w:pPr>
              <w:spacing w:after="0"/>
              <w:rPr>
                <w:sz w:val="17"/>
                <w:szCs w:val="17"/>
                <w:color w:val="auto"/>
              </w:rPr>
            </w:pP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342</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306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$9,702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$ 991</w:t>
            </w:r>
          </w:p>
        </w:tc>
        <w:tc>
          <w:tcPr>
            <w:tcW w:w="1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$1,014</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306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520" w:firstLine="527"/>
        <w:spacing w:after="0" w:line="237" w:lineRule="auto"/>
        <w:rPr>
          <w:sz w:val="20"/>
          <w:szCs w:val="20"/>
          <w:color w:val="auto"/>
        </w:rPr>
      </w:pPr>
      <w:r>
        <w:rPr>
          <w:rFonts w:ascii="Courier New" w:cs="Courier New" w:eastAsia="Courier New" w:hAnsi="Courier New"/>
          <w:sz w:val="18"/>
          <w:szCs w:val="18"/>
          <w:color w:val="auto"/>
        </w:rPr>
        <w:t>*Deferred Compensation liability reflects payments due to current retirees receiving benefits. The amount of $7,378 in the more than 5 years column includes benefits due to participants in the plan who are not yet receiving benefits although some participants may opt to retire and begin receiving benefits within the next 5 years.</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Item 3.</w:t>
      </w: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ind w:left="220" w:hanging="212"/>
        <w:spacing w:after="0" w:line="237"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jc w:val="both"/>
        <w:ind w:right="520" w:firstLine="527"/>
        <w:spacing w:after="0" w:line="238" w:lineRule="auto"/>
        <w:rPr>
          <w:sz w:val="20"/>
          <w:szCs w:val="20"/>
          <w:color w:val="auto"/>
        </w:rPr>
      </w:pPr>
      <w:r>
        <w:rPr>
          <w:rFonts w:ascii="Courier New" w:cs="Courier New" w:eastAsia="Courier New" w:hAnsi="Courier New"/>
          <w:sz w:val="18"/>
          <w:szCs w:val="18"/>
          <w:color w:val="auto"/>
        </w:rPr>
        <w:t>The Company is exposed to market risk related to changes in interest rates and market values of securities. The Company's investments in fixed income and equity securities were approximately $18.1 million and $49,000, respectively, at July 31, 2006.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July 31, 2006, a 10% change in market interest rates would not have a material effect on the fair value of the Company's fixed income securities or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jc w:val="both"/>
        <w:ind w:right="520" w:firstLine="527"/>
        <w:spacing w:after="0" w:line="271"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July 31, 2006, the amount related to foreign currency exchange rates is a $3,554,000 unrealized gain.</w:t>
      </w:r>
    </w:p>
    <w:p>
      <w:pPr>
        <w:spacing w:after="0" w:line="186" w:lineRule="exact"/>
        <w:rPr>
          <w:sz w:val="20"/>
          <w:szCs w:val="20"/>
          <w:color w:val="auto"/>
        </w:rPr>
      </w:pPr>
    </w:p>
    <w:p>
      <w:pPr>
        <w:jc w:val="both"/>
        <w:ind w:right="520" w:firstLine="527"/>
        <w:spacing w:after="0" w:line="237" w:lineRule="auto"/>
        <w:rPr>
          <w:sz w:val="20"/>
          <w:szCs w:val="20"/>
          <w:color w:val="auto"/>
        </w:rPr>
      </w:pPr>
      <w:r>
        <w:rPr>
          <w:rFonts w:ascii="Courier New" w:cs="Courier New" w:eastAsia="Courier New" w:hAnsi="Courier New"/>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than</w:t>
      </w:r>
    </w:p>
    <w:p>
      <w:pPr>
        <w:spacing w:after="0" w:line="16" w:lineRule="exact"/>
        <w:rPr>
          <w:sz w:val="20"/>
          <w:szCs w:val="20"/>
          <w:color w:val="auto"/>
        </w:rPr>
      </w:pPr>
    </w:p>
    <w:p>
      <w:pPr>
        <w:ind w:left="320" w:hanging="217"/>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20" w:hanging="417"/>
        <w:spacing w:after="0"/>
        <w:tabs>
          <w:tab w:leader="none" w:pos="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w:t>
      </w:r>
    </w:p>
    <w:p>
      <w:pPr>
        <w:ind w:left="200"/>
        <w:spacing w:after="0" w:line="238" w:lineRule="auto"/>
        <w:rPr>
          <w:sz w:val="20"/>
          <w:szCs w:val="20"/>
          <w:color w:val="auto"/>
        </w:rPr>
      </w:pPr>
      <w:r>
        <w:rPr>
          <w:rFonts w:ascii="Courier New" w:cs="Courier New" w:eastAsia="Courier New" w:hAnsi="Courier New"/>
          <w:sz w:val="18"/>
          <w:szCs w:val="18"/>
          <w:color w:val="auto"/>
        </w:rPr>
        <w:t>7,378</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$7,420</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960" w:space="320"/>
            <w:col w:w="940"/>
          </w:cols>
          <w:pgMar w:left="240" w:top="717" w:right="1439" w:bottom="769"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rPr>
          <w:sz w:val="20"/>
          <w:szCs w:val="20"/>
          <w:color w:val="auto"/>
        </w:rPr>
      </w:pPr>
      <w:r>
        <w:rPr>
          <w:rFonts w:ascii="Courier New" w:cs="Courier New" w:eastAsia="Courier New" w:hAnsi="Courier New"/>
          <w:sz w:val="18"/>
          <w:szCs w:val="18"/>
          <w:color w:val="auto"/>
        </w:rPr>
        <w:t>- -----------------------</w:t>
      </w:r>
    </w:p>
    <w:p>
      <w:pPr>
        <w:ind w:left="540"/>
        <w:spacing w:after="0" w:line="237" w:lineRule="auto"/>
        <w:rPr>
          <w:sz w:val="20"/>
          <w:szCs w:val="20"/>
          <w:color w:val="auto"/>
        </w:rPr>
      </w:pPr>
      <w:r>
        <w:rPr>
          <w:rFonts w:ascii="Courier New" w:cs="Courier New" w:eastAsia="Courier New" w:hAnsi="Courier New"/>
          <w:sz w:val="18"/>
          <w:szCs w:val="18"/>
          <w:color w:val="auto"/>
        </w:rPr>
        <w:t>Disclosure Controls and Procedures.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w:t>
      </w:r>
    </w:p>
    <w:p>
      <w:pPr>
        <w:spacing w:after="0" w:line="13" w:lineRule="exact"/>
        <w:rPr>
          <w:sz w:val="20"/>
          <w:szCs w:val="20"/>
          <w:color w:val="auto"/>
        </w:rPr>
      </w:pPr>
    </w:p>
    <w:p>
      <w:pPr>
        <w:jc w:val="both"/>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1A, 2, 3, 4 and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w:t>
      </w:r>
    </w:p>
    <w:p>
      <w:pPr>
        <w:spacing w:after="0" w:line="207"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31.1 - Certification by the Chief Executive Officer Pursuant to Section 302 of the Sarbanes-Oxley Act of 2002.</w:t>
      </w:r>
    </w:p>
    <w:p>
      <w:pPr>
        <w:spacing w:after="0" w:line="6"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31.2 - Certification by the Chief Financial Officer Pursuant to Section 302 of the Sarbanes-Oxley Act of 2002</w:t>
      </w:r>
    </w:p>
    <w:p>
      <w:pPr>
        <w:spacing w:after="0" w:line="6" w:lineRule="exact"/>
        <w:rPr>
          <w:sz w:val="20"/>
          <w:szCs w:val="20"/>
          <w:color w:val="auto"/>
        </w:rPr>
      </w:pPr>
    </w:p>
    <w:p>
      <w:pPr>
        <w:ind w:left="960" w:right="1879" w:hanging="736"/>
        <w:spacing w:after="0" w:line="236" w:lineRule="auto"/>
        <w:rPr>
          <w:sz w:val="20"/>
          <w:szCs w:val="20"/>
          <w:color w:val="auto"/>
        </w:rPr>
      </w:pPr>
      <w:r>
        <w:rPr>
          <w:rFonts w:ascii="Courier New" w:cs="Courier New" w:eastAsia="Courier New" w:hAnsi="Courier New"/>
          <w:sz w:val="18"/>
          <w:szCs w:val="18"/>
          <w:color w:val="auto"/>
        </w:rPr>
        <w:t>32.1 - Certification by the Chief Executive Officer Pursuant to 18 U.S.C. Section 1350 Adopted Pursuant to Section 906 of the Sarbanes-Oxley Act of 2002.</w:t>
      </w:r>
    </w:p>
    <w:p>
      <w:pPr>
        <w:spacing w:after="0" w:line="6" w:lineRule="exact"/>
        <w:rPr>
          <w:sz w:val="20"/>
          <w:szCs w:val="20"/>
          <w:color w:val="auto"/>
        </w:rPr>
      </w:pPr>
    </w:p>
    <w:p>
      <w:pPr>
        <w:ind w:left="960" w:right="1879" w:hanging="736"/>
        <w:spacing w:after="0" w:line="236" w:lineRule="auto"/>
        <w:rPr>
          <w:sz w:val="20"/>
          <w:szCs w:val="20"/>
          <w:color w:val="auto"/>
        </w:rPr>
      </w:pPr>
      <w:r>
        <w:rPr>
          <w:rFonts w:ascii="Courier New" w:cs="Courier New" w:eastAsia="Courier New" w:hAnsi="Courier New"/>
          <w:sz w:val="18"/>
          <w:szCs w:val="18"/>
          <w:color w:val="auto"/>
        </w:rPr>
        <w:t>32.2 - Certification by the Chief Financial Officer Pursuant to 18 U.S.C. Section 1350 Adopted Pursuant to Section 906 of the Sarbanes-Oxley Act of 2002.</w:t>
      </w:r>
    </w:p>
    <w:p>
      <w:pPr>
        <w:sectPr>
          <w:pgSz w:w="11900" w:h="16838" w:orient="portrait"/>
          <w:cols w:equalWidth="0" w:num="1">
            <w:col w:w="10219"/>
          </w:cols>
          <w:pgMar w:left="240" w:top="717" w:right="1440" w:bottom="1440" w:gutter="0" w:footer="0" w:header="0"/>
        </w:sectPr>
      </w:pPr>
    </w:p>
    <w:bookmarkStart w:id="19" w:name="page20"/>
    <w:bookmarkEnd w:id="19"/>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FREQUENCY ELECTRONICS, INC.</w:t>
      </w:r>
    </w:p>
    <w:p>
      <w:pPr>
        <w:ind w:left="56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14, 2006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3">
            <w:col w:w="4020" w:space="720"/>
            <w:col w:w="220" w:space="320"/>
            <w:col w:w="4939"/>
          </w:cols>
          <w:pgMar w:left="240" w:top="717" w:right="1440" w:bottom="1440" w:gutter="0" w:footer="0" w:header="0"/>
          <w:type w:val="continuous"/>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4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587"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8"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4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firstLine="1"/>
        <w:spacing w:after="0" w:line="275" w:lineRule="auto"/>
        <w:tabs>
          <w:tab w:leader="none" w:pos="1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060" w:right="1779" w:firstLine="1"/>
        <w:spacing w:after="0" w:line="236" w:lineRule="auto"/>
        <w:tabs>
          <w:tab w:leader="none" w:pos="14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2006</w:t>
      </w:r>
    </w:p>
    <w:p>
      <w:pPr>
        <w:sectPr>
          <w:pgSz w:w="11900" w:h="16838" w:orient="portrait"/>
          <w:cols w:equalWidth="0" w:num="2">
            <w:col w:w="4660" w:space="720"/>
            <w:col w:w="4839"/>
          </w:cols>
          <w:pgMar w:left="240" w:top="717" w:right="1440" w:bottom="1440" w:gutter="0" w:footer="0" w:header="0"/>
          <w:type w:val="continuous"/>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48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58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8" w:lineRule="exact"/>
        <w:rPr>
          <w:rFonts w:ascii="Courier New" w:cs="Courier New" w:eastAsia="Courier New" w:hAnsi="Courier New"/>
          <w:sz w:val="18"/>
          <w:szCs w:val="18"/>
          <w:color w:val="auto"/>
        </w:rPr>
      </w:pPr>
    </w:p>
    <w:p>
      <w:pPr>
        <w:jc w:val="both"/>
        <w:ind w:left="1060" w:right="1779" w:firstLine="1"/>
        <w:spacing w:after="0" w:line="237" w:lineRule="auto"/>
        <w:tabs>
          <w:tab w:leader="none" w:pos="148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firstLine="1"/>
        <w:spacing w:after="0" w:line="275" w:lineRule="auto"/>
        <w:tabs>
          <w:tab w:leader="none" w:pos="14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060" w:right="1779" w:firstLine="1"/>
        <w:spacing w:after="0" w:line="236" w:lineRule="auto"/>
        <w:tabs>
          <w:tab w:leader="none" w:pos="148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2006</w:t>
      </w:r>
    </w:p>
    <w:p>
      <w:pPr>
        <w:sectPr>
          <w:pgSz w:w="11900" w:h="16838" w:orient="portrait"/>
          <w:cols w:equalWidth="0" w:num="2">
            <w:col w:w="5080" w:space="720"/>
            <w:col w:w="4419"/>
          </w:cols>
          <w:pgMar w:left="240" w:top="717" w:right="1440" w:bottom="1440" w:gutter="0" w:footer="0" w:header="0"/>
          <w:type w:val="continuous"/>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2006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2006</w:t>
      </w:r>
    </w:p>
    <w:p>
      <w:pPr>
        <w:spacing w:after="0" w:line="807" w:lineRule="exact"/>
        <w:rPr>
          <w:sz w:val="20"/>
          <w:szCs w:val="20"/>
          <w:color w:val="auto"/>
        </w:rPr>
      </w:pPr>
    </w:p>
    <w:p>
      <w:pPr>
        <w:sectPr>
          <w:pgSz w:w="11900" w:h="16838" w:orient="portrait"/>
          <w:cols w:equalWidth="0" w:num="2">
            <w:col w:w="4760" w:space="720"/>
            <w:col w:w="473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717" w:right="1440" w:bottom="1440" w:gutter="0" w:footer="0" w:header="0"/>
          <w:type w:val="continuous"/>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2006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2006</w:t>
      </w:r>
    </w:p>
    <w:p>
      <w:pPr>
        <w:spacing w:after="0" w:line="807"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226"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2019-12-12T09:05:25Z</dcterms:created>
  <dcterms:modified xsi:type="dcterms:W3CDTF">2019-12-12T09:05:25Z</dcterms:modified>
</cp:coreProperties>
</file>