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177165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 (d)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July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3600" w:right="1920" w:hanging="2944"/>
        <w:spacing w:after="0" w:line="495" w:lineRule="auto"/>
        <w:tabs>
          <w:tab w:leader="none" w:pos="85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660"/>
        <w:spacing w:after="0"/>
        <w:rPr>
          <w:rFonts w:ascii="MS PGothic" w:cs="MS PGothic" w:eastAsia="MS PGothic" w:hAnsi="MS PGothic"/>
          <w:sz w:val="18"/>
          <w:szCs w:val="18"/>
          <w:color w:val="auto"/>
        </w:rPr>
      </w:pPr>
      <w:r>
        <w:rPr>
          <w:rFonts w:ascii="Arial" w:cs="Arial" w:eastAsia="Arial" w:hAnsi="Arial"/>
          <w:sz w:val="18"/>
          <w:szCs w:val="18"/>
          <w:color w:val="auto"/>
        </w:rPr>
        <w:t>Commission File No. 1-8061</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FREQUENCY ELECTRONICS,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11-1986657</w:t>
            </w:r>
          </w:p>
        </w:tc>
      </w:tr>
      <w:tr>
        <w:trPr>
          <w:trHeight w:val="20"/>
        </w:trPr>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gridSpan w:val="5"/>
          </w:tcPr>
          <w:p>
            <w:pPr>
              <w:jc w:val="center"/>
              <w:ind w:left="9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color w:val="auto"/>
                <w:w w:val="92"/>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Arial" w:cs="Arial" w:eastAsia="Arial" w:hAnsi="Arial"/>
                <w:sz w:val="18"/>
                <w:szCs w:val="18"/>
                <w:b w:val="1"/>
                <w:bCs w:val="1"/>
                <w:color w:val="auto"/>
              </w:rPr>
              <w:t>55 CHARLES LINDBERGH BLVD., MITCHEL FIELD, N.Y.</w:t>
            </w:r>
          </w:p>
        </w:tc>
        <w:tc>
          <w:tcPr>
            <w:tcW w:w="27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432"/>
        </w:trPr>
        <w:tc>
          <w:tcPr>
            <w:tcW w:w="62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78" w:right="239" w:bottom="144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9" w:lineRule="exact"/>
        <w:rPr>
          <w:sz w:val="24"/>
          <w:szCs w:val="24"/>
          <w:color w:val="auto"/>
        </w:rPr>
      </w:pPr>
    </w:p>
    <w:p>
      <w:pPr>
        <w:sectPr>
          <w:pgSz w:w="11900" w:h="16838" w:orient="portrait"/>
          <w:cols w:equalWidth="0" w:num="2">
            <w:col w:w="5660" w:space="720"/>
            <w:col w:w="5040"/>
          </w:cols>
          <w:pgMar w:left="240" w:top="378" w:right="239" w:bottom="1440" w:gutter="0" w:footer="0" w:header="0"/>
          <w:type w:val="continuous"/>
        </w:sectPr>
      </w:pPr>
    </w:p>
    <w:p>
      <w:pPr>
        <w:spacing w:after="0" w:line="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September 12, 2018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40" w:type="dxa"/>
            <w:vAlign w:val="bottom"/>
            <w:gridSpan w:val="7"/>
          </w:tcPr>
          <w:p>
            <w:pPr>
              <w:jc w:val="center"/>
              <w:ind w:right="2080"/>
              <w:spacing w:after="0"/>
              <w:rPr>
                <w:sz w:val="20"/>
                <w:szCs w:val="20"/>
                <w:color w:val="auto"/>
              </w:rPr>
            </w:pPr>
            <w:r>
              <w:rPr>
                <w:rFonts w:ascii="Arial" w:cs="Arial" w:eastAsia="Arial" w:hAnsi="Arial"/>
                <w:sz w:val="18"/>
                <w:szCs w:val="18"/>
                <w:b w:val="1"/>
                <w:bCs w:val="1"/>
                <w:color w:val="auto"/>
                <w:w w:val="99"/>
              </w:rPr>
              <w:t>FREQUENCY ELECTRONICS, INC. and SUBSIDIARIES</w:t>
            </w:r>
          </w:p>
        </w:tc>
        <w:tc>
          <w:tcPr>
            <w:tcW w:w="8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4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r>
      <w:tr>
        <w:trPr>
          <w:trHeight w:val="432"/>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Page No.</w:t>
            </w:r>
          </w:p>
        </w:tc>
      </w:tr>
      <w:tr>
        <w:trPr>
          <w:trHeight w:val="385"/>
        </w:trPr>
        <w:tc>
          <w:tcPr>
            <w:tcW w:w="500" w:type="dxa"/>
            <w:vAlign w:val="bottom"/>
          </w:tcPr>
          <w:p>
            <w:pPr>
              <w:spacing w:after="0"/>
              <w:rPr>
                <w:sz w:val="24"/>
                <w:szCs w:val="24"/>
                <w:color w:val="auto"/>
              </w:rPr>
            </w:pPr>
          </w:p>
        </w:tc>
        <w:tc>
          <w:tcPr>
            <w:tcW w:w="101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 Financial Statements:</w:t>
              </w:r>
            </w:hyperlink>
          </w:p>
        </w:tc>
        <w:tc>
          <w:tcPr>
            <w:tcW w:w="8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July 31, 2018 (unaudited) and April 30, 2018</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and Comprehensive (Loss) Income (unaudited) Three Months Ended July 31,</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2018 and 2017</w:t>
              </w:r>
            </w:hyperlink>
          </w:p>
        </w:tc>
        <w:tc>
          <w:tcPr>
            <w:tcW w:w="8200" w:type="dxa"/>
            <w:vAlign w:val="bottom"/>
            <w:tcBorders>
              <w:top w:val="single" w:sz="8" w:color="0000EE"/>
            </w:tcBorders>
            <w:gridSpan w:val="8"/>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4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(unaudited) Three Months Ended July 31, 2018 and 2017</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12"/>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Borders>
              <w:top w:val="single" w:sz="8" w:color="0000EE"/>
            </w:tcBorders>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76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6-16</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2</w:t>
              </w:r>
            </w:hyperlink>
          </w:p>
        </w:tc>
        <w:tc>
          <w:tcPr>
            <w:tcW w:w="9640" w:type="dxa"/>
            <w:vAlign w:val="bottom"/>
            <w:gridSpan w:val="12"/>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 Management’s Discussion and Analysis of Financial Condition and Results of Operations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17-23</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3</w:t>
              </w:r>
            </w:hyperlink>
          </w:p>
        </w:tc>
        <w:tc>
          <w:tcPr>
            <w:tcW w:w="6580" w:type="dxa"/>
            <w:vAlign w:val="bottom"/>
            <w:tcBorders>
              <w:top w:val="single" w:sz="8" w:color="0000EE"/>
            </w:tcBorders>
            <w:gridSpan w:val="9"/>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 Quantitative and Qualitative Disclosures About Market Risk</w:t>
              </w:r>
            </w:hyperlink>
          </w:p>
        </w:tc>
        <w:tc>
          <w:tcPr>
            <w:tcW w:w="30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12"/>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4</w:t>
              </w:r>
            </w:hyperlink>
          </w:p>
        </w:tc>
        <w:tc>
          <w:tcPr>
            <w:tcW w:w="190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 Controls and Procedures</w:t>
              </w:r>
            </w:hyperlink>
          </w:p>
        </w:tc>
        <w:tc>
          <w:tcPr>
            <w:tcW w:w="2580" w:type="dxa"/>
            <w:vAlign w:val="bottom"/>
            <w:tcBorders>
              <w:top w:val="single" w:sz="8" w:color="0000EE"/>
            </w:tcBorders>
          </w:tcPr>
          <w:p>
            <w:pPr>
              <w:spacing w:after="0"/>
              <w:rPr>
                <w:sz w:val="24"/>
                <w:szCs w:val="24"/>
                <w:color w:val="auto"/>
              </w:rPr>
            </w:pPr>
          </w:p>
        </w:tc>
        <w:tc>
          <w:tcPr>
            <w:tcW w:w="516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53"/>
        </w:trPr>
        <w:tc>
          <w:tcPr>
            <w:tcW w:w="1062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80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480" w:type="dxa"/>
            <w:vAlign w:val="bottom"/>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6</w:t>
              </w:r>
            </w:hyperlink>
          </w:p>
        </w:tc>
        <w:tc>
          <w:tcPr>
            <w:tcW w:w="9640" w:type="dxa"/>
            <w:vAlign w:val="bottom"/>
            <w:gridSpan w:val="12"/>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 Exhibits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12"/>
        </w:trPr>
        <w:tc>
          <w:tcPr>
            <w:tcW w:w="50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892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1027"/>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July 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April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vMerge w:val="restart"/>
          </w:tcPr>
          <w:p>
            <w:pPr>
              <w:ind w:left="362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5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Marketable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7,178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$175 at July 31, 2018 and $181 at April 30, 2018</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Costs and estimated earnings in excess of billings, net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6,732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Prepaid income taxes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and other</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52,059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52,075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 equipment, at cost, net of</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depreciation and amortization</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14,041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life insurance and cash held in trust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83,533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 trade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3,174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rent and other liabilities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Commitments and contingencies</w:t>
            </w: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Preferred stock - $1.00 par value authorized 600 shares, no shares issued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rPr>
              <w:t>Common stock - $1.00 par value; authorized 20,000 shares, 9,164 shares issued,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8"/>
              </w:rPr>
              <w:t>8,881 shares outstanding at July 31, 2018; 8,867 shares outstanding at April 30, 2018</w:t>
            </w: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Additional paid-in capital</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56,610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Retained earnings (accumulated deficit)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640"/>
              <w:spacing w:after="0" w:line="201" w:lineRule="exact"/>
              <w:rPr>
                <w:sz w:val="20"/>
                <w:szCs w:val="20"/>
                <w:color w:val="auto"/>
              </w:rPr>
            </w:pPr>
            <w:r>
              <w:rPr>
                <w:rFonts w:ascii="Arial" w:cs="Arial" w:eastAsia="Arial" w:hAnsi="Arial"/>
                <w:sz w:val="18"/>
                <w:szCs w:val="18"/>
                <w:color w:val="auto"/>
              </w:rPr>
              <w:t>Common stock reacquired and held in treasury -</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800"/>
              <w:spacing w:after="0"/>
              <w:rPr>
                <w:sz w:val="20"/>
                <w:szCs w:val="20"/>
                <w:color w:val="auto"/>
              </w:rPr>
            </w:pPr>
            <w:r>
              <w:rPr>
                <w:rFonts w:ascii="Arial" w:cs="Arial" w:eastAsia="Arial" w:hAnsi="Arial"/>
                <w:sz w:val="18"/>
                <w:szCs w:val="18"/>
                <w:color w:val="auto"/>
              </w:rPr>
              <w:t>at cost (283 shares at July 31, 2018 and 297 shares at April 30, 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other comprehensive income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63,969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83,533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4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11,011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Gross margin</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2,540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Operating income</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Investment income</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Interest expense</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(expense) income, net</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 earnings from continued operations</w:t>
            </w: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Basic loss from discontinued operations</w:t>
            </w: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Basic earnings per share</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Diluted earnings from continued operations</w:t>
            </w:r>
          </w:p>
        </w:tc>
        <w:tc>
          <w:tcPr>
            <w:tcW w:w="1380" w:type="dxa"/>
            <w:vAlign w:val="bottom"/>
          </w:tcPr>
          <w:p>
            <w:pPr>
              <w:spacing w:after="0"/>
              <w:rPr>
                <w:sz w:val="17"/>
                <w:szCs w:val="17"/>
                <w:color w:val="auto"/>
              </w:rPr>
            </w:pP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Diluted loss from discontinued operations</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Diluted earnings per share</w:t>
            </w:r>
          </w:p>
        </w:tc>
        <w:tc>
          <w:tcPr>
            <w:tcW w:w="1380" w:type="dxa"/>
            <w:vAlign w:val="bottom"/>
          </w:tcPr>
          <w:p>
            <w:pPr>
              <w:spacing w:after="0"/>
              <w:rPr>
                <w:sz w:val="17"/>
                <w:szCs w:val="17"/>
                <w:color w:val="auto"/>
              </w:rPr>
            </w:pP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0.00</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gridSpan w:val="2"/>
          </w:tcPr>
          <w:p>
            <w:pPr>
              <w:ind w:left="640"/>
              <w:spacing w:after="0" w:line="196" w:lineRule="exact"/>
              <w:rPr>
                <w:sz w:val="20"/>
                <w:szCs w:val="20"/>
                <w:color w:val="auto"/>
              </w:rPr>
            </w:pPr>
            <w:r>
              <w:rPr>
                <w:rFonts w:ascii="Arial" w:cs="Arial" w:eastAsia="Arial" w:hAnsi="Arial"/>
                <w:sz w:val="18"/>
                <w:szCs w:val="18"/>
                <w:color w:val="auto"/>
              </w:rPr>
              <w:t>Diluted</w:t>
            </w: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8,990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Condensed Consolidated Statements of Comprehensive (Loss) Income</w:t>
            </w:r>
          </w:p>
        </w:tc>
        <w:tc>
          <w:tcPr>
            <w:tcW w:w="13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Net income</w:t>
            </w:r>
          </w:p>
        </w:tc>
        <w:tc>
          <w:tcPr>
            <w:tcW w:w="23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comprehensive loss:</w:t>
            </w:r>
          </w:p>
        </w:tc>
        <w:tc>
          <w:tcPr>
            <w:tcW w:w="1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Foreign currency translation adjustment</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Unrealized loss on marketable securities:</w:t>
            </w:r>
          </w:p>
        </w:tc>
        <w:tc>
          <w:tcPr>
            <w:tcW w:w="1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tcPr>
          <w:p>
            <w:pPr>
              <w:ind w:left="640"/>
              <w:spacing w:after="0" w:line="201" w:lineRule="exact"/>
              <w:rPr>
                <w:sz w:val="20"/>
                <w:szCs w:val="20"/>
                <w:color w:val="auto"/>
              </w:rPr>
            </w:pPr>
            <w:r>
              <w:rPr>
                <w:rFonts w:ascii="Arial" w:cs="Arial" w:eastAsia="Arial" w:hAnsi="Arial"/>
                <w:sz w:val="18"/>
                <w:szCs w:val="18"/>
                <w:color w:val="auto"/>
              </w:rPr>
              <w:t>Change in market value of marketable securities before</w:t>
            </w: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tcPr>
          <w:p>
            <w:pPr>
              <w:ind w:left="680"/>
              <w:spacing w:after="0"/>
              <w:rPr>
                <w:sz w:val="20"/>
                <w:szCs w:val="20"/>
                <w:color w:val="auto"/>
              </w:rPr>
            </w:pPr>
            <w:r>
              <w:rPr>
                <w:rFonts w:ascii="Arial" w:cs="Arial" w:eastAsia="Arial" w:hAnsi="Arial"/>
                <w:sz w:val="18"/>
                <w:szCs w:val="18"/>
                <w:color w:val="auto"/>
              </w:rPr>
              <w:t>reclassification, net of tax of ($19) in 2017</w:t>
            </w: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rPr>
              <w:t>Reclassification adjustment for realized gains included in</w:t>
            </w: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income, net of tax of $355 in 2017</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Total unrealized loss on marketable securities, net of tax</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640"/>
              <w:spacing w:after="0"/>
              <w:rPr>
                <w:sz w:val="20"/>
                <w:szCs w:val="20"/>
                <w:color w:val="auto"/>
              </w:rPr>
            </w:pPr>
            <w:r>
              <w:rPr>
                <w:rFonts w:ascii="Arial" w:cs="Arial" w:eastAsia="Arial" w:hAnsi="Arial"/>
                <w:sz w:val="18"/>
                <w:szCs w:val="18"/>
                <w:color w:val="auto"/>
              </w:rPr>
              <w:t>Total other comprehensive loss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Comprehensive (loss) income</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July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loss from discontinued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Non-cash charges to earnings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changes in operating assets and liabilities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(used in) provided by operating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operating activities – discontinued operations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20"/>
              <w:spacing w:after="0"/>
              <w:rPr>
                <w:sz w:val="20"/>
                <w:szCs w:val="20"/>
                <w:color w:val="auto"/>
              </w:rPr>
            </w:pPr>
            <w:r>
              <w:rPr>
                <w:rFonts w:ascii="Arial" w:cs="Arial" w:eastAsia="Arial" w:hAnsi="Arial"/>
                <w:sz w:val="18"/>
                <w:szCs w:val="18"/>
                <w:color w:val="auto"/>
              </w:rPr>
              <w:t>Net cash (used in) provided by operating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Proceeds on redemption of marketable securities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Purchase of marketable securities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(1,636)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Purchase of fixed assets and other assets</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(used in) provided by investing activities – continuing operations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 – discontinued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Tax benefit from exercise of stock-based compensation</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cash and cash equivalents before effect of exchange rate changes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(5,085)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(5,248)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Less cash and equivalents of discontinued operations at end of period</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2,621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Cash paid during the period for:</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640"/>
              <w:spacing w:after="0" w:line="196" w:lineRule="exact"/>
              <w:rPr>
                <w:sz w:val="20"/>
                <w:szCs w:val="20"/>
                <w:color w:val="auto"/>
              </w:rPr>
            </w:pPr>
            <w:r>
              <w:rPr>
                <w:rFonts w:ascii="Arial" w:cs="Arial" w:eastAsia="Arial" w:hAnsi="Arial"/>
                <w:sz w:val="18"/>
                <w:szCs w:val="18"/>
                <w:color w:val="auto"/>
              </w:rPr>
              <w:t>Income Taxes</w:t>
            </w:r>
          </w:p>
        </w:tc>
        <w:tc>
          <w:tcPr>
            <w:tcW w:w="980" w:type="dxa"/>
            <w:vAlign w:val="bottom"/>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CONDENSED CONSOLIDATED FINANCIAL STATEMENTS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2018 and the results of its operations and cash flows for the three months ended July 31, 2018 and 2017. The April 30, 2018 condensed consolidated balance sheet was derived from audited financial statements. Certain information and footnote disclosures normally included in financial statements prepared in accordance with generally accepted accounting principles in the United States (“U.S. GAAP”) have been condensed or omitted. It is suggested that these condensed consolidated financial statements be read in conjunction with the Company’s Annual Report on Form 10-K for the year ended April 30, 2018, filed on July 30, 2018, and the financial statements and notes thereto. The results of operations for such interim periods are not necessarily indicative of the operating results for the full fiscal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NOTE B – DISCONTINUED OPERATIONS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December 2016, the Company entered into a contingent share purchase agreement with certain foreign parties with respect to a potential sale of Gillam-FEI s.a., the Company’s Belgian subsidiary (“Gillam”). However, these parties did not perform their obligations under that agreement, and the Company continued to negotiate with other parties with respect to a potential sale. In April 2017, the Company decided to sell its Gillam business as soon as practicable. Accordingly, the Company determined that the assets and liabilities of this reportable segment met the discontinued operations criteria as defined in U.S. GAAP in the quarter ended April 30, 2017. On April 26, 2018, the Company sold Gillam to a European entity in a stock purchase agreement for $1.0 million in cash, which was received on April 27, 2018, and a note payable in three years for an additional $1.0 million. The loss recorded due to the sale of Gillam was approximately $359,000, which represented the carrying amount of the investment on FEI-NY’s books less the retained earnings and remaining Gillam equity value reduced by the cash received and the value of the note receivable. As such Gillam’s results have been classified as discontinued operations in the accompanying Consolidated Statements of Operations and Comprehensive (Loss) Income for fiscal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operating results for the Gillam discontinued operations, for the three months ended July 31,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July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5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(In thousands except</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par 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revenues</w:t>
            </w:r>
          </w:p>
        </w:tc>
        <w:tc>
          <w:tcPr>
            <w:tcW w:w="3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Gross Margin</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Operating Loss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Other income (expense), net</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6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281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C – EARNINGS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 of the weighted average shares outstanding for basic and diluted Earnings Per Share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426"/>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5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72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8,876,416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8,826,026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640"/>
              <w:spacing w:after="0"/>
              <w:rPr>
                <w:sz w:val="20"/>
                <w:szCs w:val="20"/>
                <w:color w:val="auto"/>
              </w:rPr>
            </w:pPr>
            <w:r>
              <w:rPr>
                <w:rFonts w:ascii="Arial" w:cs="Arial" w:eastAsia="Arial" w:hAnsi="Arial"/>
                <w:sz w:val="18"/>
                <w:szCs w:val="18"/>
                <w:color w:val="auto"/>
              </w:rPr>
              <w:t>Effect of dilutive securities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114,055</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Diluted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8,990,471</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8,967,307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computation of diluted Earnings Per Share for the three months ending July 31, 2018 and 2017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36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 July 31,</w:t>
            </w:r>
          </w:p>
        </w:tc>
      </w:tr>
      <w:tr>
        <w:trPr>
          <w:trHeight w:val="426"/>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and SARS excluded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893,500</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D – COSTS AND ESTIMATED EARNINGS IN EXCESS OF BILLINGS,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July 31, 2018 and April 30, 2018, costs and estimated earnings in excess of billings, net,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2018</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jc w:val="right"/>
              <w:ind w:right="1030"/>
              <w:spacing w:after="0"/>
              <w:rPr>
                <w:sz w:val="20"/>
                <w:szCs w:val="20"/>
                <w:color w:val="auto"/>
              </w:rPr>
            </w:pPr>
            <w:r>
              <w:rPr>
                <w:rFonts w:ascii="Arial" w:cs="Arial" w:eastAsia="Arial" w:hAnsi="Arial"/>
                <w:sz w:val="16"/>
                <w:szCs w:val="16"/>
                <w:color w:val="auto"/>
                <w:w w:val="73"/>
              </w:rPr>
              <w:t>thousands)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asset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For the most part, the recorded amounts will be billed and collected or revenue recognized within twelve months of the balance sheet date. Revenue on these long-term contracts is accounted for on a percentage of completion basis. During three months ended July 31, 2018 and 2017, revenue recognized under percentage of completion contracts was approximately $9.3 million and $6.4 million, respectively. If contract losses are anticipated, costs and estimated earnings in excess of billings are reduced for the full amount of such losses when they are determinable. Total contract losses at July 31, 2018 were approximately $70,000. There were no contract losses for the same fiscal 2018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E – TREASURY STOCK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three months period ended July 31, 2018, the Company made contributions of 14,339 shares of its common stock held in treasury to the Company’s profit sharing plan and trust under Section 401(k) of the Internal Revenue Code. Such contributions are in accordance with the Company’s discretionary match of employee voluntary contributions to this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F –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which are reported at the lower of cost or net realizable value,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July 31, 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 2018</w:t>
            </w: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5"/>
              </w:rPr>
              <w:t>(In 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 Parts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Work in Progress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26,341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26,186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31, 2018 and April 30, 2018, approximately $25.5 million and $25.2 million, respectively, of total inventory was located in the United States and $0.9 million and $1.0 million, respectively, was located in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G – SEGMENT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840" w:hanging="481"/>
        <w:spacing w:after="0" w:line="255"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 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89" w:lineRule="exact"/>
        <w:rPr>
          <w:rFonts w:ascii="Arial" w:cs="Arial" w:eastAsia="Arial" w:hAnsi="Arial"/>
          <w:sz w:val="18"/>
          <w:szCs w:val="18"/>
          <w:color w:val="auto"/>
        </w:rPr>
      </w:pPr>
    </w:p>
    <w:p>
      <w:pPr>
        <w:jc w:val="both"/>
        <w:ind w:left="840" w:hanging="481"/>
        <w:spacing w:after="0" w:line="286" w:lineRule="auto"/>
        <w:tabs>
          <w:tab w:leader="none" w:pos="8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 S. market.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management measures segment performance based on total revenues and profits generated by each geographic location rather than on the specific types of products, customers or end-users. Consequently, the Company determined that the segments indicated above most appropriately reflect the way the Company’s management views the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information about reported segments with reconciliation of segment amounts to consolidated amounts as reported in the statement of operations or the balance sheet for each of the periods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426"/>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intercompany revenues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Consolidated revenues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11,011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Consolidated operating profit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July 31, 2018</w:t>
            </w:r>
          </w:p>
        </w:tc>
        <w:tc>
          <w:tcPr>
            <w:tcW w:w="140" w:type="dxa"/>
            <w:vAlign w:val="bottom"/>
          </w:tcPr>
          <w:p>
            <w:pPr>
              <w:spacing w:after="0"/>
              <w:rPr>
                <w:sz w:val="24"/>
                <w:szCs w:val="2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2018</w:t>
            </w: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8"/>
              </w:rPr>
              <w:t>FEI-NY (approximately $1.5 and $1.7 million in China in fiscal</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years 2019 and 2018, respectively)</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balances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identifiable assets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H – INVESTMENT IN MORION, INC.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three months ended July 31, 2018 and 2017, the Company acquired product from Morion in the aggregate amount of approximately $68,000 and $64,000, respectively, and the Company sold product and training services to Morion in the aggregate amount of approximately $2,000 and $182,000, respectively, included in revenues in the statement of operations as part of the FEI-NY segment. At July 31, 2018, approximately $4,000 was payable to Morion. At July 31, 2018 there was no receivable related to Morion. During the three months ended July 31, 2018, the Company did not receive a dividend from Morion. During the three months ended July 31, 2017, the Company received a dividend from Morion in the amount of approximately $51,000 included in other income (expense) in the statement of operations as part of the FEI-NY segment.</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Morion operates as a subsidiary of Gazprombank, a state-owned Russian bank. On July 16, 2014, after the Company’s investment in Morion, Gazprombank became subject to the U. S. Department of Treasury’s prohibition against U. S. persons from providing it with new financing.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I – 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gross unrealized gains, gross unrealized losses, and fair market value of available-for-sale securities at July 31, 2018 and April 30, 2018, respectively,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July 31, 2018</w:t>
            </w: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7,178</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April 30, 2018</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220" w:type="dxa"/>
            <w:vAlign w:val="bottom"/>
          </w:tcPr>
          <w:p>
            <w:pPr>
              <w:spacing w:after="0"/>
              <w:rPr>
                <w:sz w:val="16"/>
                <w:szCs w:val="16"/>
                <w:color w:val="auto"/>
              </w:rPr>
            </w:pPr>
          </w:p>
        </w:tc>
        <w:tc>
          <w:tcPr>
            <w:tcW w:w="1600" w:type="dxa"/>
            <w:vAlign w:val="bottom"/>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Gross Unrealized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Fair Market Value</w:t>
            </w:r>
          </w:p>
        </w:tc>
        <w:tc>
          <w:tcPr>
            <w:tcW w:w="100" w:type="dxa"/>
            <w:vAlign w:val="bottom"/>
          </w:tcPr>
          <w:p>
            <w:pPr>
              <w:spacing w:after="0"/>
              <w:rPr>
                <w:sz w:val="20"/>
                <w:szCs w:val="20"/>
                <w:color w:val="auto"/>
              </w:rPr>
            </w:pPr>
          </w:p>
        </w:tc>
      </w:tr>
      <w:tr>
        <w:trPr>
          <w:trHeight w:val="23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vMerge w:val="restart"/>
          </w:tcPr>
          <w:p>
            <w:pPr>
              <w:jc w:val="center"/>
              <w:spacing w:after="0"/>
              <w:rPr>
                <w:sz w:val="20"/>
                <w:szCs w:val="20"/>
                <w:color w:val="auto"/>
              </w:rPr>
            </w:pPr>
            <w:r>
              <w:rPr>
                <w:rFonts w:ascii="Arial" w:cs="Arial" w:eastAsia="Arial" w:hAnsi="Arial"/>
                <w:sz w:val="18"/>
                <w:szCs w:val="18"/>
                <w:color w:val="auto"/>
                <w:w w:val="91"/>
              </w:rPr>
              <w:t>July 31, 2018</w:t>
            </w:r>
          </w:p>
        </w:tc>
        <w:tc>
          <w:tcPr>
            <w:tcW w:w="140" w:type="dxa"/>
            <w:vAlign w:val="bottom"/>
            <w:vMerge w:val="restart"/>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7"/>
        </w:trPr>
        <w:tc>
          <w:tcPr>
            <w:tcW w:w="3200" w:type="dxa"/>
            <w:vAlign w:val="bottom"/>
            <w:tcBorders>
              <w:top w:val="single" w:sz="8" w:color="CCEEFF"/>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5"/>
              </w:rPr>
              <w:t>April 30, 2018</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Fixed Income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2018 were other-than-temporary due to market volatility of the security’s fair value, analysts’ expectations, and the Company’s ability to hold the securities for a period of time sufficient to allow for any anticipated recoveries in market value.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July 31, 2018 the Company sold or redeemed available-for-sale securities in the amounts of $595,000, with no material losses. During the three months ended July 31, 2017, the Company sold or redeemed available-for-sale securities in the amount $6.3 million, realizing gains of approximately $1.0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fixed income securities classified as available-for-sale at July 31, 2018 were as follows (at cost,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39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5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920" w:type="dxa"/>
            <w:vAlign w:val="bottom"/>
            <w:vMerge w:val="restart"/>
          </w:tcPr>
          <w:p>
            <w:pPr>
              <w:jc w:val="right"/>
              <w:ind w:right="2770"/>
              <w:spacing w:after="0"/>
              <w:rPr>
                <w:sz w:val="20"/>
                <w:szCs w:val="20"/>
                <w:color w:val="auto"/>
              </w:rPr>
            </w:pPr>
            <w:r>
              <w:rPr>
                <w:rFonts w:ascii="Arial" w:cs="Arial" w:eastAsia="Arial" w:hAnsi="Arial"/>
                <w:sz w:val="18"/>
                <w:szCs w:val="18"/>
                <w:color w:val="auto"/>
              </w:rPr>
              <w:t>10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6" w:lineRule="exact"/>
        <w:rPr>
          <w:sz w:val="20"/>
          <w:szCs w:val="20"/>
          <w:color w:val="auto"/>
        </w:rPr>
      </w:pPr>
    </w:p>
    <w:p>
      <w:pPr>
        <w:ind w:left="1540" w:right="20" w:hanging="890"/>
        <w:spacing w:after="0" w:line="277" w:lineRule="auto"/>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Company has the ability to access.</w:t>
      </w:r>
    </w:p>
    <w:p>
      <w:pPr>
        <w:spacing w:after="0" w:line="17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23" w:lineRule="exact"/>
        <w:rPr>
          <w:sz w:val="20"/>
          <w:szCs w:val="20"/>
          <w:color w:val="auto"/>
        </w:rPr>
      </w:pPr>
    </w:p>
    <w:p>
      <w:pPr>
        <w:ind w:left="1620" w:hanging="10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1620" w:hanging="10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1620" w:hanging="108"/>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9" w:lineRule="exact"/>
        <w:rPr>
          <w:rFonts w:ascii="Arial" w:cs="Arial" w:eastAsia="Arial" w:hAnsi="Arial"/>
          <w:sz w:val="18"/>
          <w:szCs w:val="18"/>
          <w:color w:val="auto"/>
        </w:rPr>
      </w:pPr>
    </w:p>
    <w:p>
      <w:pPr>
        <w:ind w:left="1620" w:right="2620" w:hanging="108"/>
        <w:spacing w:after="0" w:line="261"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J – RECENT ACCOUNTING PRONOUNCEMENTS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January 2017, the Financial Accounting Standards Board (the “FASB”) issued Accounting Standards Update (“ASU”) 2017-04, </w:t>
      </w:r>
      <w:r>
        <w:rPr>
          <w:rFonts w:ascii="Arial" w:cs="Arial" w:eastAsia="Arial" w:hAnsi="Arial"/>
          <w:sz w:val="17"/>
          <w:szCs w:val="17"/>
          <w:i w:val="1"/>
          <w:iCs w:val="1"/>
          <w:color w:val="auto"/>
        </w:rPr>
        <w:t>Intangibles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and Other (Topic 350): Simplifying the Test for Goodwill Impairment </w:t>
      </w:r>
      <w:r>
        <w:rPr>
          <w:rFonts w:ascii="Arial" w:cs="Arial" w:eastAsia="Arial" w:hAnsi="Arial"/>
          <w:sz w:val="17"/>
          <w:szCs w:val="17"/>
          <w:color w:val="auto"/>
        </w:rPr>
        <w:t>(“ASU 2017-04”), which simplifies how an entity is required to test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will likely not have a material effect on its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in current GAAP with a methodology that reflects expected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requires consideration of a broader range of reasonable and supportable information to inform credit loss estimates. The new guidance is effective for fiscal years beginning after December 15, 2019. The Company is evaluating the effect, if any, the update will have on the financial statements when adopted in fiscal year 2021.</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The Company does not intend to adopt this update early and is currently re-evaluating the impact of this standard on its consolidated financial statements, due to the new lease amendment dated July 25, 2018, for the Company’s headquarters in New York, when adopted beginning in fiscal 2020.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Newly Adopted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 amended, which establishes new guidance for revenue recognition. ASU 2014-09 eliminates most of the existing industry-specific revenue recognition guidance and significantly expands related disclosures. Additionally, it supersedes some cost guidance in Subtopic 605-35, </w:t>
      </w:r>
      <w:r>
        <w:rPr>
          <w:rFonts w:ascii="Arial" w:cs="Arial" w:eastAsia="Arial" w:hAnsi="Arial"/>
          <w:sz w:val="17"/>
          <w:szCs w:val="17"/>
          <w:i w:val="1"/>
          <w:iCs w:val="1"/>
          <w:color w:val="auto"/>
        </w:rPr>
        <w:t>Revenue Recognition-Construction-Type and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Production-Type Contracts</w:t>
      </w:r>
      <w:r>
        <w:rPr>
          <w:rFonts w:ascii="Arial" w:cs="Arial" w:eastAsia="Arial" w:hAnsi="Arial"/>
          <w:sz w:val="17"/>
          <w:szCs w:val="17"/>
          <w:color w:val="auto"/>
        </w:rPr>
        <w:t>, and creates a new Subtopic 340-40,</w:t>
      </w:r>
      <w:r>
        <w:rPr>
          <w:rFonts w:ascii="Arial" w:cs="Arial" w:eastAsia="Arial" w:hAnsi="Arial"/>
          <w:sz w:val="17"/>
          <w:szCs w:val="17"/>
          <w:i w:val="1"/>
          <w:iCs w:val="1"/>
          <w:color w:val="auto"/>
        </w:rPr>
        <w:t xml:space="preserve"> Other Assets and Deferred Costs-Contracts with Customers</w:t>
      </w:r>
      <w:r>
        <w:rPr>
          <w:rFonts w:ascii="Arial" w:cs="Arial" w:eastAsia="Arial" w:hAnsi="Arial"/>
          <w:sz w:val="17"/>
          <w:szCs w:val="17"/>
          <w:color w:val="auto"/>
        </w:rPr>
        <w:t>. The Company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recognition through the following steps: identification of the contract, or contracts, with the customer; identification of the performance obligations in the contract; determination of the transaction price; allocation of the transaction price to the performance obligations in the contract; and recognize revenue when, or as, the entity satisfies a performance obligation. The core principle of the guidance is that the Company will recognize revenue upon the transfer of the promised goods and services to its customers in an amount that reflects the consideration to which the Company expects to be entitled in exchange for those goods and services. The new guidance requires significant additional judgement and estimation (as compared to the previous guidance) that may include, but is not limited to, identifying performance obligations and estimating the amount of variable consideration, if any, to include in the transaction price, and allocation of the transaction price to the performance obligations. The new standard allows for two methods of adoption, either by (i) retrospectively to each prior reporting period presented (“full retrospective method”) or (ii) retrospectively with the cumulative effect of initially applying the new guidance recognized at the date of initial application (“modified-retrospective method”). The Company adopted ASU 2014-09 in the first quarter of fiscal 2019 using the modified-retrospective method, which resulted in a cumulative effect increase of $484,000, including the adoption of ASC 340-40 as noted below, as of the date of adoption on May 1, 2018, to retained earnings. The adoption of ASU 2014-09 effected all new and open contracts as of the adoption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connection with the adoption of Topic 606 on May 1, 2018, the Company also adopted the guidance in ASC 340-40, </w:t>
      </w:r>
      <w:r>
        <w:rPr>
          <w:rFonts w:ascii="Arial" w:cs="Arial" w:eastAsia="Arial" w:hAnsi="Arial"/>
          <w:sz w:val="17"/>
          <w:szCs w:val="17"/>
          <w:i w:val="1"/>
          <w:iCs w:val="1"/>
          <w:color w:val="auto"/>
        </w:rPr>
        <w:t>Other Assets and 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Costs - Contracts with Customers </w:t>
      </w:r>
      <w:r>
        <w:rPr>
          <w:rFonts w:ascii="Arial" w:cs="Arial" w:eastAsia="Arial" w:hAnsi="Arial"/>
          <w:sz w:val="17"/>
          <w:szCs w:val="17"/>
          <w:color w:val="auto"/>
        </w:rPr>
        <w:t>(“ASC 340-40”), with respect to capitalization and amortization of incremental costs of obtaining a contract. The new cost</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the capitalization of all incremental costs incurred to obtain a contract with a customer that it would not have incurred if the contract had not been obtained, provided it expects to recover the costs. The Company expects that sales commissions as a result of obtaining customer contracts are recoverable, and therefore the Company defers and capitalizes them as contract costs. As a result of this new guidance, the Company capitalizes sales commissions for which the expected amortization period is greater than one year. The Company classifies the unamortized portion of deferred commissions as current or noncurrent assets based upon the timing of when the Company expects to recognize the expense. The current and noncurrent portion of deferred commissions are included in prepaid expenses and other current assets, respectively, in the Company’s Condensed Consolidated Balance Sheet. Adoption of ASC 340-40 resulted in a cumulative effect adjustment of $87,000 to total assets, $109,000 to total liabilities, and a $22,000 reduction to retained earnings, as of the date of adoption, on May 1,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new accounting policies as a result of adopting ASU 2014-09 are discussed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government. The Company’s contracts typically include multiple performance obligations which are satisfied either by shipped projects or the completion of milestones as defined in the contract. The transaction price is allocated either (i) based on the sale price of each item shipped or (ii) as defined by the milestones stated in the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adoption of Topic 606, there were changes to the timing of the Company’s revenue recognition associated with the significant portion of our business that was not being accounted for as percentage of completion in prior years for contracts where the end customer was the U.S. Government. These production-type contracts under which revenue was previously recorded as Passage of Title (“POT”) are currently being recognized as Percentage of Completion (“POC”) following adoption of this ASU. As a result, the Company will begin recognizing revenue earlier under these contracts. The Company’s products generally carry a one-year warranty, but may vary based on the contract terms.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Significant judgment is used in evaluating the financial information for certain contracts related to the adoption of this ASU to determine an appropriate budget and estimated cost. The Company evaluates this information continuously and bases its judgments on historical experience, design specifications, and expected costs for material and labor.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sales commissions as sales and marketing expenses in the period they are incurred if the expected amortization period is one year or less.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revenue related to the adoption ASU 2014-09 and recognized over time as POC was approximately $9.3 million of the $11.0 million reported for the three months ended July 31, 2018. The amounts by segment are as follows:</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July 31, 2018</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line="191" w:lineRule="exact"/>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POC Revenue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POT Revenue</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Total Revenue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FEI-Zyfer</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Intersegment</w:t>
            </w:r>
          </w:p>
        </w:tc>
        <w:tc>
          <w:tcPr>
            <w:tcW w:w="160" w:type="dxa"/>
            <w:vAlign w:val="bottom"/>
            <w:shd w:val="clear" w:color="auto" w:fill="CCEEFF"/>
          </w:tcPr>
          <w:p>
            <w:pPr>
              <w:spacing w:after="0"/>
              <w:rPr>
                <w:sz w:val="18"/>
                <w:szCs w:val="18"/>
                <w:color w:val="auto"/>
              </w:rPr>
            </w:pPr>
          </w:p>
        </w:tc>
        <w:tc>
          <w:tcPr>
            <w:tcW w:w="1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9,247</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1,764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11,011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cumulative effect of changes made to the Condensed Consolidated May 1, 2018 Balance Sheet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Balance at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34"/>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April 30, 2018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Adjustments</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May 1, 2018</w:t>
            </w:r>
          </w:p>
        </w:tc>
        <w:tc>
          <w:tcPr>
            <w:tcW w:w="0" w:type="dxa"/>
            <w:vAlign w:val="bottom"/>
          </w:tcPr>
          <w:p>
            <w:pPr>
              <w:spacing w:after="0"/>
              <w:rPr>
                <w:sz w:val="1"/>
                <w:szCs w:val="1"/>
                <w:color w:val="auto"/>
              </w:rPr>
            </w:pPr>
          </w:p>
        </w:tc>
      </w:tr>
      <w:tr>
        <w:trPr>
          <w:trHeight w:val="210"/>
        </w:trPr>
        <w:tc>
          <w:tcPr>
            <w:tcW w:w="51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1,435</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Inventories, net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26,186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c>
          <w:tcPr>
            <w:tcW w:w="300" w:type="dxa"/>
            <w:vAlign w:val="bottom"/>
          </w:tcPr>
          <w:p>
            <w:pPr>
              <w:ind w:left="20"/>
              <w:spacing w:after="0"/>
              <w:rPr>
                <w:sz w:val="20"/>
                <w:szCs w:val="20"/>
                <w:color w:val="auto"/>
              </w:rPr>
            </w:pPr>
            <w:r>
              <w:rPr>
                <w:rFonts w:ascii="Arial" w:cs="Arial" w:eastAsia="Arial" w:hAnsi="Arial"/>
                <w:sz w:val="18"/>
                <w:szCs w:val="18"/>
                <w:color w:val="auto"/>
              </w:rPr>
              <w:t>(b)</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52,075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83,584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593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20,322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63,262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83,584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Adjustment to unbilled accounts receivable for additional revenue recognized for which amounts have not been invoiced due to adoption of Topic 606</w:t>
      </w:r>
    </w:p>
    <w:p>
      <w:pPr>
        <w:spacing w:after="0" w:line="32" w:lineRule="exact"/>
        <w:rPr>
          <w:rFonts w:ascii="Arial" w:cs="Arial" w:eastAsia="Arial" w:hAnsi="Arial"/>
          <w:sz w:val="16"/>
          <w:szCs w:val="16"/>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additional allocated inventory costs related to additional revenue recognized due to adoption of Topic 606</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firstLine="8"/>
        <w:spacing w:after="0" w:line="261"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cumulative effect of initially adopting Topic 606 and ASC 340-40 using the modified-retrospective method as an adjustment to the beginning balance of (Accumulated deficit) Retained earnings.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impact of adopting the standard on the Company’s consolidated financial statements for the three months ended July 31, 2018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Balance Sheet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Balances Without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Adoption of ASU</w:t>
            </w:r>
          </w:p>
        </w:tc>
        <w:tc>
          <w:tcPr>
            <w:tcW w:w="0" w:type="dxa"/>
            <w:vAlign w:val="bottom"/>
          </w:tcPr>
          <w:p>
            <w:pPr>
              <w:spacing w:after="0"/>
              <w:rPr>
                <w:sz w:val="1"/>
                <w:szCs w:val="1"/>
                <w:color w:val="auto"/>
              </w:rPr>
            </w:pPr>
          </w:p>
        </w:tc>
      </w:tr>
      <w:tr>
        <w:trPr>
          <w:trHeight w:val="234"/>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As Reported</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Adjustments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2014-09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26,341</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c>
          <w:tcPr>
            <w:tcW w:w="340" w:type="dxa"/>
            <w:vAlign w:val="bottom"/>
          </w:tcPr>
          <w:p>
            <w:pPr>
              <w:ind w:left="20"/>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52,059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83,533</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82,378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4,438</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and other liabilities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19,564</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63,969</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83,533</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82,378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firstLine="8"/>
        <w:spacing w:after="0" w:line="250" w:lineRule="auto"/>
        <w:tabs>
          <w:tab w:leader="none" w:pos="311"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unbilled accounts receivable for additional revenue recognized for which amounts have not been invoiced due to adoption of Topic 606</w:t>
      </w: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additional allocated inventory costs related to additional revenue recognized due to adoption of Topic 606</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short-term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for long-term capitalization of sales commissions, net of amortized amounts, due to adoption of ASC 340-40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short-term liability of sales commissions, net of amounts paid, due to adoption of ASC 340-40</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Cumulative adjustment to record long-term liability of sales commissions, net of amounts paid, due to adoption of ASC 340-40</w:t>
      </w:r>
    </w:p>
    <w:p>
      <w:pPr>
        <w:spacing w:after="0" w:line="9" w:lineRule="exact"/>
        <w:rPr>
          <w:rFonts w:ascii="Arial" w:cs="Arial" w:eastAsia="Arial" w:hAnsi="Arial"/>
          <w:sz w:val="18"/>
          <w:szCs w:val="18"/>
          <w:color w:val="auto"/>
        </w:rPr>
      </w:pPr>
    </w:p>
    <w:p>
      <w:pPr>
        <w:ind w:right="20" w:firstLine="8"/>
        <w:spacing w:after="0" w:line="261" w:lineRule="auto"/>
        <w:tabs>
          <w:tab w:leader="none" w:pos="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cumulative effect of initially adopting and adjustment for the three months ended July 31, 2018 for Topic 606 and ASC 340-40 using the modified-retrospective method as an adjustment to the balance of Retained earnings (Accumulated deficit).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Condensed Consolidated Statement of Operations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4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Balances Without</w:t>
            </w:r>
          </w:p>
        </w:tc>
      </w:tr>
      <w:tr>
        <w:trPr>
          <w:trHeight w:val="216"/>
        </w:trPr>
        <w:tc>
          <w:tcPr>
            <w:tcW w:w="4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r>
      <w:tr>
        <w:trPr>
          <w:trHeight w:val="234"/>
        </w:trPr>
        <w:tc>
          <w:tcPr>
            <w:tcW w:w="49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As 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Adjustments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ASU 2014-09</w:t>
            </w:r>
          </w:p>
        </w:tc>
        <w:tc>
          <w:tcPr>
            <w:tcW w:w="60" w:type="dxa"/>
            <w:vAlign w:val="bottom"/>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Cost of revenues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6,511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360" w:type="dxa"/>
            <w:vAlign w:val="bottom"/>
          </w:tcPr>
          <w:p>
            <w:pPr>
              <w:ind w:left="4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2,530</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3" w:lineRule="exact"/>
        <w:rPr>
          <w:sz w:val="20"/>
          <w:szCs w:val="20"/>
          <w:color w:val="auto"/>
        </w:rPr>
      </w:pPr>
    </w:p>
    <w:p>
      <w:pPr>
        <w:ind w:left="5620" w:right="3760" w:hanging="5612"/>
        <w:spacing w:after="0" w:line="511" w:lineRule="auto"/>
        <w:tabs>
          <w:tab w:leader="none" w:pos="29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expense related the amortization of sales commissions due to the adoptions of ASC 340-40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K –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of July 31, 2018, the Company had available credit at variable terms based on its securities holdings under an advisory arrangement, under which no borrowings have been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L – VALUATION ALLOWANCE ON DEFERRED TAX ASSETS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Based on the weighting of all evidence, both positive and negative, most notably the three 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On December 22, 2017, the legislation commonly known as the Tax Cuts and Jobs Act (the “TCJA” or the “Tax Act”) was enacted into law. In response to the TCJA, the U.S. Securities and Exchange Commission (“SEC”) issued Staff Accounting Bulletin No. 118 (“SAB 118”), which provides guidance on accounting for the tax effects of TCJA. The purpose of SAB 118 was to address any uncertainty in applying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reporting period in which the TCJA was enacted. SAB 118 addresses situations where the accounting is incomplete for certain income tax 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accounting for certain elements of the TCJA was incomplete as of April 30, 2018, and remains incomplete as of July 31, 2018. However, the Company was able to make reasonable estimates of the effects and, therefore, recorded provisional estimates for these items during the three-month and six-month periods ended January 31, 2018 and April 30, 2018. There were no changes to the estimates during the three months ended July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 under the Private Securities Litigation Reform Act of 1995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its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Any and all of the forward-looking statements contained in this Form 10-Q and any other public statement by the Company or its management may turn out to be incorrect. The Company expressly disclaims any obligation to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included in the Company’s Annual Report on Form 10-K for the year ended April 30, 2018, filed on July 30, 2018. The Company believes its most critical accounting policies to be the recognition of revenue and costs on production contracts, income taxes, and the valuation of inventory. Each of these areas requires the Company to make use of reasoned estimates including estimating the cost to complete a contract, the net realizable value of its inventory or the market value of its products. Changes in estimates can have a material impact on the Company’s financial position and results of operations. The Company’s significant accounting policies did not change during the three months ended July 31, 2018, except for those impacted by the newly adopted accounting standard below.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is recognized when a performance obligation is satisfied, when the expected goods or services are transferred to the customer, in an amount that reflects the consideration to which the entity expects to be entitled in exchange for those goods and services. A performance obligation is a distinct product or service that is transferred to the customers control based on the contract. The transaction price is allocated to each performance obligation and is recognized as revenue upon satisfaction of that performance obligation. The company derives revenue either as (i) units with specifications and frequencies that can be used by multiple customers (POT) or (ii) units with specific specifications and frequencies that are used by a specific customer or for government end use (POC).</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prior years a significant portion of our business that was not being accounted for as percentage of completion was from contracts where the end customer is the U.S. Government. These production-type contracts under which revenue was previously recorded as POT are currently being recognized as POC following adoption of ASU 2014-09 as noted in Footnote J. As a result, the Company will begin recognizing revenue earlier under these contracts.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POC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and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Contract costs include all direct material, direct labor costs, manufacturing overhead and other direct costs related to contract performance. Selling, general and administrative costs are expensed as incurred, except as otherwise noted in Note J above in relation to the adoption of ASU 2014-09.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industry practice, inventoried costs contain amounts relating to contracts and programs with long production cycles, a portion of which will not be realized within one year. Inventory write-downs are established for slow-moving or obsolete items and costs incurred on programs for which production-level orders cannot be determined as probable. Such write-downs are based upon management’s experience and expectations for future business. Any changes arising from revised expectations are reflected in cost of sales in the period the revision is made.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Marketable Securities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of the Company’s investments in marketable securities are Level 1 securities which trade on public markets and have current prices that are readily available. In general, investments in fixed income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sets forth for the three months ended July 31, 2018 and 2017 the percentage of consolidated revenues represented by certain items in the Company’s condensed consolidated statements of operations or notes to the condensed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3780" w:type="dxa"/>
            <w:vAlign w:val="bottom"/>
            <w:gridSpan w:val="2"/>
            <w:vMerge w:val="restart"/>
          </w:tcPr>
          <w:p>
            <w:pPr>
              <w:ind w:left="40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4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intersegment 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from discontinued operations, net of tax</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89"/>
              </w:rPr>
              <w:t>Three months ended July 31,</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9"/>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FEI-NY</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1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FEI-Zyfer</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(1,711)</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5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12,023</w:t>
            </w: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three months ended July 31, 2018, revenues from commercial and U.S. Government satellite programs increased approximately $335,000 over the same period of fiscal year 2018, and accounted for approximately 50% of consolidated revenues compared to approximately 43% during the same period of fiscal 2018. Revenues on these contracts are recognized primarily under the POC method. Revenues from the satellite market are recorded in the FEI-NY segment. Revenues from non-space U.S. Government/Department of Defense (“DOD”) customers, which are recorded in both the FEI-NY and FEI-Zyfer segments, increased approximately $230,000 over the same period of fiscal 2018, and accounted for approximately 43% of consolidated revenues compared to approximately 38% during the same period of fiscal 2018. Other commercial revenues for the three months ended July 31, 2018 decreased approximately $1.6 million over the same period of fiscal 2018, and accounted for approximately 6% of consolidated revenues compared to 19% during the same period of fiscal 2018. Intersegment revenues are eliminated in consolidation. Revenue amounts for the three months ended July 31, 2018 include the adoption of ASU 2014-09 as previously stated in Note J.</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current backlog, satellite payload revenue for fiscal year 2019 is expected to be higher when compared to fiscal year 2018, both in total revenue and as a percent of overall revenue. The Company received significant satellite related bookings in the past two quarters and expects increasing revenues to follow in the current fiscal year. For the foreseeable future satellite payloads will continue to be a major business area for the Company and represent a significant portion of the Company’s overall revenue.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Margin</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160" w:type="dxa"/>
            <w:vAlign w:val="bottom"/>
            <w:tcBorders>
              <w:top w:val="single" w:sz="8" w:color="auto"/>
            </w:tcBorders>
            <w:gridSpan w:val="5"/>
          </w:tcPr>
          <w:p>
            <w:pPr>
              <w:jc w:val="right"/>
              <w:ind w:right="280"/>
              <w:spacing w:after="0" w:line="191" w:lineRule="exact"/>
              <w:rPr>
                <w:sz w:val="20"/>
                <w:szCs w:val="20"/>
                <w:color w:val="auto"/>
              </w:rPr>
            </w:pPr>
            <w:r>
              <w:rPr>
                <w:rFonts w:ascii="Arial" w:cs="Arial" w:eastAsia="Arial" w:hAnsi="Arial"/>
                <w:sz w:val="18"/>
                <w:szCs w:val="18"/>
                <w:b w:val="1"/>
                <w:bCs w:val="1"/>
                <w:color w:val="auto"/>
              </w:rPr>
              <w:t>(in thousands)</w:t>
            </w:r>
          </w:p>
        </w:tc>
        <w:tc>
          <w:tcPr>
            <w:tcW w:w="14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80" w:type="dxa"/>
            <w:vAlign w:val="bottom"/>
            <w:gridSpan w:val="2"/>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4,274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4,521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4080" w:type="dxa"/>
            <w:vAlign w:val="bottom"/>
            <w:gridSpan w:val="2"/>
          </w:tcPr>
          <w:p>
            <w:pPr>
              <w:jc w:val="right"/>
              <w:ind w:right="3330"/>
              <w:spacing w:after="0"/>
              <w:rPr>
                <w:sz w:val="20"/>
                <w:szCs w:val="20"/>
                <w:color w:val="auto"/>
              </w:rPr>
            </w:pPr>
            <w:r>
              <w:rPr>
                <w:rFonts w:ascii="Arial" w:cs="Arial" w:eastAsia="Arial" w:hAnsi="Arial"/>
                <w:sz w:val="18"/>
                <w:szCs w:val="18"/>
                <w:color w:val="auto"/>
                <w:w w:val="88"/>
              </w:rPr>
              <w:t>GM Rate</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 period ended July 31, 2018, the gross margin rate increased and the gross margin decreased as compared to the same period in fiscal year 2018. The gross margin decrease was primarily due to approximately $1.0 million in lower revenues compared to the same period of the prior fiscal year. The increase in gross margin rate was due to favorable product mix and effective cost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210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months ended July 31, 2018, selling and administrative (“SG&amp;A”) expenses declined approximately $172,000 as compared to the same period in fiscal year 2018 and were approximately 23% of consolidated revenues. The reduction occurred in various accounts; there was no specific account that made up the majority of the decrease. The Company continues to monitor and manage expenses of the business. SG&amp;A amounts for the three months ended July 31, 2018 include adjustments related to the adoption of ASC 340-40 as previously stated in Note J.</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244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jc w:val="right"/>
              <w:ind w:right="87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Research and development (“R&amp;D”) expenditures represent investments intended to keep the Company’s products at the leading edge of time and frequency technology and enhance competitiveness for future contracts. R&amp;D spending for the three months ended July 31, 2018 was comparable to that of the same period of the previous fiscal year. The R&amp;D rate for the period ending July 31, 2018 was 15% compared to 14% of sales for the same period of the previous fiscal year. For the balance of the fiscal year research and development activity will include a significantly higher level of customer funded R&amp;D.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210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80" w:type="dxa"/>
            <w:vAlign w:val="bottom"/>
            <w:shd w:val="clear" w:color="auto" w:fill="CCEEFF"/>
          </w:tcPr>
          <w:p>
            <w:pPr>
              <w:jc w:val="right"/>
              <w:ind w:right="95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060" w:type="dxa"/>
            <w:vAlign w:val="bottom"/>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achieved a lower operating income for the three months ended July 31, 2018 due to an increased gross margin rate, expense management and increased R&amp;D.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 July 31,</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right"/>
              <w:ind w:right="105"/>
              <w:spacing w:after="0" w:line="191" w:lineRule="exact"/>
              <w:rPr>
                <w:sz w:val="20"/>
                <w:szCs w:val="20"/>
                <w:color w:val="auto"/>
              </w:rPr>
            </w:pPr>
            <w:r>
              <w:rPr>
                <w:rFonts w:ascii="Arial" w:cs="Arial" w:eastAsia="Arial" w:hAnsi="Arial"/>
                <w:sz w:val="18"/>
                <w:szCs w:val="18"/>
                <w:b w:val="1"/>
                <w:bCs w:val="1"/>
                <w:color w:val="auto"/>
              </w:rPr>
              <w:t>(in thousands)</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5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(1,182)</w:t>
            </w:r>
          </w:p>
        </w:tc>
        <w:tc>
          <w:tcPr>
            <w:tcW w:w="6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Investment income is derived primarily from the Company’s holdings of marketable securities. Earnings on these securities may vary based on fluctuating interest rates, dividend payout levels, and the timing of purchases or sales of securities. For the three months ending July 31, 2018 investment income was lower than in the same period of fiscal year 2017, mainly due to in the quarter ending July 31, 2017 the Company divested of all its holdings in equities securities in its investment account, which were converted to cash. As a result, the Company recorded gains of approximately $1.0 million during the three months ended July 31, 2017 as compared to no gain or loss in the same period of fiscal year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 Provision (Benefit)</w:t>
      </w:r>
    </w:p>
    <w:p>
      <w:pPr>
        <w:spacing w:after="0" w:line="225"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1160" w:type="dxa"/>
        <w:tblCellMar>
          <w:top w:w="0" w:type="dxa"/>
          <w:left w:w="0" w:type="dxa"/>
          <w:bottom w:w="0" w:type="dxa"/>
          <w:right w:w="0" w:type="dxa"/>
        </w:tblCellMar>
      </w:tblPr>
      <w:tr>
        <w:trPr>
          <w:trHeight w:val="191"/>
        </w:trPr>
        <w:tc>
          <w:tcPr>
            <w:tcW w:w="334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3"/>
          </w:tcPr>
          <w:p>
            <w:pPr>
              <w:jc w:val="right"/>
              <w:ind w:right="280"/>
              <w:spacing w:after="0" w:line="191" w:lineRule="exact"/>
              <w:rPr>
                <w:sz w:val="20"/>
                <w:szCs w:val="20"/>
                <w:color w:val="auto"/>
              </w:rPr>
            </w:pPr>
            <w:r>
              <w:rPr>
                <w:rFonts w:ascii="Arial" w:cs="Arial" w:eastAsia="Arial" w:hAnsi="Arial"/>
                <w:sz w:val="18"/>
                <w:szCs w:val="18"/>
                <w:b w:val="1"/>
                <w:bCs w:val="1"/>
                <w:color w:val="auto"/>
              </w:rPr>
              <w:t>(in thousands)</w:t>
            </w:r>
          </w:p>
        </w:tc>
        <w:tc>
          <w:tcPr>
            <w:tcW w:w="1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340" w:type="dxa"/>
            <w:vAlign w:val="bottom"/>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3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(478)</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r>
    </w:tbl>
    <w:p>
      <w:pPr>
        <w:ind w:left="1140"/>
        <w:spacing w:after="0"/>
        <w:rPr>
          <w:sz w:val="20"/>
          <w:szCs w:val="20"/>
          <w:color w:val="auto"/>
        </w:rPr>
      </w:pPr>
      <w:r>
        <w:rPr>
          <w:rFonts w:ascii="Arial" w:cs="Arial" w:eastAsia="Arial" w:hAnsi="Arial"/>
          <w:sz w:val="18"/>
          <w:szCs w:val="18"/>
          <w:color w:val="auto"/>
        </w:rPr>
        <w:t>Effective tax rate on pre-tax book income:</w:t>
      </w:r>
    </w:p>
    <w:p>
      <w:pPr>
        <w:spacing w:after="0" w:line="9" w:lineRule="exact"/>
        <w:rPr>
          <w:sz w:val="20"/>
          <w:szCs w:val="20"/>
          <w:color w:val="auto"/>
        </w:rPr>
      </w:pPr>
    </w:p>
    <w:p>
      <w:pPr>
        <w:ind w:left="5440"/>
        <w:spacing w:after="0"/>
        <w:tabs>
          <w:tab w:leader="none" w:pos="69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July 31, 2018, the Company recorded an income tax provision of $7,000, which includes a discrete income tax provision of $18,000. The calculation of the overall income tax provision for the three months ended July 31, 2018 primarily consist of foreign taxes and a discrete income tax provision related to the accrual of interest for unrecognized benefits. For the three months ended July 31, 2017, the Company recorded an income tax provision of $485,000.</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effective tax rate for the three months ended July 31, 2018 is an income tax provision of 23.0% compared to 36.9% in the comparable prior period. The effective rate for the three months ended July 31, 2018 differs from the U.S. statutory rate of 21% primarily due to the mix of domestic and foreign earnings, a discrete income tax provision related to the accrual of interest for unrecognized tax benefits, and domestic losses for which the Company is not recognizing an income tax benefit. Based on the weighting of all evidence, both positive and negative, most notably the three-year cumulative loss, we established a full valuation allowance against our U.S. deferred tax assets during the quarter ended April 30, 2018. If these estimates and assumptions change in the future, the Company may be required to adjust its existing valuation allowance resulting in changes to deferred income tax expense. The Company evaluates the likelihood of realizing its deferred tax assets quarterly.</w:t>
      </w:r>
    </w:p>
    <w:p>
      <w:pPr>
        <w:spacing w:after="0" w:line="178" w:lineRule="exact"/>
        <w:rPr>
          <w:sz w:val="20"/>
          <w:szCs w:val="20"/>
          <w:color w:val="auto"/>
        </w:rPr>
      </w:pPr>
    </w:p>
    <w:p>
      <w:pPr>
        <w:jc w:val="both"/>
        <w:ind w:left="20" w:firstLine="644"/>
        <w:spacing w:after="0" w:line="272" w:lineRule="auto"/>
        <w:rPr>
          <w:sz w:val="20"/>
          <w:szCs w:val="20"/>
          <w:color w:val="auto"/>
        </w:rPr>
      </w:pPr>
      <w:r>
        <w:rPr>
          <w:rFonts w:ascii="Arial" w:cs="Arial" w:eastAsia="Arial" w:hAnsi="Arial"/>
          <w:sz w:val="17"/>
          <w:szCs w:val="17"/>
          <w:color w:val="auto"/>
        </w:rPr>
        <w:t xml:space="preserve">On December 22, 2017, the legislation commonly known as the Tax Cuts and Jobs Act (the “TCJA” or the “Tax Act”) was enacted into law. In response to the TCJA, the U.S. Securities and Exchange Commission (“SEC”) staff issued Staff Accounting Bulletin No. 118 (“SAB 118”), which provides guidance on accounting for the tax effects of TCJA. The purpose of SAB 118 was to address any uncertainty [or diversity of view] in applying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reporting period in which the TCJA was enacted. SAB 118 addresses situations where the accounting is incomplete for certain income tax effects of the TCJA upon issuance of a company’s financial statements for the reporting period which include the enactment date. SAB 118 allows for a provisional amount to be recorded if it is a reasonable estimate of the impact of the TCJA. Additionally, SAB 118 allows for a measurement period to finalize the impacts of the TCJA, not to extend beyond one year from the date of enactment.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accounting for certain elements of the TCJA was incomplete as of the period ended April 30, 2018, and remains incomplete as of July 31, 2018. However, the Company was able to make reasonable estimates of the effects and, therefore, recorded provisional estimates for these items during the three-month and six-month periods ended January 31, 2018 and April 30, 2018. There were no changes to the estimates during the three months ended July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Discontinued Operations</w:t>
            </w:r>
          </w:p>
        </w:tc>
        <w:tc>
          <w:tcPr>
            <w:tcW w:w="2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center"/>
              <w:ind w:right="810"/>
              <w:spacing w:after="0"/>
              <w:rPr>
                <w:sz w:val="20"/>
                <w:szCs w:val="20"/>
                <w:color w:val="auto"/>
              </w:rPr>
            </w:pPr>
            <w:r>
              <w:rPr>
                <w:rFonts w:ascii="Arial" w:cs="Arial" w:eastAsia="Arial" w:hAnsi="Arial"/>
                <w:sz w:val="18"/>
                <w:szCs w:val="18"/>
                <w:b w:val="1"/>
                <w:bCs w:val="1"/>
                <w:color w:val="auto"/>
                <w:w w:val="89"/>
              </w:rPr>
              <w:t>Three months ended July 31,</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3"/>
          </w:tcPr>
          <w:p>
            <w:pPr>
              <w:jc w:val="center"/>
              <w:ind w:left="290"/>
              <w:spacing w:after="0" w:line="191" w:lineRule="exact"/>
              <w:rPr>
                <w:sz w:val="20"/>
                <w:szCs w:val="20"/>
                <w:color w:val="auto"/>
              </w:rPr>
            </w:pPr>
            <w:r>
              <w:rPr>
                <w:rFonts w:ascii="Arial" w:cs="Arial" w:eastAsia="Arial" w:hAnsi="Arial"/>
                <w:sz w:val="18"/>
                <w:szCs w:val="18"/>
                <w:b w:val="1"/>
                <w:bCs w:val="1"/>
                <w:color w:val="auto"/>
                <w:w w:val="88"/>
              </w:rPr>
              <w:t>(in thousands)</w:t>
            </w:r>
          </w:p>
        </w:tc>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6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2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(216) $</w:t>
            </w:r>
          </w:p>
        </w:tc>
        <w:tc>
          <w:tcPr>
            <w:tcW w:w="12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above table represents the net loss for the Gillam segment accounted for as discontinued operations as presented in Note B to the financial statements. On April 26, 2018, the Company sold Gillam to a European entity, in a stock purchase agreement, for $1.0 million in cash received on April 27, 2018, and a note payable in three years for an additional $1.0 million. The loss recorded due to the sale of Gillam was approximately $359,000. The calculation of the loss was the carrying amount of the investment on FEI-NY’s books less the retained earnings and remaining equity amounts of Gillam reduced by the cash received and the value of the note receivable. As such Gillam’s results have been classified as discontinued operations in the accompanying Consolidated Statements of Operations and Comprehensive (Loss) Income for fiscal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balance sheet continues to reflect a strong working capital position of $47.6 million at July 31, 2018 and $46.8 million at April 30, 2018. Included in working capital at July 31, 2018 and April 30 2018, is $9.8 million and $14.0 million, respectively, of cash, cash equivalents, and short-term investments. The Company’s current ratio at July 31, 2018 was 11.7 to 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operations for the three months ended July 31, 2018 was $3.6 million compared to $3.2 million provided by operations in the comparable fiscal year 2018 period. The decrease in cash flow in the fiscal year 2019 period ended July 31, 2018 resulted primarily from an increase in accounts receivables, compared to the balances as of the end of the previous fiscal year 2018 period ended July 31, 2017. For the three month periods ended July 31, 2018 and 2017, the Company incurred approximately $1.2 million and $145,000, respectively, of non-cash operating expenses including depreciation and amortization, inventory reserve adjustments, and accruals for employee benefit programs.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used in investing activities for the three months ended July 31, 2018, was $1.5 million compared to $5.8 million provided by investing activities in the same period of fiscal year 2018. During the fiscal year 2019 period, marketable securities were sold or redeemed in the amount of $595,000 compared to $6.3 million of such redemptions during the fiscal year 2018 period. For the fiscal year 2019 period, approximately $1.6 million of marketable securities were purchased. There were no marketable securities purchased for the same period in fiscal year 2018. In the three months ended July 31, 2018 and 2017, the Company acquired property, plant and equipment in the amount of approximately $483,000 and $450,000, respectively. The Company may continue to invest cash equivalents as dictated by its investment and acquisition strategies.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was no cash provided by financing activities for the three months ended July 31, 2018 compared to $1,000 provided in the three months ended July 31, 2017.</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2018, the Company has repurchased approximately $4 million of its common stock out of the $5 million authorization. For the three months ended July 31, 2018 and 2017, there were no repurchases of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2018, the Company secured partial customer funding for a portion of its R&amp;D efforts. The customer funds received in connection therewith appear in revenues and are not included in R&amp;D expenses. For fiscal year 2019, the Company has secured significant additional customer funding for its R&amp;D activities, and will allocate internal funds depending on market conditions and identification of new opportunities as in fiscal year 2018.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July 31, 2018, the Company’s consolidated funded backlog was approximately $37 million compared to $30 million at April 30, 2018, the end of fiscal year 2018. Approximately 80% of this backlog is expected to be realized in the next twelve months. Included in the backlog at July 31, 2018 was approximately $10.4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associated funding. The Company expects these contracts to become fully funded over time.</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believes that its liquidity is adequate to meet its operating and investment needs through at least September 14, 2019 and the foreseeable future.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international business is subject to changes in demand or pricing resulting from fluctuations in currency exchange rates in the Chinese Renminbi to U.S. Dollar exchange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2018,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were no changes in the Company’s internal control over financial reporting (as such term is defined in Rules 13a-15(f) and 15d-15(f) under the Exchange Act) during the three months ended July 31, 2018 to which this report relates that have materially affected, or are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6">
        <w:r>
          <w:rPr>
            <w:rFonts w:ascii="Arial" w:cs="Arial" w:eastAsia="Arial" w:hAnsi="Arial"/>
            <w:sz w:val="18"/>
            <w:szCs w:val="18"/>
            <w:u w:val="single" w:color="auto"/>
            <w:color w:val="0000EE"/>
          </w:rPr>
          <w:t>Certification by the Chief Executive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1260" w:hanging="607"/>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7">
        <w:r>
          <w:rPr>
            <w:rFonts w:ascii="Arial" w:cs="Arial" w:eastAsia="Arial" w:hAnsi="Arial"/>
            <w:sz w:val="18"/>
            <w:szCs w:val="18"/>
            <w:u w:val="single" w:color="auto"/>
            <w:color w:val="0000EE"/>
          </w:rPr>
          <w:t>Certification by the Chief Financial Officer pursuant to Rule 13a-14(a) or 15d-14(a) under the Securities Exchange Act of 1934, as adopted</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pursuant to Section 302 of the Sarbanes-Oxley Act of 2002.</w:t>
        </w:r>
      </w:hyperlink>
    </w:p>
    <w:p>
      <w:pPr>
        <w:spacing w:after="0" w:line="170" w:lineRule="exact"/>
        <w:rPr>
          <w:sz w:val="20"/>
          <w:szCs w:val="20"/>
          <w:color w:val="auto"/>
        </w:rPr>
      </w:pPr>
    </w:p>
    <w:p>
      <w:pPr>
        <w:ind w:left="1260" w:hanging="604"/>
        <w:spacing w:after="0" w:line="277" w:lineRule="auto"/>
        <w:tabs>
          <w:tab w:leader="none" w:pos="1260" w:val="left"/>
        </w:tabs>
        <w:numPr>
          <w:ilvl w:val="0"/>
          <w:numId w:val="8"/>
        </w:numPr>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Certifications by the Chief Executive Officer and Chief Financial Officer pursuant to 18 U.S.C. Section 1350, as adopted pursuant to Section</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906 of the Sarbanes-Oxley Act of 2002.</w:t>
        </w:r>
      </w:hyperlink>
    </w:p>
    <w:p>
      <w:pPr>
        <w:spacing w:after="0" w:line="170" w:lineRule="exact"/>
        <w:rPr>
          <w:rFonts w:ascii="Arial" w:cs="Arial" w:eastAsia="Arial" w:hAnsi="Arial"/>
          <w:sz w:val="18"/>
          <w:szCs w:val="18"/>
          <w:color w:val="auto"/>
        </w:rPr>
      </w:pPr>
    </w:p>
    <w:p>
      <w:pPr>
        <w:jc w:val="both"/>
        <w:ind w:left="1260" w:hanging="604"/>
        <w:spacing w:after="0" w:line="259"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materials from the Frequency Electronics, Inc. Quarterly Report on Form 10-Q for the quarter ended July 31, 2018 formatted in eXtensible Business Reporting Language (XBRL): (i) Condensed Consolidated Balance Sheets, (ii) Condensed Consolidated Statements of Operations and Comprehensive (Loss) Income, (iii) Condensed Consolidated Statements of Cash Flows and (iv) Notes to Condensed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vMerge w:val="restart"/>
          </w:tcPr>
          <w:p>
            <w:pPr>
              <w:spacing w:after="0"/>
              <w:rPr>
                <w:sz w:val="20"/>
                <w:szCs w:val="20"/>
                <w:color w:val="auto"/>
              </w:rPr>
            </w:pPr>
            <w:r>
              <w:rPr>
                <w:rFonts w:ascii="Arial" w:cs="Arial" w:eastAsia="Arial" w:hAnsi="Arial"/>
                <w:sz w:val="18"/>
                <w:szCs w:val="18"/>
                <w:color w:val="auto"/>
              </w:rPr>
              <w:t>(Registrant)</w:t>
            </w:r>
          </w:p>
        </w:tc>
        <w:tc>
          <w:tcPr>
            <w:tcW w:w="6320" w:type="dxa"/>
            <w:vAlign w:val="bottom"/>
            <w:gridSpan w:val="3"/>
          </w:tcPr>
          <w:p>
            <w:pPr>
              <w:ind w:left="1080"/>
              <w:spacing w:after="0"/>
              <w:rPr>
                <w:sz w:val="20"/>
                <w:szCs w:val="20"/>
                <w:color w:val="auto"/>
              </w:rPr>
            </w:pPr>
            <w:r>
              <w:rPr>
                <w:rFonts w:ascii="Arial" w:cs="Arial" w:eastAsia="Arial" w:hAnsi="Arial"/>
                <w:sz w:val="18"/>
                <w:szCs w:val="18"/>
                <w:b w:val="1"/>
                <w:bCs w:val="1"/>
                <w:color w:val="auto"/>
              </w:rPr>
              <w:t>FREQUENCY ELECTRONICS, INC.</w:t>
            </w:r>
          </w:p>
        </w:tc>
        <w:tc>
          <w:tcPr>
            <w:tcW w:w="0" w:type="dxa"/>
            <w:vAlign w:val="bottom"/>
          </w:tcPr>
          <w:p>
            <w:pPr>
              <w:spacing w:after="0"/>
              <w:rPr>
                <w:sz w:val="1"/>
                <w:szCs w:val="1"/>
                <w:color w:val="auto"/>
              </w:rPr>
            </w:pPr>
          </w:p>
        </w:tc>
      </w:tr>
      <w:tr>
        <w:trPr>
          <w:trHeight w:val="216"/>
        </w:trPr>
        <w:tc>
          <w:tcPr>
            <w:tcW w:w="29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980" w:type="dxa"/>
            <w:vAlign w:val="bottom"/>
          </w:tcPr>
          <w:p>
            <w:pPr>
              <w:spacing w:after="0"/>
              <w:rPr>
                <w:sz w:val="20"/>
                <w:szCs w:val="20"/>
                <w:color w:val="auto"/>
              </w:rPr>
            </w:pPr>
            <w:r>
              <w:rPr>
                <w:rFonts w:ascii="Arial" w:cs="Arial" w:eastAsia="Arial" w:hAnsi="Arial"/>
                <w:sz w:val="18"/>
                <w:szCs w:val="18"/>
                <w:color w:val="auto"/>
              </w:rPr>
              <w:t>Date: September 14, 2018</w:t>
            </w:r>
          </w:p>
        </w:tc>
        <w:tc>
          <w:tcPr>
            <w:tcW w:w="6320" w:type="dxa"/>
            <w:vAlign w:val="bottom"/>
            <w:gridSpan w:val="3"/>
          </w:tcPr>
          <w:p>
            <w:pPr>
              <w:ind w:left="1480"/>
              <w:spacing w:after="0"/>
              <w:rPr>
                <w:sz w:val="20"/>
                <w:szCs w:val="20"/>
                <w:color w:val="auto"/>
              </w:rPr>
            </w:pPr>
            <w:r>
              <w:rPr>
                <w:rFonts w:ascii="Arial" w:cs="Arial" w:eastAsia="Arial" w:hAnsi="Arial"/>
                <w:sz w:val="18"/>
                <w:szCs w:val="18"/>
                <w:color w:val="auto"/>
              </w:rPr>
              <w:t>BY  /s/  Steven L. Bernstein</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980" w:type="dxa"/>
            <w:vAlign w:val="bottom"/>
          </w:tcPr>
          <w:p>
            <w:pPr>
              <w:spacing w:after="0"/>
              <w:rPr>
                <w:sz w:val="19"/>
                <w:szCs w:val="19"/>
                <w:color w:val="auto"/>
              </w:rPr>
            </w:pPr>
          </w:p>
        </w:tc>
        <w:tc>
          <w:tcPr>
            <w:tcW w:w="6320" w:type="dxa"/>
            <w:vAlign w:val="bottom"/>
            <w:gridSpan w:val="3"/>
          </w:tcPr>
          <w:p>
            <w:pPr>
              <w:ind w:left="1480"/>
              <w:spacing w:after="0"/>
              <w:rPr>
                <w:sz w:val="20"/>
                <w:szCs w:val="20"/>
                <w:color w:val="auto"/>
              </w:rPr>
            </w:pPr>
            <w:r>
              <w:rPr>
                <w:rFonts w:ascii="Arial" w:cs="Arial" w:eastAsia="Arial" w:hAnsi="Arial"/>
                <w:sz w:val="18"/>
                <w:szCs w:val="18"/>
                <w:color w:val="auto"/>
              </w:rPr>
              <w:t>Steven L. Bernstein</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6320" w:type="dxa"/>
            <w:vAlign w:val="bottom"/>
            <w:gridSpan w:val="3"/>
          </w:tcPr>
          <w:p>
            <w:pPr>
              <w:ind w:left="14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6320" w:type="dxa"/>
            <w:vAlign w:val="bottom"/>
            <w:gridSpan w:val="3"/>
          </w:tcPr>
          <w:p>
            <w:pPr>
              <w:ind w:left="1480"/>
              <w:spacing w:after="0"/>
              <w:rPr>
                <w:sz w:val="20"/>
                <w:szCs w:val="20"/>
                <w:color w:val="auto"/>
              </w:rPr>
            </w:pPr>
            <w:r>
              <w:rPr>
                <w:rFonts w:ascii="Arial" w:cs="Arial" w:eastAsia="Arial" w:hAnsi="Arial"/>
                <w:sz w:val="18"/>
                <w:szCs w:val="18"/>
                <w:color w:val="auto"/>
                <w:w w:val="91"/>
              </w:rPr>
              <w:t>Signing on behalf of the registrant and as 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Stanton Sloane, certify that:</w:t>
      </w:r>
    </w:p>
    <w:p>
      <w:pPr>
        <w:spacing w:after="0" w:line="225"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Stanton Sloane</w:t>
            </w:r>
          </w:p>
        </w:tc>
        <w:tc>
          <w:tcPr>
            <w:tcW w:w="4700" w:type="dxa"/>
            <w:vAlign w:val="bottom"/>
          </w:tcPr>
          <w:p>
            <w:pPr>
              <w:ind w:left="3240"/>
              <w:spacing w:after="0"/>
              <w:rPr>
                <w:sz w:val="20"/>
                <w:szCs w:val="20"/>
                <w:color w:val="auto"/>
              </w:rPr>
            </w:pPr>
            <w:r>
              <w:rPr>
                <w:rFonts w:ascii="Arial" w:cs="Arial" w:eastAsia="Arial" w:hAnsi="Arial"/>
                <w:sz w:val="18"/>
                <w:szCs w:val="18"/>
                <w:color w:val="auto"/>
                <w:w w:val="88"/>
              </w:rPr>
              <w:t>September 14, 2018</w:t>
            </w: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Stanton Sloane</w:t>
            </w:r>
          </w:p>
        </w:tc>
        <w:tc>
          <w:tcPr>
            <w:tcW w:w="4700" w:type="dxa"/>
            <w:vAlign w:val="bottom"/>
          </w:tcPr>
          <w:p>
            <w:pPr>
              <w:spacing w:after="0"/>
              <w:rPr>
                <w:sz w:val="19"/>
                <w:szCs w:val="19"/>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70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Frequency Electronics, Inc.;</w:t>
      </w:r>
    </w:p>
    <w:p>
      <w:pPr>
        <w:spacing w:after="0" w:line="225"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 w:firstLine="8"/>
        <w:spacing w:after="0" w:line="308" w:lineRule="auto"/>
        <w:tabs>
          <w:tab w:leader="none" w:pos="2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8"/>
        <w:spacing w:after="0" w:line="277" w:lineRule="auto"/>
        <w:tabs>
          <w:tab w:leader="none" w:pos="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460" w:type="dxa"/>
            <w:vAlign w:val="bottom"/>
          </w:tcPr>
          <w:p>
            <w:pPr>
              <w:ind w:left="3020"/>
              <w:spacing w:after="0"/>
              <w:rPr>
                <w:sz w:val="20"/>
                <w:szCs w:val="20"/>
                <w:color w:val="auto"/>
              </w:rPr>
            </w:pPr>
            <w:r>
              <w:rPr>
                <w:rFonts w:ascii="Arial" w:cs="Arial" w:eastAsia="Arial" w:hAnsi="Arial"/>
                <w:sz w:val="18"/>
                <w:szCs w:val="18"/>
                <w:color w:val="auto"/>
                <w:w w:val="87"/>
              </w:rPr>
              <w:t>September 14, 2018</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Steven L. Bernstein</w:t>
            </w:r>
          </w:p>
        </w:tc>
        <w:tc>
          <w:tcPr>
            <w:tcW w:w="4460" w:type="dxa"/>
            <w:vAlign w:val="bottom"/>
          </w:tcPr>
          <w:p>
            <w:pPr>
              <w:spacing w:after="0"/>
              <w:rPr>
                <w:sz w:val="19"/>
                <w:szCs w:val="19"/>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4460" w:type="dxa"/>
            <w:vAlign w:val="bottom"/>
          </w:tcPr>
          <w:p>
            <w:pPr>
              <w:spacing w:after="0"/>
              <w:rPr>
                <w:sz w:val="20"/>
                <w:szCs w:val="20"/>
                <w:color w:val="auto"/>
              </w:rPr>
            </w:pPr>
          </w:p>
        </w:tc>
      </w:tr>
    </w:tbl>
    <w:p>
      <w:pPr>
        <w:sectPr>
          <w:pgSz w:w="11900" w:h="16838" w:orient="portrait"/>
          <w:cols w:equalWidth="0" w:num="1">
            <w:col w:w="11420"/>
          </w:cols>
          <w:pgMar w:left="240" w:top="337"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2018 as filed with the Securities and Exchange Commission on the date hereof (the “Report”), I, Stanton Sloane,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tcBorders>
              <w:bottom w:val="single" w:sz="8" w:color="auto"/>
            </w:tcBorders>
            <w:gridSpan w:val="2"/>
          </w:tcPr>
          <w:p>
            <w:pPr>
              <w:jc w:val="center"/>
              <w:ind w:right="1640"/>
              <w:spacing w:after="0"/>
              <w:rPr>
                <w:sz w:val="20"/>
                <w:szCs w:val="20"/>
                <w:color w:val="auto"/>
              </w:rPr>
            </w:pPr>
            <w:r>
              <w:rPr>
                <w:rFonts w:ascii="Arial" w:cs="Arial" w:eastAsia="Arial" w:hAnsi="Arial"/>
                <w:sz w:val="18"/>
                <w:szCs w:val="18"/>
                <w:color w:val="auto"/>
                <w:w w:val="90"/>
              </w:rPr>
              <w:t>/s/  Stanton Sloane</w:t>
            </w:r>
          </w:p>
        </w:tc>
        <w:tc>
          <w:tcPr>
            <w:tcW w:w="4000" w:type="dxa"/>
            <w:vAlign w:val="bottom"/>
          </w:tcPr>
          <w:p>
            <w:pPr>
              <w:jc w:val="right"/>
              <w:spacing w:after="0"/>
              <w:rPr>
                <w:sz w:val="20"/>
                <w:szCs w:val="20"/>
                <w:color w:val="auto"/>
              </w:rPr>
            </w:pPr>
            <w:r>
              <w:rPr>
                <w:rFonts w:ascii="Arial" w:cs="Arial" w:eastAsia="Arial" w:hAnsi="Arial"/>
                <w:sz w:val="18"/>
                <w:szCs w:val="18"/>
                <w:color w:val="auto"/>
              </w:rPr>
              <w:t>September 14, 2018</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100" w:type="dxa"/>
            <w:vAlign w:val="bottom"/>
            <w:gridSpan w:val="2"/>
          </w:tcPr>
          <w:p>
            <w:pPr>
              <w:ind w:left="600"/>
              <w:spacing w:after="0"/>
              <w:rPr>
                <w:sz w:val="20"/>
                <w:szCs w:val="20"/>
                <w:color w:val="auto"/>
              </w:rPr>
            </w:pPr>
            <w:r>
              <w:rPr>
                <w:rFonts w:ascii="Arial" w:cs="Arial" w:eastAsia="Arial" w:hAnsi="Arial"/>
                <w:sz w:val="18"/>
                <w:szCs w:val="18"/>
                <w:color w:val="auto"/>
              </w:rPr>
              <w:t>Stanton Sloane</w:t>
            </w: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100" w:type="dxa"/>
            <w:vAlign w:val="bottom"/>
            <w:gridSpan w:val="2"/>
          </w:tcPr>
          <w:p>
            <w:pPr>
              <w:ind w:left="600"/>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gridSpan w:val="3"/>
            <w:vMerge w:val="restart"/>
          </w:tcPr>
          <w:p>
            <w:pPr>
              <w:jc w:val="center"/>
              <w:ind w:right="1560"/>
              <w:spacing w:after="0"/>
              <w:rPr>
                <w:sz w:val="20"/>
                <w:szCs w:val="20"/>
                <w:color w:val="auto"/>
              </w:rPr>
            </w:pPr>
            <w:r>
              <w:rPr>
                <w:rFonts w:ascii="Arial" w:cs="Arial" w:eastAsia="Arial" w:hAnsi="Arial"/>
                <w:sz w:val="18"/>
                <w:szCs w:val="18"/>
                <w:b w:val="1"/>
                <w:bCs w:val="1"/>
                <w:color w:val="auto"/>
                <w:w w:val="94"/>
              </w:rPr>
              <w:t>Certification of CFO</w:t>
            </w:r>
          </w:p>
        </w:tc>
        <w:tc>
          <w:tcPr>
            <w:tcW w:w="400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6"/>
        </w:trPr>
        <w:tc>
          <w:tcPr>
            <w:tcW w:w="3160" w:type="dxa"/>
            <w:vAlign w:val="bottom"/>
            <w:gridSpan w:val="3"/>
            <w:vMerge w:val="continue"/>
          </w:tcPr>
          <w:p>
            <w:pPr>
              <w:spacing w:after="0"/>
              <w:rPr>
                <w:sz w:val="15"/>
                <w:szCs w:val="15"/>
                <w:color w:val="auto"/>
              </w:rPr>
            </w:pP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Frequency Electronics, Inc. (the “Company”) on Form 10-Q for the period ended July 31, 2018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L. Bernstein</w:t>
            </w:r>
          </w:p>
        </w:tc>
        <w:tc>
          <w:tcPr>
            <w:tcW w:w="4000" w:type="dxa"/>
            <w:vAlign w:val="bottom"/>
          </w:tcPr>
          <w:p>
            <w:pPr>
              <w:ind w:left="2560"/>
              <w:spacing w:after="0"/>
              <w:rPr>
                <w:sz w:val="20"/>
                <w:szCs w:val="20"/>
                <w:color w:val="auto"/>
              </w:rPr>
            </w:pPr>
            <w:r>
              <w:rPr>
                <w:rFonts w:ascii="Arial" w:cs="Arial" w:eastAsia="Arial" w:hAnsi="Arial"/>
                <w:sz w:val="18"/>
                <w:szCs w:val="18"/>
                <w:color w:val="auto"/>
                <w:w w:val="87"/>
              </w:rPr>
              <w:t>September 14, 2018</w:t>
            </w:r>
          </w:p>
        </w:tc>
      </w:tr>
      <w:tr>
        <w:trPr>
          <w:trHeight w:val="222"/>
        </w:trPr>
        <w:tc>
          <w:tcPr>
            <w:tcW w:w="2900" w:type="dxa"/>
            <w:vAlign w:val="bottom"/>
          </w:tcPr>
          <w:p>
            <w:pPr>
              <w:ind w:left="600"/>
              <w:spacing w:after="0"/>
              <w:rPr>
                <w:sz w:val="20"/>
                <w:szCs w:val="20"/>
                <w:color w:val="auto"/>
              </w:rPr>
            </w:pPr>
            <w:r>
              <w:rPr>
                <w:rFonts w:ascii="Arial" w:cs="Arial" w:eastAsia="Arial" w:hAnsi="Arial"/>
                <w:sz w:val="18"/>
                <w:szCs w:val="18"/>
                <w:color w:val="auto"/>
              </w:rPr>
              <w:t>Steven L. Bernstein</w:t>
            </w:r>
          </w:p>
        </w:tc>
        <w:tc>
          <w:tcPr>
            <w:tcW w:w="4000" w:type="dxa"/>
            <w:vAlign w:val="bottom"/>
          </w:tcPr>
          <w:p>
            <w:pPr>
              <w:spacing w:after="0"/>
              <w:rPr>
                <w:sz w:val="19"/>
                <w:szCs w:val="19"/>
                <w:color w:val="auto"/>
              </w:rPr>
            </w:pPr>
          </w:p>
        </w:tc>
      </w:tr>
      <w:tr>
        <w:trPr>
          <w:trHeight w:val="230"/>
        </w:trPr>
        <w:tc>
          <w:tcPr>
            <w:tcW w:w="2900" w:type="dxa"/>
            <w:vAlign w:val="bottom"/>
          </w:tcPr>
          <w:p>
            <w:pPr>
              <w:ind w:left="600"/>
              <w:spacing w:after="0"/>
              <w:rPr>
                <w:sz w:val="20"/>
                <w:szCs w:val="20"/>
                <w:color w:val="auto"/>
              </w:rPr>
            </w:pPr>
            <w:r>
              <w:rPr>
                <w:rFonts w:ascii="Arial" w:cs="Arial" w:eastAsia="Arial" w:hAnsi="Arial"/>
                <w:sz w:val="18"/>
                <w:szCs w:val="18"/>
                <w:color w:val="auto"/>
              </w:rPr>
              <w:t>Chief Financial Officer</w:t>
            </w:r>
          </w:p>
        </w:tc>
        <w:tc>
          <w:tcPr>
            <w:tcW w:w="40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decimal"/>
      <w:start w:val="32"/>
    </w:lvl>
  </w:abstractNum>
  <w:abstractNum w:abstractNumId="8">
    <w:nsid w:val="DED7263"/>
    <w:multiLevelType w:val="hybridMultilevel"/>
    <w:lvl w:ilvl="0">
      <w:lvlJc w:val="left"/>
      <w:lvlText w:val="%1"/>
      <w:numFmt w:val="decimal"/>
      <w:start w:val="10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2019-12-28T19:17:22Z</dcterms:created>
  <dcterms:modified xsi:type="dcterms:W3CDTF">2019-12-28T19:17:22Z</dcterms:modified>
</cp:coreProperties>
</file>