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240" w:right="1960" w:hanging="3422"/>
        <w:spacing w:after="0" w:line="553" w:lineRule="auto"/>
        <w:tabs>
          <w:tab w:leader="none" w:pos="1139"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 (d) OF THE SECURITIES EXCHANGE ACT OF 1934 For the Fiscal Year ended April 30, 2008</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283" w:lineRule="exact"/>
        <w:rPr>
          <w:sz w:val="24"/>
          <w:szCs w:val="24"/>
          <w:color w:val="auto"/>
        </w:rPr>
      </w:pPr>
    </w:p>
    <w:p>
      <w:pPr>
        <w:ind w:left="3600" w:right="1640" w:hanging="2782"/>
        <w:spacing w:after="0" w:line="277" w:lineRule="auto"/>
        <w:tabs>
          <w:tab w:leader="none" w:pos="1136"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1-8061</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FREQUENCY ELECTRONICS,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02" w:orient="portrait"/>
          <w:cols w:equalWidth="0" w:num="1">
            <w:col w:w="11420"/>
          </w:cols>
          <w:pgMar w:left="240" w:top="229" w:right="239" w:bottom="0" w:gutter="0" w:footer="0" w:header="0"/>
        </w:sectPr>
      </w:pPr>
    </w:p>
    <w:p>
      <w:pPr>
        <w:spacing w:after="0" w:line="264"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11-1986657</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902" w:orient="portrait"/>
          <w:cols w:equalWidth="0" w:num="2">
            <w:col w:w="6540" w:space="720"/>
            <w:col w:w="4160"/>
          </w:cols>
          <w:pgMar w:left="240" w:top="229" w:right="239" w:bottom="0" w:gutter="0" w:footer="0" w:header="0"/>
          <w:type w:val="continuous"/>
        </w:sectPr>
      </w:pPr>
    </w:p>
    <w:p>
      <w:pPr>
        <w:spacing w:after="0" w:line="84"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55 CHARLES LINDBERGH BLVD., MITCHEL FIELD, N.Y.</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11553</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902" w:orient="portrait"/>
          <w:cols w:equalWidth="0" w:num="2">
            <w:col w:w="8020" w:space="720"/>
            <w:col w:w="2680"/>
          </w:cols>
          <w:pgMar w:left="240" w:top="229" w:right="239" w:bottom="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516-794-4500</w:t>
      </w:r>
    </w:p>
    <w:p>
      <w:pPr>
        <w:sectPr>
          <w:pgSz w:w="11900" w:h="16902" w:orient="portrait"/>
          <w:cols w:equalWidth="0" w:num="1">
            <w:col w:w="11420"/>
          </w:cols>
          <w:pgMar w:left="240" w:top="229" w:right="239" w:bottom="0" w:gutter="0" w:footer="0" w:header="0"/>
          <w:type w:val="continuous"/>
        </w:sect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 (b) of the Act:</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Name of each exchange on</w:t>
            </w:r>
          </w:p>
        </w:tc>
      </w:tr>
      <w:tr>
        <w:trPr>
          <w:trHeight w:val="230"/>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460" w:type="dxa"/>
            <w:vAlign w:val="bottom"/>
          </w:tcPr>
          <w:p>
            <w:pPr>
              <w:spacing w:after="0"/>
              <w:rPr>
                <w:sz w:val="20"/>
                <w:szCs w:val="20"/>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28"/>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46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5"/>
              </w:rPr>
              <w:t>NASDAQ Global Market</w:t>
            </w:r>
          </w:p>
        </w:tc>
      </w:tr>
    </w:tbl>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 (g) of the Act:</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 Yes o No x</w:t>
      </w:r>
    </w:p>
    <w:p>
      <w:pPr>
        <w:spacing w:after="0" w:line="27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23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3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 Accelerated filer o Non-accelerated filer o Smaller Reporting Company x</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as of October 31, 2007 - $52,700,000</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July 25, 2008 - 8,761,114</w:t>
      </w:r>
    </w:p>
    <w:p>
      <w:pPr>
        <w:spacing w:after="0" w:line="27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DOCUMENTS INCORPORATED BY REFERENCE: PART III incorporates information by reference from the definitive proxy statement for the Annual Meeting of Stockholders to be held on or about October 7, 2008.</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(Cover page 1 of 58 pages)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Exhibit Index at Page 51</w:t>
      </w:r>
    </w:p>
    <w:p>
      <w:pPr>
        <w:sectPr>
          <w:pgSz w:w="11900" w:h="16902" w:orient="portrait"/>
          <w:cols w:equalWidth="0" w:num="1">
            <w:col w:w="11420"/>
          </w:cols>
          <w:pgMar w:left="240" w:top="229" w:right="239" w:bottom="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DISCUSSION</w:t>
      </w:r>
    </w:p>
    <w:p>
      <w:pPr>
        <w:spacing w:after="0" w:line="27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Frequency Electronics, Inc. (sometimes referred to as "Registrant", "Frequency Electronics" or the "Company") was founded in 1961 as a research and development firm in the technology of time and frequency control. Unless the context indicates otherwise, references to the Registrant or the Company are to Frequency Electronics, Inc. and its subsidiaries. References to “FEI” are to the parent company alone and do not refer to any of the subsidiaries.</w:t>
      </w:r>
    </w:p>
    <w:p>
      <w:pPr>
        <w:spacing w:after="0" w:line="20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Frequency Electronics was incorporated in Delaware in 1968 and became the successor to the business of Frequency Electronics, Inc., a New York corporation, organized in 1961. The principal executive office of Frequency Electronics is located at 55 Charles Lindbergh Boulevard, Mitchel Field, New York 11553. Its telephone number is 516-794-4500 and its website is </w:t>
      </w:r>
      <w:r>
        <w:rPr>
          <w:rFonts w:ascii="Arial" w:cs="Arial" w:eastAsia="Arial" w:hAnsi="Arial"/>
          <w:sz w:val="18"/>
          <w:szCs w:val="18"/>
          <w:i w:val="1"/>
          <w:iCs w:val="1"/>
          <w:u w:val="single" w:color="auto"/>
          <w:color w:val="auto"/>
        </w:rPr>
        <w:t>www.frequencyelectronics.com</w:t>
      </w:r>
      <w:r>
        <w:rPr>
          <w:rFonts w:ascii="Arial" w:cs="Arial" w:eastAsia="Arial" w:hAnsi="Arial"/>
          <w:sz w:val="18"/>
          <w:szCs w:val="18"/>
          <w:i w:val="1"/>
          <w:iCs w:val="1"/>
          <w:color w:val="auto"/>
        </w:rPr>
        <w:t>.</w:t>
      </w:r>
    </w:p>
    <w:p>
      <w:pPr>
        <w:spacing w:after="0" w:line="2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the mid-1990’s, the Company transformed itself from primarily a defense contract manufacturer into a high-tech provider of precision time and frequency products for commercial applications found in both ground-based communication stations and on-board satellites. The Company also continues to support the United States government with products for defense and space applications.</w:t>
      </w:r>
    </w:p>
    <w:p>
      <w:pPr>
        <w:spacing w:after="0" w:line="23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is a world leader in the design, development and manufacture of high-technology frequency, timing and synchronization products for satellite and terrestrial voice, video and data telecommunications. The Company’s technologies provide unique solutions that are essential building blocks for the next generation of broadband wireless and for the ongoing expansion of existing wireless and wireline networks. The Company’s mission is to provide the most advanced control of frequency and time - essential factors for synchronizing communication networks and for providing reference frequencies for certain military, commercial and scientific, terrestrial and space applications.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identified the following major markets for its products and technology: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SATELLITE PAYLOADS</w:t>
      </w:r>
    </w:p>
    <w:p>
      <w:pPr>
        <w:spacing w:after="0" w:line="283" w:lineRule="exact"/>
        <w:rPr>
          <w:sz w:val="20"/>
          <w:szCs w:val="20"/>
          <w:color w:val="auto"/>
        </w:rPr>
      </w:pPr>
    </w:p>
    <w:p>
      <w:pPr>
        <w:ind w:firstLine="494"/>
        <w:spacing w:after="0" w:line="308" w:lineRule="auto"/>
        <w:tabs>
          <w:tab w:leader="none" w:pos="781"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Commercial communication satellites- The globe is encircled by over 120 geostationary satellites used for communication, TV and video broadcasting, and data transmission. These satellites are going through a replacement and augmentation cycle which will last for many years.</w:t>
      </w:r>
    </w:p>
    <w:p>
      <w:pPr>
        <w:spacing w:after="0" w:line="200" w:lineRule="exact"/>
        <w:rPr>
          <w:rFonts w:ascii="Arial" w:cs="Arial" w:eastAsia="Arial" w:hAnsi="Arial"/>
          <w:sz w:val="17"/>
          <w:szCs w:val="17"/>
          <w:color w:val="auto"/>
        </w:rPr>
      </w:pPr>
    </w:p>
    <w:p>
      <w:pPr>
        <w:jc w:val="both"/>
        <w:ind w:firstLine="494"/>
        <w:spacing w:after="0" w:line="264" w:lineRule="auto"/>
        <w:tabs>
          <w:tab w:leader="none" w:pos="741" w:val="left"/>
        </w:tabs>
        <w:numPr>
          <w:ilvl w:val="0"/>
          <w:numId w:val="3"/>
        </w:numPr>
        <w:rPr>
          <w:rFonts w:ascii="Arial" w:cs="Arial" w:eastAsia="Arial" w:hAnsi="Arial"/>
          <w:sz w:val="18"/>
          <w:szCs w:val="18"/>
          <w:color w:val="auto"/>
        </w:rPr>
      </w:pPr>
      <w:r>
        <w:rPr>
          <w:rFonts w:ascii="Arial" w:cs="Arial" w:eastAsia="Arial" w:hAnsi="Arial"/>
          <w:sz w:val="18"/>
          <w:szCs w:val="18"/>
          <w:color w:val="auto"/>
        </w:rPr>
        <w:t>Satellites for U.S. Government Department of Defense (“DOD”) and National Aeronautics and Space Administrations (“NASA”)- Such satellites, which may be in geostationary, mid- and low-earth orbits, are used for secure communications, surveillance, guidance, global positioning (GPS) and weather tracking.</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Industry estimates predict approximately 20 additional and replacement satellites will be built each year over the next decade.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TELECOMMUNICATION NETWORKS</w:t>
      </w:r>
    </w:p>
    <w:p>
      <w:pPr>
        <w:spacing w:after="0" w:line="283" w:lineRule="exact"/>
        <w:rPr>
          <w:sz w:val="20"/>
          <w:szCs w:val="20"/>
          <w:color w:val="auto"/>
        </w:rPr>
      </w:pPr>
    </w:p>
    <w:p>
      <w:pPr>
        <w:jc w:val="both"/>
        <w:ind w:firstLine="494"/>
        <w:spacing w:after="0" w:line="264" w:lineRule="auto"/>
        <w:tabs>
          <w:tab w:leader="none" w:pos="754"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Wireless communications- Cellular telephone infrastructure requires precise signal synchronization. In the architecture of many of the cellular systems, this synchronization is obtained through oscillators provided by the Company. As more services are added and more users come online, the need for synchronization is increased.</w:t>
      </w:r>
    </w:p>
    <w:p>
      <w:pPr>
        <w:spacing w:after="0" w:line="235" w:lineRule="exact"/>
        <w:rPr>
          <w:rFonts w:ascii="Arial" w:cs="Arial" w:eastAsia="Arial" w:hAnsi="Arial"/>
          <w:sz w:val="18"/>
          <w:szCs w:val="18"/>
          <w:color w:val="auto"/>
        </w:rPr>
      </w:pPr>
    </w:p>
    <w:p>
      <w:pPr>
        <w:jc w:val="both"/>
        <w:ind w:firstLine="494"/>
        <w:spacing w:after="0" w:line="264" w:lineRule="auto"/>
        <w:tabs>
          <w:tab w:leader="none" w:pos="741" w:val="left"/>
        </w:tabs>
        <w:numPr>
          <w:ilvl w:val="0"/>
          <w:numId w:val="4"/>
        </w:numPr>
        <w:rPr>
          <w:rFonts w:ascii="Arial" w:cs="Arial" w:eastAsia="Arial" w:hAnsi="Arial"/>
          <w:sz w:val="18"/>
          <w:szCs w:val="18"/>
          <w:color w:val="auto"/>
        </w:rPr>
      </w:pPr>
      <w:r>
        <w:rPr>
          <w:rFonts w:ascii="Arial" w:cs="Arial" w:eastAsia="Arial" w:hAnsi="Arial"/>
          <w:sz w:val="18"/>
          <w:szCs w:val="18"/>
          <w:color w:val="auto"/>
        </w:rPr>
        <w:t>WiMAX- The nascent Internet access technology is part of the wireless communications alternatives. The consortium of Motorola, Intel and Sprint, for example, are currently building WiMax networks in select cities in the United States as well as in other countries. For mobile WiMax, precise signal synchronization is provided by Frequency’s oscillators.</w:t>
      </w:r>
    </w:p>
    <w:p>
      <w:pPr>
        <w:spacing w:after="0" w:line="235" w:lineRule="exact"/>
        <w:rPr>
          <w:rFonts w:ascii="Arial" w:cs="Arial" w:eastAsia="Arial" w:hAnsi="Arial"/>
          <w:sz w:val="18"/>
          <w:szCs w:val="18"/>
          <w:color w:val="auto"/>
        </w:rPr>
      </w:pPr>
    </w:p>
    <w:p>
      <w:pPr>
        <w:jc w:val="both"/>
        <w:ind w:firstLine="494"/>
        <w:spacing w:after="0" w:line="264" w:lineRule="auto"/>
        <w:tabs>
          <w:tab w:leader="none" w:pos="741"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Wireline synchronization- World-wide, a vast infrastructure supports the wired communications networks. These networks also require significant synchronization equipment which is housed in thousands of Central Offices operated by the telephone companies. These equipments require upgrade and replacement to maintain the integrity of the wireline networks and inter-connectivity.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U.S. GOVERNMENT &amp; DOD (non-space)</w:t>
      </w:r>
    </w:p>
    <w:p>
      <w:pPr>
        <w:spacing w:after="0" w:line="283" w:lineRule="exact"/>
        <w:rPr>
          <w:sz w:val="20"/>
          <w:szCs w:val="20"/>
          <w:color w:val="auto"/>
        </w:rPr>
      </w:pPr>
    </w:p>
    <w:p>
      <w:pPr>
        <w:jc w:val="both"/>
        <w:ind w:firstLine="494"/>
        <w:spacing w:after="0" w:line="264" w:lineRule="auto"/>
        <w:tabs>
          <w:tab w:leader="none" w:pos="754"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Government applications- In addition to DOD and NASA satellites, the U.S. Government is in need of ever more secure communication capabilities and is developing a secure radio for all branches of the military. The military is also increasing its use of unmanned aerial vehicles (UAVs) and improving the accuracy of the radar and guidance systems on all moving platforms.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INDUSTRIAL APPLICATIONS</w:t>
      </w:r>
    </w:p>
    <w:p>
      <w:pPr>
        <w:spacing w:after="0" w:line="283" w:lineRule="exact"/>
        <w:rPr>
          <w:sz w:val="20"/>
          <w:szCs w:val="20"/>
          <w:color w:val="auto"/>
        </w:rPr>
      </w:pPr>
    </w:p>
    <w:p>
      <w:pPr>
        <w:ind w:left="740" w:hanging="246"/>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Remote management of networks, such as power grids and gas lines, can be accomplished through the Company’s LYNX SCADA system.</w:t>
      </w:r>
    </w:p>
    <w:p>
      <w:pPr>
        <w:spacing w:after="0" w:line="290" w:lineRule="exact"/>
        <w:rPr>
          <w:rFonts w:ascii="Arial" w:cs="Arial" w:eastAsia="Arial" w:hAnsi="Arial"/>
          <w:sz w:val="17"/>
          <w:szCs w:val="17"/>
          <w:color w:val="auto"/>
        </w:rPr>
      </w:pPr>
    </w:p>
    <w:p>
      <w:pPr>
        <w:ind w:right="20" w:firstLine="494"/>
        <w:spacing w:after="0" w:line="277" w:lineRule="auto"/>
        <w:tabs>
          <w:tab w:leader="none" w:pos="754" w:val="left"/>
        </w:tabs>
        <w:numPr>
          <w:ilvl w:val="0"/>
          <w:numId w:val="6"/>
        </w:numPr>
        <w:rPr>
          <w:rFonts w:ascii="Arial" w:cs="Arial" w:eastAsia="Arial" w:hAnsi="Arial"/>
          <w:sz w:val="18"/>
          <w:szCs w:val="18"/>
          <w:color w:val="auto"/>
        </w:rPr>
      </w:pPr>
      <w:r>
        <w:rPr>
          <w:rFonts w:ascii="Arial" w:cs="Arial" w:eastAsia="Arial" w:hAnsi="Arial"/>
          <w:sz w:val="18"/>
          <w:szCs w:val="18"/>
          <w:color w:val="auto"/>
        </w:rPr>
        <w:t>Deep earth drilling for oil and gas in harsh environments can be done more efficiently through utilization of the Company’s high temperature tolerant oscillators and GPS technology.</w:t>
      </w:r>
    </w:p>
    <w:p>
      <w:pPr>
        <w:spacing w:after="0" w:line="22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To address these markets, the Company has formed several corporate entities which operate under three reportable segments. (See also the section entitled REPORTABLE SEGMENTS below):</w:t>
      </w:r>
    </w:p>
    <w:p>
      <w:pPr>
        <w:spacing w:after="0" w:line="220" w:lineRule="exact"/>
        <w:rPr>
          <w:sz w:val="20"/>
          <w:szCs w:val="20"/>
          <w:color w:val="auto"/>
        </w:rPr>
      </w:pPr>
    </w:p>
    <w:p>
      <w:pPr>
        <w:jc w:val="both"/>
        <w:ind w:left="500" w:hanging="492"/>
        <w:spacing w:after="0" w:line="289"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b w:val="1"/>
          <w:bCs w:val="1"/>
          <w:u w:val="single" w:color="auto"/>
          <w:color w:val="auto"/>
        </w:rPr>
        <w:t>FEI-NY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space and terrestrial commercial communications products are designed, developed and manufactured by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FEI Communications, Inc. (“FEIC”). FEIC was incorporated in Delaware in December 1991, as a separate subsidiary company to provide ownership and management of assets and other services appropriate for commercial clients, both domestic and foreign.</w:t>
      </w:r>
    </w:p>
    <w:p>
      <w:pPr>
        <w:spacing w:after="0" w:line="216" w:lineRule="exact"/>
        <w:rPr>
          <w:rFonts w:ascii="Arial" w:cs="Arial" w:eastAsia="Arial" w:hAnsi="Arial"/>
          <w:sz w:val="17"/>
          <w:szCs w:val="17"/>
          <w:color w:val="auto"/>
        </w:rPr>
      </w:pPr>
    </w:p>
    <w:p>
      <w:pPr>
        <w:jc w:val="both"/>
        <w:ind w:left="500"/>
        <w:spacing w:after="0" w:line="264" w:lineRule="auto"/>
        <w:rPr>
          <w:rFonts w:ascii="Arial" w:cs="Arial" w:eastAsia="Arial" w:hAnsi="Arial"/>
          <w:sz w:val="17"/>
          <w:szCs w:val="17"/>
          <w:color w:val="auto"/>
        </w:rPr>
      </w:pPr>
      <w:r>
        <w:rPr>
          <w:rFonts w:ascii="Arial" w:cs="Arial" w:eastAsia="Arial" w:hAnsi="Arial"/>
          <w:sz w:val="18"/>
          <w:szCs w:val="18"/>
          <w:color w:val="auto"/>
        </w:rPr>
        <w:t>Frequency Electronics, Inc. Asia (“FEI-Asia”) was established in fiscal year 2002 to be the Company’s Asian-based low cost manufacturer of certain commercial communications products used primarily in the wireless and wireline markets. FEI-Asia is located in the Free-Trade Zone in Tianjin, China.</w:t>
      </w:r>
    </w:p>
    <w:p>
      <w:pPr>
        <w:spacing w:after="0" w:line="235" w:lineRule="exact"/>
        <w:rPr>
          <w:rFonts w:ascii="Arial" w:cs="Arial" w:eastAsia="Arial" w:hAnsi="Arial"/>
          <w:sz w:val="17"/>
          <w:szCs w:val="17"/>
          <w:color w:val="auto"/>
        </w:rPr>
      </w:pPr>
    </w:p>
    <w:p>
      <w:pPr>
        <w:ind w:left="500"/>
        <w:spacing w:after="0" w:line="277" w:lineRule="auto"/>
        <w:rPr>
          <w:rFonts w:ascii="Arial" w:cs="Arial" w:eastAsia="Arial" w:hAnsi="Arial"/>
          <w:sz w:val="17"/>
          <w:szCs w:val="17"/>
          <w:color w:val="auto"/>
        </w:rPr>
      </w:pPr>
      <w:r>
        <w:rPr>
          <w:rFonts w:ascii="Arial" w:cs="Arial" w:eastAsia="Arial" w:hAnsi="Arial"/>
          <w:sz w:val="18"/>
          <w:szCs w:val="18"/>
          <w:color w:val="auto"/>
        </w:rPr>
        <w:t>The Company’s subsidiary, FEI Government Systems, Inc. (“FEI-GSI”), was formed in fiscal year 2002 to focus on supplying the Company’s technology and legacy proprietary products to the United States military and other U.S. Government agencies.</w:t>
      </w:r>
    </w:p>
    <w:p>
      <w:pPr>
        <w:spacing w:after="0" w:line="220" w:lineRule="exact"/>
        <w:rPr>
          <w:rFonts w:ascii="Arial" w:cs="Arial" w:eastAsia="Arial" w:hAnsi="Arial"/>
          <w:sz w:val="17"/>
          <w:szCs w:val="17"/>
          <w:color w:val="auto"/>
        </w:rPr>
      </w:pPr>
    </w:p>
    <w:p>
      <w:pPr>
        <w:jc w:val="both"/>
        <w:ind w:left="500" w:hanging="492"/>
        <w:spacing w:after="0" w:line="266"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Gillam-FEI</w:t>
      </w:r>
      <w:r>
        <w:rPr>
          <w:rFonts w:ascii="Arial" w:cs="Arial" w:eastAsia="Arial" w:hAnsi="Arial"/>
          <w:sz w:val="18"/>
          <w:szCs w:val="18"/>
          <w:b w:val="1"/>
          <w:bCs w:val="1"/>
          <w:color w:val="auto"/>
        </w:rPr>
        <w:t xml:space="preserve"> </w:t>
      </w:r>
      <w:r>
        <w:rPr>
          <w:rFonts w:ascii="Arial" w:cs="Arial" w:eastAsia="Arial" w:hAnsi="Arial"/>
          <w:sz w:val="18"/>
          <w:szCs w:val="18"/>
          <w:color w:val="auto"/>
        </w:rPr>
        <w:t>- The Company’s Belgian subsidiary, acquired in September 2000, develops and manufactures products for wireline and network</w:t>
      </w:r>
      <w:r>
        <w:rPr>
          <w:rFonts w:ascii="Arial" w:cs="Arial" w:eastAsia="Arial" w:hAnsi="Arial"/>
          <w:sz w:val="18"/>
          <w:szCs w:val="18"/>
          <w:b w:val="1"/>
          <w:bCs w:val="1"/>
          <w:color w:val="auto"/>
        </w:rPr>
        <w:t xml:space="preserve"> </w:t>
      </w:r>
      <w:r>
        <w:rPr>
          <w:rFonts w:ascii="Arial" w:cs="Arial" w:eastAsia="Arial" w:hAnsi="Arial"/>
          <w:sz w:val="18"/>
          <w:szCs w:val="18"/>
          <w:color w:val="auto"/>
        </w:rPr>
        <w:t>synchronization systems. Products delivered by Gillam-FEI provide essential network management and wireline synchronization for a variety of industries and telecommunications providers in Europe, Africa, the Middle East and Asia.</w:t>
      </w:r>
    </w:p>
    <w:p>
      <w:pPr>
        <w:spacing w:after="0" w:line="230" w:lineRule="exact"/>
        <w:rPr>
          <w:rFonts w:ascii="Arial" w:cs="Arial" w:eastAsia="Arial" w:hAnsi="Arial"/>
          <w:sz w:val="18"/>
          <w:szCs w:val="18"/>
          <w:color w:val="auto"/>
        </w:rPr>
      </w:pPr>
    </w:p>
    <w:p>
      <w:pPr>
        <w:jc w:val="both"/>
        <w:ind w:left="500" w:hanging="492"/>
        <w:spacing w:after="0" w:line="261"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FEI-Zyfer</w:t>
      </w:r>
      <w:r>
        <w:rPr>
          <w:rFonts w:ascii="Arial" w:cs="Arial" w:eastAsia="Arial" w:hAnsi="Arial"/>
          <w:sz w:val="18"/>
          <w:szCs w:val="18"/>
          <w:b w:val="1"/>
          <w:bCs w:val="1"/>
          <w:color w:val="auto"/>
        </w:rPr>
        <w:t xml:space="preserve"> </w:t>
      </w:r>
      <w:r>
        <w:rPr>
          <w:rFonts w:ascii="Arial" w:cs="Arial" w:eastAsia="Arial" w:hAnsi="Arial"/>
          <w:sz w:val="18"/>
          <w:szCs w:val="18"/>
          <w:color w:val="auto"/>
        </w:rPr>
        <w:t>- Precision time and frequency generation and synchronization products that incorporate global positioning systems (“GPS”) technology are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manufactured by the Company’s subsidiary FEI-Zyfer, Inc. (“FEI-Zyfer”), which was acquired in fiscal year 2004. FEI-Zyfer’s GPS capability complements the Company’s existing technologies and permits the combined entities to provide a broader range of embedded systems for a variety of timing functions.</w:t>
      </w:r>
    </w:p>
    <w:p>
      <w:pPr>
        <w:spacing w:after="0" w:line="238"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addition to the operating segments, the Company has made a strategic investment in Morion, Inc. (“Morion”), a Russian crystal oscillator manufacturer located in St. Petersburg, Russia. The Company’s equity investment in Morion permits the Company to secure a cost-effective source for high precision quartz resonators and crystal oscillators, many of which are based on the Company’s design and development work. As of April 30, 2008, the Company owned 8.0% of the outstanding shares of Morion’s common stock. Accordingly, the Morion investment is accounted for under the cost method.</w:t>
      </w:r>
    </w:p>
    <w:p>
      <w:pPr>
        <w:spacing w:after="0" w:line="20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December 2006, the Company acquired a 25% interest (20% on a fully-diluted basis) in Elcom Technologies, Inc. (“Elcom”), a privately-held RF microwave company. Elcom designs and manufactures high switching speed, low phase noise microwave synthesizers, up-down converters, receivers, ceramic resonant oscillators and dielectric resonant oscillators up to 40 GHz. These instruments and components are critical for communication, surveillance, signal intelligence, automatic testing, satellite ground stations and satellite payloads. The Company accounts for its Elcom investment on the equity basis and the Company’s statement of operations includes its proportionate share of Elcom’s operating results.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FISCAL 2008 SIGNIFICANT EVENT</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Sale of Morion shares</w:t>
      </w:r>
    </w:p>
    <w:p>
      <w:pPr>
        <w:spacing w:after="0" w:line="28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June 2007, the Company reduced its investment in Morion from 36.6% to 8% of Morion’s outstanding shares. Based upon a determination by the Russian Federation that Morion was in a “strategic industry,” Gazprombank, a Russian government majority-owned joint stock bank, acquired the majority interest in Morion previously held by the European Bank for Reconstruction and Development and a portion of the shares previously held by Frequency Electronics, both at the same price per share. Gazprombank, through its wholly-owned subsidiary, Finproject, Ltd., paid the Company approximately $5.6 million. In the first quarter of fiscal year 2008, the Company recognized a pre-tax gain of approximately $3.0 million. This is in addition to approximately $2.0 million in equity income realized in prior periods from the Morion investment. In connection with the sale of the Morion stock and dilution in its ownership from 36.6% to 8%, effective June 2007, the Company changed its method of accounting for its investment in Morion from the equity basis to the cost basis.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REPORTABLE SEGMENTS</w:t>
      </w:r>
    </w:p>
    <w:p>
      <w:pPr>
        <w:spacing w:after="0" w:line="27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operates under three reportable segments, primarily aligned with its geographical locations: (1) FEI-NY, (2) Gillam-FEI; and (3) 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limiting the number of segments to the three indicated above appropriately reflects the way the Company’s management views the business.</w:t>
      </w:r>
    </w:p>
    <w:p>
      <w:pPr>
        <w:spacing w:after="0" w:line="2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reports its segment information on an essentially geographic basis. The FEI-NY segment, which operates out of the Company’s New York headquarters facility also includes the operations of the Company’s wholly-owned subsidiary, FEI-Asia. FEI-Asia functions primarily as a manufacturing facility for the FEI-NY segment.</w:t>
      </w:r>
    </w:p>
    <w:p>
      <w:pPr>
        <w:spacing w:after="0" w:line="23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products for the FEI-NY segment are principally marketed to wireless communications networks, to the commercial and U.S. Government satellite markets and to other U.S. Department of Defense programs. The Gillam-FEI segment designs, develops and manufactures products for wireline and network synchronization. Its products are currently sold to non-U.S. customers and its US5G system has recently been introduced to the domestic U.S. market. The FEI-Zyfer segment designs and manufactures products which incorporate GPS technologies. FEI-Zyfer sells its products to both commercial and U.S. Government customers and collaborates with other FEI segments on joint product development activities.</w:t>
      </w:r>
    </w:p>
    <w:p>
      <w:pPr>
        <w:spacing w:after="0" w:line="2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During fiscal years 2008 and 2007 approximately 72% and 71%, respectively, of the Company’s consolidated revenues were from products sold by the FEI-NY segment. Sales by Gillam-FEI were approximately 18% and 20% of fiscal years 2008 and 2007 consolidated revenues, respectively. In fiscal years 2008 and 2007, sales for the FEI-Zyfer segment were 14% and 13% of consolidated revenues, respectively. Additional sales information for the FEI-NY, Gillam-FEI, and FEI-Zyfer segments during each of the last five years is set forth in Item 6 (Selected Financial Data).</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Consolidated revenues include sales to end-users in countries located outside of the United States. During fiscal years 2008 and 2007, foreign sales comprised 31% and 32%, respectively, of consolidated revenues. Segment information regarding revenues, including foreign sales, operating profits, depreciation and assets is more fully disclosed in Note 15 to the accompanying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FEI-NY segment:</w:t>
      </w:r>
    </w:p>
    <w:p>
      <w:pPr>
        <w:spacing w:after="0" w:line="28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Company provides precision time, frequency and synchronization products that are found in ground-based communication stations, on-board earth-orbiting satellites and imbedded in moving platforms operated by the U.S. military. The Company has made a substantial investment in research and development to apply its core technologies to telecommunication and satellite payload markets. Revenues for this segment have varied considerably over the past eight fiscal years, based on infrastructure spending patterns by wireless telecommunication companies and demand for new satellites. Over this eight-year time frame, the Company initially experienced accelerated growth in wireless infrastructure revenues followed by a “telecom trough” in fiscal years 2002 and 2003. Accelerated growth began again in late fiscal year 2004 and continued through early fiscal year 2005, to be followed by another slow down into the first two quarters of fiscal year 2006. Beginning in the latter portion of fiscal year 2006, revenues from satellite payloads, both for commercial and U.S. Government applications, began to accelerate. The Company expects to continue to generate substantial revenues from deployment of new and replacement satellites. The Company also believes that the wireless industry provides a large opportunity for future sales growth but the timing of any growth will be based on capital spending decisions by domestic and worldwide telecommunications companies.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ind w:left="500"/>
        <w:spacing w:after="0"/>
        <w:rPr>
          <w:sz w:val="20"/>
          <w:szCs w:val="20"/>
          <w:color w:val="auto"/>
        </w:rPr>
      </w:pPr>
      <w:r>
        <w:rPr>
          <w:rFonts w:ascii="Arial" w:cs="Arial" w:eastAsia="Arial" w:hAnsi="Arial"/>
          <w:sz w:val="18"/>
          <w:szCs w:val="18"/>
          <w:b w:val="1"/>
          <w:bCs w:val="1"/>
          <w:color w:val="auto"/>
        </w:rPr>
        <w:t>Terrestrial Communications</w:t>
      </w:r>
    </w:p>
    <w:p>
      <w:pPr>
        <w:spacing w:after="0" w:line="28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development of new and enhanced technologies will bring expanded and more reliable telecommunications services to the public. As digital cellular systems and PCS networks grow they require more base stations to meet the demand for better connectivity, higher data rates and dependable high quality for cell phone service. Cellular infrastructure integrators and original equipment manufacturers, consisting of some of the world’s largest telecommunications companies, are building out existing networks even as they develop new technologies for future systems. These new technologies include</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advances such as EDGE (Enhanced Data rates for Global Evolution), 3G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Generation) and others, that can provide not only improved voice connectivity but also Internet, video and data transmission. A full buildout of WiMAX networks in the United States alone, contemplates hundreds of thousands of base stations. Mobile WiMAX would require high levels of synchronization such as that provided by Frequency Electronics.</w:t>
      </w:r>
    </w:p>
    <w:p>
      <w:pPr>
        <w:spacing w:after="0" w:line="2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Wireless communication networks consist of numerous installations located throughout a service area, each with its own base station connected by wire or microwave radio through a network switch. Network operators are in the process of converting older networks from analog to digital technology and enhanced systems such as CDMA (Code Division Multiple Access). These upgrades require more precise frequency control at the base stations to achieve a higher dependability and quality of services.</w:t>
      </w:r>
    </w:p>
    <w:p>
      <w:pPr>
        <w:spacing w:after="0" w:line="24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With increased demand for wireless services on limited bandwidth, the requirement for precise timing to ensure system-wide synchronization becomes paramount. The Company manufactures a Rubidium Atomic Standard, a small, low cost, temperature-stable atomic “clock” as well as temperature-stable quartz crystal oscillators, which are ideally suited for use in advanced cellular communications base stations. Whether the network uses CDMA (Code Division Multiple Access), TDMA (Time Division Multiple Access), UMTS (Universal Mobile Telecommunications System) or GSM (Global System for Mobile Communications) or a hybrid of these systems, timing to ensure signal synchronization is essential.</w:t>
      </w:r>
    </w:p>
    <w:p>
      <w:pPr>
        <w:spacing w:after="0" w:line="2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Over the past five years, in conjunction with its European subsidiary, Gillam-FEI, the Company has developed a new, state-of-the-art signal synchronization unit identified as the US5G. This unit is intended to provide synchronization for wireline networks within the United States where approximately 35,000 “shelves” are located in 25,000 Central Offices around the country. The current equipment in these Central Offices is old and in need of upgrade or replacement. During fiscal year 2008, the Company’s US5G unit completed the validation phase at two of the Regional Bell Operating Companies (“RBOC”) and the Company recorded its first sales of this product in the United States. The Company expects to realize increasing sales of this product line during fiscal year 2009.</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Satellite Payloads</w:t>
      </w:r>
    </w:p>
    <w:p>
      <w:pPr>
        <w:spacing w:after="0" w:line="283"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use of satellites launched for communications, navigation, weather forecasting, video and data transmissions has expanded the need to transmit increasing amounts of voice, video, and data to earth-based receivers. This requires more precise timing and frequency control at the satellite. The Company manufactures the master clocks (quartz, rubidium and cesium) and other significant timing products for many satellite communication systems, and many of the Company’s other space assemblies are used onboard spacecraft for command, control and power distribution. Efficient and reliable DC-DC power converters are also manufactured for the Company’s own instruments and as stand-alone products for space applications. The Company’s oven-controlled quartz crystal oscillators are cost-effective precision clocks suited for high-end performance required in satellite transmissions, airborne telephony and geophysical survey positioning systems. Newly developed frequency generators, synthesizers, distribution amplifiers and up/down converters and receivers have augmented the Company’s product offerings and positioned the Company to provide a greater share of a typical satellite’s payload. Commercial satellite programs such as ICO, TerreStar, Intelsat, ANIK, Eutelsat, Inmarsat and Worldstar have utilized the Company’s space-qualified products.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both"/>
        <w:ind w:firstLine="486"/>
        <w:spacing w:after="0" w:line="257" w:lineRule="auto"/>
        <w:rPr>
          <w:sz w:val="20"/>
          <w:szCs w:val="20"/>
          <w:color w:val="auto"/>
        </w:rPr>
      </w:pPr>
      <w:r>
        <w:rPr>
          <w:rFonts w:ascii="Arial" w:cs="Arial" w:eastAsia="Arial" w:hAnsi="Arial"/>
          <w:sz w:val="18"/>
          <w:szCs w:val="18"/>
          <w:color w:val="auto"/>
        </w:rPr>
        <w:t>In the years ahead, the U.S. Government’s DOD will require more secure communication capabilities, more assets in space and greater bandwidth. The Global Positioning Satellite System, the MILSTAR Satellite System and the AEHF Satellite System, are examples of the programs in which the Company participates. The Company has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U.S. Government- non-space:</w:t>
      </w:r>
    </w:p>
    <w:p>
      <w:pPr>
        <w:spacing w:after="0" w:line="28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to space-based programs, the Company’s proprietary products have been used in airborne and ground-based guidance, navigation, communications, radar, sonar surveillance and electronic countermeasure and timing systems. The Company has recently developed a low-g (gravity) sensitivity oscillator which offers a 100-fold improvement in accuracy for certain guidance and targeting systems. The Company has demonstrated the functionality of its oscillators on over a dozen U.S. Government platforms and anticipates that many of these programs will be a source of substantial future revenue. Products are built in accordance with DOD standards and are in use on many of the United States’ most sophisticated military aircraft, satellites and missiles.</w:t>
      </w:r>
    </w:p>
    <w:p>
      <w:pPr>
        <w:spacing w:after="0" w:line="247"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Company’s sales on U.S. Government programs for both space and non-space applications, are generally made under fixed price contracts either directly with U.S. Government agencies or indirectly through subcontracts intended for government end-use. The price paid to the Company is not subject to adjustment by reason of the costs incurred by the Company in the performance of the contract, except for costs incurred due to contract changes ordered by the customer. These contracts are negotiated on terms under which the Company bears the risk of cost overruns and derives the benefit from cost savings.</w:t>
      </w:r>
    </w:p>
    <w:p>
      <w:pPr>
        <w:spacing w:after="0" w:line="208"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Recently the Company has also received several cost plus fee contracts. Under these contracts, the Company may be able to recover all of its direct and indirect costs related to the programs plus a pre-determined fee. In the event of substantial cost overruns, the fee may be reduced.</w:t>
      </w:r>
    </w:p>
    <w:p>
      <w:pPr>
        <w:spacing w:after="0" w:line="20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Negotiations on U.S. Government contracts are sometimes based in part on Certificates of Current Costs. An inaccuracy in such certificates may entitle the government to an appropriate recovery. From time to time, the Defense Contracts Audit Agency ("DCAA") audits the Company's accounts with respect to these contracts. The Company is not aware of any basis for recovery with respect to past certificates.</w:t>
      </w:r>
    </w:p>
    <w:p>
      <w:pPr>
        <w:spacing w:after="0" w:line="23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All U.S. Government end-use contracts are subject to termination by the purchaser for the convenience of the U.S. Government and are subject to various other provisions for the protection of the U.S. Government. In the event of such termination, the Company is entitled to receive compensation as provided under such contracts and in the applicable U.S. Government regulations.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Gillam-FEI segment:</w:t>
      </w:r>
    </w:p>
    <w:p>
      <w:pPr>
        <w:spacing w:after="0" w:line="28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Gillam-FEI extends the Company’s competencies into wireline synchronization, network management, and specialized test equipment. With the advent of new digital broadband transmission technologies, reliable synchronization has become the warranty to quality of service for telecommunications operators. Gillam-FEI is among the world leaders in the field of wireline synchronization technology, and its products are targeted for telecommunication operators and network equipment manufacturers that utilize modular and flexible platforms to build reliable digital-network-systems worldwide. Telecommunications operators such as Belgacom, France Telecom, Telefonica and other service providers are among Gillam-FEI’s major customers. With the development of the US5G unit for the FEI-NY segment and the U.S. market, Gillam-FEI also developed a state-of-the-art US5Ge unit and ancillary products intended for deployment in the European, Middle Eastern, Asian and African markets.</w:t>
      </w:r>
    </w:p>
    <w:p>
      <w:pPr>
        <w:spacing w:after="0" w:line="23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Network management systems marketed under the brand name LYNX, are a flexible suite of complementary software modules that are arranged to satisfy the specific needs of telecom operators, electrical utilities, and other operators of distribution networks. The multi-task capability of the LYNX system allows operators to supervise and manage the distribution of electricity, gas, video cables, public lighting, and other networks. Deregulation of utilities, especially in Europe, has created a greater demand for the LYNX product. Major customers presently using LYNX include SIG Electrical Services of Geneva, Switzerland; Electricity Distribution Management for the city of Lausanne, Switzerland; UEM Electricity Distribution Management for the city of Metz, France; Brussels International Airport and Belgian Railways.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ind w:left="500"/>
        <w:spacing w:after="0"/>
        <w:rPr>
          <w:sz w:val="20"/>
          <w:szCs w:val="20"/>
          <w:color w:val="auto"/>
        </w:rPr>
      </w:pPr>
      <w:r>
        <w:rPr>
          <w:rFonts w:ascii="Arial" w:cs="Arial" w:eastAsia="Arial" w:hAnsi="Arial"/>
          <w:sz w:val="18"/>
          <w:szCs w:val="18"/>
          <w:color w:val="auto"/>
        </w:rPr>
        <w:t>Gillam-FEI’s specialized test equipment is mainly targeted for the telecommunications industry.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FEI-Zyfer segment:</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FEI-Zyfer designs, develops and manufactures products for precision time and frequency generation and synchronization, primarily incorporating GPS technology. FEI-Zyfer’s products make use of both “in-the-clear” civil and “crypto-secured” military signals from GPS. In most cases, FEI-Zyfer’s products are integrated into communications systems, computer networks, test equipment, and military command and control terminals for ground and satellite link applications. More than 60% of revenues are derived from sales where the end user is the U.S. Government. FEI-Zyfer’s products are an important extension of FEI’s core product line, specifically in the area of GPS capabilities.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PRODUCTS</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products are manufactured from raw material which, when combined with conventional electronic parts available from multiple sources, become finished products used for commercial wireless and wireline communications, satellite applications, space exploration, position location, radar, sonar and electronic counter-measures. These products are employed in ground-based earth stations, fixed, transportable, portable and mobile communications installations, domestic and international satellites, as well as aircraft, ships, submarines and missiles. The Company’s products are marketed as components, instruments, or complete systems. Prices are determined based upon the complexity, design requirement, purchased quantity and delivery schedule.</w:t>
      </w:r>
    </w:p>
    <w:p>
      <w:pPr>
        <w:spacing w:after="0" w:line="243"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7"/>
          <w:szCs w:val="17"/>
          <w:b w:val="1"/>
          <w:bCs w:val="1"/>
          <w:u w:val="single" w:color="auto"/>
          <w:color w:val="auto"/>
        </w:rPr>
        <w:t>Components</w:t>
      </w:r>
      <w:r>
        <w:rPr>
          <w:rFonts w:ascii="Arial" w:cs="Arial" w:eastAsia="Arial" w:hAnsi="Arial"/>
          <w:sz w:val="17"/>
          <w:szCs w:val="17"/>
          <w:b w:val="1"/>
          <w:bCs w:val="1"/>
          <w:color w:val="auto"/>
        </w:rPr>
        <w:t xml:space="preserve"> </w:t>
      </w:r>
      <w:r>
        <w:rPr>
          <w:rFonts w:ascii="Arial" w:cs="Arial" w:eastAsia="Arial" w:hAnsi="Arial"/>
          <w:sz w:val="17"/>
          <w:szCs w:val="17"/>
          <w:color w:val="auto"/>
        </w:rPr>
        <w:t>- The Company's key technologies utilize quartz, rubidium and cesium to manufacture precision time and frequency standards and higher</w:t>
      </w:r>
      <w:r>
        <w:rPr>
          <w:rFonts w:ascii="Arial" w:cs="Arial" w:eastAsia="Arial" w:hAnsi="Arial"/>
          <w:sz w:val="17"/>
          <w:szCs w:val="17"/>
          <w:b w:val="1"/>
          <w:bCs w:val="1"/>
          <w:color w:val="auto"/>
        </w:rPr>
        <w:t xml:space="preserve"> </w:t>
      </w:r>
      <w:r>
        <w:rPr>
          <w:rFonts w:ascii="Arial" w:cs="Arial" w:eastAsia="Arial" w:hAnsi="Arial"/>
          <w:sz w:val="17"/>
          <w:szCs w:val="17"/>
          <w:color w:val="auto"/>
        </w:rPr>
        <w:t>level assemblies which allow the users to generate, transmit, and receive synchronous signals in order to communicate effectively, locate position accurately, secure a communications system, or guide a missile. The components class of the Company's products includes crystal filters and discriminators, surface acoustic wave resonators, and high-reliability thick and thin film hybrid assemblies for space and other applications.</w:t>
      </w:r>
    </w:p>
    <w:p>
      <w:pPr>
        <w:spacing w:after="0" w:line="22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Precision quartz oscillators use quartz resonators in conjunction with electronic circuitry to produce signals with accurate and stable frequency. The Company's products include several types of quartz oscillators, suited to a wide range of applications, including ultrastable and low-g sensitivity units for moving platforms and satellite systems. These products also feature fast warm-up and low power consumption for mobile applications, including voice and data communications.</w:t>
      </w:r>
    </w:p>
    <w:p>
      <w:pPr>
        <w:spacing w:after="0" w:line="2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ovenized quartz oscillator is the most accurate of the Company’s crystal oscillators. The crystal is enclosed in a temperature controlled environment called a proportional oven. The Company manufactures several varieties of temperature controlling devices and ovens.</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voltage-controlled quartz oscillator features electronic controls for frequency stabilization or modulation, depending upon the application.</w:t>
      </w:r>
    </w:p>
    <w:p>
      <w:pPr>
        <w:spacing w:after="0" w:line="29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temperature compensated quartz oscillator is controlled using a temperature sensitive device to directly compensate for the effect of temperature on the oscillator's frequency.</w:t>
      </w:r>
    </w:p>
    <w:p>
      <w:pPr>
        <w:spacing w:after="0" w:line="224"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rubidium lamp, filter and resonance cell provide the optical subassembly for the manufacture of the Company's optically pumped atomic rubidium frequency standards. The cesium tube resonator is used in the manufacture of the Company's cesium primary standard atomic clocks.</w:t>
      </w:r>
    </w:p>
    <w:p>
      <w:pPr>
        <w:spacing w:after="0" w:line="20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High reliability hybrid assemblies are manufactured in thick and thin film technologies for applications from DC to 44 GHz. These hybrids are used in manufacturing the Company's products and also supplied directly to customers, for use in space and other high reliability systems.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jc w:val="both"/>
        <w:ind w:firstLine="486"/>
        <w:spacing w:after="0" w:line="277" w:lineRule="auto"/>
        <w:rPr>
          <w:sz w:val="20"/>
          <w:szCs w:val="20"/>
          <w:color w:val="auto"/>
        </w:rPr>
      </w:pPr>
      <w:r>
        <w:rPr>
          <w:rFonts w:ascii="Arial" w:cs="Arial" w:eastAsia="Arial" w:hAnsi="Arial"/>
          <w:sz w:val="18"/>
          <w:szCs w:val="18"/>
          <w:color w:val="auto"/>
        </w:rPr>
        <w:t>Efficient and reliable DC-DC power converters are manufactured for the Company's own instruments and as stand alone products, for space applications.</w:t>
      </w:r>
    </w:p>
    <w:p>
      <w:pPr>
        <w:spacing w:after="0" w:line="2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manufactures filters and discriminators using its crystal resonators for its own radio-frequency and microwave receiver, signal conditioner and signal processor products.</w:t>
      </w:r>
    </w:p>
    <w:p>
      <w:pPr>
        <w:spacing w:after="0" w:line="220"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u w:val="single" w:color="auto"/>
          <w:color w:val="auto"/>
        </w:rPr>
        <w:t>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 The Company's instrument line consists of three basic time and frequency generating instruments and a number of instruments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test and distribute the time and frequency. The Company's time and frequency generating instruments are the quartz frequency standard, rubidium atomic standard and cesium beam atomic standard.</w:t>
      </w:r>
    </w:p>
    <w:p>
      <w:pPr>
        <w:spacing w:after="0" w:line="2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quartz frequency standard is an electronically controlled solid-state device which utilizes a quartz crystal oscillator to produce a highly stable output signal at a standardized frequency. These frequency standards are used in communications, guidance and navigation and time synchronization systems. The Company's products also include a precision frequency standard with battery back-up and memory capability enabling it to remain in operation if a loss of power has occurred.</w:t>
      </w:r>
    </w:p>
    <w:p>
      <w:pPr>
        <w:spacing w:after="0" w:line="24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optically pumped atomic rubidium frequency standard is a solid-state instrument which provides both timing and low phase noise frequency references used in commercial communications systems. Rubidium oscillators combine sophisticated glassware, light detection devices and electronics packages to generate a highly stable frequency output. Rubidium, when energized by a specific radio frequency, will absorb less light. The oscillator’s electronics package generates this specific frequency and the light detection device ensures, through monitoring the decreased absorption of light by the rubidium and the use of feedback control loops, that this specific frequency is maintained. This highly stable frequency is then captured by the electronics package and generated as an output signal. Rubidium oscillators provide atomic oscillator stability, at lower costs and in smaller packages.</w:t>
      </w:r>
    </w:p>
    <w:p>
      <w:pPr>
        <w:spacing w:after="0" w:line="23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cesium beam atomic standard utilizes the atomic resonance characteristics of cesium atoms to generate precise frequency several orders of magnitude more accurate and stable than other types of quartz frequency generators. The Company’s atomic standard is a compact, militarized solid-state device which generates these precision frequencies for use with advanced communications and navigation equipment. A digital time-of-day clock is incorporated which provides visual universal time display and digital timing for systems use. The atomic standard manufactured by the Company is a primary standard, capable of producing time accuracies of better than one second in several hundred thousand years.</w:t>
      </w:r>
    </w:p>
    <w:p>
      <w:pPr>
        <w:spacing w:after="0" w:line="2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the demands on communications systems increase, the requirement for precise frequency signals to drive a multitude of electronic equipment is greatly expanded. To meet this growing requirement, the Company manufactures a distribution amplifier which is an electronically controlled solid-state device that receives a base frequency from a frequency standard and provides multiple signal outputs of the input frequency. A distribution amplifier enables many items of electronic equipment in a single facility, aircraft or ship to receive a standardized frequency and/or time signal from a quartz, rubidium or cesium atomic standard.</w:t>
      </w:r>
    </w:p>
    <w:p>
      <w:pPr>
        <w:spacing w:after="0" w:line="23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u w:val="single" w:color="auto"/>
          <w:color w:val="auto"/>
        </w:rPr>
        <w:t>Systems</w:t>
      </w:r>
      <w:r>
        <w:rPr>
          <w:rFonts w:ascii="Arial" w:cs="Arial" w:eastAsia="Arial" w:hAnsi="Arial"/>
          <w:sz w:val="18"/>
          <w:szCs w:val="18"/>
          <w:b w:val="1"/>
          <w:bCs w:val="1"/>
          <w:color w:val="auto"/>
        </w:rPr>
        <w:t xml:space="preserve"> </w:t>
      </w:r>
      <w:r>
        <w:rPr>
          <w:rFonts w:ascii="Arial" w:cs="Arial" w:eastAsia="Arial" w:hAnsi="Arial"/>
          <w:sz w:val="18"/>
          <w:szCs w:val="18"/>
          <w:color w:val="auto"/>
        </w:rPr>
        <w:t>- The systems portion of the Company's business includes manufacturing and integrating selections of its specialized components into higher</w:t>
      </w:r>
      <w:r>
        <w:rPr>
          <w:rFonts w:ascii="Arial" w:cs="Arial" w:eastAsia="Arial" w:hAnsi="Arial"/>
          <w:sz w:val="18"/>
          <w:szCs w:val="18"/>
          <w:b w:val="1"/>
          <w:bCs w:val="1"/>
          <w:color w:val="auto"/>
        </w:rPr>
        <w:t xml:space="preserve"> </w:t>
      </w:r>
      <w:r>
        <w:rPr>
          <w:rFonts w:ascii="Arial" w:cs="Arial" w:eastAsia="Arial" w:hAnsi="Arial"/>
          <w:sz w:val="18"/>
          <w:szCs w:val="18"/>
          <w:color w:val="auto"/>
        </w:rPr>
        <w:t>level subsystems and systems that meet customer-defined needs. The Company has a unique knowledge and demonstrated capability to interface these technologies and experience in applying them to a wide range of systems. The systems generate electronic frequencies of predetermined value and then divide, multiply, mix, convert, modulate, demodulate, filter, distribute, combine, separate, switch, measure, analyze, and/or compare these signals depending on the system application.</w:t>
      </w:r>
    </w:p>
    <w:p>
      <w:pPr>
        <w:spacing w:after="0" w:line="24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portion of the Company’s business includes a complete line of time and frequency control systems, capable of generating many frequencies and time scales that may be distributed to widely dispersed users, or within the confines of a facility or platform, or for a single dedicated purpose. Time and frequency control systems combine the Company's cesium, rubidium and/or crystal instruments with its other components, to provide systems for wireless, wireline, space and defense applications.</w:t>
      </w:r>
    </w:p>
    <w:p>
      <w:pPr>
        <w:spacing w:after="0" w:line="2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the wireless industry, the Company integrates its core components such as quartz oscillators and rubidium atomic standards with software applications, microprocessors, and other digital circuitry into complete subsystems. These subsystems supply frequency and time reference signals that facilitate wireless communications and are necessary for the various wireless technologies to operate properly. The customers for these subsystems are global wireless infrastructure manufacturers.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jc w:val="both"/>
        <w:ind w:firstLine="486"/>
        <w:spacing w:after="0" w:line="255" w:lineRule="auto"/>
        <w:rPr>
          <w:sz w:val="20"/>
          <w:szCs w:val="20"/>
          <w:color w:val="auto"/>
        </w:rPr>
      </w:pPr>
      <w:r>
        <w:rPr>
          <w:rFonts w:ascii="Arial" w:cs="Arial" w:eastAsia="Arial" w:hAnsi="Arial"/>
          <w:sz w:val="18"/>
          <w:szCs w:val="18"/>
          <w:color w:val="auto"/>
        </w:rPr>
        <w:t>For the wireline industry, the Company integrates its core components with other electronic modules into high-level platforms that provide a total synchronization solution. These signal synchronization units (“SSUs”) are designed and manufactured by Gillam-FEI. SSUs are inserted into digital telecommunication networks and provide reliable synchronization for proper operation of the network. The systems are primarily sold to telecommunication operators and vary from a few SSUs for a simple network to hundreds of units for complex networks. For operators of distribution networks such as electrical utilities and telecommunications operators, the Company offers the LYNX system—a flexible suite of complementary software modules that are distinctively combined to satisfy the requirements of the users. With the advent of digital broadband transmission technologies, reliable synchronization has become the Quality of Service for telecommunications operators world-wide.</w:t>
      </w:r>
    </w:p>
    <w:p>
      <w:pPr>
        <w:spacing w:after="0" w:line="24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For the space and defense sectors the Company combines its core products in a wide range of diverse applications that provide systems for space and ground based communications, space exploration, satellite tracking stations, satellite-based navigation and position location, secure communication, submarine and ship navigation, calibration, and electronic counter-measures applications. These time and frequency control systems can provide up to quadruple redundancy to assure operational longevity and dependability. The past experience of major contactors in these sectors has led satellite integrators to outsource increasing amounts of these systems to highly qualified producers who have validated their capabilities through extensive successful participation in past defense and space programs. Historically, the Company ranks among the top producers in this category.</w:t>
      </w:r>
    </w:p>
    <w:p>
      <w:pPr>
        <w:spacing w:after="0" w:line="23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subsidiary, FEI-Zyfer, manufactures products incorporating GPS technology by utilizing GPS signals to provide required performance in conjunction with precision time and frequency information. These systems and subsystems are used in secure government programs such as SAASM (Selective Acquisition Anti-spoofing Module) and commercial communications and other applications.</w:t>
      </w:r>
    </w:p>
    <w:p>
      <w:pPr>
        <w:spacing w:after="0" w:line="2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GPS expertise of FEI-Zyfer has been joined with the technological capabilities and experience of the FEI-NY segment in building crystal oscillators for harsh environments, to jointly develop a new system to be utilized to enhance seismic data in deep earth and other exploratory drilling for natural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27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As of April 30, 2008, the Company's consolidated backlog amounted to approximately $39 million (see Item 7. Management’s Discussion and Analysis of Financial Condition and Results of Operations). Approximately 80% of this backlog is expected to be filled during the Company’s fiscal year ending April 30, 2009. Included in the backlog at April 30, 2008 is approximately $7 million under cost plus fee contracts which the Company believes represent firm commitments from its customers for which the Company has not received full funding to date.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CUSTOMERS AND SUPPLIERS</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markets its products both directly and through approximately 50 independent sales representative organizations located in the United States, Europe and Asia. Sales to non-U.S. customers, including the revenues of its overseas subsidiaries, totaled approximately 31% and 32%, of net sales in fiscal years 2008 and 2007, respectively.</w:t>
      </w:r>
    </w:p>
    <w:p>
      <w:pPr>
        <w:spacing w:after="0" w:line="235"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Company's products are sold to both commercial and governmental customers. For the years ended April 30, 2008 and 2007, approximately 27% and 24%, respectively, of the Company's sales were made under contracts to the U.S. Government or subcontracts for U.S. Government end-use.</w:t>
      </w:r>
    </w:p>
    <w:p>
      <w:pPr>
        <w:spacing w:after="0" w:line="20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consolidated sales for the year ended April 30, 2008 included sales to Boeing Corporation (“Boeing”), Motorola Corp. (“Motorola”), and Space Systems/Loral (“SS/L”), each of which accounted for greater than 10% of consolidated sales. In the aggregate, for fiscal year 2008 these three customers accounted for 37% of consolidated sales and 52% of the revenues of the Company’s FEI-NY segment. In fiscal year 2007, revenues from Motorola, SS/L and Alcatel-Lucent (“Lucent”) each accounted for greater than 10% of consolidated sales, aggregating approximately 43% of consolidated sales and 61% of the revenues of the FEI-NY segment.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jc w:val="both"/>
        <w:ind w:firstLine="486"/>
        <w:spacing w:after="0" w:line="277" w:lineRule="auto"/>
        <w:rPr>
          <w:sz w:val="20"/>
          <w:szCs w:val="20"/>
          <w:color w:val="auto"/>
        </w:rPr>
      </w:pPr>
      <w:r>
        <w:rPr>
          <w:rFonts w:ascii="Arial" w:cs="Arial" w:eastAsia="Arial" w:hAnsi="Arial"/>
          <w:sz w:val="18"/>
          <w:szCs w:val="18"/>
          <w:color w:val="auto"/>
        </w:rPr>
        <w:t>During fiscal years 2008 and 2007, France Telecom and Belgacom were major customers of the Gillam-FEI segment. These European telecommunication companies accounted for an aggregate of 39% and 35%, respectively, of the segment’s revenues in those fiscal years.</w:t>
      </w:r>
    </w:p>
    <w:p>
      <w:pPr>
        <w:spacing w:after="0" w:line="2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the FEI-Zyfer segment, in fiscal year 2008, the Orange County Sheriff’s Department accounted for 12% of the segment’s revenue and during fiscal year 2007, Computer Sciences Corporation and SI International accounted for an aggregate of 21% of the segment’s revenues.</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 of the customers in the Gillam-FEI or FEI-Zyfer segments accounted for more than 10% of consolidated revenues.</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loss by the Company of any one of these customers would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23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7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technological expertise continues to be an important factor to support future growth in revenues and earnings. The Company has focused its internal research and development efforts on improving the core physics and electronic packages in its time and frequency products, conducting research to develop new time and frequency technologies, improving product manufacturability by seeking to reduce its production costs through product redesign and process improvements and other measures to take advantage of lower cost components.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continues to focus a significant portion of its own resources and efforts on developing hardware for satellite (commercial and U.S. Government) and terrestrial commercial communications systems, including wireless, wireline and GPS-related systems. During fiscal years 2008 and 2007, the Company expended $7.1 million and $9.4 million of its own funds, respectively, on such research and development activity. (See also Item 7. Management’s Discussion and Analysis of Financial Condition and Results of Operations.) For fiscal year 2009, the Company is targeting to spend between $5.0 million and $7.0 million on research and development in similar areas. The actual amount spent in fiscal year 2009 will depend on market conditions and identification of new opportunities.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 AND LICENSES</w:t>
      </w:r>
    </w:p>
    <w:p>
      <w:pPr>
        <w:spacing w:after="0" w:line="2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new, proprietary quartz oscillator technology which the Company intends to exploit in both legacy and new applications. In 2006, the Company obtained a basic patent for its low-g technology.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experiences competition in all areas of its business. The Company competes primarily on the basis of the accuracy, performance and reliability of its products, the ability of its products to function under severe conditions, such as in space or other extreme hostile environments, prompt and responsive contract performance, technical competence and price. The Company has a unique and broad product line which includes all three frequency standards - quartz, rubidium, and cesium. Because of the very high precision of certain of its products, the Company has few competitors. For lower precision components there is significant competition from a number of suppliers.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jc w:val="both"/>
        <w:ind w:firstLine="486"/>
        <w:spacing w:after="0" w:line="257" w:lineRule="auto"/>
        <w:rPr>
          <w:sz w:val="20"/>
          <w:szCs w:val="20"/>
          <w:color w:val="auto"/>
        </w:rPr>
      </w:pPr>
      <w:r>
        <w:rPr>
          <w:rFonts w:ascii="Arial" w:cs="Arial" w:eastAsia="Arial" w:hAnsi="Arial"/>
          <w:sz w:val="18"/>
          <w:szCs w:val="18"/>
          <w:color w:val="auto"/>
        </w:rPr>
        <w:t>In recent years, the Company has successfully outsourced certain component manufacturing processes to third parties and more recently to its wholly-owned subsidiary, FEI-Asia in Tianjin, China and to Russian-based Morion, Inc., in which the Company is a minority shareholder. The Company expects this outsourcing to enhance its competitive position on cost while maintaining its high quality standards. The Company believes its ability to obtain raw materials, manufacture finished products, integrate them into systems and sub-systems and interface these systems with end-user applications provides a strong competitive advantage.</w:t>
      </w:r>
    </w:p>
    <w:p>
      <w:pPr>
        <w:spacing w:after="0" w:line="242"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Certain of the Company's competitors are larger, have greater financial resources and have larger research and development and marketing staffs. The Company has a strong history of competing successfully in this environment due to the quality, reliability and outstanding record of performance its products have achieved.</w:t>
      </w:r>
    </w:p>
    <w:p>
      <w:pPr>
        <w:spacing w:after="0" w:line="23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With respect to its instruments and systems for timing and synchronization, the Company competes with Agilent Technologies, Symmetricom, Inc, E. G. and G., Inc., Vectron, Inc. and others. Systems for the wireline industry produced by the Gillam-FEI segment compete with Symmetricom, Inc. and Oscilloquartz, a division of Swatch. The Company’s principal competition for space products is the in-house capability of its major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employs approximately 500 full-time persons worldwide. None of the U.S. employees are represented by labor unions, while in Europe approximately five employees in one facility are represented by a French labor union.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ASPECTS</w:t>
      </w:r>
    </w:p>
    <w:p>
      <w:pPr>
        <w:spacing w:after="0" w:line="2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Company's business is not seasonal although it expects to experience some fluctuation in revenues during the second fiscal quarter as a result of extended holiday periods in August. No unusual working capital requirements exist.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COMPANY</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executive officers hold office until the annual meeting of the Board of Directors following the annual meeting of stockholders, subject to earlier removal by the Board of Directors.</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names of all executive officers of the Company and all positions and offices with the Company which they presently hold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Joseph P. Franklin</w:t>
            </w:r>
          </w:p>
        </w:tc>
        <w:tc>
          <w:tcPr>
            <w:tcW w:w="9140" w:type="dxa"/>
            <w:vAlign w:val="bottom"/>
          </w:tcPr>
          <w:p>
            <w:pPr>
              <w:ind w:left="140"/>
              <w:spacing w:after="0"/>
              <w:rPr>
                <w:sz w:val="20"/>
                <w:szCs w:val="20"/>
                <w:color w:val="auto"/>
              </w:rPr>
            </w:pPr>
            <w:r>
              <w:rPr>
                <w:rFonts w:ascii="Arial" w:cs="Arial" w:eastAsia="Arial" w:hAnsi="Arial"/>
                <w:sz w:val="18"/>
                <w:szCs w:val="18"/>
                <w:color w:val="auto"/>
              </w:rPr>
              <w:t>-  Chairman of the Board of Directors</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Martin B. Bloch</w:t>
            </w:r>
          </w:p>
        </w:tc>
        <w:tc>
          <w:tcPr>
            <w:tcW w:w="9140" w:type="dxa"/>
            <w:vAlign w:val="bottom"/>
          </w:tcPr>
          <w:p>
            <w:pPr>
              <w:ind w:left="140"/>
              <w:spacing w:after="0"/>
              <w:rPr>
                <w:sz w:val="20"/>
                <w:szCs w:val="20"/>
                <w:color w:val="auto"/>
              </w:rPr>
            </w:pPr>
            <w:r>
              <w:rPr>
                <w:rFonts w:ascii="Arial" w:cs="Arial" w:eastAsia="Arial" w:hAnsi="Arial"/>
                <w:sz w:val="18"/>
                <w:szCs w:val="18"/>
                <w:color w:val="auto"/>
              </w:rPr>
              <w:t>-  President, Chief Executive Officer and Director</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Markus Hechler</w:t>
            </w:r>
          </w:p>
        </w:tc>
        <w:tc>
          <w:tcPr>
            <w:tcW w:w="9140" w:type="dxa"/>
            <w:vAlign w:val="bottom"/>
          </w:tcPr>
          <w:p>
            <w:pPr>
              <w:ind w:left="140"/>
              <w:spacing w:after="0"/>
              <w:rPr>
                <w:sz w:val="20"/>
                <w:szCs w:val="20"/>
                <w:color w:val="auto"/>
              </w:rPr>
            </w:pPr>
            <w:r>
              <w:rPr>
                <w:rFonts w:ascii="Arial" w:cs="Arial" w:eastAsia="Arial" w:hAnsi="Arial"/>
                <w:sz w:val="18"/>
                <w:szCs w:val="18"/>
                <w:color w:val="auto"/>
              </w:rPr>
              <w:t>-  Executive Vice President, President of FEI Government Systems, Inc. and Assistant</w:t>
            </w:r>
          </w:p>
        </w:tc>
      </w:tr>
      <w:tr>
        <w:trPr>
          <w:trHeight w:val="216"/>
        </w:trPr>
        <w:tc>
          <w:tcPr>
            <w:tcW w:w="2280" w:type="dxa"/>
            <w:vAlign w:val="bottom"/>
          </w:tcPr>
          <w:p>
            <w:pPr>
              <w:spacing w:after="0"/>
              <w:rPr>
                <w:sz w:val="18"/>
                <w:szCs w:val="18"/>
                <w:color w:val="auto"/>
              </w:rPr>
            </w:pPr>
          </w:p>
        </w:tc>
        <w:tc>
          <w:tcPr>
            <w:tcW w:w="9140" w:type="dxa"/>
            <w:vAlign w:val="bottom"/>
          </w:tcPr>
          <w:p>
            <w:pPr>
              <w:ind w:left="320"/>
              <w:spacing w:after="0"/>
              <w:rPr>
                <w:sz w:val="20"/>
                <w:szCs w:val="20"/>
                <w:color w:val="auto"/>
              </w:rPr>
            </w:pPr>
            <w:r>
              <w:rPr>
                <w:rFonts w:ascii="Arial" w:cs="Arial" w:eastAsia="Arial" w:hAnsi="Arial"/>
                <w:sz w:val="18"/>
                <w:szCs w:val="18"/>
                <w:color w:val="auto"/>
              </w:rPr>
              <w:t>Secretary</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Steven Strang</w:t>
            </w:r>
          </w:p>
        </w:tc>
        <w:tc>
          <w:tcPr>
            <w:tcW w:w="9140" w:type="dxa"/>
            <w:vAlign w:val="bottom"/>
          </w:tcPr>
          <w:p>
            <w:pPr>
              <w:ind w:left="140"/>
              <w:spacing w:after="0"/>
              <w:rPr>
                <w:sz w:val="20"/>
                <w:szCs w:val="20"/>
                <w:color w:val="auto"/>
              </w:rPr>
            </w:pPr>
            <w:r>
              <w:rPr>
                <w:rFonts w:ascii="Arial" w:cs="Arial" w:eastAsia="Arial" w:hAnsi="Arial"/>
                <w:sz w:val="18"/>
                <w:szCs w:val="18"/>
                <w:color w:val="auto"/>
              </w:rPr>
              <w:t>-  President, FEI-Zyfer</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Charles S. Stone</w:t>
            </w:r>
          </w:p>
        </w:tc>
        <w:tc>
          <w:tcPr>
            <w:tcW w:w="9140" w:type="dxa"/>
            <w:vAlign w:val="bottom"/>
          </w:tcPr>
          <w:p>
            <w:pPr>
              <w:ind w:left="140"/>
              <w:spacing w:after="0"/>
              <w:rPr>
                <w:sz w:val="20"/>
                <w:szCs w:val="20"/>
                <w:color w:val="auto"/>
              </w:rPr>
            </w:pPr>
            <w:r>
              <w:rPr>
                <w:rFonts w:ascii="Arial" w:cs="Arial" w:eastAsia="Arial" w:hAnsi="Arial"/>
                <w:sz w:val="18"/>
                <w:szCs w:val="18"/>
                <w:color w:val="auto"/>
              </w:rPr>
              <w:t>-  Vice President, Low Noise Development</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Leonard Martire</w:t>
            </w:r>
          </w:p>
        </w:tc>
        <w:tc>
          <w:tcPr>
            <w:tcW w:w="9140" w:type="dxa"/>
            <w:vAlign w:val="bottom"/>
          </w:tcPr>
          <w:p>
            <w:pPr>
              <w:ind w:left="140"/>
              <w:spacing w:after="0"/>
              <w:rPr>
                <w:sz w:val="20"/>
                <w:szCs w:val="20"/>
                <w:color w:val="auto"/>
              </w:rPr>
            </w:pPr>
            <w:r>
              <w:rPr>
                <w:rFonts w:ascii="Arial" w:cs="Arial" w:eastAsia="Arial" w:hAnsi="Arial"/>
                <w:sz w:val="18"/>
                <w:szCs w:val="18"/>
                <w:color w:val="auto"/>
              </w:rPr>
              <w:t>-  Vice President, Program Management</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Oleandro Mancini</w:t>
            </w:r>
          </w:p>
        </w:tc>
        <w:tc>
          <w:tcPr>
            <w:tcW w:w="9140" w:type="dxa"/>
            <w:vAlign w:val="bottom"/>
          </w:tcPr>
          <w:p>
            <w:pPr>
              <w:ind w:left="140"/>
              <w:spacing w:after="0"/>
              <w:rPr>
                <w:sz w:val="20"/>
                <w:szCs w:val="20"/>
                <w:color w:val="auto"/>
              </w:rPr>
            </w:pPr>
            <w:r>
              <w:rPr>
                <w:rFonts w:ascii="Arial" w:cs="Arial" w:eastAsia="Arial" w:hAnsi="Arial"/>
                <w:sz w:val="18"/>
                <w:szCs w:val="18"/>
                <w:color w:val="auto"/>
              </w:rPr>
              <w:t>-  Vice President, Business Development</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Thomas McClelland</w:t>
            </w:r>
          </w:p>
        </w:tc>
        <w:tc>
          <w:tcPr>
            <w:tcW w:w="9140" w:type="dxa"/>
            <w:vAlign w:val="bottom"/>
          </w:tcPr>
          <w:p>
            <w:pPr>
              <w:ind w:left="140"/>
              <w:spacing w:after="0"/>
              <w:rPr>
                <w:sz w:val="20"/>
                <w:szCs w:val="20"/>
                <w:color w:val="auto"/>
              </w:rPr>
            </w:pPr>
            <w:r>
              <w:rPr>
                <w:rFonts w:ascii="Arial" w:cs="Arial" w:eastAsia="Arial" w:hAnsi="Arial"/>
                <w:sz w:val="18"/>
                <w:szCs w:val="18"/>
                <w:color w:val="auto"/>
              </w:rPr>
              <w:t>-  Vice President, Commercial Products</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Adrian Lalicata</w:t>
            </w:r>
          </w:p>
        </w:tc>
        <w:tc>
          <w:tcPr>
            <w:tcW w:w="9140" w:type="dxa"/>
            <w:vAlign w:val="bottom"/>
          </w:tcPr>
          <w:p>
            <w:pPr>
              <w:ind w:left="140"/>
              <w:spacing w:after="0"/>
              <w:rPr>
                <w:sz w:val="20"/>
                <w:szCs w:val="20"/>
                <w:color w:val="auto"/>
              </w:rPr>
            </w:pPr>
            <w:r>
              <w:rPr>
                <w:rFonts w:ascii="Arial" w:cs="Arial" w:eastAsia="Arial" w:hAnsi="Arial"/>
                <w:sz w:val="18"/>
                <w:szCs w:val="18"/>
                <w:color w:val="auto"/>
              </w:rPr>
              <w:t>-  Vice President, RF &amp; Microwave Systems</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Alan Miller</w:t>
            </w:r>
          </w:p>
        </w:tc>
        <w:tc>
          <w:tcPr>
            <w:tcW w:w="9140" w:type="dxa"/>
            <w:vAlign w:val="bottom"/>
          </w:tcPr>
          <w:p>
            <w:pPr>
              <w:ind w:left="140"/>
              <w:spacing w:after="0"/>
              <w:rPr>
                <w:sz w:val="20"/>
                <w:szCs w:val="20"/>
                <w:color w:val="auto"/>
              </w:rPr>
            </w:pPr>
            <w:r>
              <w:rPr>
                <w:rFonts w:ascii="Arial" w:cs="Arial" w:eastAsia="Arial" w:hAnsi="Arial"/>
                <w:sz w:val="18"/>
                <w:szCs w:val="18"/>
                <w:color w:val="auto"/>
              </w:rPr>
              <w:t>-  Treasurer and Chief Financial Officer</w:t>
            </w:r>
          </w:p>
        </w:tc>
      </w:tr>
      <w:tr>
        <w:trPr>
          <w:trHeight w:val="230"/>
        </w:trPr>
        <w:tc>
          <w:tcPr>
            <w:tcW w:w="2280" w:type="dxa"/>
            <w:vAlign w:val="bottom"/>
          </w:tcPr>
          <w:p>
            <w:pPr>
              <w:ind w:left="660"/>
              <w:spacing w:after="0"/>
              <w:rPr>
                <w:sz w:val="20"/>
                <w:szCs w:val="20"/>
                <w:color w:val="auto"/>
              </w:rPr>
            </w:pPr>
            <w:r>
              <w:rPr>
                <w:rFonts w:ascii="Arial" w:cs="Arial" w:eastAsia="Arial" w:hAnsi="Arial"/>
                <w:sz w:val="18"/>
                <w:szCs w:val="18"/>
                <w:color w:val="auto"/>
              </w:rPr>
              <w:t>Harry Newman</w:t>
            </w:r>
          </w:p>
        </w:tc>
        <w:tc>
          <w:tcPr>
            <w:tcW w:w="9140" w:type="dxa"/>
            <w:vAlign w:val="bottom"/>
          </w:tcPr>
          <w:p>
            <w:pPr>
              <w:ind w:left="140"/>
              <w:spacing w:after="0"/>
              <w:rPr>
                <w:sz w:val="20"/>
                <w:szCs w:val="20"/>
                <w:color w:val="auto"/>
              </w:rPr>
            </w:pPr>
            <w:r>
              <w:rPr>
                <w:rFonts w:ascii="Arial" w:cs="Arial" w:eastAsia="Arial" w:hAnsi="Arial"/>
                <w:sz w:val="18"/>
                <w:szCs w:val="18"/>
                <w:color w:val="auto"/>
              </w:rPr>
              <w:t>-  Secretary</w:t>
            </w:r>
          </w:p>
        </w:tc>
      </w:tr>
      <w:tr>
        <w:trPr>
          <w:trHeight w:val="243"/>
        </w:trPr>
        <w:tc>
          <w:tcPr>
            <w:tcW w:w="2280" w:type="dxa"/>
            <w:vAlign w:val="bottom"/>
          </w:tcPr>
          <w:p>
            <w:pPr>
              <w:spacing w:after="0"/>
              <w:rPr>
                <w:sz w:val="21"/>
                <w:szCs w:val="21"/>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None of the officers and directors is related.</w:t>
            </w:r>
          </w:p>
        </w:tc>
      </w:tr>
      <w:tr>
        <w:trPr>
          <w:trHeight w:val="459"/>
        </w:trPr>
        <w:tc>
          <w:tcPr>
            <w:tcW w:w="2280" w:type="dxa"/>
            <w:vAlign w:val="bottom"/>
          </w:tcPr>
          <w:p>
            <w:pPr>
              <w:spacing w:after="0"/>
              <w:rPr>
                <w:sz w:val="24"/>
                <w:szCs w:val="24"/>
                <w:color w:val="auto"/>
              </w:rPr>
            </w:pPr>
          </w:p>
        </w:tc>
        <w:tc>
          <w:tcPr>
            <w:tcW w:w="9140" w:type="dxa"/>
            <w:vAlign w:val="bottom"/>
          </w:tcPr>
          <w:p>
            <w:pPr>
              <w:ind w:left="3340"/>
              <w:spacing w:after="0"/>
              <w:rPr>
                <w:sz w:val="20"/>
                <w:szCs w:val="20"/>
                <w:color w:val="auto"/>
              </w:rPr>
            </w:pPr>
            <w:r>
              <w:rPr>
                <w:rFonts w:ascii="Arial" w:cs="Arial" w:eastAsia="Arial" w:hAnsi="Arial"/>
                <w:sz w:val="18"/>
                <w:szCs w:val="18"/>
                <w:color w:val="auto"/>
              </w:rPr>
              <w:t>11</w:t>
            </w:r>
          </w:p>
        </w:tc>
      </w:tr>
      <w:tr>
        <w:trPr>
          <w:trHeight w:val="118"/>
        </w:trPr>
        <w:tc>
          <w:tcPr>
            <w:tcW w:w="2280" w:type="dxa"/>
            <w:vAlign w:val="bottom"/>
            <w:tcBorders>
              <w:bottom w:val="single" w:sz="8" w:color="808080"/>
            </w:tcBorders>
          </w:tcPr>
          <w:p>
            <w:pPr>
              <w:spacing w:after="0"/>
              <w:rPr>
                <w:sz w:val="10"/>
                <w:szCs w:val="10"/>
                <w:color w:val="auto"/>
              </w:rPr>
            </w:pPr>
          </w:p>
        </w:tc>
        <w:tc>
          <w:tcPr>
            <w:tcW w:w="9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jc w:val="both"/>
        <w:ind w:firstLine="648"/>
        <w:spacing w:after="0" w:line="257" w:lineRule="auto"/>
        <w:rPr>
          <w:sz w:val="20"/>
          <w:szCs w:val="20"/>
          <w:color w:val="auto"/>
        </w:rPr>
      </w:pPr>
      <w:r>
        <w:rPr>
          <w:rFonts w:ascii="Arial" w:cs="Arial" w:eastAsia="Arial" w:hAnsi="Arial"/>
          <w:sz w:val="18"/>
          <w:szCs w:val="18"/>
          <w:color w:val="auto"/>
        </w:rPr>
        <w:t>Joseph P. Franklin, age 74, has served as a Director of the Company since March 1990. In December 1993 he was elected Chairman of the Board of Directors. He also served as Chief Executive Officer from December 1993 through October 1998 and as Chief Financial Officer from September 1996 through October 1998. From August 1987 to November 1993, he was the Chief Executive Officer of Franklin S.A., a Spanish business consulting company located in Madrid, Spain, specializing in joint ventures, and was a director of several prominent Spanish companies. General Franklin was a Major General in the United States Army until he retired in July 1987.</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Martin B. Bloch, age 72, has been a Director of the Company and of its predecessor since 1961. Mr. Bloch is the Company’s President and Chief Executive Officer and has held such positions since inception of the Company, except for the period from December 1993 through October 1998 when General Franklin held the CEO position. Previous to forming the Company, Mr. Bloch served as chief electronics engineer of the Electronics Division of Bulova Watch Company.</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Markus Hechler, age 62, joined the Company in 1967. He was elected to the position of Executive Vice President in February 1999, prior to which he served as Vice President, Manufacturing since 1982. In October 2001, he was named President of the Company’s subsidiary, FEI Government Systems, Inc. He has served as Assistant Secretary since 1978.</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Steven Strang, age 44, was named President of FEI-Zyfer, Inc., effective May 1, 2005. Previously, Mr. Strang was Executive Vice President of this subsidiary and its predecessor companies where he has served for 17 years in various technical and management positions.</w:t>
      </w:r>
    </w:p>
    <w:p>
      <w:pPr>
        <w:spacing w:after="0" w:line="22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Charles S. Stone, age 77, joined the Company in 1984, and has served as its Vice President since that time. Prior to joining the Company, Mr. Stone served as Senior Vice President of Austron Inc., from 1966 to 1979, and Senior Scientist of Tracor Inc., from 1962 to 1966.</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Leonard Martire, age 71, joined the Company in August 1987 and served as Executive Vice President of FEI Microwave, Inc., the Company's wholly-owned subsidiary, until May 1993 when he was elected Vice President, Marketing and Sales. In fiscal year 2007, Mr. Martire assumed a new role as Vice President Program Management.</w:t>
      </w:r>
    </w:p>
    <w:p>
      <w:pPr>
        <w:spacing w:after="0" w:line="23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Oleandro Mancini, age 59, joined the Company in August 2000 as Vice President, Business Development. Prior to joining the Company, Mr. Mancini served from 1998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Thomas McClelland, age 53, joined the Company as an engineer in 1984 and was elected Vice President, Commercial Products in March 1999.</w:t>
      </w:r>
    </w:p>
    <w:p>
      <w:pPr>
        <w:spacing w:after="0" w:line="3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Adrian Lalicata, age 61, joined the Company in 2006 as Vice President, RF &amp; Microwave Systems. Prior to joining the Company, Mr. Lalicata served as Vice President of Engineering at Herley-CTI and Communication Techniques, a Dover Company. Mr Lalicata has served as Director of Engineering at Microphase Corp. and Adcomm, Inc. He also held leading engineering positions at Loral Electronic Systems, Cardion Electronics, and Airborne Instruments Laboratories.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Alan Miller, age 59, joined the Company in November 1995 as its corporate controller and was elected to the position of Treasurer and Chief Financial Officer in October 1998. Prior to joining the Company, Mr. Miller served as an operations manager and a consultant to small businesses from 1992 through 1995 and as a Senior Audit Manager with Ernst &amp; Young, L.L.P. from 1980 to 1991.</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Harry Newman, age 61, Secretary, has been employed by the Company since 1979, prior to which he served as Divisional Controller of Jonathan Logan, Inc., apparel manufacturers, from 1976 to 1979, and as supervising Senior Accountant with Clarence Rainess and Co., Certified Public Accountants, from 1971 to 1975.</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Item 2. Properties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operates out of several facilities located around the world. Each facility is used for manufacturing its products and for administrative activities. The following table presents the location, size and terms of ownership/occupation:</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0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Location</w:t>
            </w:r>
          </w:p>
        </w:tc>
        <w:tc>
          <w:tcPr>
            <w:tcW w:w="220" w:type="dxa"/>
            <w:vAlign w:val="bottom"/>
          </w:tcPr>
          <w:p>
            <w:pPr>
              <w:spacing w:after="0"/>
              <w:rPr>
                <w:sz w:val="20"/>
                <w:szCs w:val="20"/>
                <w:color w:val="auto"/>
              </w:rPr>
            </w:pP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Size (sq. ft.)</w:t>
            </w:r>
          </w:p>
        </w:tc>
        <w:tc>
          <w:tcPr>
            <w:tcW w:w="220" w:type="dxa"/>
            <w:vAlign w:val="bottom"/>
          </w:tcPr>
          <w:p>
            <w:pPr>
              <w:spacing w:after="0"/>
              <w:rPr>
                <w:sz w:val="20"/>
                <w:szCs w:val="20"/>
                <w:color w:val="auto"/>
              </w:rPr>
            </w:pPr>
          </w:p>
        </w:tc>
        <w:tc>
          <w:tcPr>
            <w:tcW w:w="16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Own or Lease</w:t>
            </w:r>
          </w:p>
        </w:tc>
      </w:tr>
      <w:tr>
        <w:trPr>
          <w:trHeight w:val="237"/>
        </w:trPr>
        <w:tc>
          <w:tcPr>
            <w:tcW w:w="5320" w:type="dxa"/>
            <w:vAlign w:val="bottom"/>
            <w:gridSpan w:val="2"/>
          </w:tcPr>
          <w:p>
            <w:pPr>
              <w:spacing w:after="0"/>
              <w:rPr>
                <w:sz w:val="20"/>
                <w:szCs w:val="20"/>
                <w:color w:val="auto"/>
              </w:rPr>
            </w:pPr>
            <w:r>
              <w:rPr>
                <w:rFonts w:ascii="Arial" w:cs="Arial" w:eastAsia="Arial" w:hAnsi="Arial"/>
                <w:sz w:val="18"/>
                <w:szCs w:val="18"/>
                <w:color w:val="auto"/>
              </w:rPr>
              <w:t>Long Island, NY</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93,000</w:t>
            </w:r>
          </w:p>
        </w:tc>
        <w:tc>
          <w:tcPr>
            <w:tcW w:w="220" w:type="dxa"/>
            <w:vAlign w:val="bottom"/>
          </w:tcPr>
          <w:p>
            <w:pPr>
              <w:spacing w:after="0"/>
              <w:rPr>
                <w:sz w:val="20"/>
                <w:szCs w:val="20"/>
                <w:color w:val="auto"/>
              </w:rPr>
            </w:pPr>
          </w:p>
        </w:tc>
        <w:tc>
          <w:tcPr>
            <w:tcW w:w="1640" w:type="dxa"/>
            <w:vAlign w:val="bottom"/>
          </w:tcPr>
          <w:p>
            <w:pPr>
              <w:ind w:left="660"/>
              <w:spacing w:after="0"/>
              <w:rPr>
                <w:sz w:val="20"/>
                <w:szCs w:val="20"/>
                <w:color w:val="auto"/>
              </w:rPr>
            </w:pPr>
            <w:r>
              <w:rPr>
                <w:rFonts w:ascii="Arial" w:cs="Arial" w:eastAsia="Arial" w:hAnsi="Arial"/>
                <w:sz w:val="18"/>
                <w:szCs w:val="18"/>
                <w:color w:val="auto"/>
              </w:rPr>
              <w:t>Lease</w:t>
            </w:r>
          </w:p>
        </w:tc>
      </w:tr>
      <w:tr>
        <w:trPr>
          <w:trHeight w:val="243"/>
        </w:trPr>
        <w:tc>
          <w:tcPr>
            <w:tcW w:w="5320" w:type="dxa"/>
            <w:vAlign w:val="bottom"/>
            <w:gridSpan w:val="2"/>
          </w:tcPr>
          <w:p>
            <w:pPr>
              <w:spacing w:after="0"/>
              <w:rPr>
                <w:sz w:val="20"/>
                <w:szCs w:val="20"/>
                <w:color w:val="auto"/>
              </w:rPr>
            </w:pPr>
            <w:r>
              <w:rPr>
                <w:rFonts w:ascii="Arial" w:cs="Arial" w:eastAsia="Arial" w:hAnsi="Arial"/>
                <w:sz w:val="18"/>
                <w:szCs w:val="18"/>
                <w:color w:val="auto"/>
              </w:rPr>
              <w:t>Garden Grove, CA</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27,850</w:t>
            </w:r>
          </w:p>
        </w:tc>
        <w:tc>
          <w:tcPr>
            <w:tcW w:w="220" w:type="dxa"/>
            <w:vAlign w:val="bottom"/>
          </w:tcPr>
          <w:p>
            <w:pPr>
              <w:spacing w:after="0"/>
              <w:rPr>
                <w:sz w:val="21"/>
                <w:szCs w:val="21"/>
                <w:color w:val="auto"/>
              </w:rPr>
            </w:pPr>
          </w:p>
        </w:tc>
        <w:tc>
          <w:tcPr>
            <w:tcW w:w="1640" w:type="dxa"/>
            <w:vAlign w:val="bottom"/>
          </w:tcPr>
          <w:p>
            <w:pPr>
              <w:ind w:left="660"/>
              <w:spacing w:after="0"/>
              <w:rPr>
                <w:sz w:val="20"/>
                <w:szCs w:val="20"/>
                <w:color w:val="auto"/>
              </w:rPr>
            </w:pPr>
            <w:r>
              <w:rPr>
                <w:rFonts w:ascii="Arial" w:cs="Arial" w:eastAsia="Arial" w:hAnsi="Arial"/>
                <w:sz w:val="18"/>
                <w:szCs w:val="18"/>
                <w:color w:val="auto"/>
              </w:rPr>
              <w:t>Lease</w:t>
            </w:r>
          </w:p>
        </w:tc>
      </w:tr>
      <w:tr>
        <w:trPr>
          <w:trHeight w:val="243"/>
        </w:trPr>
        <w:tc>
          <w:tcPr>
            <w:tcW w:w="5320" w:type="dxa"/>
            <w:vAlign w:val="bottom"/>
            <w:gridSpan w:val="2"/>
          </w:tcPr>
          <w:p>
            <w:pPr>
              <w:spacing w:after="0"/>
              <w:rPr>
                <w:sz w:val="20"/>
                <w:szCs w:val="20"/>
                <w:color w:val="auto"/>
              </w:rPr>
            </w:pPr>
            <w:r>
              <w:rPr>
                <w:rFonts w:ascii="Arial" w:cs="Arial" w:eastAsia="Arial" w:hAnsi="Arial"/>
                <w:sz w:val="18"/>
                <w:szCs w:val="18"/>
                <w:color w:val="auto"/>
              </w:rPr>
              <w:t>Liege, Belgium</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34,000</w:t>
            </w:r>
          </w:p>
        </w:tc>
        <w:tc>
          <w:tcPr>
            <w:tcW w:w="220" w:type="dxa"/>
            <w:vAlign w:val="bottom"/>
          </w:tcPr>
          <w:p>
            <w:pPr>
              <w:spacing w:after="0"/>
              <w:rPr>
                <w:sz w:val="21"/>
                <w:szCs w:val="21"/>
                <w:color w:val="auto"/>
              </w:rPr>
            </w:pPr>
          </w:p>
        </w:tc>
        <w:tc>
          <w:tcPr>
            <w:tcW w:w="1640" w:type="dxa"/>
            <w:vAlign w:val="bottom"/>
          </w:tcPr>
          <w:p>
            <w:pPr>
              <w:ind w:left="620"/>
              <w:spacing w:after="0"/>
              <w:rPr>
                <w:sz w:val="20"/>
                <w:szCs w:val="20"/>
                <w:color w:val="auto"/>
              </w:rPr>
            </w:pPr>
            <w:r>
              <w:rPr>
                <w:rFonts w:ascii="Arial" w:cs="Arial" w:eastAsia="Arial" w:hAnsi="Arial"/>
                <w:sz w:val="18"/>
                <w:szCs w:val="18"/>
                <w:color w:val="auto"/>
              </w:rPr>
              <w:t>Own</w:t>
            </w:r>
          </w:p>
        </w:tc>
      </w:tr>
      <w:tr>
        <w:trPr>
          <w:trHeight w:val="243"/>
        </w:trPr>
        <w:tc>
          <w:tcPr>
            <w:tcW w:w="5320" w:type="dxa"/>
            <w:vAlign w:val="bottom"/>
            <w:gridSpan w:val="2"/>
          </w:tcPr>
          <w:p>
            <w:pPr>
              <w:spacing w:after="0"/>
              <w:rPr>
                <w:sz w:val="20"/>
                <w:szCs w:val="20"/>
                <w:color w:val="auto"/>
              </w:rPr>
            </w:pPr>
            <w:r>
              <w:rPr>
                <w:rFonts w:ascii="Arial" w:cs="Arial" w:eastAsia="Arial" w:hAnsi="Arial"/>
                <w:sz w:val="18"/>
                <w:szCs w:val="18"/>
                <w:color w:val="auto"/>
              </w:rPr>
              <w:t>Chalon Sur Saone, France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1"/>
                <w:szCs w:val="21"/>
                <w:color w:val="auto"/>
              </w:rPr>
            </w:pPr>
          </w:p>
        </w:tc>
        <w:tc>
          <w:tcPr>
            <w:tcW w:w="1640" w:type="dxa"/>
            <w:vAlign w:val="bottom"/>
          </w:tcPr>
          <w:p>
            <w:pPr>
              <w:ind w:left="660"/>
              <w:spacing w:after="0"/>
              <w:rPr>
                <w:sz w:val="20"/>
                <w:szCs w:val="20"/>
                <w:color w:val="auto"/>
              </w:rPr>
            </w:pPr>
            <w:r>
              <w:rPr>
                <w:rFonts w:ascii="Arial" w:cs="Arial" w:eastAsia="Arial" w:hAnsi="Arial"/>
                <w:sz w:val="18"/>
                <w:szCs w:val="18"/>
                <w:color w:val="auto"/>
              </w:rPr>
              <w:t>Lease</w:t>
            </w:r>
          </w:p>
        </w:tc>
      </w:tr>
      <w:tr>
        <w:trPr>
          <w:trHeight w:val="243"/>
        </w:trPr>
        <w:tc>
          <w:tcPr>
            <w:tcW w:w="5320" w:type="dxa"/>
            <w:vAlign w:val="bottom"/>
            <w:gridSpan w:val="2"/>
          </w:tcPr>
          <w:p>
            <w:pPr>
              <w:spacing w:after="0"/>
              <w:rPr>
                <w:sz w:val="20"/>
                <w:szCs w:val="20"/>
                <w:color w:val="auto"/>
              </w:rPr>
            </w:pPr>
            <w:r>
              <w:rPr>
                <w:rFonts w:ascii="Arial" w:cs="Arial" w:eastAsia="Arial" w:hAnsi="Arial"/>
                <w:sz w:val="18"/>
                <w:szCs w:val="18"/>
                <w:color w:val="auto"/>
              </w:rPr>
              <w:t>Tianjin, China</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27,000</w:t>
            </w:r>
          </w:p>
        </w:tc>
        <w:tc>
          <w:tcPr>
            <w:tcW w:w="220" w:type="dxa"/>
            <w:vAlign w:val="bottom"/>
          </w:tcPr>
          <w:p>
            <w:pPr>
              <w:spacing w:after="0"/>
              <w:rPr>
                <w:sz w:val="21"/>
                <w:szCs w:val="21"/>
                <w:color w:val="auto"/>
              </w:rPr>
            </w:pPr>
          </w:p>
        </w:tc>
        <w:tc>
          <w:tcPr>
            <w:tcW w:w="1640" w:type="dxa"/>
            <w:vAlign w:val="bottom"/>
          </w:tcPr>
          <w:p>
            <w:pPr>
              <w:ind w:left="660"/>
              <w:spacing w:after="0"/>
              <w:rPr>
                <w:sz w:val="20"/>
                <w:szCs w:val="20"/>
                <w:color w:val="auto"/>
              </w:rPr>
            </w:pPr>
            <w:r>
              <w:rPr>
                <w:rFonts w:ascii="Arial" w:cs="Arial" w:eastAsia="Arial" w:hAnsi="Arial"/>
                <w:sz w:val="18"/>
                <w:szCs w:val="18"/>
                <w:color w:val="auto"/>
              </w:rPr>
              <w:t>Lease</w:t>
            </w:r>
          </w:p>
        </w:tc>
      </w:tr>
    </w:tbl>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23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leases its manufacturing and office space from Reckson under an initial 11-year lease at an annual rental of $400,000 per year with the Company paying its pro rata share of real estate taxes along with the costs of utilities and insurance. During fiscal year 2008, the Company notified Reckson that it would renew the lease for the first 5-year renewal period beginning January 2009 at an annual rental of $600,000. The lease will end in January 2014 unless the Company exercises its option to continue the lease for a second 5-year renewal period with annual rental of $800,000. The leased space is adequate to meet the Company’s domestic operational needs which encompass the principal operations of the FEI-NY segment and also serves as the Company’s world-wide corporate headquarters.</w:t>
      </w:r>
    </w:p>
    <w:p>
      <w:pPr>
        <w:spacing w:after="0" w:line="24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sale of its building to Reckson, a real estate investment trust (“REIT”) whose shares were then traded on the New York Stock Exchange, was effected through a tax-deferred exchange of the building for approximately 513,000 participation units of Reckson Operating Partnership, L.P. (“REIT units”) which were valued at closing at $12 million. In March 2005, the Company exercised its option to convert all of the REIT units into 513,000 shares of the REIT. Upon conversion of the REIT units, the Company recognized a gain of $4.6 million and deferred an additional $1.3 million gain. The deferred gain will be recognized into income over the remaining term of the initial leaseback period which ends in January 2009. (See Note 6 to the accompanying financial statements.)</w:t>
      </w:r>
    </w:p>
    <w:p>
      <w:pPr>
        <w:spacing w:after="0" w:line="24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When the Company completed the acquisition of Gillam-FEI it also acquired the property located in Liege, Belgium as well as a manufacturing facility in France. The French facility was subsequently sold and the France sales office is now housed in a leased facility in Chalon Sur Saone, France. These facilities are adequate to meet the present and future operational requirements of Gillam-FEI.</w:t>
      </w:r>
    </w:p>
    <w:p>
      <w:pPr>
        <w:spacing w:after="0" w:line="2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Tianjin, China facility is the location of the Company’s wholly-owned subsidiary, FEI-Asia. In late fiscal year 2005, the subsidiary acquired additional leased space within a manufacturing facility located in the Tianjin Free-Trade Zone. The lease is renewable annually with rent of $15,000 payable quarterly. The new facility is adequate for the near-term manufacturing expectations for the Company.</w:t>
      </w:r>
    </w:p>
    <w:p>
      <w:pPr>
        <w:spacing w:after="0" w:line="2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Garden Grove, California facility is leased by the Company’s subsidiary, FEI-Zyfer, Inc. The facility consists of a combination office and manufacturing space. The lease, which expires in August 2017, currently requires monthly payments of $24,500 and will increase each year over the remaining 113 months of the lease term.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From time to time, the Company is a defendant in litigation arising out of the ordinary course of business. The Company is not a party to any material, pending legal proceeding other than routine litigation incidental to its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Item 4. Submission of Matters to a Vote of Security Holders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matters were required to be submitted by Registrant to a vote of security holders during the fourth quarter of fiscal year 2008.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Effective August 1, 2006, the Common Stock of the Company was listed on The Nasdaq Global Market (“NASDAQ”) under the ticker symbol “FEIM.” Prior to that date, the Company’s shares were traded on the American Stock Exchange under the symbol "FEI".</w:t>
      </w:r>
    </w:p>
    <w:p>
      <w:pPr>
        <w:spacing w:after="0" w:line="2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shows the high and low sale price for the Company's Common Stock for the quarters indicated, as reported by the American Stock Exchange through July 31, 2006 and on the NASDAQ from August 1, 2006 through April 30, 2008.</w:t>
      </w:r>
    </w:p>
    <w:p>
      <w:pPr>
        <w:spacing w:after="0" w:line="25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FISCAL QUARTER</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HIGH SALE</w:t>
            </w:r>
          </w:p>
        </w:tc>
        <w:tc>
          <w:tcPr>
            <w:tcW w:w="18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LOW SALE</w:t>
            </w:r>
          </w:p>
        </w:tc>
      </w:tr>
      <w:tr>
        <w:trPr>
          <w:trHeight w:val="237"/>
        </w:trPr>
        <w:tc>
          <w:tcPr>
            <w:tcW w:w="46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FFCC"/>
          </w:tcPr>
          <w:p>
            <w:pPr>
              <w:spacing w:after="0"/>
              <w:rPr>
                <w:sz w:val="20"/>
                <w:szCs w:val="20"/>
                <w:color w:val="auto"/>
              </w:rPr>
            </w:pPr>
          </w:p>
        </w:tc>
        <w:tc>
          <w:tcPr>
            <w:tcW w:w="140" w:type="dxa"/>
            <w:vAlign w:val="bottom"/>
            <w:tcBorders>
              <w:top w:val="single" w:sz="8" w:color="auto"/>
            </w:tcBorders>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80" w:type="dxa"/>
            <w:vAlign w:val="bottom"/>
            <w:tcBorders>
              <w:top w:val="single" w:sz="8" w:color="auto"/>
            </w:tcBorders>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680" w:type="dxa"/>
            <w:vAlign w:val="bottom"/>
          </w:tcPr>
          <w:p>
            <w:pPr>
              <w:ind w:left="320"/>
              <w:spacing w:after="0"/>
              <w:rPr>
                <w:sz w:val="20"/>
                <w:szCs w:val="20"/>
                <w:color w:val="auto"/>
              </w:rPr>
            </w:pPr>
            <w:r>
              <w:rPr>
                <w:rFonts w:ascii="Arial" w:cs="Arial" w:eastAsia="Arial" w:hAnsi="Arial"/>
                <w:sz w:val="18"/>
                <w:szCs w:val="18"/>
                <w:color w:val="auto"/>
              </w:rPr>
              <w:t>FIRST QUARTER</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40"/>
              <w:spacing w:after="0"/>
              <w:rPr>
                <w:sz w:val="20"/>
                <w:szCs w:val="20"/>
                <w:color w:val="auto"/>
              </w:rPr>
            </w:pPr>
            <w:r>
              <w:rPr>
                <w:rFonts w:ascii="Arial" w:cs="Arial" w:eastAsia="Arial" w:hAnsi="Arial"/>
                <w:sz w:val="18"/>
                <w:szCs w:val="18"/>
                <w:color w:val="auto"/>
              </w:rPr>
              <w:t>11.66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r>
      <w:tr>
        <w:trPr>
          <w:trHeight w:val="243"/>
        </w:trPr>
        <w:tc>
          <w:tcPr>
            <w:tcW w:w="4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11.49</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9.61</w:t>
            </w:r>
          </w:p>
        </w:tc>
      </w:tr>
      <w:tr>
        <w:trPr>
          <w:trHeight w:val="243"/>
        </w:trPr>
        <w:tc>
          <w:tcPr>
            <w:tcW w:w="4680" w:type="dxa"/>
            <w:vAlign w:val="bottom"/>
          </w:tcPr>
          <w:p>
            <w:pPr>
              <w:ind w:left="320"/>
              <w:spacing w:after="0"/>
              <w:rPr>
                <w:sz w:val="20"/>
                <w:szCs w:val="20"/>
                <w:color w:val="auto"/>
              </w:rPr>
            </w:pPr>
            <w:r>
              <w:rPr>
                <w:rFonts w:ascii="Arial" w:cs="Arial" w:eastAsia="Arial" w:hAnsi="Arial"/>
                <w:sz w:val="18"/>
                <w:szCs w:val="18"/>
                <w:color w:val="auto"/>
              </w:rPr>
              <w:t>THIRD QUARTER</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w w:val="84"/>
              </w:rPr>
              <w:t>10.35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r>
      <w:tr>
        <w:trPr>
          <w:trHeight w:val="243"/>
        </w:trPr>
        <w:tc>
          <w:tcPr>
            <w:tcW w:w="4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FOURTH QUARTER</w:t>
            </w:r>
          </w:p>
        </w:tc>
        <w:tc>
          <w:tcPr>
            <w:tcW w:w="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ind w:left="920"/>
              <w:spacing w:after="0"/>
              <w:rPr>
                <w:sz w:val="20"/>
                <w:szCs w:val="20"/>
                <w:color w:val="auto"/>
              </w:rPr>
            </w:pPr>
            <w:r>
              <w:rPr>
                <w:rFonts w:ascii="Arial" w:cs="Arial" w:eastAsia="Arial" w:hAnsi="Arial"/>
                <w:sz w:val="18"/>
                <w:szCs w:val="18"/>
                <w:color w:val="auto"/>
              </w:rPr>
              <w:t>9.23</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6.50</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2007 –</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FIRST QUARTER</w:t>
            </w:r>
          </w:p>
        </w:tc>
        <w:tc>
          <w:tcPr>
            <w:tcW w:w="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ind w:left="820"/>
              <w:spacing w:after="0"/>
              <w:rPr>
                <w:sz w:val="20"/>
                <w:szCs w:val="20"/>
                <w:color w:val="auto"/>
              </w:rPr>
            </w:pPr>
            <w:r>
              <w:rPr>
                <w:rFonts w:ascii="Arial" w:cs="Arial" w:eastAsia="Arial" w:hAnsi="Arial"/>
                <w:sz w:val="18"/>
                <w:szCs w:val="18"/>
                <w:color w:val="auto"/>
                <w:w w:val="84"/>
              </w:rPr>
              <w:t>15.00</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11.20</w:t>
            </w:r>
          </w:p>
        </w:tc>
      </w:tr>
      <w:tr>
        <w:trPr>
          <w:trHeight w:val="243"/>
        </w:trPr>
        <w:tc>
          <w:tcPr>
            <w:tcW w:w="4680" w:type="dxa"/>
            <w:vAlign w:val="bottom"/>
          </w:tcPr>
          <w:p>
            <w:pPr>
              <w:ind w:left="320"/>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w w:val="84"/>
              </w:rPr>
              <w:t>14.00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r>
      <w:tr>
        <w:trPr>
          <w:trHeight w:val="243"/>
        </w:trPr>
        <w:tc>
          <w:tcPr>
            <w:tcW w:w="4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THIRD QUARTER</w:t>
            </w:r>
          </w:p>
        </w:tc>
        <w:tc>
          <w:tcPr>
            <w:tcW w:w="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20" w:type="dxa"/>
            <w:vAlign w:val="bottom"/>
            <w:shd w:val="clear" w:color="auto" w:fill="CCFFCC"/>
          </w:tcPr>
          <w:p>
            <w:pPr>
              <w:ind w:left="820"/>
              <w:spacing w:after="0"/>
              <w:rPr>
                <w:sz w:val="20"/>
                <w:szCs w:val="20"/>
                <w:color w:val="auto"/>
              </w:rPr>
            </w:pPr>
            <w:r>
              <w:rPr>
                <w:rFonts w:ascii="Arial" w:cs="Arial" w:eastAsia="Arial" w:hAnsi="Arial"/>
                <w:sz w:val="18"/>
                <w:szCs w:val="18"/>
                <w:color w:val="auto"/>
                <w:w w:val="84"/>
              </w:rPr>
              <w:t>13.60</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11.01</w:t>
            </w:r>
          </w:p>
        </w:tc>
      </w:tr>
      <w:tr>
        <w:trPr>
          <w:trHeight w:val="243"/>
        </w:trPr>
        <w:tc>
          <w:tcPr>
            <w:tcW w:w="4680" w:type="dxa"/>
            <w:vAlign w:val="bottom"/>
          </w:tcPr>
          <w:p>
            <w:pPr>
              <w:ind w:left="320"/>
              <w:spacing w:after="0"/>
              <w:rPr>
                <w:sz w:val="20"/>
                <w:szCs w:val="20"/>
                <w:color w:val="auto"/>
              </w:rPr>
            </w:pPr>
            <w:r>
              <w:rPr>
                <w:rFonts w:ascii="Arial" w:cs="Arial" w:eastAsia="Arial" w:hAnsi="Arial"/>
                <w:sz w:val="18"/>
                <w:szCs w:val="18"/>
                <w:color w:val="auto"/>
              </w:rPr>
              <w:t>FOURTH QUARTER</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w w:val="84"/>
              </w:rPr>
              <w:t>12.47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r>
    </w:tbl>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July 25, 2008, the approximate number of holders of record of common stock was 600. The closing share price of the Company’s stock on April 30, 2008 was $6.63. The closing share price of the Company’s stock on July 25, 2008 was $6.01.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DIVIDEND POLICY</w:t>
      </w:r>
    </w:p>
    <w:p>
      <w:pPr>
        <w:spacing w:after="0" w:line="2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1997, the Company initiated a policy of paying a cash dividend to stockholders of record as of April 30 and October 31 of each year subject to prevailing financial conditions. The Board of Directors determines dividend amounts prior to each declaration. In fiscal year 2007, the Company declared semi-annual cash dividends of $0.10 per share of common stock to shareholders. For fiscal year 2008, the Company declared a dividend of $0.10 per share of common stock to shareholders of record as of October 31, 2007 and payable on December 1, 2007. In March 2008, in the context of extraordinary uncertainties in credit and capital markets and the importance of preserving capital, the Board determined that no cash dividend would be paid in June 2008. The Board of Directors indicated it would review dividend policy at subsequent meetings.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BUYBACK PROGRAM</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March 2005, the Company’s Board of Directors authorized a stock repurchase program for up to $5 million of the Company’s outstanding common stock.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2008, the Company repurchased 32,312 shares under the buyback program, paying an average of $9.63 per share or an aggregate amount of approximately $311,000. No shares were repurchased during fiscal year 2007. The Company anticipates that it will repurchase more shares under the buyback program in fiscal year 2009 than it repurchased in fiscal year 2008.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sz w:val="20"/>
                <w:szCs w:val="20"/>
                <w:color w:val="auto"/>
              </w:rPr>
            </w:pPr>
            <w:r>
              <w:rPr>
                <w:rFonts w:ascii="Arial" w:cs="Arial" w:eastAsia="Arial" w:hAnsi="Arial"/>
                <w:sz w:val="18"/>
                <w:szCs w:val="18"/>
                <w:color w:val="auto"/>
              </w:rPr>
              <w:t>EQUITY COMPENSATION PLAN INFORMATION</w:t>
            </w: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92"/>
        </w:trPr>
        <w:tc>
          <w:tcPr>
            <w:tcW w:w="392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3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Remaining available for</w:t>
            </w:r>
          </w:p>
        </w:tc>
      </w:tr>
      <w:tr>
        <w:trPr>
          <w:trHeight w:val="216"/>
        </w:trPr>
        <w:tc>
          <w:tcPr>
            <w:tcW w:w="3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Number of Securities to</w:t>
            </w:r>
          </w:p>
        </w:tc>
        <w:tc>
          <w:tcPr>
            <w:tcW w:w="100" w:type="dxa"/>
            <w:vAlign w:val="bottom"/>
          </w:tcPr>
          <w:p>
            <w:pPr>
              <w:spacing w:after="0"/>
              <w:rPr>
                <w:sz w:val="18"/>
                <w:szCs w:val="18"/>
                <w:color w:val="auto"/>
              </w:rPr>
            </w:pPr>
          </w:p>
        </w:tc>
        <w:tc>
          <w:tcPr>
            <w:tcW w:w="168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Weighted-Average</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Future Issuance under</w:t>
            </w:r>
          </w:p>
        </w:tc>
      </w:tr>
      <w:tr>
        <w:trPr>
          <w:trHeight w:val="216"/>
        </w:trPr>
        <w:tc>
          <w:tcPr>
            <w:tcW w:w="3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be Issued upon 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Exercise Price of</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Equity Compensation Plans</w:t>
            </w:r>
          </w:p>
        </w:tc>
      </w:tr>
      <w:tr>
        <w:trPr>
          <w:trHeight w:val="216"/>
        </w:trPr>
        <w:tc>
          <w:tcPr>
            <w:tcW w:w="3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of Outstanding Options</w:t>
            </w:r>
          </w:p>
        </w:tc>
        <w:tc>
          <w:tcPr>
            <w:tcW w:w="1780" w:type="dxa"/>
            <w:vAlign w:val="bottom"/>
            <w:gridSpan w:val="4"/>
          </w:tcPr>
          <w:p>
            <w:pPr>
              <w:ind w:left="100"/>
              <w:spacing w:after="0"/>
              <w:rPr>
                <w:sz w:val="20"/>
                <w:szCs w:val="20"/>
                <w:color w:val="auto"/>
              </w:rPr>
            </w:pPr>
            <w:r>
              <w:rPr>
                <w:rFonts w:ascii="Arial" w:cs="Arial" w:eastAsia="Arial" w:hAnsi="Arial"/>
                <w:sz w:val="18"/>
                <w:szCs w:val="18"/>
                <w:color w:val="auto"/>
              </w:rPr>
              <w:t>Outstanding Options</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(Excluding Securities</w:t>
            </w:r>
          </w:p>
        </w:tc>
      </w:tr>
      <w:tr>
        <w:trPr>
          <w:trHeight w:val="230"/>
        </w:trPr>
        <w:tc>
          <w:tcPr>
            <w:tcW w:w="5540" w:type="dxa"/>
            <w:vAlign w:val="bottom"/>
            <w:tcBorders>
              <w:bottom w:val="single" w:sz="8" w:color="auto"/>
            </w:tcBorders>
            <w:gridSpan w:val="2"/>
          </w:tcPr>
          <w:p>
            <w:pPr>
              <w:ind w:left="1940"/>
              <w:spacing w:after="0"/>
              <w:rPr>
                <w:sz w:val="20"/>
                <w:szCs w:val="20"/>
                <w:color w:val="auto"/>
              </w:rPr>
            </w:pPr>
            <w:r>
              <w:rPr>
                <w:rFonts w:ascii="Arial" w:cs="Arial" w:eastAsia="Arial" w:hAnsi="Arial"/>
                <w:sz w:val="18"/>
                <w:szCs w:val="18"/>
                <w:color w:val="auto"/>
              </w:rPr>
              <w:t>Plan Category</w:t>
            </w:r>
          </w:p>
        </w:tc>
        <w:tc>
          <w:tcPr>
            <w:tcW w:w="2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Warrants and Rights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Warrants and Rights</w:t>
            </w:r>
          </w:p>
        </w:tc>
        <w:tc>
          <w:tcPr>
            <w:tcW w:w="20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Reflected in Column (a))</w:t>
            </w:r>
          </w:p>
        </w:tc>
        <w:tc>
          <w:tcPr>
            <w:tcW w:w="100" w:type="dxa"/>
            <w:vAlign w:val="bottom"/>
          </w:tcPr>
          <w:p>
            <w:pPr>
              <w:spacing w:after="0"/>
              <w:rPr>
                <w:sz w:val="20"/>
                <w:szCs w:val="20"/>
                <w:color w:val="auto"/>
              </w:rPr>
            </w:pPr>
          </w:p>
        </w:tc>
      </w:tr>
      <w:tr>
        <w:trPr>
          <w:trHeight w:val="237"/>
        </w:trPr>
        <w:tc>
          <w:tcPr>
            <w:tcW w:w="39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(b)</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r>
      <w:tr>
        <w:trPr>
          <w:trHeight w:val="243"/>
        </w:trPr>
        <w:tc>
          <w:tcPr>
            <w:tcW w:w="5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Compensation Plans</w:t>
            </w:r>
          </w:p>
        </w:tc>
        <w:tc>
          <w:tcPr>
            <w:tcW w:w="200" w:type="dxa"/>
            <w:vAlign w:val="bottom"/>
            <w:shd w:val="clear" w:color="auto" w:fill="CCFFCC"/>
          </w:tcPr>
          <w:p>
            <w:pPr>
              <w:spacing w:after="0"/>
              <w:rPr>
                <w:sz w:val="21"/>
                <w:szCs w:val="21"/>
                <w:color w:val="auto"/>
              </w:rPr>
            </w:pPr>
          </w:p>
        </w:tc>
        <w:tc>
          <w:tcPr>
            <w:tcW w:w="1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0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5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Approved by Security Holders</w:t>
            </w:r>
          </w:p>
        </w:tc>
        <w:tc>
          <w:tcPr>
            <w:tcW w:w="1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856,775</w:t>
            </w:r>
          </w:p>
        </w:tc>
        <w:tc>
          <w:tcPr>
            <w:tcW w:w="100" w:type="dxa"/>
            <w:vAlign w:val="bottom"/>
            <w:shd w:val="clear" w:color="auto" w:fill="CCFFCC"/>
          </w:tcPr>
          <w:p>
            <w:pPr>
              <w:spacing w:after="0"/>
              <w:rPr>
                <w:sz w:val="21"/>
                <w:szCs w:val="21"/>
                <w:color w:val="auto"/>
              </w:rPr>
            </w:pP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10.17</w:t>
            </w:r>
          </w:p>
        </w:tc>
        <w:tc>
          <w:tcPr>
            <w:tcW w:w="2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1,625</w:t>
            </w:r>
          </w:p>
        </w:tc>
      </w:tr>
      <w:tr>
        <w:trPr>
          <w:trHeight w:val="243"/>
        </w:trPr>
        <w:tc>
          <w:tcPr>
            <w:tcW w:w="39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Compensation Plans Not</w:t>
            </w:r>
          </w:p>
        </w:tc>
        <w:tc>
          <w:tcPr>
            <w:tcW w:w="200" w:type="dxa"/>
            <w:vAlign w:val="bottom"/>
            <w:shd w:val="clear" w:color="auto" w:fill="CCFFCC"/>
          </w:tcPr>
          <w:p>
            <w:pPr>
              <w:spacing w:after="0"/>
              <w:rPr>
                <w:sz w:val="21"/>
                <w:szCs w:val="21"/>
                <w:color w:val="auto"/>
              </w:rPr>
            </w:pPr>
          </w:p>
        </w:tc>
        <w:tc>
          <w:tcPr>
            <w:tcW w:w="1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0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5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Approved by Security Holders</w:t>
            </w:r>
          </w:p>
        </w:tc>
        <w:tc>
          <w:tcPr>
            <w:tcW w:w="200" w:type="dxa"/>
            <w:vAlign w:val="bottom"/>
            <w:shd w:val="clear" w:color="auto" w:fill="CCFFCC"/>
          </w:tcPr>
          <w:p>
            <w:pPr>
              <w:spacing w:after="0"/>
              <w:rPr>
                <w:sz w:val="21"/>
                <w:szCs w:val="21"/>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632,800</w:t>
            </w:r>
          </w:p>
        </w:tc>
        <w:tc>
          <w:tcPr>
            <w:tcW w:w="100" w:type="dxa"/>
            <w:vAlign w:val="bottom"/>
            <w:shd w:val="clear" w:color="auto" w:fill="CCFFCC"/>
          </w:tcPr>
          <w:p>
            <w:pPr>
              <w:spacing w:after="0"/>
              <w:rPr>
                <w:sz w:val="21"/>
                <w:szCs w:val="21"/>
                <w:color w:val="auto"/>
              </w:rPr>
            </w:pP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12.82</w:t>
            </w:r>
          </w:p>
        </w:tc>
        <w:tc>
          <w:tcPr>
            <w:tcW w:w="2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20" w:type="dxa"/>
            <w:vAlign w:val="bottom"/>
            <w:shd w:val="clear" w:color="auto" w:fill="CCFFCC"/>
          </w:tcPr>
          <w:p>
            <w:pPr>
              <w:spacing w:after="0" w:line="20" w:lineRule="exact"/>
              <w:rPr>
                <w:sz w:val="1"/>
                <w:szCs w:val="1"/>
                <w:color w:val="auto"/>
              </w:rPr>
            </w:pPr>
          </w:p>
        </w:tc>
        <w:tc>
          <w:tcPr>
            <w:tcW w:w="16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5540" w:type="dxa"/>
            <w:vAlign w:val="bottom"/>
            <w:gridSpan w:val="2"/>
          </w:tcPr>
          <w:p>
            <w:pPr>
              <w:ind w:left="66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1,489,575</w:t>
            </w:r>
          </w:p>
        </w:tc>
        <w:tc>
          <w:tcPr>
            <w:tcW w:w="100" w:type="dxa"/>
            <w:vAlign w:val="bottom"/>
          </w:tcPr>
          <w:p>
            <w:pPr>
              <w:spacing w:after="0"/>
              <w:rPr>
                <w:sz w:val="20"/>
                <w:szCs w:val="20"/>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11.30</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r>
      <w:tr>
        <w:trPr>
          <w:trHeight w:val="20"/>
        </w:trPr>
        <w:tc>
          <w:tcPr>
            <w:tcW w:w="3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selected financial data including net sales and operating profit (loss) for the five-year period ended April 30, 2008. The information has been derived from the audited financial statements of the Company for the respective periods.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CONSOLIDATED STATEMENTS OF OPERATIONS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7"/>
          </w:tcPr>
          <w:p>
            <w:pPr>
              <w:jc w:val="right"/>
              <w:ind w:right="20"/>
              <w:spacing w:after="0"/>
              <w:rPr>
                <w:sz w:val="20"/>
                <w:szCs w:val="20"/>
                <w:color w:val="auto"/>
              </w:rPr>
            </w:pPr>
            <w:r>
              <w:rPr>
                <w:rFonts w:ascii="Arial" w:cs="Arial" w:eastAsia="Arial" w:hAnsi="Arial"/>
                <w:sz w:val="18"/>
                <w:szCs w:val="18"/>
                <w:color w:val="auto"/>
              </w:rPr>
              <w:t>Years Ended April 30,</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2004</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9"/>
          </w:tcPr>
          <w:p>
            <w:pPr>
              <w:jc w:val="right"/>
              <w:ind w:right="380"/>
              <w:spacing w:after="0"/>
              <w:rPr>
                <w:sz w:val="20"/>
                <w:szCs w:val="20"/>
                <w:color w:val="auto"/>
              </w:rPr>
            </w:pPr>
            <w:r>
              <w:rPr>
                <w:rFonts w:ascii="Arial" w:cs="Arial" w:eastAsia="Arial" w:hAnsi="Arial"/>
                <w:sz w:val="18"/>
                <w:szCs w:val="18"/>
                <w:color w:val="auto"/>
                <w:w w:val="89"/>
              </w:rPr>
              <w:t>(in thousands, except share and dividend data)</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FFCC"/>
          </w:tcPr>
          <w:p>
            <w:pPr>
              <w:spacing w:after="0"/>
              <w:rPr>
                <w:sz w:val="21"/>
                <w:szCs w:val="21"/>
                <w:color w:val="auto"/>
              </w:rPr>
            </w:pPr>
          </w:p>
        </w:tc>
        <w:tc>
          <w:tcPr>
            <w:tcW w:w="102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20"/>
              <w:spacing w:after="0"/>
              <w:rPr>
                <w:sz w:val="20"/>
                <w:szCs w:val="20"/>
                <w:color w:val="auto"/>
              </w:rPr>
            </w:pPr>
            <w:r>
              <w:rPr>
                <w:rFonts w:ascii="Arial" w:cs="Arial" w:eastAsia="Arial" w:hAnsi="Arial"/>
                <w:sz w:val="18"/>
                <w:szCs w:val="18"/>
                <w:color w:val="auto"/>
              </w:rPr>
              <w:t>FEI-NY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46,258</w:t>
            </w: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40,184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35,801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37,067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35,288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shd w:val="clear" w:color="auto" w:fill="CCFFCC"/>
          </w:tcPr>
          <w:p>
            <w:pPr>
              <w:ind w:left="320"/>
              <w:spacing w:after="0"/>
              <w:rPr>
                <w:sz w:val="20"/>
                <w:szCs w:val="20"/>
                <w:color w:val="auto"/>
              </w:rPr>
            </w:pPr>
            <w:r>
              <w:rPr>
                <w:rFonts w:ascii="Arial" w:cs="Arial" w:eastAsia="Arial" w:hAnsi="Arial"/>
                <w:sz w:val="18"/>
                <w:szCs w:val="18"/>
                <w:color w:val="auto"/>
              </w:rPr>
              <w:t>Gillam-FEI (1)</w:t>
            </w:r>
          </w:p>
        </w:tc>
        <w:tc>
          <w:tcPr>
            <w:tcW w:w="100" w:type="dxa"/>
            <w:vAlign w:val="bottom"/>
            <w:shd w:val="clear" w:color="auto" w:fill="CCFFCC"/>
          </w:tcPr>
          <w:p>
            <w:pPr>
              <w:spacing w:after="0"/>
              <w:rPr>
                <w:sz w:val="21"/>
                <w:szCs w:val="21"/>
                <w:color w:val="auto"/>
              </w:rPr>
            </w:pPr>
          </w:p>
        </w:tc>
        <w:tc>
          <w:tcPr>
            <w:tcW w:w="10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11,459</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11,382</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9,170</w:t>
            </w:r>
          </w:p>
        </w:tc>
        <w:tc>
          <w:tcPr>
            <w:tcW w:w="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12,599</w:t>
            </w:r>
          </w:p>
        </w:tc>
        <w:tc>
          <w:tcPr>
            <w:tcW w:w="10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12,197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20"/>
              <w:spacing w:after="0"/>
              <w:rPr>
                <w:sz w:val="20"/>
                <w:szCs w:val="20"/>
                <w:color w:val="auto"/>
              </w:rPr>
            </w:pPr>
            <w:r>
              <w:rPr>
                <w:rFonts w:ascii="Arial" w:cs="Arial" w:eastAsia="Arial" w:hAnsi="Arial"/>
                <w:sz w:val="18"/>
                <w:szCs w:val="18"/>
                <w:color w:val="auto"/>
              </w:rPr>
              <w:t>FEI-Zyfer</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9,089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7,542</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8,803</w:t>
            </w:r>
          </w:p>
        </w:tc>
        <w:tc>
          <w:tcPr>
            <w:tcW w:w="100" w:type="dxa"/>
            <w:vAlign w:val="bottom"/>
          </w:tcPr>
          <w:p>
            <w:pPr>
              <w:spacing w:after="0"/>
              <w:rPr>
                <w:sz w:val="21"/>
                <w:szCs w:val="21"/>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41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less intersegment sales (1)</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(2,409)</w:t>
            </w:r>
          </w:p>
        </w:tc>
        <w:tc>
          <w:tcPr>
            <w:tcW w:w="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(2,216)</w:t>
            </w:r>
          </w:p>
        </w:tc>
        <w:tc>
          <w:tcPr>
            <w:tcW w:w="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(3,296)</w:t>
            </w:r>
          </w:p>
        </w:tc>
        <w:tc>
          <w:tcPr>
            <w:tcW w:w="10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338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gridSpan w:val="4"/>
          </w:tcPr>
          <w:p>
            <w:pPr>
              <w:spacing w:after="0"/>
              <w:rPr>
                <w:sz w:val="20"/>
                <w:szCs w:val="20"/>
                <w:color w:val="auto"/>
              </w:rPr>
            </w:pPr>
            <w:r>
              <w:rPr>
                <w:rFonts w:ascii="Arial" w:cs="Arial" w:eastAsia="Arial" w:hAnsi="Arial"/>
                <w:sz w:val="18"/>
                <w:szCs w:val="18"/>
                <w:color w:val="auto"/>
              </w:rPr>
              <w:t>Total 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64,397</w:t>
            </w:r>
          </w:p>
        </w:tc>
        <w:tc>
          <w:tcPr>
            <w:tcW w:w="1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56,206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52,810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55,173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50,106</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Operating (Loss) Profit</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(2,578)</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(3,721)</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1,710</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33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680" w:type="dxa"/>
            <w:vAlign w:val="bottom"/>
            <w:gridSpan w:val="3"/>
          </w:tcPr>
          <w:p>
            <w:pPr>
              <w:spacing w:after="0" w:line="196" w:lineRule="exact"/>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887(2)$</w:t>
            </w:r>
          </w:p>
        </w:tc>
        <w:tc>
          <w:tcPr>
            <w:tcW w:w="11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4,798(3)$</w:t>
            </w:r>
          </w:p>
        </w:tc>
        <w:tc>
          <w:tcPr>
            <w:tcW w:w="13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5,037(4)$</w:t>
            </w:r>
          </w:p>
        </w:tc>
        <w:tc>
          <w:tcPr>
            <w:tcW w:w="14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320(5,6)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Average Common Shares Outstanding</w:t>
            </w:r>
          </w:p>
        </w:tc>
        <w:tc>
          <w:tcPr>
            <w:tcW w:w="100" w:type="dxa"/>
            <w:vAlign w:val="bottom"/>
            <w:shd w:val="clear" w:color="auto" w:fill="CCFFCC"/>
          </w:tcPr>
          <w:p>
            <w:pPr>
              <w:spacing w:after="0"/>
              <w:rPr>
                <w:sz w:val="19"/>
                <w:szCs w:val="19"/>
                <w:color w:val="auto"/>
              </w:rPr>
            </w:pPr>
          </w:p>
        </w:tc>
        <w:tc>
          <w:tcPr>
            <w:tcW w:w="1020" w:type="dxa"/>
            <w:vAlign w:val="bottom"/>
            <w:tcBorders>
              <w:right w:val="single" w:sz="8" w:color="CCFFCC"/>
            </w:tcBorders>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4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8,710,260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8,620,776</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8,537,427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8,484,682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8,374,399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414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FFCC"/>
          </w:tcPr>
          <w:p>
            <w:pPr>
              <w:spacing w:after="0"/>
              <w:rPr>
                <w:sz w:val="21"/>
                <w:szCs w:val="21"/>
                <w:color w:val="auto"/>
              </w:rPr>
            </w:pPr>
          </w:p>
        </w:tc>
        <w:tc>
          <w:tcPr>
            <w:tcW w:w="10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8,778,059</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8,620,776</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8,690,617</w:t>
            </w:r>
          </w:p>
        </w:tc>
        <w:tc>
          <w:tcPr>
            <w:tcW w:w="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8,684,758</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8,542,575</w:t>
            </w:r>
          </w:p>
        </w:tc>
        <w:tc>
          <w:tcPr>
            <w:tcW w:w="0" w:type="dxa"/>
            <w:vAlign w:val="bottom"/>
          </w:tcPr>
          <w:p>
            <w:pPr>
              <w:spacing w:after="0"/>
              <w:rPr>
                <w:sz w:val="1"/>
                <w:szCs w:val="1"/>
                <w:color w:val="auto"/>
              </w:rPr>
            </w:pPr>
          </w:p>
        </w:tc>
      </w:tr>
      <w:tr>
        <w:trPr>
          <w:trHeight w:val="243"/>
        </w:trPr>
        <w:tc>
          <w:tcPr>
            <w:tcW w:w="4700" w:type="dxa"/>
            <w:vAlign w:val="bottom"/>
            <w:gridSpan w:val="4"/>
          </w:tcPr>
          <w:p>
            <w:pPr>
              <w:spacing w:after="0"/>
              <w:rPr>
                <w:sz w:val="20"/>
                <w:szCs w:val="20"/>
                <w:color w:val="auto"/>
              </w:rPr>
            </w:pPr>
            <w:r>
              <w:rPr>
                <w:rFonts w:ascii="Arial" w:cs="Arial" w:eastAsia="Arial" w:hAnsi="Arial"/>
                <w:sz w:val="18"/>
                <w:szCs w:val="18"/>
                <w:color w:val="auto"/>
              </w:rPr>
              <w:t>Earnings (Loss) per Common Share</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0" w:type="dxa"/>
            <w:vAlign w:val="bottom"/>
            <w:shd w:val="clear" w:color="auto" w:fill="CCFFCC"/>
          </w:tcPr>
          <w:p>
            <w:pPr>
              <w:spacing w:after="0"/>
              <w:rPr>
                <w:sz w:val="22"/>
                <w:szCs w:val="22"/>
                <w:color w:val="auto"/>
              </w:rPr>
            </w:pPr>
          </w:p>
        </w:tc>
        <w:tc>
          <w:tcPr>
            <w:tcW w:w="414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FFCC"/>
          </w:tcPr>
          <w:p>
            <w:pPr>
              <w:spacing w:after="0"/>
              <w:rPr>
                <w:sz w:val="22"/>
                <w:szCs w:val="22"/>
                <w:color w:val="auto"/>
              </w:rPr>
            </w:pP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0.56</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33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4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0.55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gridSpan w:val="3"/>
            <w:shd w:val="clear" w:color="auto" w:fill="CCFFCC"/>
          </w:tcPr>
          <w:p>
            <w:pPr>
              <w:ind w:left="540"/>
              <w:spacing w:after="0" w:line="183" w:lineRule="exact"/>
              <w:rPr>
                <w:sz w:val="20"/>
                <w:szCs w:val="20"/>
                <w:color w:val="auto"/>
              </w:rPr>
            </w:pPr>
            <w:r>
              <w:rPr>
                <w:rFonts w:ascii="Arial" w:cs="Arial" w:eastAsia="Arial" w:hAnsi="Arial"/>
                <w:sz w:val="18"/>
                <w:szCs w:val="18"/>
                <w:color w:val="auto"/>
              </w:rPr>
              <w:t>CONSOLIDATED BALANCE SHEET DATA</w:t>
            </w:r>
          </w:p>
        </w:tc>
        <w:tc>
          <w:tcPr>
            <w:tcW w:w="100" w:type="dxa"/>
            <w:vAlign w:val="bottom"/>
            <w:shd w:val="clear" w:color="auto" w:fill="CCFFCC"/>
          </w:tcPr>
          <w:p>
            <w:pPr>
              <w:spacing w:after="0"/>
              <w:rPr>
                <w:sz w:val="15"/>
                <w:szCs w:val="15"/>
                <w:color w:val="auto"/>
              </w:rPr>
            </w:pPr>
          </w:p>
        </w:tc>
        <w:tc>
          <w:tcPr>
            <w:tcW w:w="1020" w:type="dxa"/>
            <w:vAlign w:val="bottom"/>
            <w:tcBorders>
              <w:right w:val="single" w:sz="8" w:color="CCFFCC"/>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CCFFCC"/>
            </w:tcBorders>
            <w:shd w:val="clear" w:color="auto" w:fill="CCFFCC"/>
          </w:tcPr>
          <w:p>
            <w:pPr>
              <w:spacing w:after="0"/>
              <w:rPr>
                <w:sz w:val="2"/>
                <w:szCs w:val="2"/>
                <w:color w:val="auto"/>
              </w:rPr>
            </w:pPr>
          </w:p>
        </w:tc>
        <w:tc>
          <w:tcPr>
            <w:tcW w:w="3380" w:type="dxa"/>
            <w:vAlign w:val="bottom"/>
            <w:tcBorders>
              <w:top w:val="single" w:sz="8" w:color="auto"/>
            </w:tcBorders>
            <w:shd w:val="clear" w:color="auto" w:fill="CCFFCC"/>
          </w:tcPr>
          <w:p>
            <w:pPr>
              <w:spacing w:after="0"/>
              <w:rPr>
                <w:sz w:val="2"/>
                <w:szCs w:val="2"/>
                <w:color w:val="auto"/>
              </w:rPr>
            </w:pPr>
          </w:p>
        </w:tc>
        <w:tc>
          <w:tcPr>
            <w:tcW w:w="760" w:type="dxa"/>
            <w:vAlign w:val="bottom"/>
            <w:tcBorders>
              <w:top w:val="single" w:sz="8" w:color="CCFFCC"/>
            </w:tcBorders>
            <w:shd w:val="clear" w:color="auto" w:fill="CCFFCC"/>
          </w:tcPr>
          <w:p>
            <w:pPr>
              <w:spacing w:after="0"/>
              <w:rPr>
                <w:sz w:val="2"/>
                <w:szCs w:val="2"/>
                <w:color w:val="auto"/>
              </w:rPr>
            </w:pPr>
          </w:p>
        </w:tc>
        <w:tc>
          <w:tcPr>
            <w:tcW w:w="100" w:type="dxa"/>
            <w:vAlign w:val="bottom"/>
            <w:tcBorders>
              <w:top w:val="single" w:sz="8" w:color="CCFFCC"/>
            </w:tcBorders>
            <w:shd w:val="clear" w:color="auto" w:fill="CCFFCC"/>
          </w:tcPr>
          <w:p>
            <w:pPr>
              <w:spacing w:after="0"/>
              <w:rPr>
                <w:sz w:val="2"/>
                <w:szCs w:val="2"/>
                <w:color w:val="auto"/>
              </w:rPr>
            </w:pPr>
          </w:p>
        </w:tc>
        <w:tc>
          <w:tcPr>
            <w:tcW w:w="1020" w:type="dxa"/>
            <w:vAlign w:val="bottom"/>
            <w:tcBorders>
              <w:top w:val="single" w:sz="8" w:color="CCFFCC"/>
              <w:right w:val="single" w:sz="8" w:color="CCFFCC"/>
            </w:tcBorders>
            <w:shd w:val="clear" w:color="auto" w:fill="CCFFCC"/>
          </w:tcPr>
          <w:p>
            <w:pPr>
              <w:spacing w:after="0"/>
              <w:rPr>
                <w:sz w:val="2"/>
                <w:szCs w:val="2"/>
                <w:color w:val="auto"/>
              </w:rPr>
            </w:pPr>
          </w:p>
        </w:tc>
        <w:tc>
          <w:tcPr>
            <w:tcW w:w="120" w:type="dxa"/>
            <w:vAlign w:val="bottom"/>
            <w:tcBorders>
              <w:top w:val="single" w:sz="8" w:color="CCFFCC"/>
            </w:tcBorders>
            <w:shd w:val="clear" w:color="auto" w:fill="CCFFCC"/>
          </w:tcPr>
          <w:p>
            <w:pPr>
              <w:spacing w:after="0"/>
              <w:rPr>
                <w:sz w:val="2"/>
                <w:szCs w:val="2"/>
                <w:color w:val="auto"/>
              </w:rPr>
            </w:pPr>
          </w:p>
        </w:tc>
        <w:tc>
          <w:tcPr>
            <w:tcW w:w="80" w:type="dxa"/>
            <w:vAlign w:val="bottom"/>
            <w:tcBorders>
              <w:top w:val="single" w:sz="8" w:color="CCFFCC"/>
            </w:tcBorders>
            <w:shd w:val="clear" w:color="auto" w:fill="CCFFCC"/>
          </w:tcPr>
          <w:p>
            <w:pPr>
              <w:spacing w:after="0"/>
              <w:rPr>
                <w:sz w:val="2"/>
                <w:szCs w:val="2"/>
                <w:color w:val="auto"/>
              </w:rPr>
            </w:pPr>
          </w:p>
        </w:tc>
        <w:tc>
          <w:tcPr>
            <w:tcW w:w="100" w:type="dxa"/>
            <w:vAlign w:val="bottom"/>
            <w:tcBorders>
              <w:top w:val="single" w:sz="8" w:color="CCFFCC"/>
            </w:tcBorders>
            <w:shd w:val="clear" w:color="auto" w:fill="CCFFCC"/>
          </w:tcPr>
          <w:p>
            <w:pPr>
              <w:spacing w:after="0"/>
              <w:rPr>
                <w:sz w:val="2"/>
                <w:szCs w:val="2"/>
                <w:color w:val="auto"/>
              </w:rPr>
            </w:pPr>
          </w:p>
        </w:tc>
        <w:tc>
          <w:tcPr>
            <w:tcW w:w="1000" w:type="dxa"/>
            <w:vAlign w:val="bottom"/>
            <w:tcBorders>
              <w:top w:val="single" w:sz="8" w:color="CCFFCC"/>
            </w:tcBorders>
            <w:shd w:val="clear" w:color="auto" w:fill="CCFFCC"/>
          </w:tcPr>
          <w:p>
            <w:pPr>
              <w:spacing w:after="0"/>
              <w:rPr>
                <w:sz w:val="2"/>
                <w:szCs w:val="2"/>
                <w:color w:val="auto"/>
              </w:rPr>
            </w:pPr>
          </w:p>
        </w:tc>
        <w:tc>
          <w:tcPr>
            <w:tcW w:w="120" w:type="dxa"/>
            <w:vAlign w:val="bottom"/>
            <w:tcBorders>
              <w:top w:val="single" w:sz="8" w:color="CCFFCC"/>
            </w:tcBorders>
            <w:shd w:val="clear" w:color="auto" w:fill="CCFFCC"/>
          </w:tcPr>
          <w:p>
            <w:pPr>
              <w:spacing w:after="0"/>
              <w:rPr>
                <w:sz w:val="2"/>
                <w:szCs w:val="2"/>
                <w:color w:val="auto"/>
              </w:rPr>
            </w:pPr>
          </w:p>
        </w:tc>
        <w:tc>
          <w:tcPr>
            <w:tcW w:w="100" w:type="dxa"/>
            <w:vAlign w:val="bottom"/>
            <w:tcBorders>
              <w:top w:val="single" w:sz="8" w:color="CCFFCC"/>
            </w:tcBorders>
            <w:shd w:val="clear" w:color="auto" w:fill="CCFFCC"/>
          </w:tcPr>
          <w:p>
            <w:pPr>
              <w:spacing w:after="0"/>
              <w:rPr>
                <w:sz w:val="2"/>
                <w:szCs w:val="2"/>
                <w:color w:val="auto"/>
              </w:rPr>
            </w:pPr>
          </w:p>
        </w:tc>
        <w:tc>
          <w:tcPr>
            <w:tcW w:w="1000" w:type="dxa"/>
            <w:vAlign w:val="bottom"/>
            <w:tcBorders>
              <w:top w:val="single" w:sz="8" w:color="CCFFCC"/>
            </w:tcBorders>
            <w:shd w:val="clear" w:color="auto" w:fill="CCFFCC"/>
          </w:tcPr>
          <w:p>
            <w:pPr>
              <w:spacing w:after="0"/>
              <w:rPr>
                <w:sz w:val="2"/>
                <w:szCs w:val="2"/>
                <w:color w:val="auto"/>
              </w:rPr>
            </w:pPr>
          </w:p>
        </w:tc>
        <w:tc>
          <w:tcPr>
            <w:tcW w:w="140" w:type="dxa"/>
            <w:vAlign w:val="bottom"/>
            <w:tcBorders>
              <w:top w:val="single" w:sz="8" w:color="CCFFCC"/>
            </w:tcBorders>
            <w:shd w:val="clear" w:color="auto" w:fill="CCFFCC"/>
          </w:tcPr>
          <w:p>
            <w:pPr>
              <w:spacing w:after="0"/>
              <w:rPr>
                <w:sz w:val="2"/>
                <w:szCs w:val="2"/>
                <w:color w:val="auto"/>
              </w:rPr>
            </w:pPr>
          </w:p>
        </w:tc>
        <w:tc>
          <w:tcPr>
            <w:tcW w:w="80" w:type="dxa"/>
            <w:vAlign w:val="bottom"/>
            <w:tcBorders>
              <w:top w:val="single" w:sz="8" w:color="CCFFCC"/>
            </w:tcBorders>
            <w:shd w:val="clear" w:color="auto" w:fill="CCFFCC"/>
          </w:tcPr>
          <w:p>
            <w:pPr>
              <w:spacing w:after="0"/>
              <w:rPr>
                <w:sz w:val="2"/>
                <w:szCs w:val="2"/>
                <w:color w:val="auto"/>
              </w:rPr>
            </w:pPr>
          </w:p>
        </w:tc>
        <w:tc>
          <w:tcPr>
            <w:tcW w:w="100" w:type="dxa"/>
            <w:vAlign w:val="bottom"/>
            <w:tcBorders>
              <w:top w:val="single" w:sz="8" w:color="CCFFCC"/>
            </w:tcBorders>
            <w:shd w:val="clear" w:color="auto" w:fill="CCFFCC"/>
          </w:tcPr>
          <w:p>
            <w:pPr>
              <w:spacing w:after="0"/>
              <w:rPr>
                <w:sz w:val="2"/>
                <w:szCs w:val="2"/>
                <w:color w:val="auto"/>
              </w:rPr>
            </w:pPr>
          </w:p>
        </w:tc>
        <w:tc>
          <w:tcPr>
            <w:tcW w:w="1000" w:type="dxa"/>
            <w:vAlign w:val="bottom"/>
            <w:tcBorders>
              <w:top w:val="single" w:sz="8" w:color="CCFFCC"/>
            </w:tcBorders>
            <w:shd w:val="clear" w:color="auto" w:fill="CCFFCC"/>
          </w:tcPr>
          <w:p>
            <w:pPr>
              <w:spacing w:after="0"/>
              <w:rPr>
                <w:sz w:val="2"/>
                <w:szCs w:val="2"/>
                <w:color w:val="auto"/>
              </w:rPr>
            </w:pPr>
          </w:p>
        </w:tc>
        <w:tc>
          <w:tcPr>
            <w:tcW w:w="220" w:type="dxa"/>
            <w:vAlign w:val="bottom"/>
            <w:tcBorders>
              <w:top w:val="single" w:sz="8" w:color="CCFFCC"/>
            </w:tcBorders>
            <w:shd w:val="clear" w:color="auto" w:fill="CCFFCC"/>
          </w:tcPr>
          <w:p>
            <w:pPr>
              <w:spacing w:after="0"/>
              <w:rPr>
                <w:sz w:val="2"/>
                <w:szCs w:val="2"/>
                <w:color w:val="auto"/>
              </w:rPr>
            </w:pPr>
          </w:p>
        </w:tc>
        <w:tc>
          <w:tcPr>
            <w:tcW w:w="100" w:type="dxa"/>
            <w:vAlign w:val="bottom"/>
            <w:tcBorders>
              <w:top w:val="single" w:sz="8" w:color="CCFFCC"/>
            </w:tcBorders>
            <w:shd w:val="clear" w:color="auto" w:fill="CCFFCC"/>
          </w:tcPr>
          <w:p>
            <w:pPr>
              <w:spacing w:after="0"/>
              <w:rPr>
                <w:sz w:val="2"/>
                <w:szCs w:val="2"/>
                <w:color w:val="auto"/>
              </w:rPr>
            </w:pPr>
          </w:p>
        </w:tc>
        <w:tc>
          <w:tcPr>
            <w:tcW w:w="1000" w:type="dxa"/>
            <w:vAlign w:val="bottom"/>
            <w:tcBorders>
              <w:top w:val="single" w:sz="8" w:color="CCFFCC"/>
            </w:tcBorders>
            <w:shd w:val="clear" w:color="auto" w:fill="CCFFCC"/>
          </w:tcPr>
          <w:p>
            <w:pPr>
              <w:spacing w:after="0"/>
              <w:rPr>
                <w:sz w:val="2"/>
                <w:szCs w:val="2"/>
                <w:color w:val="auto"/>
              </w:rPr>
            </w:pPr>
          </w:p>
        </w:tc>
        <w:tc>
          <w:tcPr>
            <w:tcW w:w="440" w:type="dxa"/>
            <w:vAlign w:val="bottom"/>
            <w:tcBorders>
              <w:top w:val="single" w:sz="8" w:color="CCFFCC"/>
            </w:tcBorders>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96,920</w:t>
            </w: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93,826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86,741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88,374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92,867(7)</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Long-Term Obligations and Deferred Items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11,233</w:t>
            </w:r>
          </w:p>
        </w:tc>
        <w:tc>
          <w:tcPr>
            <w:tcW w:w="120" w:type="dxa"/>
            <w:vAlign w:val="bottom"/>
            <w:shd w:val="clear" w:color="auto" w:fill="CCFFCC"/>
          </w:tcPr>
          <w:p>
            <w:pPr>
              <w:spacing w:after="0"/>
              <w:rPr>
                <w:sz w:val="21"/>
                <w:szCs w:val="21"/>
                <w:color w:val="auto"/>
              </w:rPr>
            </w:pP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9,311</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9,120</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9,337</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17,609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33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gridSpan w:val="4"/>
          </w:tcPr>
          <w:p>
            <w:pPr>
              <w:spacing w:after="0"/>
              <w:rPr>
                <w:sz w:val="20"/>
                <w:szCs w:val="20"/>
                <w:color w:val="auto"/>
              </w:rPr>
            </w:pPr>
            <w:r>
              <w:rPr>
                <w:rFonts w:ascii="Arial" w:cs="Arial" w:eastAsia="Arial" w:hAnsi="Arial"/>
                <w:sz w:val="18"/>
                <w:szCs w:val="18"/>
                <w:color w:val="auto"/>
              </w:rPr>
              <w:t>Cash dividend declared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Notes to Selected Financial Data</w:t>
      </w:r>
    </w:p>
    <w:p>
      <w:pPr>
        <w:spacing w:after="0" w:line="279" w:lineRule="exact"/>
        <w:rPr>
          <w:sz w:val="20"/>
          <w:szCs w:val="20"/>
          <w:color w:val="auto"/>
        </w:rPr>
      </w:pPr>
    </w:p>
    <w:p>
      <w:pPr>
        <w:ind w:left="820" w:hanging="326"/>
        <w:spacing w:after="0" w:line="25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intercompany sales to FEI-NY segment of $0.2 million, $0.5 million, $0.9 million, $2.4 million and $3.5 million in fiscal years 2008, 2007, 2006, 2005 and 2004, respectively, for development of US5G product.</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$3.0 million from gain on the sale of 28.6% interest in Morion Inc.</w:t>
      </w:r>
    </w:p>
    <w:p>
      <w:pPr>
        <w:spacing w:after="0" w:line="48" w:lineRule="exact"/>
        <w:rPr>
          <w:rFonts w:ascii="Arial" w:cs="Arial" w:eastAsia="Arial" w:hAnsi="Arial"/>
          <w:sz w:val="18"/>
          <w:szCs w:val="18"/>
          <w:color w:val="auto"/>
        </w:rPr>
      </w:pPr>
    </w:p>
    <w:p>
      <w:pPr>
        <w:ind w:left="820" w:hanging="326"/>
        <w:spacing w:after="0" w:line="25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$2.1 million from gain on the sale of REIT common shares and $680,000 from gain on the sale of a European subsidiary’s former manufacturing facility.</w:t>
      </w:r>
    </w:p>
    <w:p>
      <w:pPr>
        <w:spacing w:after="0" w:line="1"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$6.9 million from gain on conversion of REIT units into REIT common shares and subsequent sale of a portion of the REIT common shares.</w:t>
      </w: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$400,000 reversal of tax liabilities established in prior years.</w:t>
      </w:r>
    </w:p>
    <w:p>
      <w:pPr>
        <w:spacing w:after="0" w:line="48" w:lineRule="exact"/>
        <w:rPr>
          <w:rFonts w:ascii="Arial" w:cs="Arial" w:eastAsia="Arial" w:hAnsi="Arial"/>
          <w:sz w:val="18"/>
          <w:szCs w:val="18"/>
          <w:color w:val="auto"/>
        </w:rPr>
      </w:pPr>
    </w:p>
    <w:p>
      <w:pPr>
        <w:ind w:left="820" w:hanging="326"/>
        <w:spacing w:after="0" w:line="25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$158,000 for restatement of equity income from Morion, Inc. in fiscal years 2004 which also increased fiscal year 2004 Earnings per Common Share by $0.02 from the amount reported before restatement.</w:t>
      </w:r>
    </w:p>
    <w:p>
      <w:pPr>
        <w:spacing w:after="0" w:line="1" w:lineRule="exact"/>
        <w:rPr>
          <w:rFonts w:ascii="Arial" w:cs="Arial" w:eastAsia="Arial" w:hAnsi="Arial"/>
          <w:sz w:val="18"/>
          <w:szCs w:val="18"/>
          <w:color w:val="auto"/>
        </w:rPr>
      </w:pPr>
    </w:p>
    <w:p>
      <w:pPr>
        <w:ind w:left="820" w:hanging="326"/>
        <w:spacing w:after="0" w:line="26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assets are restated by $207,000 for fiscal year 2004 from amounts reported in prior fiscal years to reflect the Company’s equity interest in Morion,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8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By making these forward-looking statements, the Company undertakes no obligation to update these statements for revisions or changes after the date of this report.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significant accounting policies are described in Note 1 to the consolidated financial statements. The Company believes its most critical accounting policies to be the recognition of revenue and costs on production contracts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7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complete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 (See Significant Events below)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7" w:name="page18"/>
    <w:bookmarkEnd w:id="17"/>
    <w:p>
      <w:pPr>
        <w:jc w:val="both"/>
        <w:ind w:firstLine="486"/>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customer orders are made in the period in which they become determinable.</w:t>
      </w:r>
    </w:p>
    <w:p>
      <w:pPr>
        <w:spacing w:after="0" w:line="2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other business segments,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8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table below sets forth for the fiscal years ended April 30 the percentage of consolidated net sales represented by certain items in the Company’s consolidated statements of operations:</w:t>
      </w:r>
    </w:p>
    <w:p>
      <w:pPr>
        <w:spacing w:after="0" w:line="27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20"/>
                <w:szCs w:val="20"/>
                <w:color w:val="auto"/>
              </w:rPr>
            </w:pPr>
          </w:p>
        </w:tc>
      </w:tr>
      <w:tr>
        <w:trPr>
          <w:trHeight w:val="237"/>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12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r>
      <w:tr>
        <w:trPr>
          <w:trHeight w:val="243"/>
        </w:trPr>
        <w:tc>
          <w:tcPr>
            <w:tcW w:w="5140" w:type="dxa"/>
            <w:vAlign w:val="bottom"/>
          </w:tcPr>
          <w:p>
            <w:pPr>
              <w:ind w:left="320"/>
              <w:spacing w:after="0"/>
              <w:rPr>
                <w:sz w:val="20"/>
                <w:szCs w:val="20"/>
                <w:color w:val="auto"/>
              </w:rPr>
            </w:pPr>
            <w:r>
              <w:rPr>
                <w:rFonts w:ascii="Arial" w:cs="Arial" w:eastAsia="Arial" w:hAnsi="Arial"/>
                <w:sz w:val="18"/>
                <w:szCs w:val="18"/>
                <w:color w:val="auto"/>
              </w:rPr>
              <w:t>FEI-NY</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71.8%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r>
      <w:tr>
        <w:trPr>
          <w:trHeight w:val="243"/>
        </w:trPr>
        <w:tc>
          <w:tcPr>
            <w:tcW w:w="5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Gillam-FEI</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17.8</w:t>
            </w:r>
          </w:p>
        </w:tc>
        <w:tc>
          <w:tcPr>
            <w:tcW w:w="15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20.3</w:t>
            </w:r>
          </w:p>
        </w:tc>
      </w:tr>
      <w:tr>
        <w:trPr>
          <w:trHeight w:val="243"/>
        </w:trPr>
        <w:tc>
          <w:tcPr>
            <w:tcW w:w="5140" w:type="dxa"/>
            <w:vAlign w:val="bottom"/>
          </w:tcPr>
          <w:p>
            <w:pPr>
              <w:ind w:left="320"/>
              <w:spacing w:after="0"/>
              <w:rPr>
                <w:sz w:val="20"/>
                <w:szCs w:val="20"/>
                <w:color w:val="auto"/>
              </w:rPr>
            </w:pPr>
            <w:r>
              <w:rPr>
                <w:rFonts w:ascii="Arial" w:cs="Arial" w:eastAsia="Arial" w:hAnsi="Arial"/>
                <w:sz w:val="18"/>
                <w:szCs w:val="18"/>
                <w:color w:val="auto"/>
              </w:rPr>
              <w:t>FEI-Zyfer</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r>
      <w:tr>
        <w:trPr>
          <w:trHeight w:val="243"/>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Less intersegment sales</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w:t>
            </w: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(5.2)</w:t>
            </w:r>
          </w:p>
        </w:tc>
      </w:tr>
      <w:tr>
        <w:trPr>
          <w:trHeight w:val="20"/>
        </w:trPr>
        <w:tc>
          <w:tcPr>
            <w:tcW w:w="514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237"/>
        </w:trPr>
        <w:tc>
          <w:tcPr>
            <w:tcW w:w="51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r>
      <w:tr>
        <w:trPr>
          <w:trHeight w:val="243"/>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Cost of Sales</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72.6</w:t>
            </w:r>
          </w:p>
        </w:tc>
        <w:tc>
          <w:tcPr>
            <w:tcW w:w="15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69.6</w:t>
            </w:r>
          </w:p>
        </w:tc>
      </w:tr>
      <w:tr>
        <w:trPr>
          <w:trHeight w:val="20"/>
        </w:trPr>
        <w:tc>
          <w:tcPr>
            <w:tcW w:w="514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237"/>
        </w:trPr>
        <w:tc>
          <w:tcPr>
            <w:tcW w:w="5140" w:type="dxa"/>
            <w:vAlign w:val="bottom"/>
          </w:tcPr>
          <w:p>
            <w:pPr>
              <w:jc w:val="right"/>
              <w:ind w:right="1410"/>
              <w:spacing w:after="0"/>
              <w:rPr>
                <w:sz w:val="20"/>
                <w:szCs w:val="20"/>
                <w:color w:val="auto"/>
              </w:rPr>
            </w:pPr>
            <w:r>
              <w:rPr>
                <w:rFonts w:ascii="Arial" w:cs="Arial" w:eastAsia="Arial" w:hAnsi="Arial"/>
                <w:sz w:val="18"/>
                <w:szCs w:val="18"/>
                <w:color w:val="auto"/>
              </w:rPr>
              <w:t>Gross Margin</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30.4</w:t>
            </w:r>
          </w:p>
        </w:tc>
      </w:tr>
      <w:tr>
        <w:trPr>
          <w:trHeight w:val="243"/>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20.4</w:t>
            </w:r>
          </w:p>
        </w:tc>
        <w:tc>
          <w:tcPr>
            <w:tcW w:w="15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20.2</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r>
      <w:tr>
        <w:trPr>
          <w:trHeight w:val="20"/>
        </w:trPr>
        <w:tc>
          <w:tcPr>
            <w:tcW w:w="51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5140" w:type="dxa"/>
            <w:vAlign w:val="bottom"/>
            <w:shd w:val="clear" w:color="auto" w:fill="CCFFCC"/>
          </w:tcPr>
          <w:p>
            <w:pPr>
              <w:jc w:val="right"/>
              <w:ind w:right="1410"/>
              <w:spacing w:after="0"/>
              <w:rPr>
                <w:sz w:val="20"/>
                <w:szCs w:val="20"/>
                <w:color w:val="auto"/>
              </w:rPr>
            </w:pPr>
            <w:r>
              <w:rPr>
                <w:rFonts w:ascii="Arial" w:cs="Arial" w:eastAsia="Arial" w:hAnsi="Arial"/>
                <w:sz w:val="18"/>
                <w:szCs w:val="18"/>
                <w:color w:val="auto"/>
              </w:rPr>
              <w:t>Operating Loss</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w:t>
            </w: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(6.6)</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Other Income, net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r>
      <w:tr>
        <w:trPr>
          <w:trHeight w:val="243"/>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Provision (Benefit) for Income Taxes</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0.9</w:t>
            </w: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w:t>
            </w:r>
          </w:p>
        </w:tc>
      </w:tr>
      <w:tr>
        <w:trPr>
          <w:trHeight w:val="20"/>
        </w:trPr>
        <w:tc>
          <w:tcPr>
            <w:tcW w:w="514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237"/>
        </w:trPr>
        <w:tc>
          <w:tcPr>
            <w:tcW w:w="5140" w:type="dxa"/>
            <w:vAlign w:val="bottom"/>
          </w:tcPr>
          <w:p>
            <w:pPr>
              <w:ind w:left="2240"/>
              <w:spacing w:after="0"/>
              <w:rPr>
                <w:sz w:val="20"/>
                <w:szCs w:val="20"/>
                <w:color w:val="auto"/>
              </w:rPr>
            </w:pPr>
            <w:r>
              <w:rPr>
                <w:rFonts w:ascii="Arial" w:cs="Arial" w:eastAsia="Arial" w:hAnsi="Arial"/>
                <w:sz w:val="18"/>
                <w:szCs w:val="18"/>
                <w:color w:val="auto"/>
              </w:rPr>
              <w:t>Net Income (Loss)</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0"/>
        </w:trPr>
        <w:tc>
          <w:tcPr>
            <w:tcW w:w="5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Significant Events</w:t>
      </w:r>
    </w:p>
    <w:p>
      <w:pPr>
        <w:spacing w:after="0" w:line="28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Operating results for fiscal year 2008 were impacted by activities on several major satellite payload programs. Revenues from space-related programs increased by over 40% from fiscal year 2007 but higher than anticipated engineering and manufacturing costs as a result of testing failures encountered in the fourth quarter resulted in lower gross margin on certain contracts. As a resresult, during the course of the Company’s year end closing process, management determined that the original estimate of expected costs to complete certain contracts as of April 30, 2008 were inadequate and had to be increased. Such estimate revisions resulted in a reduction of revenues reported in the statement of operations for the year ended April 30, 2008 and the recording of additional losses on certain contracts in the fourth quarter. As a result, the Company recorded an operating loss and negative operating cash flow for the year ended April 30, 2008.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jc w:val="both"/>
        <w:ind w:firstLine="486"/>
        <w:spacing w:after="0" w:line="308" w:lineRule="auto"/>
        <w:rPr>
          <w:sz w:val="20"/>
          <w:szCs w:val="20"/>
          <w:color w:val="auto"/>
        </w:rPr>
      </w:pPr>
      <w:r>
        <w:rPr>
          <w:rFonts w:ascii="Arial" w:cs="Arial" w:eastAsia="Arial" w:hAnsi="Arial"/>
          <w:sz w:val="17"/>
          <w:szCs w:val="17"/>
          <w:color w:val="auto"/>
        </w:rPr>
        <w:t>The Company’s management constantly monitors its estimates and intends to continually enhance its estimation process to enable the Company to react more quickly to changing estimates and to reflect such changes in the applicable contracts and in the Company's financial statements.</w:t>
      </w:r>
    </w:p>
    <w:p>
      <w:pPr>
        <w:spacing w:after="0" w:line="20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first quarter of fiscal year 2008, the Company completed the sale of 28.6% of the outstanding shares of Morion, reducing its investment in Morion from 36.6% to 8% of Morion’s outstanding shares. The Company received approximately $5.6 million from the sale and recognized a pre-tax gain of approximately $3.0 million.</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Net Sales</w:t>
      </w:r>
    </w:p>
    <w:p>
      <w:pPr>
        <w:spacing w:after="0" w:line="28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right"/>
              <w:ind w:right="30"/>
              <w:spacing w:after="0"/>
              <w:rPr>
                <w:sz w:val="20"/>
                <w:szCs w:val="20"/>
                <w:color w:val="auto"/>
              </w:rPr>
            </w:pPr>
            <w:r>
              <w:rPr>
                <w:rFonts w:ascii="Arial" w:cs="Arial" w:eastAsia="Arial" w:hAnsi="Arial"/>
                <w:sz w:val="18"/>
                <w:szCs w:val="18"/>
                <w:color w:val="auto"/>
              </w:rPr>
              <w:t>Years ended April 30,</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3"/>
          </w:tcPr>
          <w:p>
            <w:pPr>
              <w:jc w:val="right"/>
              <w:ind w:right="370"/>
              <w:spacing w:after="0"/>
              <w:rPr>
                <w:sz w:val="20"/>
                <w:szCs w:val="20"/>
                <w:color w:val="auto"/>
              </w:rPr>
            </w:pPr>
            <w:r>
              <w:rPr>
                <w:rFonts w:ascii="Arial" w:cs="Arial" w:eastAsia="Arial" w:hAnsi="Arial"/>
                <w:sz w:val="18"/>
                <w:szCs w:val="18"/>
                <w:color w:val="auto"/>
              </w:rPr>
              <w:t>(in millions)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0"/>
        </w:trPr>
        <w:tc>
          <w:tcPr>
            <w:tcW w:w="2560" w:type="dxa"/>
            <w:vAlign w:val="bottom"/>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3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Change</w:t>
            </w:r>
          </w:p>
        </w:tc>
        <w:tc>
          <w:tcPr>
            <w:tcW w:w="58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r>
      <w:tr>
        <w:trPr>
          <w:trHeight w:val="237"/>
        </w:trPr>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FEI-NY</w:t>
            </w:r>
          </w:p>
        </w:tc>
        <w:tc>
          <w:tcPr>
            <w:tcW w:w="80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1"/>
              </w:rPr>
              <w:t>46.3</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40.2</w:t>
            </w:r>
          </w:p>
        </w:tc>
        <w:tc>
          <w:tcPr>
            <w:tcW w:w="80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760"/>
              <w:spacing w:after="0"/>
              <w:rPr>
                <w:sz w:val="20"/>
                <w:szCs w:val="20"/>
                <w:color w:val="auto"/>
              </w:rPr>
            </w:pPr>
            <w:r>
              <w:rPr>
                <w:rFonts w:ascii="Arial" w:cs="Arial" w:eastAsia="Arial" w:hAnsi="Arial"/>
                <w:sz w:val="18"/>
                <w:szCs w:val="18"/>
                <w:color w:val="auto"/>
              </w:rPr>
              <w:t>6.1</w:t>
            </w: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w:t>
            </w: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Gillam-FEI</w:t>
            </w:r>
          </w:p>
        </w:tc>
        <w:tc>
          <w:tcPr>
            <w:tcW w:w="8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11.4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gridSpan w:val="2"/>
          </w:tcPr>
          <w:p>
            <w:pPr>
              <w:jc w:val="right"/>
              <w:ind w:right="760"/>
              <w:spacing w:after="0"/>
              <w:rPr>
                <w:sz w:val="20"/>
                <w:szCs w:val="20"/>
                <w:color w:val="auto"/>
              </w:rPr>
            </w:pPr>
            <w:r>
              <w:rPr>
                <w:rFonts w:ascii="Arial" w:cs="Arial" w:eastAsia="Arial" w:hAnsi="Arial"/>
                <w:sz w:val="18"/>
                <w:szCs w:val="18"/>
                <w:color w:val="auto"/>
              </w:rPr>
              <w:t>0.0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43"/>
        </w:trPr>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FEI-Zyfer</w:t>
            </w:r>
          </w:p>
        </w:tc>
        <w:tc>
          <w:tcPr>
            <w:tcW w:w="800" w:type="dxa"/>
            <w:vAlign w:val="bottom"/>
            <w:shd w:val="clear" w:color="auto" w:fill="CCFFCC"/>
          </w:tcPr>
          <w:p>
            <w:pPr>
              <w:spacing w:after="0"/>
              <w:rPr>
                <w:sz w:val="21"/>
                <w:szCs w:val="21"/>
                <w:color w:val="auto"/>
              </w:rPr>
            </w:pPr>
          </w:p>
        </w:tc>
        <w:tc>
          <w:tcPr>
            <w:tcW w:w="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w:t>
            </w:r>
          </w:p>
        </w:tc>
        <w:tc>
          <w:tcPr>
            <w:tcW w:w="80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760"/>
              <w:spacing w:after="0"/>
              <w:rPr>
                <w:sz w:val="20"/>
                <w:szCs w:val="20"/>
                <w:color w:val="auto"/>
              </w:rPr>
            </w:pPr>
            <w:r>
              <w:rPr>
                <w:rFonts w:ascii="Arial" w:cs="Arial" w:eastAsia="Arial" w:hAnsi="Arial"/>
                <w:sz w:val="18"/>
                <w:szCs w:val="18"/>
                <w:color w:val="auto"/>
              </w:rPr>
              <w:t>1.6</w:t>
            </w: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r>
      <w:tr>
        <w:trPr>
          <w:trHeight w:val="297"/>
        </w:trPr>
        <w:tc>
          <w:tcPr>
            <w:tcW w:w="2560" w:type="dxa"/>
            <w:vAlign w:val="bottom"/>
          </w:tcPr>
          <w:p>
            <w:pPr>
              <w:spacing w:after="0"/>
              <w:rPr>
                <w:sz w:val="20"/>
                <w:szCs w:val="20"/>
                <w:color w:val="auto"/>
              </w:rPr>
            </w:pPr>
            <w:r>
              <w:rPr>
                <w:rFonts w:ascii="Arial" w:cs="Arial" w:eastAsia="Arial" w:hAnsi="Arial"/>
                <w:sz w:val="18"/>
                <w:szCs w:val="18"/>
                <w:color w:val="auto"/>
              </w:rPr>
              <w:t>Intersegment sales</w:t>
            </w:r>
          </w:p>
        </w:tc>
        <w:tc>
          <w:tcPr>
            <w:tcW w:w="80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800" w:type="dxa"/>
            <w:vAlign w:val="bottom"/>
          </w:tcPr>
          <w:p>
            <w:pPr>
              <w:spacing w:after="0"/>
              <w:rPr>
                <w:sz w:val="24"/>
                <w:szCs w:val="24"/>
                <w:color w:val="auto"/>
              </w:rPr>
            </w:pPr>
          </w:p>
        </w:tc>
        <w:tc>
          <w:tcPr>
            <w:tcW w:w="1120" w:type="dxa"/>
            <w:vAlign w:val="bottom"/>
            <w:gridSpan w:val="2"/>
          </w:tcPr>
          <w:p>
            <w:pPr>
              <w:jc w:val="right"/>
              <w:ind w:right="760"/>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2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560" w:type="dxa"/>
            <w:vAlign w:val="bottom"/>
            <w:shd w:val="clear" w:color="auto" w:fill="CCFFCC"/>
          </w:tcPr>
          <w:p>
            <w:pPr>
              <w:spacing w:after="0"/>
              <w:rPr>
                <w:sz w:val="20"/>
                <w:szCs w:val="20"/>
                <w:color w:val="auto"/>
              </w:rPr>
            </w:pPr>
          </w:p>
        </w:tc>
        <w:tc>
          <w:tcPr>
            <w:tcW w:w="80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1"/>
              </w:rPr>
              <w:t>64.4</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56.2</w:t>
            </w:r>
          </w:p>
        </w:tc>
        <w:tc>
          <w:tcPr>
            <w:tcW w:w="80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760"/>
              <w:spacing w:after="0"/>
              <w:rPr>
                <w:sz w:val="20"/>
                <w:szCs w:val="20"/>
                <w:color w:val="auto"/>
              </w:rPr>
            </w:pPr>
            <w:r>
              <w:rPr>
                <w:rFonts w:ascii="Arial" w:cs="Arial" w:eastAsia="Arial" w:hAnsi="Arial"/>
                <w:sz w:val="18"/>
                <w:szCs w:val="18"/>
                <w:color w:val="auto"/>
              </w:rPr>
              <w:t>8.2</w:t>
            </w: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w:t>
            </w:r>
          </w:p>
        </w:tc>
      </w:tr>
    </w:tbl>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year ended April 30, 2008, the 15% revenue increase in the FEI-NY segment and the 21% increase in the FEI-Zyfer segment were derived from two primary market areas: satellite payloads (both commercial and U.S. Government programs) and other U.S. Government, non-space programs. Revenues from these sources each increased by over 40% from year ago levels. Satellite payload programs are managed by the FEI-NY segment and both FEI-NY and FEI-Zyfer provide products to non-space U.S. Government programs. Telecommunication network revenues, generated by all three segments, was lower by less than 10% from the fiscal year 2007 levels as customer demand softened. Gillam-FEI revenues also benefited from the increased value of the Euro compared to the U.S. dollar. In Euro-denominated terms and excluding intersegment sales, Gillam-FEI fiscal year 2008 revenues declined by 4% from the prior year.</w:t>
      </w:r>
    </w:p>
    <w:p>
      <w:pPr>
        <w:spacing w:after="0" w:line="24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For the year ended April 30, 2007, revenue in the FEI-NY segment increased by 12% over the prior year. Wireless telecommunications-related revenues, revenues from satellite payloads for commercial and U.S. Government programs, other U.S. Government, non-space programs and other commercial revenues all increased as compared to the prior fiscal year. Gillam-FEI revenues in fiscal 2007 (exclusive of intercompany sales of $1.8 million related to increased inventory for and development efforts expended on the new wireline synchronization product line) increased by 17%. Approximately one-fourth of the sales increase is attributable to the increased value of the Euro compared to the U.S. dollar. Revenues for the FEI-Zyfer segment during fiscal year 2007 declined by $2.5 million as many orders were delayed compared to expectations.</w:t>
      </w:r>
    </w:p>
    <w:p>
      <w:pPr>
        <w:spacing w:after="0" w:line="23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During fiscal year 2009, based on current backlog and significant bookings subsequent to the end of fiscal year 2008, the Company expects to realize significant revenues from commercial and U.S. Government satellite programs. In addition, the Company’s recent work on U.S. Government-sponsored development contracts and current proposal activity should generate increased revenues from U.S. Government programs such as secure radios, unmanned aerial vehicles, weapons guidance systems and secure communications. The timing and magnitude of revenues from these sources is dependent on the U.S. Government’s procurement and budgeting process. Increased U.S. Government spending during fiscal year 2009 is expected to benefit the Company’s FEI-NY and FEI-Zyfer segment. In addition, in late fiscal year 2008, the Company began booking orders for its new, state-of-the-art wireline synchronization systems. The Company expects to see increased bookings and revenues in fiscal year 2009 which would benefit both the FEI-NY and Gillam-FEI segments.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tbl>
      <w:tblPr>
        <w:tblLayout w:type="fixed"/>
        <w:tblInd w:w="500" w:type="dxa"/>
        <w:tblCellMar>
          <w:top w:w="0" w:type="dxa"/>
          <w:left w:w="0" w:type="dxa"/>
          <w:bottom w:w="0" w:type="dxa"/>
          <w:right w:w="0" w:type="dxa"/>
        </w:tblCellMar>
      </w:tblPr>
      <w:tr>
        <w:trPr>
          <w:trHeight w:val="207"/>
        </w:trPr>
        <w:tc>
          <w:tcPr>
            <w:tcW w:w="4020" w:type="dxa"/>
            <w:vAlign w:val="bottom"/>
            <w:gridSpan w:val="4"/>
          </w:tcPr>
          <w:p>
            <w:pPr>
              <w:jc w:val="right"/>
              <w:ind w:right="2480"/>
              <w:spacing w:after="0"/>
              <w:rPr>
                <w:sz w:val="20"/>
                <w:szCs w:val="20"/>
                <w:color w:val="auto"/>
              </w:rPr>
            </w:pPr>
            <w:r>
              <w:rPr>
                <w:rFonts w:ascii="Arial" w:cs="Arial" w:eastAsia="Arial" w:hAnsi="Arial"/>
                <w:sz w:val="18"/>
                <w:szCs w:val="18"/>
                <w:b w:val="1"/>
                <w:bCs w:val="1"/>
                <w:color w:val="auto"/>
                <w:w w:val="89"/>
              </w:rPr>
              <w:t>Gross Margin Rates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534"/>
        </w:trPr>
        <w:tc>
          <w:tcPr>
            <w:tcW w:w="1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Years ended April 30,</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(in thousands)</w:t>
            </w: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0"/>
        </w:trPr>
        <w:tc>
          <w:tcPr>
            <w:tcW w:w="1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r>
      <w:tr>
        <w:trPr>
          <w:trHeight w:val="237"/>
        </w:trPr>
        <w:tc>
          <w:tcPr>
            <w:tcW w:w="1220" w:type="dxa"/>
            <w:vAlign w:val="bottom"/>
          </w:tcPr>
          <w:p>
            <w:pPr>
              <w:spacing w:after="0"/>
              <w:rPr>
                <w:sz w:val="20"/>
                <w:szCs w:val="20"/>
                <w:color w:val="auto"/>
              </w:rPr>
            </w:pPr>
          </w:p>
        </w:tc>
        <w:tc>
          <w:tcPr>
            <w:tcW w:w="28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17,662</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17,076</w:t>
            </w:r>
          </w:p>
        </w:tc>
        <w:tc>
          <w:tcPr>
            <w:tcW w:w="780" w:type="dxa"/>
            <w:vAlign w:val="bottom"/>
            <w:shd w:val="clear" w:color="auto" w:fill="CCFFCC"/>
          </w:tcPr>
          <w:p>
            <w:pPr>
              <w:jc w:val="right"/>
              <w:ind w:right="5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rPr>
              <w:t>586</w:t>
            </w: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w:t>
            </w:r>
          </w:p>
        </w:tc>
      </w:tr>
      <w:tr>
        <w:trPr>
          <w:trHeight w:val="243"/>
        </w:trPr>
        <w:tc>
          <w:tcPr>
            <w:tcW w:w="4020" w:type="dxa"/>
            <w:vAlign w:val="bottom"/>
            <w:gridSpan w:val="4"/>
          </w:tcPr>
          <w:p>
            <w:pPr>
              <w:jc w:val="right"/>
              <w:ind w:right="2140"/>
              <w:spacing w:after="0"/>
              <w:rPr>
                <w:sz w:val="20"/>
                <w:szCs w:val="20"/>
                <w:color w:val="auto"/>
              </w:rPr>
            </w:pPr>
            <w:r>
              <w:rPr>
                <w:rFonts w:ascii="Arial" w:cs="Arial" w:eastAsia="Arial" w:hAnsi="Arial"/>
                <w:sz w:val="18"/>
                <w:szCs w:val="18"/>
                <w:color w:val="auto"/>
              </w:rPr>
              <w:t>GM Rate</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30.4%</w:t>
            </w:r>
          </w:p>
        </w:tc>
        <w:tc>
          <w:tcPr>
            <w:tcW w:w="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5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For the year ended April 30, 2008, total gross margin increased as a result of the 15% increase in revenues but declined as a percentage of revenues. The rate decrease is primarily the result of higher than anticipated engineering and manufacturing costs on certain satellite payload programs. Throughout fiscal year 2008, the Company’s satellite-payload business continued to reconfigure its manufacturing processes to provide increased production capacity for the higher demand for space-related assemblies. Late in the year, the Company also experienced higher than expected costs on two late-stage programs in final assembly and test of flight hardware. These expenses not only increased cost of sales but also delayed the recognition of revenue on the contracts, which are accounted for on the percentage of completion method, further reducing gross margins. The two late-stage programs are expected to be completed in the first few months of fiscal 2009. The gross margin rates in the telecommunications and non-space U.S. Government business areas met the Company’s targets for these areas which range from 35% to 45%.</w:t>
      </w:r>
    </w:p>
    <w:p>
      <w:pPr>
        <w:spacing w:after="0" w:line="2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year ended April 30, 2007, gross margin declined both in total and as a percentage of revenues as compared to the prior year. This is primarily the result of higher than anticipated engineering costs on certain satellite payload programs. The Company encountered a significant learning curve in its efforts to increase its production capacity of certain space-related assemblies by a factor of 10. During fiscal year 2007, substantial resources were expended in late-stage assembly and testing of the Company’s products to meet the specific requirements of two long-term contracts. This process also delayed the completion of these contracts which occurred in early fiscal year 2008.</w:t>
      </w:r>
    </w:p>
    <w:p>
      <w:pPr>
        <w:spacing w:after="0" w:line="242"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Company’s target is to achieve an overall gross margin rate of 40% or better through greater sales volume, continued process improvements, better performance on long-term contracts and utilization of lower cost manufacturing in China. During fiscal year 2009, as the more challenging satellite programs are completed and are replaced by substantial cost-plus programs, the Company expects to realize increasing gross margin rates approaching its targeted rate.</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8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Years ended April 30,</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tbl>
      <w:tblPr>
        <w:tblLayout w:type="fixed"/>
        <w:tblInd w:w="2300" w:type="dxa"/>
        <w:tblCellMar>
          <w:top w:w="0" w:type="dxa"/>
          <w:left w:w="0" w:type="dxa"/>
          <w:bottom w:w="0" w:type="dxa"/>
          <w:right w:w="0" w:type="dxa"/>
        </w:tblCellMar>
      </w:tblPr>
      <w:tr>
        <w:trPr>
          <w:trHeight w:val="243"/>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Change</w:t>
            </w:r>
          </w:p>
        </w:tc>
        <w:tc>
          <w:tcPr>
            <w:tcW w:w="7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1000" w:type="dxa"/>
            <w:vAlign w:val="bottom"/>
            <w:shd w:val="clear" w:color="auto" w:fill="CCFFCC"/>
          </w:tcPr>
          <w:p>
            <w:pPr>
              <w:jc w:val="right"/>
              <w:ind w:right="83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4"/>
              </w:rPr>
              <w:t>13,139</w:t>
            </w:r>
          </w:p>
        </w:tc>
        <w:tc>
          <w:tcPr>
            <w:tcW w:w="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11,359</w:t>
            </w:r>
          </w:p>
        </w:tc>
        <w:tc>
          <w:tcPr>
            <w:tcW w:w="60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rPr>
              <w:t>1,780</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w:t>
            </w:r>
          </w:p>
        </w:tc>
      </w:tr>
    </w:tbl>
    <w:p>
      <w:pPr>
        <w:spacing w:after="0" w:line="25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Fiscal year 2008 selling and administrative costs increased over fiscal year 2007 principally from higher medical expenses, normal salary increases, higher deferred compensation expense, increased marketing expenses for new products and the cost of moving the Company’s California facility to larger leased space and the related increased rent expense. Also, in euro-denominated terms, selling and administrative expenses at Gillam-FEI were comparable to the prior year but when denominated in U.S. dollars, increased by 10% in fiscal year 2008 due to the declining value of the dollar. For the years ended April 30, 2008 and 2007, selling and administrative expenses include stock compensation expense of $236,400 and $274,000, respectively.</w:t>
      </w:r>
    </w:p>
    <w:p>
      <w:pPr>
        <w:spacing w:after="0" w:line="21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Fiscal year 2007 selling and administrative costs increased over fiscal year 2006 principally from higher compensation expense related to an increase in personnel, normal salary increases, higher deferred compensation expense and partially offset by lower incentive compensation charges due to operating losses recorded during the year.</w:t>
      </w:r>
    </w:p>
    <w:p>
      <w:pPr>
        <w:spacing w:after="0" w:line="2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a percentage of sales, selling and administrative expenses were 20.4% and 20.2% in fiscal years 2008 and 2007, respectively. The Company targets selling and administrative expenses not to exceed 20% of consolidated sales. For fiscal year 2009, the Company expects to achieve its targeted level of selling and administrative expenses.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0" w:name="page21"/>
    <w:bookmarkEnd w:id="20"/>
    <w:p>
      <w:pPr>
        <w:ind w:left="500"/>
        <w:spacing w:after="0"/>
        <w:rPr>
          <w:sz w:val="20"/>
          <w:szCs w:val="20"/>
          <w:color w:val="auto"/>
        </w:rPr>
      </w:pPr>
      <w:r>
        <w:rPr>
          <w:rFonts w:ascii="Arial" w:cs="Arial" w:eastAsia="Arial" w:hAnsi="Arial"/>
          <w:sz w:val="18"/>
          <w:szCs w:val="18"/>
          <w:b w:val="1"/>
          <w:bCs w:val="1"/>
          <w:color w:val="auto"/>
        </w:rPr>
        <w:t>Research and Development expenses</w:t>
      </w:r>
    </w:p>
    <w:p>
      <w:pPr>
        <w:spacing w:after="0" w:line="28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Years ended April 30,</w:t>
      </w:r>
    </w:p>
    <w:p>
      <w:pPr>
        <w:spacing w:after="0" w:line="2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tbl>
      <w:tblPr>
        <w:tblLayout w:type="fixed"/>
        <w:tblInd w:w="23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2008</w:t>
            </w:r>
          </w:p>
        </w:tc>
        <w:tc>
          <w:tcPr>
            <w:tcW w:w="5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4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Change</w:t>
            </w:r>
          </w:p>
        </w:tc>
        <w:tc>
          <w:tcPr>
            <w:tcW w:w="7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1020" w:type="dxa"/>
            <w:vAlign w:val="bottom"/>
            <w:shd w:val="clear" w:color="auto" w:fill="CCFFCC"/>
          </w:tcPr>
          <w:p>
            <w:pPr>
              <w:jc w:val="right"/>
              <w:ind w:right="8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7,101</w:t>
            </w:r>
          </w:p>
        </w:tc>
        <w:tc>
          <w:tcPr>
            <w:tcW w:w="1180" w:type="dxa"/>
            <w:vAlign w:val="bottom"/>
            <w:gridSpan w:val="2"/>
            <w:shd w:val="clear" w:color="auto" w:fill="CCFFCC"/>
          </w:tcPr>
          <w:p>
            <w:pPr>
              <w:jc w:val="right"/>
              <w:ind w:right="7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9,438</w:t>
            </w:r>
          </w:p>
        </w:tc>
        <w:tc>
          <w:tcPr>
            <w:tcW w:w="54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(2,337)</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w:t>
            </w:r>
          </w:p>
        </w:tc>
      </w:tr>
    </w:tbl>
    <w:p>
      <w:pPr>
        <w:spacing w:after="0" w:line="25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Research and development expenditures represent investments intended to keep the Company’s products at the leading edge of time and frequency technology and enhance competitiveness for future sales. For the prior fiscal year ended April 30, 2007, R&amp;D spending was at a greater than normal level as a direct result of internally-funded projects to enhance the Company’s product offerings for satellite payloads and to design such products for more efficient production. Some of that effort continued into fiscal year 2008 but at a lower rate. In addition, during early fiscal year 2008, the Company completed development of its new US5G wireline synchronization product and the upgrade of its GPS-based synchronization product line. R&amp;D spending was 11% and 16.8% of consolidated revenues in fiscal years 2008 and 2007, respectively, exceeding the Company’s target of 10% of revenues for such efforts.</w:t>
      </w:r>
    </w:p>
    <w:p>
      <w:pPr>
        <w:spacing w:after="0" w:line="21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will continue to focus its research and development activities on those products which it expects will provide the best return on investment and greatest prospects for the future growth of the Company. For fiscal year 2009, the Company will continue to make investments in improved satellite payload products, develop and improve miniaturized rubidium atomic clocks, develop new GPS-based synchronization products and further enhance the capabilities of its line of “low-g” oscillators. The Company will also be engaged in development efforts that are funded by its customers, the results of which will enhance its own product offerings. Thus, the Company’s target for fiscal year 2009 is to spend less than 10% of revenues on research and development activities, although the actual level of spending is dependent on new opportunites and the rate at which it succeeds in bringing new products to market. Internally generated cash and cash reserves will be adequate to fund these development efforts.</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Operating Loss</w:t>
      </w:r>
    </w:p>
    <w:p>
      <w:pPr>
        <w:spacing w:after="0" w:line="28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Years ended April 30,</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(in thousands)</w:t>
      </w:r>
    </w:p>
    <w:p>
      <w:pPr>
        <w:spacing w:after="0" w:line="22" w:lineRule="exact"/>
        <w:rPr>
          <w:sz w:val="20"/>
          <w:szCs w:val="20"/>
          <w:color w:val="auto"/>
        </w:rPr>
      </w:pPr>
    </w:p>
    <w:tbl>
      <w:tblPr>
        <w:tblLayout w:type="fixed"/>
        <w:tblInd w:w="2300" w:type="dxa"/>
        <w:tblCellMar>
          <w:top w:w="0" w:type="dxa"/>
          <w:left w:w="0" w:type="dxa"/>
          <w:bottom w:w="0" w:type="dxa"/>
          <w:right w:w="0" w:type="dxa"/>
        </w:tblCellMar>
      </w:tblPr>
      <w:tr>
        <w:trPr>
          <w:trHeight w:val="257"/>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5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Change</w:t>
            </w:r>
          </w:p>
        </w:tc>
        <w:tc>
          <w:tcPr>
            <w:tcW w:w="7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7"/>
        </w:trPr>
        <w:tc>
          <w:tcPr>
            <w:tcW w:w="1020" w:type="dxa"/>
            <w:vAlign w:val="bottom"/>
            <w:shd w:val="clear" w:color="auto" w:fill="CCFFCC"/>
          </w:tcPr>
          <w:p>
            <w:pPr>
              <w:jc w:val="right"/>
              <w:ind w:right="85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8"/>
              </w:rPr>
              <w:t>(2,578)</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(3,721)</w:t>
            </w:r>
          </w:p>
        </w:tc>
        <w:tc>
          <w:tcPr>
            <w:tcW w:w="60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rPr>
              <w:t>1,143</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w:t>
            </w:r>
          </w:p>
        </w:tc>
      </w:tr>
    </w:tbl>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discussed above, the operating losses incurred in fiscal years 2008 and 2007 are the result of lower gross margin and higher research and development spending, both of which are due to higher than anticipated engineering and manufacturing costs incurred in connection with the Company’s satellite payload products and programs.</w:t>
      </w:r>
    </w:p>
    <w:p>
      <w:pPr>
        <w:spacing w:after="0" w:line="2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expects to realize substantially improved operating profits in fiscal year 2009 as earlier large volume satellite programs are completed and are augmented by new, large cost-plus programs. With recent satellite and wireline telecommunication bookings, the Company expects to report improved gross margins while maintaining other operating expenses within their targeted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gridSpan w:val="3"/>
          </w:tcPr>
          <w:p>
            <w:pPr>
              <w:ind w:left="500"/>
              <w:spacing w:after="0"/>
              <w:rPr>
                <w:sz w:val="20"/>
                <w:szCs w:val="20"/>
                <w:color w:val="auto"/>
              </w:rPr>
            </w:pPr>
            <w:r>
              <w:rPr>
                <w:rFonts w:ascii="Arial" w:cs="Arial" w:eastAsia="Arial" w:hAnsi="Arial"/>
                <w:sz w:val="18"/>
                <w:szCs w:val="18"/>
                <w:b w:val="1"/>
                <w:bCs w:val="1"/>
                <w:color w:val="auto"/>
                <w:w w:val="98"/>
              </w:rPr>
              <w:t>Other Income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92"/>
        </w:trPr>
        <w:tc>
          <w:tcPr>
            <w:tcW w:w="5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Years ended April 30,</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4"/>
          </w:tcPr>
          <w:p>
            <w:pPr>
              <w:jc w:val="right"/>
              <w:ind w:right="210"/>
              <w:spacing w:after="0"/>
              <w:rPr>
                <w:sz w:val="20"/>
                <w:szCs w:val="20"/>
                <w:color w:val="auto"/>
              </w:rPr>
            </w:pPr>
            <w:r>
              <w:rPr>
                <w:rFonts w:ascii="Arial" w:cs="Arial" w:eastAsia="Arial" w:hAnsi="Arial"/>
                <w:sz w:val="18"/>
                <w:szCs w:val="18"/>
                <w:color w:val="auto"/>
              </w:rPr>
              <w:t>(in thousands)</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3"/>
        </w:trPr>
        <w:tc>
          <w:tcPr>
            <w:tcW w:w="5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Change</w:t>
            </w:r>
          </w:p>
        </w:tc>
        <w:tc>
          <w:tcPr>
            <w:tcW w:w="6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r>
      <w:tr>
        <w:trPr>
          <w:trHeight w:val="237"/>
        </w:trPr>
        <w:tc>
          <w:tcPr>
            <w:tcW w:w="25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4,106</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1,024</w:t>
            </w:r>
          </w:p>
        </w:tc>
        <w:tc>
          <w:tcPr>
            <w:tcW w:w="780" w:type="dxa"/>
            <w:vAlign w:val="bottom"/>
            <w:gridSpan w:val="2"/>
            <w:shd w:val="clear" w:color="auto" w:fill="CCFFCC"/>
          </w:tcPr>
          <w:p>
            <w:pPr>
              <w:jc w:val="right"/>
              <w:ind w:right="5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700"/>
              <w:spacing w:after="0"/>
              <w:rPr>
                <w:sz w:val="20"/>
                <w:szCs w:val="20"/>
                <w:color w:val="auto"/>
              </w:rPr>
            </w:pPr>
            <w:r>
              <w:rPr>
                <w:rFonts w:ascii="Arial" w:cs="Arial" w:eastAsia="Arial" w:hAnsi="Arial"/>
                <w:sz w:val="18"/>
                <w:szCs w:val="18"/>
                <w:color w:val="auto"/>
                <w:w w:val="88"/>
              </w:rPr>
              <w:t>3,082</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301%</w:t>
            </w:r>
          </w:p>
        </w:tc>
      </w:tr>
      <w:tr>
        <w:trPr>
          <w:trHeight w:val="243"/>
        </w:trPr>
        <w:tc>
          <w:tcPr>
            <w:tcW w:w="2560" w:type="dxa"/>
            <w:vAlign w:val="bottom"/>
            <w:gridSpan w:val="3"/>
          </w:tcPr>
          <w:p>
            <w:pPr>
              <w:spacing w:after="0"/>
              <w:rPr>
                <w:sz w:val="20"/>
                <w:szCs w:val="20"/>
                <w:color w:val="auto"/>
              </w:rPr>
            </w:pPr>
            <w:r>
              <w:rPr>
                <w:rFonts w:ascii="Arial" w:cs="Arial" w:eastAsia="Arial" w:hAnsi="Arial"/>
                <w:sz w:val="18"/>
                <w:szCs w:val="18"/>
                <w:color w:val="auto"/>
              </w:rPr>
              <w:t>Equity (loss) income</w:t>
            </w:r>
          </w:p>
        </w:tc>
        <w:tc>
          <w:tcPr>
            <w:tcW w:w="2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708</w:t>
            </w: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(812)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43"/>
        </w:trPr>
        <w:tc>
          <w:tcPr>
            <w:tcW w:w="25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640"/>
              <w:spacing w:after="0"/>
              <w:rPr>
                <w:sz w:val="20"/>
                <w:szCs w:val="20"/>
                <w:color w:val="auto"/>
              </w:rPr>
            </w:pPr>
            <w:r>
              <w:rPr>
                <w:rFonts w:ascii="Arial" w:cs="Arial" w:eastAsia="Arial" w:hAnsi="Arial"/>
                <w:sz w:val="18"/>
                <w:szCs w:val="18"/>
                <w:color w:val="auto"/>
              </w:rPr>
              <w:t>(386)</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(284)%</w:t>
            </w:r>
          </w:p>
        </w:tc>
      </w:tr>
      <w:tr>
        <w:trPr>
          <w:trHeight w:val="270"/>
        </w:trPr>
        <w:tc>
          <w:tcPr>
            <w:tcW w:w="2560" w:type="dxa"/>
            <w:vAlign w:val="bottom"/>
            <w:gridSpan w:val="3"/>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232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0"/>
        </w:trPr>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500" w:type="dxa"/>
            <w:vAlign w:val="bottom"/>
            <w:shd w:val="clear" w:color="auto" w:fill="CCFFCC"/>
          </w:tcPr>
          <w:p>
            <w:pPr>
              <w:spacing w:after="0"/>
              <w:rPr>
                <w:sz w:val="20"/>
                <w:szCs w:val="20"/>
                <w:color w:val="auto"/>
              </w:rPr>
            </w:pPr>
          </w:p>
        </w:tc>
        <w:tc>
          <w:tcPr>
            <w:tcW w:w="18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4,025</w:t>
            </w:r>
          </w:p>
        </w:tc>
        <w:tc>
          <w:tcPr>
            <w:tcW w:w="200" w:type="dxa"/>
            <w:vAlign w:val="bottom"/>
            <w:shd w:val="clear" w:color="auto" w:fill="CCFFCC"/>
          </w:tcPr>
          <w:p>
            <w:pPr>
              <w:spacing w:after="0"/>
              <w:rPr>
                <w:sz w:val="20"/>
                <w:szCs w:val="20"/>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1,909</w:t>
            </w:r>
          </w:p>
        </w:tc>
        <w:tc>
          <w:tcPr>
            <w:tcW w:w="1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72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700"/>
              <w:spacing w:after="0"/>
              <w:rPr>
                <w:sz w:val="20"/>
                <w:szCs w:val="20"/>
                <w:color w:val="auto"/>
              </w:rPr>
            </w:pPr>
            <w:r>
              <w:rPr>
                <w:rFonts w:ascii="Arial" w:cs="Arial" w:eastAsia="Arial" w:hAnsi="Arial"/>
                <w:sz w:val="18"/>
                <w:szCs w:val="18"/>
                <w:color w:val="auto"/>
                <w:w w:val="88"/>
              </w:rPr>
              <w:t>2,116</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w:t>
            </w:r>
          </w:p>
        </w:tc>
      </w:tr>
    </w:tbl>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Investment income in fiscal year 2008 includes net gains on sales of investments of $3.3 million which includes the $3.0 million gain on the partial sale of the Company’s investment in Morion, as indicated above. By comparison, in fiscal year 2007, the Company recorded net losses on the sale of marketable securities of approximately $44,000. Investment income also includes interest and dividend income on marketable securities. Income from this source was approximately $800,000 in fiscal year 2008 compared to approximately $1.0 million in fiscal year 2007 as a result of lower interest rates after the redemption of certain marketable securities in fiscal year 2008. During fiscal year 2009, the Company will realize investment income primarily from interest on its bond portfolio and anticipates that the amount earned will be approximately the same as that earned in fiscal year 2008.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jc w:val="both"/>
        <w:ind w:firstLine="486"/>
        <w:spacing w:after="0" w:line="259" w:lineRule="auto"/>
        <w:rPr>
          <w:sz w:val="20"/>
          <w:szCs w:val="20"/>
          <w:color w:val="auto"/>
        </w:rPr>
      </w:pPr>
      <w:r>
        <w:rPr>
          <w:rFonts w:ascii="Arial" w:cs="Arial" w:eastAsia="Arial" w:hAnsi="Arial"/>
          <w:sz w:val="18"/>
          <w:szCs w:val="18"/>
          <w:color w:val="auto"/>
        </w:rPr>
        <w:t>In fiscal year 2008, the Company recorded equity loss from its 25% interest in Elcom. In fiscal year 2007, equity income also included the Company’s share of income earned by Morion. Subsequent to the reduction in the Company’s interest in Morion from 36% to 8% in early fiscal year 2008, the Company records its Morion investment on the cost basis and does not include any share of Morion’s earnings in the Company’s financial statements. In fiscal year 2007, the Company’s share of Morion’s earnings exceeded its share of Elcom’s losses.</w:t>
      </w:r>
    </w:p>
    <w:p>
      <w:pPr>
        <w:spacing w:after="0" w:line="24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fiscal years 2008 and 2007, interest expense was incurred on borrowings under short-term credit obligations and on certain deferred compensation obligations. In fiscal year 2008, the Company also entered into a capital lease for equipment. For the year ended April 30, 2008, interest expense increased over the prior year due to greater utilization of its bank line of credit to cover working capital requirements. The Company anticipates that interest expense in fiscal year 2009 will decrease as it repays the bank line of credit through improved cash flow from operating activities.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During both fiscal years 2008 and 2007, the Company recognized $353,000 of income from amortization of the deferred gain from the 1998 sale of its corporate headquarters building in New York, which income is included in the caption “Other income, net.” The deferred gain is being amortized over the remaining life of the original eleven-year lease. Also, in fiscal year 2008, other income included a realized gain of approximately $290,000 from the excess of proceeds over the cash values of life insurance policies on the lives of two former employees. Other income is partially offset by certain nonrecurring expenses. In fiscal year 2009, “Other income, net” will include amortization into income of the final $235,000 of deferred gain on the 1998 sale of its building. The Company anticipates that in future years other items in this category will not be significant to pretax earnings.</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8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is subject to taxation in several countries. The statutory federal rates are 34% in the United States and 33% in Europe. The fiscal year 2008 tax gain on the partial sale of the Morion investment is greater than the gain recorded for financial reporting purposes, resulting in a higher than expected effective tax rate of 39%. In fiscal year 2007, the tax benefit derived from carrying forward that year’s tax loss and unapplied tax credits as well as the reversal of a portion of a reserve on foreign taxes, resulted in effective tax benefit rate greater than 85%. The effective rate is also impacted by the income or loss of certain of the Company’s European and Asian subsidiaries which are currently not taxed. The Company may commence tax payments in China during calendar 2009 based on the operating profits of its subsidiary, FEI-Asia. The Company utilizes the availability of research and development tax credits in the United States to lower its tax rate. (See Note 13 to the Consolidated Financial Statements.)</w:t>
      </w:r>
    </w:p>
    <w:p>
      <w:pPr>
        <w:spacing w:after="0" w:line="232"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The Company’s European subsidiaries have available net operating loss carryforwards of approximately $1.2 million to offset future taxable income. These loss carryforwards have no expiration date. The fiscal year 2007 operating loss carryforwards for the U.S. subsidiaries of the Company will be used to offset taxable income in fiscal year 2008.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highly liquid position with working capital of $58.9 million at April 30, 2008. Included in working capital at April 30, 2008 is $15.4 million consisting of cash, cash equivalents and short-term investments but offset by $4.9 million in borrowings under its bank line of credit. The Company’s current ratio at April 30, 2008 is 5.9 to 1.</w:t>
      </w:r>
    </w:p>
    <w:p>
      <w:pPr>
        <w:spacing w:after="0" w:line="23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used in operating activities for the year ended April 30, 2008, was $1.9 million compared to $6.6 million used in operations in fiscal year 2007. The primary causes for the decrease in cash was the operating loss generated by higher operating expenses and a 27% increase in accounts receivable, including an increase of over $3 million in unbilled receivables. Unbilled receivables arise when the Company recognizes revenues at different intervals than the related milestone billings under long-term contracts, primarily related to satellite payload programs. The timing for such billings is determined by the contract terms which the Company must meet in order to invoice its customers. Under long-term contract accounting the Company recognizes revenues on the percentage of completion basis as measured by the ratio of actual costs to estimated program costs. Such revenue recognition often results in recording receivables for costs and estimated earnings in excess of billings or “unbilled receivables.” (See Note 3 to the accompanying financial statements.) In fiscal year 2009, the Company anticipates that it will generate positive cash flow from operations by realizing operating profits and as certain long-term contracts are completed and are replaced by large, cost-plus programs.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jc w:val="both"/>
        <w:ind w:firstLine="486"/>
        <w:spacing w:after="0" w:line="253" w:lineRule="auto"/>
        <w:rPr>
          <w:sz w:val="20"/>
          <w:szCs w:val="20"/>
          <w:color w:val="auto"/>
        </w:rPr>
      </w:pPr>
      <w:r>
        <w:rPr>
          <w:rFonts w:ascii="Arial" w:cs="Arial" w:eastAsia="Arial" w:hAnsi="Arial"/>
          <w:sz w:val="18"/>
          <w:szCs w:val="18"/>
          <w:color w:val="auto"/>
        </w:rPr>
        <w:t>Net cash provided by investing activities for the fiscal year ended April 30, 2008, was approximately $13.3 million compared to $2.0 million in the prior year. The fiscal year 2008 increase was primarily due to the receipt of approximately $5.6 million upon the partial sale of the Company’s investment in Morion and the sale or redemption of certain marketable securities, net of purchases of other marketable securities, which generated approximately $9.8 million. In fiscal year 2008, the Company acquired capital equipment of $3.3 million by paying cash of $2.1 million and entering into a long-term capital lease for $1.2 million (non-cash transaction). In the prior year, the Company had net proceeds from the sale or redemption of marketable securities of $8.1 million, acquired capital equipment for $2.7 million and made an investment in Elcom, including a convertible note in the amount of $1.5 million.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It intends to spend approximately $2 million to $3 million on capital equipment during fiscal year 2009. Internally generated cash will be adequate to acquire this capital equipment.</w:t>
      </w:r>
    </w:p>
    <w:p>
      <w:pPr>
        <w:spacing w:after="0" w:line="24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an $11.5 million line of credit with the financial institution which also manages a substantial portion of its investment in marketable securities. The line is secured by the investments which earn, on average, approximately a 5% annual return. Rather than liquidate some of these investments to meet short-term working capital requirements, during fiscal years 2008 and 2007, the Company borrowed between $4.5 million and $9 million against the line of credit at fixed and variable interest rates between 3.97% and 6.99%. In addition, the Company’s European subsidiaries have available approximately $2.6 million in bank credit lines to meet short-term cash flow requirements. The rate of interest on these borrowings is based on the one month EURO Interbank Offered Rate (EURIBOR). As of April 30, 2008, the Company had an outstanding balance of $4.9 million under the line of credit secured by investments.</w:t>
      </w:r>
    </w:p>
    <w:p>
      <w:pPr>
        <w:spacing w:after="0" w:line="24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During the year ended April 30, 2008, cash used in financing activities was $2.0 million compared to cash provided by financing activities of $3.6 million in fiscal year 2007. The principal use of cash in both fiscal year 2008 and 2007 was the payment of the Company’s semi-annual dividend which aggregated $1.7 million in both years. Additionally, the Company acquired approximately 32,000 shares of its common stock for the treasury, paying approximately $311,000 or an average of about $9.63 per share. The primary source of cash in fiscal year 2007 was $5.0 million borrowed under the line of credit referred to in the preceding paragraph. In the years ended April 30, 2008 and 2007, an additional $158,000 and $293,000, respectively, was received upon the exercise of stock options. The Company will continue to use treasury shares to satisfy the future exercise of stock options granted to officers and employees. 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The Company anticipates that in fiscal year 2009, the number of shares to be repurchased under the stock buyback authorization will increase compared to fiscal year 2008.</w:t>
      </w:r>
    </w:p>
    <w:p>
      <w:pPr>
        <w:spacing w:after="0" w:line="24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will continue to expend resources to develop and improve products for space applications, guidance and targeting systems, wireless networks and wireline communication systems which management believes will result in future growth and continued profitability. During fiscal year 2009, the Company intends to make a substantial investment of capital and technical resources to develop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less than 10% of revenues to achieve its development goals. Internally generated cash will be adequate to fund these development efforts.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47"/>
        </w:trPr>
        <w:tc>
          <w:tcPr>
            <w:tcW w:w="500" w:type="dxa"/>
            <w:vAlign w:val="bottom"/>
          </w:tcPr>
          <w:p>
            <w:pPr>
              <w:spacing w:after="0"/>
              <w:rPr>
                <w:sz w:val="24"/>
                <w:szCs w:val="24"/>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 of April 30, 2008</w:t>
            </w:r>
          </w:p>
        </w:tc>
        <w:tc>
          <w:tcPr>
            <w:tcW w:w="28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7"/>
          </w:tcPr>
          <w:p>
            <w:pPr>
              <w:jc w:val="right"/>
              <w:ind w:right="990"/>
              <w:spacing w:after="0"/>
              <w:rPr>
                <w:sz w:val="20"/>
                <w:szCs w:val="20"/>
                <w:color w:val="auto"/>
              </w:rPr>
            </w:pPr>
            <w:r>
              <w:rPr>
                <w:rFonts w:ascii="Arial" w:cs="Arial" w:eastAsia="Arial" w:hAnsi="Arial"/>
                <w:sz w:val="18"/>
                <w:szCs w:val="18"/>
                <w:color w:val="auto"/>
              </w:rPr>
              <w:t>Payments due by period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8"/>
              </w:rPr>
              <w:t>Less than</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More than</w:t>
            </w:r>
          </w:p>
        </w:tc>
        <w:tc>
          <w:tcPr>
            <w:tcW w:w="100" w:type="dxa"/>
            <w:vAlign w:val="bottom"/>
          </w:tcPr>
          <w:p>
            <w:pPr>
              <w:spacing w:after="0"/>
              <w:rPr>
                <w:sz w:val="16"/>
                <w:szCs w:val="16"/>
                <w:color w:val="auto"/>
              </w:rPr>
            </w:pPr>
          </w:p>
        </w:tc>
      </w:tr>
      <w:tr>
        <w:trPr>
          <w:trHeight w:val="234"/>
        </w:trPr>
        <w:tc>
          <w:tcPr>
            <w:tcW w:w="50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1 to 3 Years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7"/>
              </w:rPr>
              <w:t>3 to 5 Years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r>
      <w:tr>
        <w:trPr>
          <w:trHeight w:val="237"/>
        </w:trPr>
        <w:tc>
          <w:tcPr>
            <w:tcW w:w="51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Capital Lease Obligations</w:t>
            </w:r>
          </w:p>
        </w:tc>
        <w:tc>
          <w:tcPr>
            <w:tcW w:w="240" w:type="dxa"/>
            <w:vAlign w:val="bottom"/>
            <w:shd w:val="clear" w:color="auto" w:fill="CCFFCC"/>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4"/>
          </w:tcPr>
          <w:p>
            <w:pPr>
              <w:spacing w:after="0"/>
              <w:rPr>
                <w:sz w:val="20"/>
                <w:szCs w:val="20"/>
                <w:color w:val="auto"/>
              </w:rPr>
            </w:pPr>
            <w:r>
              <w:rPr>
                <w:rFonts w:ascii="Arial" w:cs="Arial" w:eastAsia="Arial" w:hAnsi="Arial"/>
                <w:sz w:val="18"/>
                <w:szCs w:val="18"/>
                <w:color w:val="auto"/>
              </w:rPr>
              <w:t>Operating Lease Obligations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1,993</w:t>
            </w:r>
          </w:p>
        </w:tc>
      </w:tr>
      <w:tr>
        <w:trPr>
          <w:trHeight w:val="243"/>
        </w:trPr>
        <w:tc>
          <w:tcPr>
            <w:tcW w:w="51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Deferred Compensation **</w:t>
            </w:r>
          </w:p>
        </w:tc>
        <w:tc>
          <w:tcPr>
            <w:tcW w:w="24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9,467*</w:t>
            </w:r>
          </w:p>
        </w:tc>
        <w:tc>
          <w:tcPr>
            <w:tcW w:w="1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FFCC"/>
          </w:tcPr>
          <w:p>
            <w:pPr>
              <w:spacing w:after="0"/>
              <w:rPr>
                <w:sz w:val="21"/>
                <w:szCs w:val="21"/>
                <w:color w:val="auto"/>
              </w:rPr>
            </w:pPr>
          </w:p>
        </w:tc>
        <w:tc>
          <w:tcPr>
            <w:tcW w:w="11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8,659</w:t>
            </w:r>
          </w:p>
        </w:tc>
      </w:tr>
      <w:tr>
        <w:trPr>
          <w:trHeight w:val="20"/>
        </w:trPr>
        <w:tc>
          <w:tcPr>
            <w:tcW w:w="500" w:type="dxa"/>
            <w:vAlign w:val="bottom"/>
            <w:shd w:val="clear" w:color="auto" w:fill="CCFFCC"/>
          </w:tcPr>
          <w:p>
            <w:pPr>
              <w:spacing w:after="0" w:line="20" w:lineRule="exact"/>
              <w:rPr>
                <w:sz w:val="1"/>
                <w:szCs w:val="1"/>
                <w:color w:val="auto"/>
              </w:rPr>
            </w:pPr>
          </w:p>
        </w:tc>
        <w:tc>
          <w:tcPr>
            <w:tcW w:w="1800" w:type="dxa"/>
            <w:vAlign w:val="bottom"/>
            <w:shd w:val="clear" w:color="auto" w:fill="CCFFCC"/>
          </w:tcPr>
          <w:p>
            <w:pPr>
              <w:spacing w:after="0" w:line="20" w:lineRule="exact"/>
              <w:rPr>
                <w:sz w:val="1"/>
                <w:szCs w:val="1"/>
                <w:color w:val="auto"/>
              </w:rPr>
            </w:pPr>
          </w:p>
        </w:tc>
        <w:tc>
          <w:tcPr>
            <w:tcW w:w="26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5160" w:type="dxa"/>
            <w:vAlign w:val="bottom"/>
            <w:gridSpan w:val="4"/>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10,652</w:t>
            </w:r>
          </w:p>
        </w:tc>
      </w:tr>
      <w:tr>
        <w:trPr>
          <w:trHeight w:val="20"/>
        </w:trPr>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94"/>
        <w:spacing w:after="0" w:line="264"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Deferred Compensation liability (See Note 12 in the accompanying financial statements) reflects payments due to current retirees receiving benefits. The amount of $8,659 in the more than 5 years column includes benefits due to participants in the plan who are not yet receiving benefits although some participants may opt to retire and begin receiving benefits within the next 5 years.</w:t>
      </w:r>
    </w:p>
    <w:p>
      <w:pPr>
        <w:spacing w:after="0" w:line="23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As of April 30, 2008, the Company's consolidated backlog amounted to approximately $39 million (see Item 1). Approximately 80% of this backlog is expected to be filled during the Company’s fiscal year ending April 30, 2009. Included in the backlog at April 30, 2008 is approximately $7 million under cost plus contracts which the Company believes represent firm commitments from its customers for which the Company has not received full funding to date.</w:t>
      </w:r>
    </w:p>
    <w:p>
      <w:pPr>
        <w:spacing w:after="0" w:line="20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Company’s liquidity is adequate to meet its foreseeable operating and investment needs. In addition, with its available cash and marketable securities, the Company is able to continue paying semi-annual dividends, subject to the review and approval of its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September 2006, the FASB issued Statement No. 157, “Fair Value Measurements.” (“FAS 157”) This statement defines fair value, establishes a framework for measuring fair value in generally accepted accounting principles (“GAAP”) and expands disclosures about fair value measurements. FAS 157 does not require any new fair value measurements but simplifies and codifies related guidance. The Company will comply with the provisions of FAS 157 when it becomes effective in fiscal year 2009. The impact of such adoption is not expected to have a material impact on the Company’s financial statements since the Company utilizes fair value measures wherever required by current GAAP.</w:t>
      </w:r>
    </w:p>
    <w:p>
      <w:pPr>
        <w:spacing w:after="0" w:line="2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February 2007, the FASB issued Statement No. 159, “The Fair Value Option for Financial Assets and Financial Liabilities including an amendment of SFAS No. 115” (“FAS 159”). The new statement allows entities to choose, at specified election dates, to measure eligible financial assets and liabilities at fair value that are not otherwise required to be measured at fair value. If a company elects the fair value option for an eligible item, changes in that item’s fair value in subsequent reporting periods must be recognized in current earnings. FAS 159 is effective for fiscal years beginning after November 15, 2007. The Company is currently evaluating the potential impact of FAS 159 on its financial position and results of operations.</w:t>
      </w:r>
    </w:p>
    <w:p>
      <w:pPr>
        <w:spacing w:after="0" w:line="21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December 2007, the FASB issued Statements No. 141(R), “Business Combinations”, and No. 160, “Noncontrolling Interests in Consolidated Financial Statements.” Effective for fiscal years beginning after December 15, 2008, these statements revise and converge internationally the accounting for business combinations and the reporting of noncontrolling interests in consolidated financial statements. The adoption of these statements has no impact on the Company’s current financial statements but will change the Company’s accounting treatment for business combinations on a prospective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jc w:val="both"/>
        <w:ind w:firstLine="648"/>
        <w:spacing w:after="0" w:line="273" w:lineRule="auto"/>
        <w:rPr>
          <w:sz w:val="20"/>
          <w:szCs w:val="20"/>
          <w:color w:val="auto"/>
        </w:rPr>
      </w:pPr>
      <w:r>
        <w:rPr>
          <w:rFonts w:ascii="Arial" w:cs="Arial" w:eastAsia="Arial" w:hAnsi="Arial"/>
          <w:sz w:val="17"/>
          <w:szCs w:val="17"/>
          <w:color w:val="auto"/>
        </w:rPr>
        <w:t>In March 2008, the FASB issued Statement No.161, Disclosures about Derivative Instruments and Hedging Activities - An Amendment of FASB Statement No. 133 (“FAS 161”). FAS 161 requires enhanced qualitative disclosures about objectives and strategies for using derivatives, quantitative disclosures about fair value amounts of and gains and losses on derivative instruments, and disclosures about credit-risk-related contingent features in derivative agreements. FAS 161 is effective for financial statements issued for fiscal years and interim periods beginning after November 15, 2008. The Company is currently evaluating the impact of FAS 161 on its consolidated financial statements although it does not anticipate that the statement will have a material impact since the Company has not historically engaged in hedging activities or acquired derivative instruments.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1, 2007, the Company adopted the provisions of FASB Financial Interpretation No. 48, “Accounting for Uncertainty in Income Taxes - an interpretation of FASB Statement No. 109.” (“FIN 48”) This interpretation clarifies the accounting for uncertainty in income taxes recognized in an entity’s financial statements and prescribes recognition thresholds and measurement attributes for tax positions taken in a tax return. Tax positions must meet a more-likely-than-not recognition threshold at the effective date to be recognized upon the adoption of FIN 48 and in subsequent periods. As a result of the implementation of FIN 48, the Company has evaluated its tax positions and has concluded that the tax positions meet the more-likely-than-not recognition threshold. As such, there is no impact on the Company’s financial position or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financial information reported herein is not necessarily indicative of future operating results or of the future financial condition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Except as noted, management is unaware of any impending transactions or events that are likely to have a material adverse effect on results from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fiscal 2008, as in fiscal year 2007, the impact of inflation on the Company's business has not been materially significant.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7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240665</wp:posOffset>
            </wp:positionV>
            <wp:extent cx="11061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Mitchel Field, New York</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Frequency Electronics, Inc. and Subsidiaries (the "Company") as of April 30, 2008 and 2007 and the related consolidated statements of operations, stockholders'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Frequency Electronics, Inc. and Subsidiaries at April 30, 2008 and 2007 and the consolidated results of its operations and its consolidated cash flows for the years then ended in conformity with accounting principles generally accepted in the United States of America.</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Holtz Rubenstein Reminick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Holtz Rubenstein Reminick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Melville,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25, 2008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 w:name="page27"/>
    <w:bookmarkEnd w:id="26"/>
    <w:p>
      <w:pPr>
        <w:ind w:left="3260"/>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Consolidated Balance Sheets</w:t>
      </w:r>
    </w:p>
    <w:p>
      <w:pPr>
        <w:spacing w:after="0" w:line="27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April 30,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255270</wp:posOffset>
            </wp:positionV>
            <wp:extent cx="10547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2007</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40" w:type="dxa"/>
            <w:vAlign w:val="bottom"/>
            <w:shd w:val="clear" w:color="auto" w:fill="CCFFCC"/>
          </w:tcPr>
          <w:p>
            <w:pPr>
              <w:ind w:left="370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11,029</w:t>
            </w:r>
          </w:p>
        </w:tc>
        <w:tc>
          <w:tcPr>
            <w:tcW w:w="14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1,336</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14,268</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Accounts receivable, net of allowance for doubtful accounts of $185 in 2008 and $276 in 2007</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19,827</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15,626</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30,218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31,201</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3,974</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3,075</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75"/>
        </w:trPr>
        <w:tc>
          <w:tcPr>
            <w:tcW w:w="83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Prepaid expenses and other</w:t>
            </w:r>
          </w:p>
        </w:tc>
        <w:tc>
          <w:tcPr>
            <w:tcW w:w="30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1,371</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1,501</w:t>
            </w:r>
          </w:p>
        </w:tc>
      </w:tr>
      <w:tr>
        <w:trPr>
          <w:trHeight w:val="237"/>
        </w:trPr>
        <w:tc>
          <w:tcPr>
            <w:tcW w:w="8340" w:type="dxa"/>
            <w:vAlign w:val="bottom"/>
            <w:tcBorders>
              <w:top w:val="single" w:sz="8" w:color="CCFFCC"/>
            </w:tcBorders>
          </w:tcPr>
          <w:p>
            <w:pPr>
              <w:ind w:left="66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70,984</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67,603</w:t>
            </w: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9,531</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7,839</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2,945</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Goodwill and other intangible assets</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453</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7,671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6,815</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Investment in and loans receivable from affiliates</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4,522</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7,354</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3"/>
                <w:szCs w:val="23"/>
                <w:color w:val="auto"/>
              </w:rPr>
            </w:pPr>
          </w:p>
        </w:tc>
      </w:tr>
      <w:tr>
        <w:trPr>
          <w:trHeight w:val="277"/>
        </w:trPr>
        <w:tc>
          <w:tcPr>
            <w:tcW w:w="8340" w:type="dxa"/>
            <w:vAlign w:val="bottom"/>
            <w:shd w:val="clear" w:color="auto" w:fill="CCFFCC"/>
          </w:tcPr>
          <w:p>
            <w:pPr>
              <w:ind w:left="6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96,920</w:t>
            </w:r>
          </w:p>
        </w:tc>
        <w:tc>
          <w:tcPr>
            <w:tcW w:w="140" w:type="dxa"/>
            <w:vAlign w:val="bottom"/>
            <w:shd w:val="clear" w:color="auto" w:fill="CCFFCC"/>
          </w:tcPr>
          <w:p>
            <w:pPr>
              <w:spacing w:after="0"/>
              <w:rPr>
                <w:sz w:val="24"/>
                <w:szCs w:val="24"/>
                <w:color w:val="auto"/>
              </w:rPr>
            </w:pPr>
          </w:p>
        </w:tc>
        <w:tc>
          <w:tcPr>
            <w:tcW w:w="540" w:type="dxa"/>
            <w:vAlign w:val="bottom"/>
            <w:gridSpan w:val="2"/>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93,826</w:t>
            </w:r>
          </w:p>
        </w:tc>
      </w:tr>
      <w:tr>
        <w:trPr>
          <w:trHeight w:val="224"/>
        </w:trPr>
        <w:tc>
          <w:tcPr>
            <w:tcW w:w="8340" w:type="dxa"/>
            <w:vAlign w:val="bottom"/>
            <w:tcBorders>
              <w:top w:val="single" w:sz="8" w:color="CCFFCC"/>
            </w:tcBorders>
          </w:tcPr>
          <w:p>
            <w:pPr>
              <w:ind w:left="208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Short-term credit obligations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5,168</w:t>
            </w:r>
          </w:p>
        </w:tc>
        <w:tc>
          <w:tcPr>
            <w:tcW w:w="140" w:type="dxa"/>
            <w:vAlign w:val="bottom"/>
          </w:tcPr>
          <w:p>
            <w:pPr>
              <w:spacing w:after="0"/>
              <w:rPr>
                <w:sz w:val="21"/>
                <w:szCs w:val="21"/>
                <w:color w:val="auto"/>
              </w:rPr>
            </w:pP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5,035</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Accounts payable - trade</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2,215</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3,771</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4,694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3,956</w:t>
            </w:r>
          </w:p>
        </w:tc>
      </w:tr>
      <w:tr>
        <w:trPr>
          <w:trHeight w:val="275"/>
        </w:trPr>
        <w:tc>
          <w:tcPr>
            <w:tcW w:w="83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Dividend payable</w:t>
            </w:r>
          </w:p>
        </w:tc>
        <w:tc>
          <w:tcPr>
            <w:tcW w:w="30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869</w:t>
            </w:r>
          </w:p>
        </w:tc>
      </w:tr>
      <w:tr>
        <w:trPr>
          <w:trHeight w:val="237"/>
        </w:trPr>
        <w:tc>
          <w:tcPr>
            <w:tcW w:w="8340" w:type="dxa"/>
            <w:vAlign w:val="bottom"/>
            <w:tcBorders>
              <w:top w:val="single" w:sz="8" w:color="CCFFCC"/>
            </w:tcBorders>
          </w:tcPr>
          <w:p>
            <w:pPr>
              <w:ind w:left="66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12,077</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13,631</w:t>
            </w: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Lease obligation- noncurrent</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911</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Deferred compensation</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9,467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8,669</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Deferred gain and other liabilities</w:t>
            </w:r>
          </w:p>
        </w:tc>
        <w:tc>
          <w:tcPr>
            <w:tcW w:w="30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855</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642</w:t>
            </w:r>
          </w:p>
        </w:tc>
      </w:tr>
      <w:tr>
        <w:trPr>
          <w:trHeight w:val="264"/>
        </w:trPr>
        <w:tc>
          <w:tcPr>
            <w:tcW w:w="8340" w:type="dxa"/>
            <w:vAlign w:val="bottom"/>
            <w:tcBorders>
              <w:top w:val="single" w:sz="8" w:color="CCFFCC"/>
            </w:tcBorders>
          </w:tcPr>
          <w:p>
            <w:pPr>
              <w:ind w:left="66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23,310</w:t>
            </w:r>
          </w:p>
        </w:tc>
        <w:tc>
          <w:tcPr>
            <w:tcW w:w="1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22,942</w:t>
            </w:r>
          </w:p>
        </w:tc>
        <w:tc>
          <w:tcPr>
            <w:tcW w:w="100" w:type="dxa"/>
            <w:vAlign w:val="bottom"/>
            <w:tcBorders>
              <w:top w:val="single" w:sz="8" w:color="CCFFCC"/>
            </w:tcBorders>
          </w:tcPr>
          <w:p>
            <w:pPr>
              <w:spacing w:after="0"/>
              <w:rPr>
                <w:sz w:val="22"/>
                <w:szCs w:val="22"/>
                <w:color w:val="auto"/>
              </w:rPr>
            </w:pP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Preferred stock - authorized 600,000 shares of $1.00 par value; no shares issued</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Common stock - authorized 20,000,000 shares of $1.00 par value; issued - 9,163,940 shares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9,164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48,213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47,138</w:t>
            </w:r>
          </w:p>
        </w:tc>
      </w:tr>
      <w:tr>
        <w:trPr>
          <w:trHeight w:val="270"/>
        </w:trPr>
        <w:tc>
          <w:tcPr>
            <w:tcW w:w="83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13,558</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w:t>
            </w:r>
          </w:p>
        </w:tc>
        <w:tc>
          <w:tcPr>
            <w:tcW w:w="100" w:type="dxa"/>
            <w:vAlign w:val="bottom"/>
          </w:tcPr>
          <w:p>
            <w:pPr>
              <w:spacing w:after="0"/>
              <w:rPr>
                <w:sz w:val="23"/>
                <w:szCs w:val="23"/>
                <w:color w:val="auto"/>
              </w:rPr>
            </w:pPr>
          </w:p>
        </w:tc>
      </w:tr>
      <w:tr>
        <w:trPr>
          <w:trHeight w:val="237"/>
        </w:trPr>
        <w:tc>
          <w:tcPr>
            <w:tcW w:w="83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70,935</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69,843</w:t>
            </w:r>
          </w:p>
        </w:tc>
      </w:tr>
      <w:tr>
        <w:trPr>
          <w:trHeight w:val="202"/>
        </w:trPr>
        <w:tc>
          <w:tcPr>
            <w:tcW w:w="8340" w:type="dxa"/>
            <w:vAlign w:val="bottom"/>
          </w:tcPr>
          <w:p>
            <w:pPr>
              <w:ind w:left="340"/>
              <w:spacing w:after="0" w:line="201" w:lineRule="exact"/>
              <w:rPr>
                <w:sz w:val="20"/>
                <w:szCs w:val="20"/>
                <w:color w:val="auto"/>
              </w:rPr>
            </w:pPr>
            <w:r>
              <w:rPr>
                <w:rFonts w:ascii="Arial" w:cs="Arial" w:eastAsia="Arial" w:hAnsi="Arial"/>
                <w:sz w:val="18"/>
                <w:szCs w:val="18"/>
                <w:color w:val="auto"/>
                <w:w w:val="96"/>
              </w:rPr>
              <w:t>Common stock reacquired and held in treasury - at cost (427,366 shares in 2008 and 474,693 shares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(2,175)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(2,080)</w:t>
            </w:r>
          </w:p>
        </w:tc>
      </w:tr>
      <w:tr>
        <w:trPr>
          <w:trHeight w:val="275"/>
        </w:trPr>
        <w:tc>
          <w:tcPr>
            <w:tcW w:w="83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4,850</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3,121</w:t>
            </w:r>
          </w:p>
        </w:tc>
      </w:tr>
      <w:tr>
        <w:trPr>
          <w:trHeight w:val="264"/>
        </w:trPr>
        <w:tc>
          <w:tcPr>
            <w:tcW w:w="8340" w:type="dxa"/>
            <w:vAlign w:val="bottom"/>
            <w:tcBorders>
              <w:top w:val="single" w:sz="8" w:color="CCFFCC"/>
            </w:tcBorders>
          </w:tcPr>
          <w:p>
            <w:pPr>
              <w:ind w:left="6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73,610</w:t>
            </w:r>
          </w:p>
        </w:tc>
        <w:tc>
          <w:tcPr>
            <w:tcW w:w="1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70,884</w:t>
            </w:r>
          </w:p>
        </w:tc>
        <w:tc>
          <w:tcPr>
            <w:tcW w:w="100" w:type="dxa"/>
            <w:vAlign w:val="bottom"/>
            <w:tcBorders>
              <w:top w:val="single" w:sz="8" w:color="CCFFCC"/>
            </w:tcBorders>
          </w:tcPr>
          <w:p>
            <w:pPr>
              <w:spacing w:after="0"/>
              <w:rPr>
                <w:sz w:val="22"/>
                <w:szCs w:val="22"/>
                <w:color w:val="auto"/>
              </w:rPr>
            </w:pPr>
          </w:p>
        </w:tc>
      </w:tr>
      <w:tr>
        <w:trPr>
          <w:trHeight w:val="277"/>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96,920</w:t>
            </w:r>
          </w:p>
        </w:tc>
        <w:tc>
          <w:tcPr>
            <w:tcW w:w="14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46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93,826</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255270</wp:posOffset>
            </wp:positionV>
            <wp:extent cx="11061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6"/>
          </w:tcPr>
          <w:p>
            <w:pPr>
              <w:jc w:val="right"/>
              <w:ind w:right="420"/>
              <w:spacing w:after="0"/>
              <w:rPr>
                <w:sz w:val="20"/>
                <w:szCs w:val="20"/>
                <w:color w:val="auto"/>
              </w:rPr>
            </w:pPr>
            <w:r>
              <w:rPr>
                <w:rFonts w:ascii="Arial" w:cs="Arial" w:eastAsia="Arial" w:hAnsi="Arial"/>
                <w:sz w:val="18"/>
                <w:szCs w:val="18"/>
                <w:color w:val="auto"/>
                <w:w w:val="90"/>
              </w:rPr>
              <w:t>(In thousands, except share data)</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64,397</w:t>
            </w:r>
          </w:p>
        </w:tc>
        <w:tc>
          <w:tcPr>
            <w:tcW w:w="140" w:type="dxa"/>
            <w:vAlign w:val="bottom"/>
            <w:shd w:val="clear" w:color="auto" w:fill="CCFFCC"/>
          </w:tcPr>
          <w:p>
            <w:pPr>
              <w:spacing w:after="0"/>
              <w:rPr>
                <w:sz w:val="21"/>
                <w:szCs w:val="21"/>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56,206</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39,130</w:t>
            </w:r>
          </w:p>
        </w:tc>
        <w:tc>
          <w:tcPr>
            <w:tcW w:w="100" w:type="dxa"/>
            <w:vAlign w:val="bottom"/>
          </w:tcPr>
          <w:p>
            <w:pPr>
              <w:spacing w:after="0"/>
              <w:rPr>
                <w:sz w:val="21"/>
                <w:szCs w:val="21"/>
                <w:color w:val="auto"/>
              </w:rPr>
            </w:pPr>
          </w:p>
        </w:tc>
      </w:tr>
      <w:tr>
        <w:trPr>
          <w:trHeight w:val="237"/>
        </w:trPr>
        <w:tc>
          <w:tcPr>
            <w:tcW w:w="8340" w:type="dxa"/>
            <w:vAlign w:val="bottom"/>
            <w:shd w:val="clear" w:color="auto" w:fill="CCFFCC"/>
          </w:tcPr>
          <w:p>
            <w:pPr>
              <w:ind w:left="50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17,662</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17,076</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13,139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11,359</w:t>
            </w:r>
          </w:p>
        </w:tc>
      </w:tr>
      <w:tr>
        <w:trPr>
          <w:trHeight w:val="243"/>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Borders>
              <w:bottom w:val="single" w:sz="8" w:color="auto"/>
            </w:tcBorders>
            <w:shd w:val="clear" w:color="auto" w:fill="CCFFCC"/>
          </w:tcPr>
          <w:p>
            <w:pPr>
              <w:spacing w:after="0"/>
              <w:rPr>
                <w:sz w:val="21"/>
                <w:szCs w:val="21"/>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7,101</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9,438</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(2,578)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(3,721)</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Equity (loss) income</w:t>
            </w:r>
          </w:p>
        </w:tc>
        <w:tc>
          <w:tcPr>
            <w:tcW w:w="20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r>
      <w:tr>
        <w:trPr>
          <w:trHeight w:val="243"/>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CCFFCC"/>
          </w:tcPr>
          <w:p>
            <w:pPr>
              <w:spacing w:after="0"/>
              <w:rPr>
                <w:sz w:val="21"/>
                <w:szCs w:val="21"/>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(1,812)</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(1,555)</w:t>
            </w:r>
          </w:p>
        </w:tc>
      </w:tr>
      <w:tr>
        <w:trPr>
          <w:trHeight w:val="20"/>
        </w:trPr>
        <w:tc>
          <w:tcPr>
            <w:tcW w:w="834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r>
      <w:tr>
        <w:trPr>
          <w:trHeight w:val="20"/>
        </w:trPr>
        <w:tc>
          <w:tcPr>
            <w:tcW w:w="8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 per common share:`</w:t>
            </w:r>
          </w:p>
        </w:tc>
        <w:tc>
          <w:tcPr>
            <w:tcW w:w="20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r>
        <w:trPr>
          <w:trHeight w:val="20"/>
        </w:trPr>
        <w:tc>
          <w:tcPr>
            <w:tcW w:w="8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FFCC"/>
          </w:tcPr>
          <w:p>
            <w:pPr>
              <w:spacing w:after="0"/>
              <w:rPr>
                <w:sz w:val="22"/>
                <w:szCs w:val="22"/>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(0.03)</w:t>
            </w:r>
          </w:p>
        </w:tc>
      </w:tr>
      <w:tr>
        <w:trPr>
          <w:trHeight w:val="224"/>
        </w:trPr>
        <w:tc>
          <w:tcPr>
            <w:tcW w:w="83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Average shares outstanding:</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83"/>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FFCC"/>
          </w:tcPr>
          <w:p>
            <w:pPr>
              <w:spacing w:after="0"/>
              <w:rPr>
                <w:sz w:val="24"/>
                <w:szCs w:val="24"/>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8,710,260</w:t>
            </w:r>
          </w:p>
        </w:tc>
        <w:tc>
          <w:tcPr>
            <w:tcW w:w="14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300" w:type="dxa"/>
            <w:vAlign w:val="bottom"/>
            <w:tcBorders>
              <w:bottom w:val="single" w:sz="8" w:color="auto"/>
            </w:tcBorders>
            <w:shd w:val="clear" w:color="auto" w:fill="CCFFCC"/>
          </w:tcPr>
          <w:p>
            <w:pPr>
              <w:spacing w:after="0"/>
              <w:rPr>
                <w:sz w:val="24"/>
                <w:szCs w:val="24"/>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8,620,776</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8,778,059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8,620,776</w:t>
            </w:r>
          </w:p>
        </w:tc>
      </w:tr>
      <w:tr>
        <w:trPr>
          <w:trHeight w:val="20"/>
        </w:trPr>
        <w:tc>
          <w:tcPr>
            <w:tcW w:w="8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245745</wp:posOffset>
            </wp:positionV>
            <wp:extent cx="11061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2007</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w w:val="95"/>
              </w:rPr>
              <w:t>(In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21"/>
                <w:szCs w:val="21"/>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Deferred income tax (benefit)</w:t>
            </w:r>
          </w:p>
        </w:tc>
        <w:tc>
          <w:tcPr>
            <w:tcW w:w="88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(1,305)</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1,969</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1,725</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Deferred lease obligation</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Provision for losses on accounts receivable and inventories</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1,409</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1,946</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Gain on REIT conversion</w:t>
            </w:r>
          </w:p>
        </w:tc>
        <w:tc>
          <w:tcPr>
            <w:tcW w:w="88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(Gain) loss on marketable securities and other assets, net</w:t>
            </w:r>
          </w:p>
        </w:tc>
        <w:tc>
          <w:tcPr>
            <w:tcW w:w="88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4"/>
              </w:rPr>
              <w:t>(3,555)</w:t>
            </w: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Equity loss (income)</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(708)</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Stock compensation expense</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559</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Accounts receivable</w:t>
            </w:r>
          </w:p>
        </w:tc>
        <w:tc>
          <w:tcPr>
            <w:tcW w:w="88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4"/>
              </w:rPr>
              <w:t>(2,703)</w:t>
            </w: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(260)</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(9,012)</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Prepaid expenses and other</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(189)</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Accounts payable - trade</w:t>
            </w:r>
          </w:p>
        </w:tc>
        <w:tc>
          <w:tcPr>
            <w:tcW w:w="88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4"/>
              </w:rPr>
              <w:t>(2,388)</w:t>
            </w: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1,272</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Liability for employee benefit plans</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1,330</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Other liabilities</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(505)</w:t>
            </w:r>
          </w:p>
        </w:tc>
      </w:tr>
      <w:tr>
        <w:trPr>
          <w:trHeight w:val="20"/>
        </w:trPr>
        <w:tc>
          <w:tcPr>
            <w:tcW w:w="834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(1,846)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(6,646)</w:t>
            </w:r>
          </w:p>
        </w:tc>
      </w:tr>
      <w:tr>
        <w:trPr>
          <w:trHeight w:val="237"/>
        </w:trPr>
        <w:tc>
          <w:tcPr>
            <w:tcW w:w="8340" w:type="dxa"/>
            <w:vAlign w:val="bottom"/>
            <w:shd w:val="clear" w:color="auto" w:fill="CCFFCC"/>
          </w:tcPr>
          <w:p>
            <w:pPr>
              <w:spacing w:after="0"/>
              <w:rPr>
                <w:sz w:val="20"/>
                <w:szCs w:val="20"/>
                <w:color w:val="auto"/>
              </w:rPr>
            </w:pPr>
          </w:p>
        </w:tc>
        <w:tc>
          <w:tcPr>
            <w:tcW w:w="880" w:type="dxa"/>
            <w:vAlign w:val="bottom"/>
            <w:tcBorders>
              <w:top w:val="single" w:sz="8" w:color="auto"/>
            </w:tcBorders>
            <w:shd w:val="clear" w:color="auto" w:fill="CCFFCC"/>
          </w:tcPr>
          <w:p>
            <w:pPr>
              <w:spacing w:after="0"/>
              <w:rPr>
                <w:sz w:val="20"/>
                <w:szCs w:val="20"/>
                <w:color w:val="auto"/>
              </w:rPr>
            </w:pPr>
          </w:p>
        </w:tc>
        <w:tc>
          <w:tcPr>
            <w:tcW w:w="50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60" w:type="dxa"/>
            <w:vAlign w:val="bottom"/>
            <w:tcBorders>
              <w:top w:val="single" w:sz="8" w:color="auto"/>
            </w:tcBorders>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Proceeds from sale of Morion investment</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5,643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Purchase of minority interest in technology partners</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(1,817)</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Loan to investee technology partner</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(1,500)</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Purchase of marketable securities</w:t>
            </w:r>
          </w:p>
        </w:tc>
        <w:tc>
          <w:tcPr>
            <w:tcW w:w="88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(3,140)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Proceeds from sale or redemption of marketable securities</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12,923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9,568</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(2,106)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(2,712)</w:t>
            </w:r>
          </w:p>
        </w:tc>
      </w:tr>
      <w:tr>
        <w:trPr>
          <w:trHeight w:val="237"/>
        </w:trPr>
        <w:tc>
          <w:tcPr>
            <w:tcW w:w="834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880" w:type="dxa"/>
            <w:vAlign w:val="bottom"/>
            <w:tcBorders>
              <w:top w:val="single" w:sz="8" w:color="auto"/>
              <w:bottom w:val="single" w:sz="8" w:color="auto"/>
            </w:tcBorders>
            <w:shd w:val="clear" w:color="auto" w:fill="CCFFCC"/>
          </w:tcPr>
          <w:p>
            <w:pPr>
              <w:spacing w:after="0"/>
              <w:rPr>
                <w:sz w:val="20"/>
                <w:szCs w:val="20"/>
                <w:color w:val="auto"/>
              </w:rPr>
            </w:pPr>
          </w:p>
        </w:tc>
        <w:tc>
          <w:tcPr>
            <w:tcW w:w="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7"/>
              </w:rPr>
              <w:t>13,320</w:t>
            </w:r>
          </w:p>
        </w:tc>
        <w:tc>
          <w:tcPr>
            <w:tcW w:w="14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460" w:type="dxa"/>
            <w:vAlign w:val="bottom"/>
            <w:tcBorders>
              <w:top w:val="single" w:sz="8" w:color="auto"/>
              <w:bottom w:val="single" w:sz="8" w:color="auto"/>
            </w:tcBorders>
            <w:shd w:val="clear" w:color="auto" w:fill="CCFFCC"/>
          </w:tcPr>
          <w:p>
            <w:pPr>
              <w:spacing w:after="0"/>
              <w:rPr>
                <w:sz w:val="20"/>
                <w:szCs w:val="20"/>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CFFCC"/>
            </w:tcBorders>
            <w:shd w:val="clear" w:color="auto" w:fill="CCFFCC"/>
          </w:tcPr>
          <w:p>
            <w:pPr>
              <w:spacing w:after="0"/>
              <w:rPr>
                <w:sz w:val="20"/>
                <w:szCs w:val="20"/>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245745</wp:posOffset>
            </wp:positionV>
            <wp:extent cx="11061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w w:val="95"/>
              </w:rPr>
              <w:t>(In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Proceeds from short-term credit obligations</w:t>
            </w:r>
          </w:p>
        </w:tc>
        <w:tc>
          <w:tcPr>
            <w:tcW w:w="88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(9,000)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Payment of short-term credit and lease obligations</w:t>
            </w:r>
          </w:p>
        </w:tc>
        <w:tc>
          <w:tcPr>
            <w:tcW w:w="88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4"/>
              </w:rPr>
              <w:t>(9,151)</w:t>
            </w: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Payment of cash dividend</w:t>
            </w:r>
          </w:p>
        </w:tc>
        <w:tc>
          <w:tcPr>
            <w:tcW w:w="88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(1,739)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Repurchase of stock for treasury</w:t>
            </w:r>
          </w:p>
        </w:tc>
        <w:tc>
          <w:tcPr>
            <w:tcW w:w="88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8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cash (used in) provided by financing activities</w:t>
            </w:r>
          </w:p>
        </w:tc>
        <w:tc>
          <w:tcPr>
            <w:tcW w:w="880" w:type="dxa"/>
            <w:vAlign w:val="bottom"/>
            <w:shd w:val="clear" w:color="auto" w:fill="CCFFCC"/>
          </w:tcPr>
          <w:p>
            <w:pPr>
              <w:spacing w:after="0"/>
              <w:rPr>
                <w:sz w:val="20"/>
                <w:szCs w:val="20"/>
                <w:color w:val="auto"/>
              </w:rPr>
            </w:pP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4"/>
              </w:rPr>
              <w:t>(2,043)</w:t>
            </w:r>
          </w:p>
        </w:tc>
        <w:tc>
          <w:tcPr>
            <w:tcW w:w="8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CCFFCC"/>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Net increase (decrease) in cash and cash equivalents before effect of exchange rate changes</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9,431</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0" w:type="dxa"/>
            <w:vAlign w:val="bottom"/>
            <w:vMerge w:val="continue"/>
          </w:tcPr>
          <w:p>
            <w:pPr>
              <w:spacing w:after="0"/>
              <w:rPr>
                <w:sz w:val="24"/>
                <w:szCs w:val="24"/>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 xml:space="preserve">Effect of exchange rate changes on cash and </w:t>
            </w:r>
            <w:r>
              <w:rPr>
                <w:rFonts w:ascii="Arial" w:cs="Arial" w:eastAsia="Arial" w:hAnsi="Arial"/>
                <w:sz w:val="21"/>
                <w:szCs w:val="21"/>
                <w:color w:val="auto"/>
              </w:rPr>
              <w:t>cash equivalents</w:t>
            </w:r>
          </w:p>
        </w:tc>
        <w:tc>
          <w:tcPr>
            <w:tcW w:w="880" w:type="dxa"/>
            <w:vAlign w:val="bottom"/>
            <w:shd w:val="clear" w:color="auto" w:fill="CCFFCC"/>
          </w:tcPr>
          <w:p>
            <w:pPr>
              <w:spacing w:after="0"/>
              <w:rPr>
                <w:sz w:val="24"/>
                <w:szCs w:val="24"/>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46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CCFFCC"/>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9,693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beginning of year</w:t>
            </w:r>
          </w:p>
        </w:tc>
        <w:tc>
          <w:tcPr>
            <w:tcW w:w="880" w:type="dxa"/>
            <w:vAlign w:val="bottom"/>
            <w:tcBorders>
              <w:bottom w:val="single" w:sz="8" w:color="auto"/>
            </w:tcBorders>
            <w:shd w:val="clear" w:color="auto" w:fill="CCFFCC"/>
          </w:tcPr>
          <w:p>
            <w:pPr>
              <w:spacing w:after="0"/>
              <w:rPr>
                <w:sz w:val="21"/>
                <w:szCs w:val="21"/>
                <w:color w:val="auto"/>
              </w:rPr>
            </w:pP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1,336</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end of year</w:t>
            </w:r>
          </w:p>
        </w:tc>
        <w:tc>
          <w:tcPr>
            <w:tcW w:w="880" w:type="dxa"/>
            <w:vAlign w:val="bottom"/>
            <w:shd w:val="clear" w:color="auto" w:fill="CCFFCC"/>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11,029</w:t>
            </w:r>
          </w:p>
        </w:tc>
        <w:tc>
          <w:tcPr>
            <w:tcW w:w="140" w:type="dxa"/>
            <w:vAlign w:val="bottom"/>
            <w:shd w:val="clear" w:color="auto" w:fill="CCFFCC"/>
          </w:tcPr>
          <w:p>
            <w:pPr>
              <w:spacing w:after="0"/>
              <w:rPr>
                <w:sz w:val="24"/>
                <w:szCs w:val="24"/>
                <w:color w:val="auto"/>
              </w:rPr>
            </w:pPr>
          </w:p>
        </w:tc>
        <w:tc>
          <w:tcPr>
            <w:tcW w:w="540" w:type="dxa"/>
            <w:vAlign w:val="bottom"/>
            <w:gridSpan w:val="2"/>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tcBorders>
              <w:top w:val="single" w:sz="8" w:color="CCFFCC"/>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Supplemental disclosures of cash flow information:</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Cash paid during the year for:</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32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Interest</w:t>
            </w:r>
          </w:p>
        </w:tc>
        <w:tc>
          <w:tcPr>
            <w:tcW w:w="880" w:type="dxa"/>
            <w:vAlign w:val="bottom"/>
            <w:tcBorders>
              <w:bottom w:val="single" w:sz="8" w:color="auto"/>
            </w:tcBorders>
            <w:shd w:val="clear" w:color="auto" w:fill="CCFFCC"/>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46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FFCC"/>
            </w:tcBorders>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940</w:t>
            </w:r>
          </w:p>
        </w:tc>
        <w:tc>
          <w:tcPr>
            <w:tcW w:w="140" w:type="dxa"/>
            <w:vAlign w:val="bottom"/>
          </w:tcPr>
          <w:p>
            <w:pPr>
              <w:spacing w:after="0"/>
              <w:rPr>
                <w:sz w:val="19"/>
                <w:szCs w:val="19"/>
                <w:color w:val="auto"/>
              </w:rPr>
            </w:pP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5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Other activities which affect assets or liabilities but did not result in cash flow during the fiscal years:</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Capital equipment acquired under capital lease</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Declaration of cash dividend, not paid</w:t>
            </w:r>
          </w:p>
        </w:tc>
        <w:tc>
          <w:tcPr>
            <w:tcW w:w="880" w:type="dxa"/>
            <w:vAlign w:val="bottom"/>
            <w:tcBorders>
              <w:bottom w:val="single" w:sz="8" w:color="auto"/>
            </w:tcBorders>
            <w:shd w:val="clear" w:color="auto" w:fill="CCFFCC"/>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46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0" w:name="page31"/>
    <w:bookmarkEnd w:id="30"/>
    <w:p>
      <w:pPr>
        <w:jc w:val="center"/>
        <w:ind w:left="66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Years ended April 30, 2008 and 2007</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(In thousands, except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tcPr>
          <w:p>
            <w:pPr>
              <w:jc w:val="center"/>
              <w:ind w:left="328"/>
              <w:spacing w:after="0"/>
              <w:rPr>
                <w:sz w:val="20"/>
                <w:szCs w:val="20"/>
                <w:color w:val="auto"/>
              </w:rPr>
            </w:pPr>
            <w:r>
              <w:rPr>
                <w:rFonts w:ascii="Arial" w:cs="Arial" w:eastAsia="Arial" w:hAnsi="Arial"/>
                <w:sz w:val="14"/>
                <w:szCs w:val="14"/>
                <w:color w:val="auto"/>
                <w:w w:val="91"/>
              </w:rPr>
              <w:t>Treasury stock</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other</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720" w:type="dxa"/>
            <w:vAlign w:val="bottom"/>
            <w:gridSpan w:val="4"/>
          </w:tcPr>
          <w:p>
            <w:pPr>
              <w:ind w:left="4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paid in</w:t>
            </w:r>
          </w:p>
        </w:tc>
        <w:tc>
          <w:tcPr>
            <w:tcW w:w="12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Retained</w:t>
            </w:r>
          </w:p>
        </w:tc>
        <w:tc>
          <w:tcPr>
            <w:tcW w:w="1320" w:type="dxa"/>
            <w:vAlign w:val="bottom"/>
            <w:gridSpan w:val="4"/>
          </w:tcPr>
          <w:p>
            <w:pPr>
              <w:jc w:val="center"/>
              <w:ind w:left="328"/>
              <w:spacing w:after="0"/>
              <w:rPr>
                <w:sz w:val="20"/>
                <w:szCs w:val="20"/>
                <w:color w:val="auto"/>
              </w:rPr>
            </w:pPr>
            <w:r>
              <w:rPr>
                <w:rFonts w:ascii="Arial" w:cs="Arial" w:eastAsia="Arial" w:hAnsi="Arial"/>
                <w:sz w:val="14"/>
                <w:szCs w:val="14"/>
                <w:color w:val="auto"/>
                <w:w w:val="94"/>
              </w:rPr>
              <w:t>(at cost)</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comprehensive</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169"/>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color w:val="auto"/>
              </w:rPr>
              <w:t>Shares</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3"/>
              </w:rPr>
              <w:t>earnings</w:t>
            </w:r>
          </w:p>
        </w:tc>
        <w:tc>
          <w:tcPr>
            <w:tcW w:w="1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Shares</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3"/>
              </w:rPr>
              <w:t>income (loss)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480" w:type="dxa"/>
            <w:vAlign w:val="bottom"/>
            <w:tcBorders>
              <w:bottom w:val="single" w:sz="8" w:color="auto"/>
            </w:tcBorders>
            <w:shd w:val="clear" w:color="auto" w:fill="CCFFCC"/>
          </w:tcPr>
          <w:p>
            <w:pPr>
              <w:spacing w:after="0" w:line="129" w:lineRule="exact"/>
              <w:rPr>
                <w:sz w:val="20"/>
                <w:szCs w:val="20"/>
                <w:color w:val="auto"/>
              </w:rPr>
            </w:pPr>
            <w:r>
              <w:rPr>
                <w:rFonts w:ascii="Arial" w:cs="Arial" w:eastAsia="Arial" w:hAnsi="Arial"/>
                <w:sz w:val="14"/>
                <w:szCs w:val="14"/>
                <w:color w:val="auto"/>
                <w:w w:val="93"/>
              </w:rPr>
              <w:t>Balance at April 30, 2006</w:t>
            </w:r>
          </w:p>
        </w:tc>
        <w:tc>
          <w:tcPr>
            <w:tcW w:w="2260" w:type="dxa"/>
            <w:vAlign w:val="bottom"/>
            <w:tcBorders>
              <w:bottom w:val="single" w:sz="8" w:color="CCFFCC"/>
            </w:tcBorders>
            <w:shd w:val="clear" w:color="auto" w:fill="CCFFCC"/>
          </w:tcPr>
          <w:p>
            <w:pPr>
              <w:spacing w:after="0"/>
              <w:rPr>
                <w:sz w:val="14"/>
                <w:szCs w:val="14"/>
                <w:color w:val="auto"/>
              </w:rPr>
            </w:pPr>
          </w:p>
        </w:tc>
        <w:tc>
          <w:tcPr>
            <w:tcW w:w="800" w:type="dxa"/>
            <w:vAlign w:val="bottom"/>
            <w:tcBorders>
              <w:bottom w:val="single" w:sz="8" w:color="CCFFCC"/>
            </w:tcBorders>
            <w:shd w:val="clear" w:color="auto" w:fill="CCFFCC"/>
          </w:tcPr>
          <w:p>
            <w:pPr>
              <w:ind w:left="220"/>
              <w:spacing w:after="0" w:line="142" w:lineRule="exact"/>
              <w:rPr>
                <w:sz w:val="20"/>
                <w:szCs w:val="20"/>
                <w:color w:val="auto"/>
              </w:rPr>
            </w:pPr>
            <w:r>
              <w:rPr>
                <w:rFonts w:ascii="Arial" w:cs="Arial" w:eastAsia="Arial" w:hAnsi="Arial"/>
                <w:sz w:val="14"/>
                <w:szCs w:val="14"/>
                <w:color w:val="auto"/>
                <w:w w:val="86"/>
              </w:rPr>
              <w:t>9,163,940</w:t>
            </w:r>
          </w:p>
        </w:tc>
        <w:tc>
          <w:tcPr>
            <w:tcW w:w="240" w:type="dxa"/>
            <w:vAlign w:val="bottom"/>
            <w:tcBorders>
              <w:left w:val="single" w:sz="8" w:color="CCFFCC"/>
              <w:bottom w:val="single" w:sz="8" w:color="CCFFCC"/>
            </w:tcBorders>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9,164</w:t>
            </w:r>
          </w:p>
        </w:tc>
        <w:tc>
          <w:tcPr>
            <w:tcW w:w="200" w:type="dxa"/>
            <w:vAlign w:val="bottom"/>
            <w:tcBorders>
              <w:left w:val="single" w:sz="8" w:color="CCFFCC"/>
              <w:bottom w:val="single" w:sz="8" w:color="CCFFCC"/>
            </w:tcBorders>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45,688</w:t>
            </w:r>
          </w:p>
        </w:tc>
        <w:tc>
          <w:tcPr>
            <w:tcW w:w="120" w:type="dxa"/>
            <w:vAlign w:val="bottom"/>
            <w:tcBorders>
              <w:bottom w:val="single" w:sz="8" w:color="CCFFCC"/>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15,527</w:t>
            </w:r>
          </w:p>
        </w:tc>
        <w:tc>
          <w:tcPr>
            <w:tcW w:w="120" w:type="dxa"/>
            <w:vAlign w:val="bottom"/>
            <w:tcBorders>
              <w:bottom w:val="single" w:sz="8" w:color="CCFFCC"/>
            </w:tcBorders>
            <w:shd w:val="clear" w:color="auto" w:fill="CCFFCC"/>
          </w:tcPr>
          <w:p>
            <w:pPr>
              <w:spacing w:after="0"/>
              <w:rPr>
                <w:sz w:val="14"/>
                <w:szCs w:val="14"/>
                <w:color w:val="auto"/>
              </w:rPr>
            </w:pPr>
          </w:p>
        </w:tc>
        <w:tc>
          <w:tcPr>
            <w:tcW w:w="800" w:type="dxa"/>
            <w:vAlign w:val="bottom"/>
            <w:tcBorders>
              <w:bottom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592,194</w:t>
            </w:r>
          </w:p>
        </w:tc>
        <w:tc>
          <w:tcPr>
            <w:tcW w:w="120" w:type="dxa"/>
            <w:vAlign w:val="bottom"/>
            <w:tcBorders>
              <w:bottom w:val="single" w:sz="8" w:color="CCFFCC"/>
              <w:right w:val="single" w:sz="8" w:color="CCFFCC"/>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CCFFCC"/>
            </w:tcBorders>
            <w:shd w:val="clear" w:color="auto" w:fill="CCFFCC"/>
          </w:tcPr>
          <w:p>
            <w:pPr>
              <w:spacing w:after="0"/>
              <w:rPr>
                <w:sz w:val="14"/>
                <w:szCs w:val="14"/>
                <w:color w:val="auto"/>
              </w:rPr>
            </w:pPr>
          </w:p>
        </w:tc>
        <w:tc>
          <w:tcPr>
            <w:tcW w:w="400" w:type="dxa"/>
            <w:vAlign w:val="bottom"/>
            <w:tcBorders>
              <w:bottom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85"/>
              </w:rPr>
              <w:t>(2,437)</w:t>
            </w:r>
          </w:p>
        </w:tc>
        <w:tc>
          <w:tcPr>
            <w:tcW w:w="1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2,691</w:t>
            </w:r>
          </w:p>
        </w:tc>
        <w:tc>
          <w:tcPr>
            <w:tcW w:w="120" w:type="dxa"/>
            <w:vAlign w:val="bottom"/>
            <w:tcBorders>
              <w:bottom w:val="single" w:sz="8" w:color="CCFFCC"/>
            </w:tcBorders>
            <w:shd w:val="clear" w:color="auto" w:fill="CCFFCC"/>
          </w:tcPr>
          <w:p>
            <w:pPr>
              <w:spacing w:after="0"/>
              <w:rPr>
                <w:sz w:val="14"/>
                <w:szCs w:val="14"/>
                <w:color w:val="auto"/>
              </w:rPr>
            </w:pPr>
          </w:p>
        </w:tc>
        <w:tc>
          <w:tcPr>
            <w:tcW w:w="140" w:type="dxa"/>
            <w:vAlign w:val="bottom"/>
            <w:tcBorders>
              <w:bottom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70,633</w:t>
            </w:r>
          </w:p>
        </w:tc>
        <w:tc>
          <w:tcPr>
            <w:tcW w:w="140" w:type="dxa"/>
            <w:vAlign w:val="bottom"/>
            <w:tcBorders>
              <w:bottom w:val="single" w:sz="8" w:color="CCFFCC"/>
            </w:tcBorders>
            <w:shd w:val="clear" w:color="auto" w:fill="CCFFCC"/>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740" w:type="dxa"/>
            <w:vAlign w:val="bottom"/>
            <w:tcBorders>
              <w:top w:val="single" w:sz="8" w:color="CCFFCC"/>
            </w:tcBorders>
            <w:gridSpan w:val="2"/>
          </w:tcPr>
          <w:p>
            <w:pPr>
              <w:spacing w:after="0"/>
              <w:rPr>
                <w:sz w:val="20"/>
                <w:szCs w:val="20"/>
                <w:color w:val="auto"/>
              </w:rPr>
            </w:pPr>
            <w:r>
              <w:rPr>
                <w:rFonts w:ascii="Arial" w:cs="Arial" w:eastAsia="Arial" w:hAnsi="Arial"/>
                <w:sz w:val="14"/>
                <w:szCs w:val="14"/>
                <w:color w:val="auto"/>
              </w:rPr>
              <w:t>Exercise of stock options</w:t>
            </w:r>
          </w:p>
        </w:tc>
        <w:tc>
          <w:tcPr>
            <w:tcW w:w="800" w:type="dxa"/>
            <w:vAlign w:val="bottom"/>
            <w:tcBorders>
              <w:top w:val="single" w:sz="8" w:color="CCFFCC"/>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c>
          <w:tcPr>
            <w:tcW w:w="680" w:type="dxa"/>
            <w:vAlign w:val="bottom"/>
            <w:tcBorders>
              <w:top w:val="single" w:sz="8" w:color="CCFFCC"/>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c>
          <w:tcPr>
            <w:tcW w:w="8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Borders>
              <w:top w:val="single" w:sz="8" w:color="CCFFCC"/>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c>
          <w:tcPr>
            <w:tcW w:w="680" w:type="dxa"/>
            <w:vAlign w:val="bottom"/>
            <w:tcBorders>
              <w:top w:val="single" w:sz="8" w:color="CCFFCC"/>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gridSpan w:val="2"/>
          </w:tcPr>
          <w:p>
            <w:pPr>
              <w:jc w:val="right"/>
              <w:ind w:right="80"/>
              <w:spacing w:after="0"/>
              <w:rPr>
                <w:sz w:val="20"/>
                <w:szCs w:val="20"/>
                <w:color w:val="auto"/>
              </w:rPr>
            </w:pPr>
            <w:r>
              <w:rPr>
                <w:rFonts w:ascii="Arial" w:cs="Arial" w:eastAsia="Arial" w:hAnsi="Arial"/>
                <w:sz w:val="14"/>
                <w:szCs w:val="14"/>
                <w:color w:val="auto"/>
              </w:rPr>
              <w:t>(40,300)</w:t>
            </w:r>
          </w:p>
        </w:tc>
        <w:tc>
          <w:tcPr>
            <w:tcW w:w="120" w:type="dxa"/>
            <w:vAlign w:val="bottom"/>
            <w:tcBorders>
              <w:top w:val="single" w:sz="8" w:color="CCFFCC"/>
            </w:tcBorders>
          </w:tcPr>
          <w:p>
            <w:pPr>
              <w:spacing w:after="0"/>
              <w:rPr>
                <w:sz w:val="15"/>
                <w:szCs w:val="15"/>
                <w:color w:val="auto"/>
              </w:rPr>
            </w:pPr>
          </w:p>
        </w:tc>
        <w:tc>
          <w:tcPr>
            <w:tcW w:w="280" w:type="dxa"/>
            <w:vAlign w:val="bottom"/>
            <w:tcBorders>
              <w:top w:val="single" w:sz="8" w:color="CCFFCC"/>
            </w:tcBorders>
          </w:tcPr>
          <w:p>
            <w:pPr>
              <w:spacing w:after="0"/>
              <w:rPr>
                <w:sz w:val="15"/>
                <w:szCs w:val="15"/>
                <w:color w:val="auto"/>
              </w:rPr>
            </w:pPr>
          </w:p>
        </w:tc>
        <w:tc>
          <w:tcPr>
            <w:tcW w:w="520" w:type="dxa"/>
            <w:vAlign w:val="bottom"/>
            <w:tcBorders>
              <w:top w:val="single" w:sz="8" w:color="CCFFCC"/>
            </w:tcBorders>
            <w:gridSpan w:val="2"/>
          </w:tcPr>
          <w:p>
            <w:pPr>
              <w:jc w:val="right"/>
              <w:ind w:right="120"/>
              <w:spacing w:after="0"/>
              <w:rPr>
                <w:sz w:val="20"/>
                <w:szCs w:val="20"/>
                <w:color w:val="auto"/>
              </w:rPr>
            </w:pPr>
            <w:r>
              <w:rPr>
                <w:rFonts w:ascii="Arial" w:cs="Arial" w:eastAsia="Arial" w:hAnsi="Arial"/>
                <w:sz w:val="14"/>
                <w:szCs w:val="14"/>
                <w:color w:val="auto"/>
              </w:rPr>
              <w:t>122</w:t>
            </w:r>
          </w:p>
        </w:tc>
        <w:tc>
          <w:tcPr>
            <w:tcW w:w="80" w:type="dxa"/>
            <w:vAlign w:val="bottom"/>
            <w:tcBorders>
              <w:top w:val="single" w:sz="8" w:color="CCFFCC"/>
            </w:tcBorders>
          </w:tcPr>
          <w:p>
            <w:pPr>
              <w:spacing w:after="0"/>
              <w:rPr>
                <w:sz w:val="15"/>
                <w:szCs w:val="15"/>
                <w:color w:val="auto"/>
              </w:rPr>
            </w:pPr>
          </w:p>
        </w:tc>
        <w:tc>
          <w:tcPr>
            <w:tcW w:w="960" w:type="dxa"/>
            <w:vAlign w:val="bottom"/>
            <w:tcBorders>
              <w:top w:val="single" w:sz="8" w:color="CCFFCC"/>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c>
          <w:tcPr>
            <w:tcW w:w="140" w:type="dxa"/>
            <w:vAlign w:val="bottom"/>
            <w:tcBorders>
              <w:top w:val="single" w:sz="8" w:color="CCFFCC"/>
            </w:tcBorders>
          </w:tcPr>
          <w:p>
            <w:pPr>
              <w:spacing w:after="0"/>
              <w:rPr>
                <w:sz w:val="15"/>
                <w:szCs w:val="15"/>
                <w:color w:val="auto"/>
              </w:rPr>
            </w:pPr>
          </w:p>
        </w:tc>
        <w:tc>
          <w:tcPr>
            <w:tcW w:w="840" w:type="dxa"/>
            <w:vAlign w:val="bottom"/>
            <w:tcBorders>
              <w:top w:val="single" w:sz="8" w:color="CCFFCC"/>
            </w:tcBorders>
            <w:gridSpan w:val="2"/>
          </w:tcPr>
          <w:p>
            <w:pPr>
              <w:jc w:val="right"/>
              <w:ind w:right="140"/>
              <w:spacing w:after="0"/>
              <w:rPr>
                <w:sz w:val="20"/>
                <w:szCs w:val="20"/>
                <w:color w:val="auto"/>
              </w:rPr>
            </w:pPr>
            <w:r>
              <w:rPr>
                <w:rFonts w:ascii="Arial" w:cs="Arial" w:eastAsia="Arial" w:hAnsi="Arial"/>
                <w:sz w:val="14"/>
                <w:szCs w:val="14"/>
                <w:color w:val="auto"/>
              </w:rPr>
              <w:t>293</w:t>
            </w:r>
          </w:p>
        </w:tc>
      </w:tr>
      <w:tr>
        <w:trPr>
          <w:trHeight w:val="176"/>
        </w:trPr>
        <w:tc>
          <w:tcPr>
            <w:tcW w:w="20" w:type="dxa"/>
            <w:vAlign w:val="bottom"/>
          </w:tcPr>
          <w:p>
            <w:pPr>
              <w:spacing w:after="0"/>
              <w:rPr>
                <w:sz w:val="15"/>
                <w:szCs w:val="15"/>
                <w:color w:val="auto"/>
              </w:rPr>
            </w:pPr>
          </w:p>
        </w:tc>
        <w:tc>
          <w:tcPr>
            <w:tcW w:w="37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Contribution of stock to 401(k) plan</w:t>
            </w:r>
          </w:p>
        </w:tc>
        <w:tc>
          <w:tcPr>
            <w:tcW w:w="80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2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(37,550)</w:t>
            </w:r>
          </w:p>
        </w:tc>
        <w:tc>
          <w:tcPr>
            <w:tcW w:w="12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5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FFCC"/>
          </w:tcPr>
          <w:p>
            <w:pPr>
              <w:spacing w:after="0"/>
              <w:rPr>
                <w:sz w:val="15"/>
                <w:szCs w:val="15"/>
                <w:color w:val="auto"/>
              </w:rPr>
            </w:pPr>
          </w:p>
        </w:tc>
        <w:tc>
          <w:tcPr>
            <w:tcW w:w="9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455</w:t>
            </w:r>
          </w:p>
        </w:tc>
      </w:tr>
      <w:tr>
        <w:trPr>
          <w:trHeight w:val="176"/>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Cash dividend</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(1,729)</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(1,729)</w:t>
            </w: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Investment in Elcom Technologies</w:t>
            </w:r>
          </w:p>
        </w:tc>
        <w:tc>
          <w:tcPr>
            <w:tcW w:w="800" w:type="dxa"/>
            <w:vAlign w:val="bottom"/>
            <w:shd w:val="clear" w:color="auto" w:fill="CCFFCC"/>
          </w:tcPr>
          <w:p>
            <w:pPr>
              <w:spacing w:after="0"/>
              <w:rPr>
                <w:sz w:val="21"/>
                <w:szCs w:val="21"/>
                <w:color w:val="auto"/>
              </w:rPr>
            </w:pPr>
          </w:p>
        </w:tc>
        <w:tc>
          <w:tcPr>
            <w:tcW w:w="120" w:type="dxa"/>
            <w:vAlign w:val="bottom"/>
            <w:tcBorders>
              <w:lef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tcBorders>
              <w:lef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2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(39,651)</w:t>
            </w:r>
          </w:p>
        </w:tc>
        <w:tc>
          <w:tcPr>
            <w:tcW w:w="1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5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500</w:t>
            </w:r>
          </w:p>
        </w:tc>
      </w:tr>
      <w:tr>
        <w:trPr>
          <w:trHeight w:val="176"/>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Stock compensation expense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559</w:t>
            </w:r>
          </w:p>
        </w:tc>
      </w:tr>
      <w:tr>
        <w:trPr>
          <w:trHeight w:val="170"/>
        </w:trPr>
        <w:tc>
          <w:tcPr>
            <w:tcW w:w="20" w:type="dxa"/>
            <w:vAlign w:val="bottom"/>
          </w:tcPr>
          <w:p>
            <w:pPr>
              <w:spacing w:after="0"/>
              <w:rPr>
                <w:sz w:val="14"/>
                <w:szCs w:val="14"/>
                <w:color w:val="auto"/>
              </w:rPr>
            </w:pPr>
          </w:p>
        </w:tc>
        <w:tc>
          <w:tcPr>
            <w:tcW w:w="37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Increase in market value of marketable Securities, net of tax</w:t>
            </w:r>
          </w:p>
        </w:tc>
        <w:tc>
          <w:tcPr>
            <w:tcW w:w="80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tcBorders>
              <w:righ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7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effect of $222</w:t>
            </w:r>
          </w:p>
        </w:tc>
        <w:tc>
          <w:tcPr>
            <w:tcW w:w="80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20" w:type="dxa"/>
            <w:vAlign w:val="bottom"/>
            <w:tcBorders>
              <w:right w:val="single" w:sz="8" w:color="CCFFCC"/>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333</w:t>
            </w:r>
          </w:p>
        </w:tc>
        <w:tc>
          <w:tcPr>
            <w:tcW w:w="140" w:type="dxa"/>
            <w:vAlign w:val="bottom"/>
            <w:shd w:val="clear" w:color="auto" w:fill="CCFFCC"/>
          </w:tcPr>
          <w:p>
            <w:pPr>
              <w:spacing w:after="0"/>
              <w:rPr>
                <w:sz w:val="15"/>
                <w:szCs w:val="15"/>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333</w:t>
            </w:r>
          </w:p>
        </w:tc>
      </w:tr>
      <w:tr>
        <w:trPr>
          <w:trHeight w:val="176"/>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Foreign currency translation adjustment</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97</w:t>
            </w:r>
          </w:p>
        </w:tc>
      </w:tr>
      <w:tr>
        <w:trPr>
          <w:trHeight w:val="203"/>
        </w:trPr>
        <w:tc>
          <w:tcPr>
            <w:tcW w:w="20" w:type="dxa"/>
            <w:vAlign w:val="bottom"/>
          </w:tcPr>
          <w:p>
            <w:pPr>
              <w:spacing w:after="0"/>
              <w:rPr>
                <w:sz w:val="17"/>
                <w:szCs w:val="17"/>
                <w:color w:val="auto"/>
              </w:rPr>
            </w:pPr>
          </w:p>
        </w:tc>
        <w:tc>
          <w:tcPr>
            <w:tcW w:w="37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(257)</w:t>
            </w:r>
          </w:p>
        </w:tc>
        <w:tc>
          <w:tcPr>
            <w:tcW w:w="8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(257)</w:t>
            </w: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CCFFCC"/>
          </w:tcPr>
          <w:p>
            <w:pPr>
              <w:spacing w:after="0" w:line="20" w:lineRule="exact"/>
              <w:rPr>
                <w:sz w:val="1"/>
                <w:szCs w:val="1"/>
                <w:color w:val="auto"/>
              </w:rPr>
            </w:pPr>
          </w:p>
        </w:tc>
        <w:tc>
          <w:tcPr>
            <w:tcW w:w="226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64"/>
        </w:trPr>
        <w:tc>
          <w:tcPr>
            <w:tcW w:w="3760" w:type="dxa"/>
            <w:vAlign w:val="bottom"/>
            <w:gridSpan w:val="3"/>
          </w:tcPr>
          <w:p>
            <w:pPr>
              <w:spacing w:after="0"/>
              <w:rPr>
                <w:sz w:val="20"/>
                <w:szCs w:val="20"/>
                <w:color w:val="auto"/>
              </w:rPr>
            </w:pPr>
            <w:r>
              <w:rPr>
                <w:rFonts w:ascii="Arial" w:cs="Arial" w:eastAsia="Arial" w:hAnsi="Arial"/>
                <w:sz w:val="14"/>
                <w:szCs w:val="14"/>
                <w:color w:val="auto"/>
              </w:rPr>
              <w:t>Comprehensive income- 2007</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173</w:t>
            </w:r>
          </w:p>
        </w:tc>
      </w:tr>
      <w:tr>
        <w:trPr>
          <w:trHeight w:val="20"/>
        </w:trPr>
        <w:tc>
          <w:tcPr>
            <w:tcW w:w="15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4"/>
                <w:szCs w:val="14"/>
                <w:color w:val="auto"/>
                <w:w w:val="93"/>
              </w:rPr>
              <w:t>Balance at April 30, 2007</w:t>
            </w:r>
          </w:p>
        </w:tc>
        <w:tc>
          <w:tcPr>
            <w:tcW w:w="226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w w:val="86"/>
              </w:rPr>
              <w:t>9,163,940</w:t>
            </w:r>
          </w:p>
        </w:tc>
        <w:tc>
          <w:tcPr>
            <w:tcW w:w="120" w:type="dxa"/>
            <w:vAlign w:val="bottom"/>
            <w:tcBorders>
              <w:left w:val="single" w:sz="8" w:color="CCFFCC"/>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9,164</w:t>
            </w:r>
          </w:p>
        </w:tc>
        <w:tc>
          <w:tcPr>
            <w:tcW w:w="120" w:type="dxa"/>
            <w:vAlign w:val="bottom"/>
            <w:tcBorders>
              <w:left w:val="single" w:sz="8" w:color="CCFFCC"/>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47,138</w:t>
            </w:r>
          </w:p>
        </w:tc>
        <w:tc>
          <w:tcPr>
            <w:tcW w:w="1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13,541</w:t>
            </w:r>
          </w:p>
        </w:tc>
        <w:tc>
          <w:tcPr>
            <w:tcW w:w="12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474,693</w:t>
            </w:r>
          </w:p>
        </w:tc>
        <w:tc>
          <w:tcPr>
            <w:tcW w:w="120" w:type="dxa"/>
            <w:vAlign w:val="bottom"/>
            <w:tcBorders>
              <w:bottom w:val="single" w:sz="8" w:color="CCFFCC"/>
              <w:right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52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w w:val="99"/>
              </w:rPr>
              <w:t>(2,080)</w:t>
            </w:r>
          </w:p>
        </w:tc>
        <w:tc>
          <w:tcPr>
            <w:tcW w:w="8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3,121</w:t>
            </w:r>
          </w:p>
        </w:tc>
        <w:tc>
          <w:tcPr>
            <w:tcW w:w="14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70,884</w:t>
            </w:r>
          </w:p>
        </w:tc>
      </w:tr>
      <w:tr>
        <w:trPr>
          <w:trHeight w:val="176"/>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(18,312)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158</w:t>
            </w:r>
          </w:p>
        </w:tc>
      </w:tr>
      <w:tr>
        <w:trPr>
          <w:trHeight w:val="176"/>
        </w:trPr>
        <w:tc>
          <w:tcPr>
            <w:tcW w:w="20" w:type="dxa"/>
            <w:vAlign w:val="bottom"/>
          </w:tcPr>
          <w:p>
            <w:pPr>
              <w:spacing w:after="0"/>
              <w:rPr>
                <w:sz w:val="15"/>
                <w:szCs w:val="15"/>
                <w:color w:val="auto"/>
              </w:rPr>
            </w:pPr>
          </w:p>
        </w:tc>
        <w:tc>
          <w:tcPr>
            <w:tcW w:w="37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Contribution of stock to 401(k) plan</w:t>
            </w:r>
          </w:p>
        </w:tc>
        <w:tc>
          <w:tcPr>
            <w:tcW w:w="80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406</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2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(61,327)</w:t>
            </w:r>
          </w:p>
        </w:tc>
        <w:tc>
          <w:tcPr>
            <w:tcW w:w="12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5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167</w:t>
            </w:r>
          </w:p>
        </w:tc>
        <w:tc>
          <w:tcPr>
            <w:tcW w:w="80" w:type="dxa"/>
            <w:vAlign w:val="bottom"/>
            <w:shd w:val="clear" w:color="auto" w:fill="CCFFCC"/>
          </w:tcPr>
          <w:p>
            <w:pPr>
              <w:spacing w:after="0"/>
              <w:rPr>
                <w:sz w:val="15"/>
                <w:szCs w:val="15"/>
                <w:color w:val="auto"/>
              </w:rPr>
            </w:pPr>
          </w:p>
        </w:tc>
        <w:tc>
          <w:tcPr>
            <w:tcW w:w="9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573</w:t>
            </w:r>
          </w:p>
        </w:tc>
      </w:tr>
      <w:tr>
        <w:trPr>
          <w:trHeight w:val="176"/>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Cash dividend</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(870)</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(870)</w:t>
            </w:r>
          </w:p>
        </w:tc>
      </w:tr>
      <w:tr>
        <w:trPr>
          <w:trHeight w:val="176"/>
        </w:trPr>
        <w:tc>
          <w:tcPr>
            <w:tcW w:w="20" w:type="dxa"/>
            <w:vAlign w:val="bottom"/>
          </w:tcPr>
          <w:p>
            <w:pPr>
              <w:spacing w:after="0"/>
              <w:rPr>
                <w:sz w:val="15"/>
                <w:szCs w:val="15"/>
                <w:color w:val="auto"/>
              </w:rPr>
            </w:pPr>
          </w:p>
        </w:tc>
        <w:tc>
          <w:tcPr>
            <w:tcW w:w="37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Stock compensation expense</w:t>
            </w:r>
          </w:p>
        </w:tc>
        <w:tc>
          <w:tcPr>
            <w:tcW w:w="80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560</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20" w:type="dxa"/>
            <w:vAlign w:val="bottom"/>
            <w:tcBorders>
              <w:right w:val="single" w:sz="8" w:color="CCFFCC"/>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9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560</w:t>
            </w:r>
          </w:p>
        </w:tc>
      </w:tr>
      <w:tr>
        <w:trPr>
          <w:trHeight w:val="176"/>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Purchase of stock for treasury</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32,312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(311)</w:t>
            </w:r>
          </w:p>
        </w:tc>
      </w:tr>
      <w:tr>
        <w:trPr>
          <w:trHeight w:val="170"/>
        </w:trPr>
        <w:tc>
          <w:tcPr>
            <w:tcW w:w="20" w:type="dxa"/>
            <w:vAlign w:val="bottom"/>
          </w:tcPr>
          <w:p>
            <w:pPr>
              <w:spacing w:after="0"/>
              <w:rPr>
                <w:sz w:val="14"/>
                <w:szCs w:val="14"/>
                <w:color w:val="auto"/>
              </w:rPr>
            </w:pPr>
          </w:p>
        </w:tc>
        <w:tc>
          <w:tcPr>
            <w:tcW w:w="3740" w:type="dxa"/>
            <w:vAlign w:val="bottom"/>
            <w:gridSpan w:val="2"/>
            <w:shd w:val="clear" w:color="auto" w:fill="CCFFCC"/>
          </w:tcPr>
          <w:p>
            <w:pPr>
              <w:spacing w:after="0"/>
              <w:rPr>
                <w:sz w:val="20"/>
                <w:szCs w:val="20"/>
                <w:color w:val="auto"/>
              </w:rPr>
            </w:pPr>
            <w:r>
              <w:rPr>
                <w:rFonts w:ascii="Arial" w:cs="Arial" w:eastAsia="Arial" w:hAnsi="Arial"/>
                <w:sz w:val="14"/>
                <w:szCs w:val="14"/>
                <w:color w:val="auto"/>
                <w:w w:val="98"/>
              </w:rPr>
              <w:t>Decrease in market value of marketable securities, net of tax</w:t>
            </w:r>
          </w:p>
        </w:tc>
        <w:tc>
          <w:tcPr>
            <w:tcW w:w="80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tcBorders>
              <w:righ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7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effect of $174</w:t>
            </w:r>
          </w:p>
        </w:tc>
        <w:tc>
          <w:tcPr>
            <w:tcW w:w="80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20" w:type="dxa"/>
            <w:vAlign w:val="bottom"/>
            <w:tcBorders>
              <w:right w:val="single" w:sz="8" w:color="CCFFCC"/>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(261)</w:t>
            </w:r>
          </w:p>
        </w:tc>
        <w:tc>
          <w:tcPr>
            <w:tcW w:w="140" w:type="dxa"/>
            <w:vAlign w:val="bottom"/>
            <w:shd w:val="clear" w:color="auto" w:fill="CCFFCC"/>
          </w:tcPr>
          <w:p>
            <w:pPr>
              <w:spacing w:after="0"/>
              <w:rPr>
                <w:sz w:val="15"/>
                <w:szCs w:val="15"/>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(261)</w:t>
            </w:r>
          </w:p>
        </w:tc>
      </w:tr>
      <w:tr>
        <w:trPr>
          <w:trHeight w:val="176"/>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Foreign currency translation adjustment</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1,990</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1,990</w:t>
            </w:r>
          </w:p>
        </w:tc>
      </w:tr>
      <w:tr>
        <w:trPr>
          <w:trHeight w:val="203"/>
        </w:trPr>
        <w:tc>
          <w:tcPr>
            <w:tcW w:w="20" w:type="dxa"/>
            <w:vAlign w:val="bottom"/>
          </w:tcPr>
          <w:p>
            <w:pPr>
              <w:spacing w:after="0"/>
              <w:rPr>
                <w:sz w:val="17"/>
                <w:szCs w:val="17"/>
                <w:color w:val="auto"/>
              </w:rPr>
            </w:pPr>
          </w:p>
        </w:tc>
        <w:tc>
          <w:tcPr>
            <w:tcW w:w="37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887</w:t>
            </w:r>
          </w:p>
        </w:tc>
        <w:tc>
          <w:tcPr>
            <w:tcW w:w="8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887</w:t>
            </w: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CCFFCC"/>
          </w:tcPr>
          <w:p>
            <w:pPr>
              <w:spacing w:after="0" w:line="20" w:lineRule="exact"/>
              <w:rPr>
                <w:sz w:val="1"/>
                <w:szCs w:val="1"/>
                <w:color w:val="auto"/>
              </w:rPr>
            </w:pPr>
          </w:p>
        </w:tc>
        <w:tc>
          <w:tcPr>
            <w:tcW w:w="226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64"/>
        </w:trPr>
        <w:tc>
          <w:tcPr>
            <w:tcW w:w="3760" w:type="dxa"/>
            <w:vAlign w:val="bottom"/>
            <w:gridSpan w:val="3"/>
          </w:tcPr>
          <w:p>
            <w:pPr>
              <w:spacing w:after="0"/>
              <w:rPr>
                <w:sz w:val="20"/>
                <w:szCs w:val="20"/>
                <w:color w:val="auto"/>
              </w:rPr>
            </w:pPr>
            <w:r>
              <w:rPr>
                <w:rFonts w:ascii="Arial" w:cs="Arial" w:eastAsia="Arial" w:hAnsi="Arial"/>
                <w:sz w:val="14"/>
                <w:szCs w:val="14"/>
                <w:color w:val="auto"/>
              </w:rPr>
              <w:t>Comprehensive income- 2008</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2,616</w:t>
            </w:r>
          </w:p>
        </w:tc>
      </w:tr>
      <w:tr>
        <w:trPr>
          <w:trHeight w:val="20"/>
        </w:trPr>
        <w:tc>
          <w:tcPr>
            <w:tcW w:w="15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4"/>
                <w:szCs w:val="14"/>
                <w:color w:val="auto"/>
                <w:w w:val="93"/>
              </w:rPr>
              <w:t>Balance at April 30, 2008</w:t>
            </w:r>
          </w:p>
        </w:tc>
        <w:tc>
          <w:tcPr>
            <w:tcW w:w="2260" w:type="dxa"/>
            <w:vAlign w:val="bottom"/>
            <w:shd w:val="clear" w:color="auto" w:fill="CCFFCC"/>
          </w:tcPr>
          <w:p>
            <w:pPr>
              <w:spacing w:after="0"/>
              <w:rPr>
                <w:sz w:val="16"/>
                <w:szCs w:val="16"/>
                <w:color w:val="auto"/>
              </w:rPr>
            </w:pPr>
          </w:p>
        </w:tc>
        <w:tc>
          <w:tcPr>
            <w:tcW w:w="800" w:type="dxa"/>
            <w:vAlign w:val="bottom"/>
            <w:shd w:val="clear" w:color="auto" w:fill="CCFFCC"/>
          </w:tcPr>
          <w:p>
            <w:pPr>
              <w:ind w:left="220"/>
              <w:spacing w:after="0"/>
              <w:rPr>
                <w:sz w:val="20"/>
                <w:szCs w:val="20"/>
                <w:color w:val="auto"/>
              </w:rPr>
            </w:pPr>
            <w:r>
              <w:rPr>
                <w:rFonts w:ascii="Arial" w:cs="Arial" w:eastAsia="Arial" w:hAnsi="Arial"/>
                <w:sz w:val="14"/>
                <w:szCs w:val="14"/>
                <w:color w:val="auto"/>
                <w:w w:val="86"/>
              </w:rPr>
              <w:t>9,163,940</w:t>
            </w:r>
          </w:p>
        </w:tc>
        <w:tc>
          <w:tcPr>
            <w:tcW w:w="120" w:type="dxa"/>
            <w:vAlign w:val="bottom"/>
            <w:tcBorders>
              <w:left w:val="single" w:sz="8" w:color="CCFFCC"/>
            </w:tcBorders>
            <w:shd w:val="clear" w:color="auto" w:fill="CCFFCC"/>
          </w:tcPr>
          <w:p>
            <w:pPr>
              <w:spacing w:after="0"/>
              <w:rPr>
                <w:sz w:val="16"/>
                <w:szCs w:val="16"/>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9,164</w:t>
            </w:r>
          </w:p>
        </w:tc>
        <w:tc>
          <w:tcPr>
            <w:tcW w:w="120" w:type="dxa"/>
            <w:vAlign w:val="bottom"/>
            <w:tcBorders>
              <w:left w:val="single" w:sz="8" w:color="CCFFCC"/>
            </w:tcBorders>
            <w:shd w:val="clear" w:color="auto" w:fill="CCFFCC"/>
          </w:tcPr>
          <w:p>
            <w:pPr>
              <w:spacing w:after="0"/>
              <w:rPr>
                <w:sz w:val="16"/>
                <w:szCs w:val="16"/>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48,213</w:t>
            </w:r>
          </w:p>
        </w:tc>
        <w:tc>
          <w:tcPr>
            <w:tcW w:w="120" w:type="dxa"/>
            <w:vAlign w:val="bottom"/>
            <w:shd w:val="clear" w:color="auto" w:fill="CCFFCC"/>
          </w:tcPr>
          <w:p>
            <w:pPr>
              <w:spacing w:after="0"/>
              <w:rPr>
                <w:sz w:val="16"/>
                <w:szCs w:val="16"/>
                <w:color w:val="auto"/>
              </w:rPr>
            </w:pPr>
          </w:p>
        </w:tc>
        <w:tc>
          <w:tcPr>
            <w:tcW w:w="120" w:type="dxa"/>
            <w:vAlign w:val="bottom"/>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13,558</w:t>
            </w:r>
          </w:p>
        </w:tc>
        <w:tc>
          <w:tcPr>
            <w:tcW w:w="1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427,366</w:t>
            </w:r>
          </w:p>
        </w:tc>
        <w:tc>
          <w:tcPr>
            <w:tcW w:w="120" w:type="dxa"/>
            <w:vAlign w:val="bottom"/>
            <w:tcBorders>
              <w:right w:val="single" w:sz="8" w:color="CCFFCC"/>
            </w:tcBorders>
            <w:shd w:val="clear" w:color="auto" w:fill="CCFFCC"/>
          </w:tcPr>
          <w:p>
            <w:pPr>
              <w:spacing w:after="0"/>
              <w:rPr>
                <w:sz w:val="16"/>
                <w:szCs w:val="16"/>
                <w:color w:val="auto"/>
              </w:rPr>
            </w:pPr>
          </w:p>
        </w:tc>
        <w:tc>
          <w:tcPr>
            <w:tcW w:w="120" w:type="dxa"/>
            <w:vAlign w:val="bottom"/>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FFCC"/>
          </w:tcPr>
          <w:p>
            <w:pPr>
              <w:spacing w:after="0"/>
              <w:rPr>
                <w:sz w:val="16"/>
                <w:szCs w:val="16"/>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5"/>
              </w:rPr>
              <w:t>(2,175)</w:t>
            </w:r>
          </w:p>
        </w:tc>
        <w:tc>
          <w:tcPr>
            <w:tcW w:w="120" w:type="dxa"/>
            <w:vAlign w:val="bottom"/>
            <w:shd w:val="clear" w:color="auto" w:fill="CCFFCC"/>
          </w:tcPr>
          <w:p>
            <w:pPr>
              <w:spacing w:after="0"/>
              <w:rPr>
                <w:sz w:val="16"/>
                <w:szCs w:val="16"/>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4,850</w:t>
            </w:r>
          </w:p>
        </w:tc>
        <w:tc>
          <w:tcPr>
            <w:tcW w:w="120" w:type="dxa"/>
            <w:vAlign w:val="bottom"/>
            <w:shd w:val="clear" w:color="auto" w:fill="CCFFCC"/>
          </w:tcPr>
          <w:p>
            <w:pPr>
              <w:spacing w:after="0"/>
              <w:rPr>
                <w:sz w:val="16"/>
                <w:szCs w:val="16"/>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73,610</w:t>
            </w:r>
          </w:p>
        </w:tc>
        <w:tc>
          <w:tcPr>
            <w:tcW w:w="140" w:type="dxa"/>
            <w:vAlign w:val="bottom"/>
            <w:shd w:val="clear" w:color="auto" w:fill="CCFFCC"/>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shd w:val="clear" w:color="auto" w:fill="CCFFCC"/>
          </w:tcPr>
          <w:p>
            <w:pPr>
              <w:spacing w:after="0" w:line="20" w:lineRule="exact"/>
              <w:rPr>
                <w:sz w:val="1"/>
                <w:szCs w:val="1"/>
                <w:color w:val="auto"/>
              </w:rPr>
            </w:pPr>
          </w:p>
        </w:tc>
        <w:tc>
          <w:tcPr>
            <w:tcW w:w="226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9"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Summary of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w:t>
      </w:r>
    </w:p>
    <w:p>
      <w:pPr>
        <w:spacing w:after="0" w:line="28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15 for information regarding the Company’s FEI-NY (which includes the subsidiaries FEI Government Systems, Inc., FEI Communications, Inc., and FEI-Asia, Inc.), Gillam-FEI, and FEI-Zyfer business segments. Intercompany accounts and significant intercompany transactions are eliminated in consolidation. To accommodate the different fiscal periods of Gillam-FEI, the Company recognizes its share of net income or loss on a one month lag. Any material events which may occur during the intervening month at Gillam-FEI will be accounted for in the consolidated financial statements.</w:t>
      </w:r>
    </w:p>
    <w:p>
      <w:pPr>
        <w:spacing w:after="0" w:line="22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These financial statements have been prepared in conformity with generally accepted accounting principles and require management to make estimates and assumptions that affect amounts reported and disclosed in the financial statements and related notes. Actual results could differ from these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Certain prior year amounts have been reclassified to conform to current year presentation. These reclassifications had no effect on reported consolidated earnings.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considers certificates of deposit and other highly liquid investments with original maturities of three months or less to be cash equivalents. The Company places its temporary cash investments with high credit quality financial institutions. Such investments may be in excess of the FDIC insurance limit. No losses have been experienced on such investments.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8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Marketable securities consist of investments in common stocks, mutual funds, and debt securities of U.S. government agencies. Substantially all marketable securities at April 30, 2008 were held in the custody of two financial institutions. Investments in debt and equity securities are categorized as available for sale and are carried at fair value, with unrealized gains and losses excluded from income and recorded directly to stockholders' equity. The Company recognizes gains or losses when securities are sold using the specific identification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8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Losses from uncollectible accounts receivable are provided for by utilizing the allowance for doubtful accounts method based upon management’s estimate of uncollectible accounts. Management specifically analyzes accounts receivable and the potential for bad debts, customer concentrations, credit worthiness, current economic trends and changes in customer payment terms when evaluating the allowance for doubtful accounts.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w:t>
      </w:r>
    </w:p>
    <w:p>
      <w:pPr>
        <w:spacing w:after="0" w:line="28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Inventories, which consist of finished goods, work-in-process, raw materials and components, are accounted for at the lower of cost (specific and average) or market.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8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Depreciation of fixed assets is computed on the straight-line method based upon the estimated useful lives of the assets (40 years for buildings and 3 to 10 years for other depreciable assets). Leasehold improvements are amortized on the straight-line method over the shorter of the term of the lease or the useful life of the related improvement.</w:t>
      </w:r>
    </w:p>
    <w:p>
      <w:pPr>
        <w:spacing w:after="0" w:line="23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Amortization of identifiable intangible assets is based upon the expected lives of the assets and is recorded at a rate which approximates the Company’s utilization of the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8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Intangible assets consist of customer lists which result from the excess purchase price over the fair value of acquired tangible assets. The customer lists are measured at fair value and amortized over the estimated useful life of 3 to 6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8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records goodwill as the excess of purchase price over the fair value of identifiable net assets acquired. In accordance with Statement of Financial Accounting Standards ("FAS") No. 142 "Goodwill and Other Intangible Assets," goodwill is tested for impairment on at least an annual basis. When it is determined that the carrying value of investments may not be recoverable, the Company writes down the related goodwill to an amount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Revenues under larger, long-term contracts, which generally require billings based on achievement of milestones rather than delivery of product,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Costs and estimated earnings in excess of billings on uncompleted contracts are included in accounts receivable</w:t>
      </w:r>
    </w:p>
    <w:p>
      <w:pPr>
        <w:spacing w:after="0" w:line="24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production-type orders, revenue is recorded as units are delivered with the related cost of sales recognized on each shipment based upon a percentage of estimated final program costs. Changes in job performance may result in revisions to costs and revenue and are recognized in the period in which revisions are determined to be required. Provisions for anticipated losses are made in the period in which they become determinable.</w:t>
      </w:r>
    </w:p>
    <w:p>
      <w:pPr>
        <w:spacing w:after="0" w:line="220"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For customer orders in the Company’s subsidiaries, and smaller contracts or orders in the other business segments, sales of products and services to customers are reported in operating results upon shipment of the product or performance of the services pursuant to terms of the customer order.</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2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Comprehensive income consists of net income and other comprehensive income. Other comprehensive income includes unrealized gains or losses, net of tax, on securities available for sale during the year and the effects of foreign currency translation adjustments.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8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engages in research and development activities to identify new applications for its core technologies, to improve existing products and to improve manufacturing processes to achieve cost reductions and manufacturing efficiencies. Research and development costs include direct labor, manufacturing overhead, direct materials and contracted services. Such costs are expensed as incurred. In the normal course of business the Company is also contracted to perform research and development for others. The costs incurred under such contracts are recorded in cost of sales.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8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when necessary to reduce deferred tax assets to the amount expected to be realized.</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Effective May 1, 2007, the Company adopted the provisions of Financial Accounting Standards Board (“FASB”) Interpretation No. 48, “Accounting for Uncertainty in Income Taxes” (“FIN 48”). FIN 48 prescribes recognition thresholds that must be met before a tax benefit is recognized in the financial statements and provides guidance on de-recognition, classification, interest and penalties, accounting in interim periods, disclosure, and transition. Under FIN 48, an entity may only recognize or continue to recognize tax positions that meet a "more likely than not" threshold. The adoption of FIN 48 did not have a material effect on the Company's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8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Cash and cash equivalents and short-term credit obligations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minority interests in two privately-held companies, Morion, Inc. (“Morion”) and Elcom Technologies, Inc. (“Elcom”) The Company is unable to reasonably estimate a fair value for these investments. Accordingly, the Morion investment is carried at cost and the Elcom investment is accounted for on the equity method, adjusting the original cost for the Company’s share of Elcom’s net income or loss.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 and Foreign Currency Adjustments:</w:t>
      </w:r>
    </w:p>
    <w:p>
      <w:pPr>
        <w:spacing w:after="0" w:line="28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maintains manufacturing operations in Belgium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non-monetary items and equity accounts, which are translated at historical rate, are translated into US dollars at the rates of exchange in effect on the date of the balance sheet. As a result, similar results in local currency can vary significantly upon translation into US dollars if exchange rates fluctuate significantly from one period to the next.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83"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includes: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 Results for prior periods were not restated.</w:t>
      </w:r>
    </w:p>
    <w:p>
      <w:pPr>
        <w:spacing w:after="0" w:line="21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Upon adoption of FAS 123(R), the Company elected to continue to value its share-based payment transactions using the Black-Scholes valuation model, which was previously used by the Company for purposes of preparing the pro forma disclosures under FAS 123. Such value is recognized as expense on a straight-line basis over the service period of the awards, which is generally the vesting period, net of estimated forfeitures.</w:t>
      </w:r>
    </w:p>
    <w:p>
      <w:pPr>
        <w:spacing w:after="0" w:line="22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weighted average fair value of each option has been estimated on the date of grant using the Black-Scholes options pricing model with the following weighted average assumptions used for grants in each of the years ended April 30, 2008 and 2007: dividend yield of 1.5% and 1.3%; expected volatility of 38% and 40%; risk free interest rate of 4.0% and 5.0%; and expected lives of six and one-half years, respectively.</w:t>
      </w:r>
    </w:p>
    <w:p>
      <w:pPr>
        <w:spacing w:after="0" w:line="22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expected life assumption was determined based on the Company’s historical experience. For purposes of both FAS 123 and FAS 123(R), the expected volatility assumption was based on the historical volatility of the Company’s common stock. The dividend yield assumption was determined based upon the Company’s past history of dividend payments and its intention to make future dividend payments. The risk-free interest rate assumption was determined using the implied yield currently available for zero-coupon U.S. government issues with a remaining term equal to the expected life of the stock options.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principally of trade receivables. Concentration of credit risk with respect to these receivables is generally diversified due to the large number of entities comprising the Company’s customer base and their dispersion across geographic areas principally within the United States. The Company routinely addresses the financial strength of its customers and, as a consequence, believes that its receivable credit risk exposure is limited. The Company does not require customers to post collateral although for certain foreign-based customers, it may request a letter of credit to secure payment.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September 2006, the FASB issued Statement No. 157, “Fair Value Measurements.” (“FAS 157”) This statement defines fair value, establishes a framework for measuring fair value in generally accepted accounting principles (“GAAP”) and expands disclosures about fair value measurements. FAS 157 does not require any new fair value measurements but simplifies and codifies related guidance. The Company will comply with the provisions of FAS 157 when it becomes effective in fiscal year 2009. The impact of such adoption is not expected to have a material impact on the Company’s financial statements since the Company utilizes fair value measures wherever required by current GAAP.</w:t>
      </w:r>
    </w:p>
    <w:p>
      <w:pPr>
        <w:spacing w:after="0" w:line="242"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February 2007, the FASB issued Statement No. 159, “The Fair Value Option for Financial Assets and Financial Liabilities including an amendment of SFAS No. 115” (“FAS 159”). The new statement allows entities to choose, at specified election dates, to measure eligible financial assets and liabilities at fair value that are not otherwise required to be measured at fair value. If a company elects the fair value option for an eligible item, changes in that item’s fair value in subsequent reporting periods must be recognized in current earnings. FAS 159 is effective for fiscal years beginning after November 15, 2007. The Company is currently evaluating the potential impact of FAS 159 on its financial position and results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December 2007, the FASB issued Statements No. 141(R), “Business Combinations”, and No. 160, “Noncontrolling Interests in Consolidated Financial Statements.” Effective for fiscal years beginning after December 15, 2008, these statements revise and converge internationally the accounting for business combinations and the reporting of noncontrolling interests in consolidated financial statements. The adoption of these statements has no impact on the Company’s current financial statements but will change the Company’s accounting treatment for business combinations on a prospective basis.</w:t>
      </w:r>
    </w:p>
    <w:p>
      <w:pPr>
        <w:spacing w:after="0" w:line="208" w:lineRule="exact"/>
        <w:rPr>
          <w:sz w:val="20"/>
          <w:szCs w:val="20"/>
          <w:color w:val="auto"/>
        </w:rPr>
      </w:pPr>
    </w:p>
    <w:p>
      <w:pPr>
        <w:jc w:val="both"/>
        <w:ind w:right="420" w:firstLine="648"/>
        <w:spacing w:after="0" w:line="293" w:lineRule="auto"/>
        <w:rPr>
          <w:sz w:val="20"/>
          <w:szCs w:val="20"/>
          <w:color w:val="auto"/>
        </w:rPr>
      </w:pPr>
      <w:r>
        <w:rPr>
          <w:rFonts w:ascii="Arial" w:cs="Arial" w:eastAsia="Arial" w:hAnsi="Arial"/>
          <w:sz w:val="16"/>
          <w:szCs w:val="16"/>
          <w:color w:val="auto"/>
        </w:rPr>
        <w:t>In March 2008, the FASB issued Statement No.161, Disclosures about Derivative Instruments and Hedging Activities - An Amendment of FASB Statement No. 133 (“FAS 161”). FAS 161 requires enhanced qualitative disclosures about objectives and strategies for using derivatives, quantitative disclosures about fair value amounts of and gains and losses on derivative instruments, and disclosures about credit-risk-related contingent features in derivative agreements. FAS 161 is effective for financial statements issued for fiscal years and interim periods beginning after November 15, 2008. The Company is currently evaluating the impact of FAS 161 on its consolidated financial statements although it does not anticipate that the statement will have a material impact since the Company has not historically engaged in hedging activities or acquired derivative instruments.</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1, 2007, the Company adopted the provisions of FASB Financial Interpretation No. 48, “Accounting for Uncertainty in Income Taxes – an interpretation of FASB Statement No. 109.” (“FIN 48”) This interpretation clarifies the accounting for uncertainty in income taxes recognized in an entity’s financial statements and prescribes recognition thresholds and measurement attributes for tax positions taken in a tax return. Tax positions must meet a more-likely-than-not recognition threshold at the effective date to be recognized upon the adoption of FIN 48 and in subsequent periods. As a result of the implementation of FIN 48, the Company has evaluated its tax positions and has concluded that the tax positions meet the more-likely-than-not recognition threshold. As such, there is no impact on the Company’s financial position or results of operations.</w:t>
      </w:r>
    </w:p>
    <w:p>
      <w:pPr>
        <w:spacing w:after="0" w:line="273"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Reconciliations of the weighted average shares outstanding for basic and diluted Earnings Per Share are as follows:</w:t>
      </w:r>
    </w:p>
    <w:p>
      <w:pPr>
        <w:spacing w:after="0" w:line="333"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2960" w:type="dxa"/>
            <w:vAlign w:val="bottom"/>
            <w:gridSpan w:val="4"/>
          </w:tcPr>
          <w:p>
            <w:pPr>
              <w:jc w:val="right"/>
              <w:ind w:right="740"/>
              <w:spacing w:after="0"/>
              <w:rPr>
                <w:sz w:val="20"/>
                <w:szCs w:val="20"/>
                <w:color w:val="auto"/>
              </w:rPr>
            </w:pPr>
            <w:r>
              <w:rPr>
                <w:rFonts w:ascii="Arial" w:cs="Arial" w:eastAsia="Arial" w:hAnsi="Arial"/>
                <w:sz w:val="18"/>
                <w:szCs w:val="18"/>
                <w:color w:val="auto"/>
              </w:rPr>
              <w:t>Years ended April 30,</w:t>
            </w:r>
          </w:p>
        </w:tc>
      </w:tr>
      <w:tr>
        <w:trPr>
          <w:trHeight w:val="264"/>
        </w:trPr>
        <w:tc>
          <w:tcPr>
            <w:tcW w:w="578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2008</w:t>
            </w: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2"/>
                <w:szCs w:val="22"/>
                <w:color w:val="auto"/>
              </w:rPr>
            </w:pPr>
          </w:p>
        </w:tc>
      </w:tr>
      <w:tr>
        <w:trPr>
          <w:trHeight w:val="237"/>
        </w:trPr>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 (weighted average)</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8,710,260</w:t>
            </w:r>
          </w:p>
        </w:tc>
        <w:tc>
          <w:tcPr>
            <w:tcW w:w="200" w:type="dxa"/>
            <w:vAlign w:val="bottom"/>
            <w:shd w:val="clear" w:color="auto" w:fill="CCFFCC"/>
          </w:tcPr>
          <w:p>
            <w:pPr>
              <w:spacing w:after="0"/>
              <w:rPr>
                <w:sz w:val="20"/>
                <w:szCs w:val="20"/>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8,620,776</w:t>
            </w:r>
          </w:p>
        </w:tc>
        <w:tc>
          <w:tcPr>
            <w:tcW w:w="120" w:type="dxa"/>
            <w:vAlign w:val="bottom"/>
            <w:shd w:val="clear" w:color="auto" w:fill="CCFFCC"/>
          </w:tcPr>
          <w:p>
            <w:pPr>
              <w:spacing w:after="0"/>
              <w:rPr>
                <w:sz w:val="20"/>
                <w:szCs w:val="20"/>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67,799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7"/>
        </w:trPr>
        <w:tc>
          <w:tcPr>
            <w:tcW w:w="57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8,778,059</w:t>
            </w:r>
          </w:p>
        </w:tc>
        <w:tc>
          <w:tcPr>
            <w:tcW w:w="200" w:type="dxa"/>
            <w:vAlign w:val="bottom"/>
            <w:tcBorders>
              <w:bottom w:val="single" w:sz="8" w:color="CCFFCC"/>
            </w:tcBorders>
            <w:shd w:val="clear" w:color="auto" w:fill="CCFFCC"/>
          </w:tcPr>
          <w:p>
            <w:pPr>
              <w:spacing w:after="0"/>
              <w:rPr>
                <w:sz w:val="24"/>
                <w:szCs w:val="24"/>
                <w:color w:val="auto"/>
              </w:rPr>
            </w:pP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8,620,776</w:t>
            </w:r>
          </w:p>
        </w:tc>
        <w:tc>
          <w:tcPr>
            <w:tcW w:w="12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Dilutive securities are excluded for fiscal year 2007 since the inclusion of such shares would be antidilutive due to the net loss for that year.</w:t>
      </w:r>
    </w:p>
    <w:p>
      <w:pPr>
        <w:spacing w:after="0" w:line="291"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Options to purchase 820,000 and 571,550 shares of common stock were outstanding during each of the years ended April 30, 2008 and 2007, respectively, but were not included in the computation of diluted earnings per share because the exercise price of the options was greater than the average market price of the Company’s common shares during the respective periods. Since the inclusion of such options would have been antidilutive they are excluded from the computation.</w:t>
      </w:r>
    </w:p>
    <w:p>
      <w:pPr>
        <w:spacing w:after="0" w:line="281"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Accounts Receivable</w:t>
      </w:r>
    </w:p>
    <w:p>
      <w:pPr>
        <w:spacing w:after="0" w:line="293"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Accounts receivable include costs and estimated earnings in excess of billings on uncompleted contracts accounted for on the percentage of completion basis of approximately $9,556,000 at April 30, 2008 and $6,259,000 at April 30, 2007. Such amounts represent revenue recognized on long-term contracts that has not been billed, pursuant to contract terms, and was not billable at the balance sheet date.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320"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Inventories</w:t>
      </w:r>
    </w:p>
    <w:p>
      <w:pPr>
        <w:spacing w:after="0" w:line="293"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Inventories, which are reported net of reserves of $6,206,000 and $5,028,000 (including fourth quarter adjustments to increase reserves by $1,000,000 and $800,000, respectively) at April 30, 2008 and 2007, respectively, consisted of the following (in thousands):</w:t>
      </w:r>
    </w:p>
    <w:p>
      <w:pPr>
        <w:spacing w:after="0" w:line="25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37"/>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12,523</w:t>
            </w:r>
          </w:p>
        </w:tc>
        <w:tc>
          <w:tcPr>
            <w:tcW w:w="200" w:type="dxa"/>
            <w:vAlign w:val="bottom"/>
            <w:shd w:val="clear" w:color="auto" w:fill="CCFFCC"/>
          </w:tcPr>
          <w:p>
            <w:pPr>
              <w:spacing w:after="0"/>
              <w:rPr>
                <w:sz w:val="20"/>
                <w:szCs w:val="20"/>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16,119</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Work in Progress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13,938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12,821</w:t>
            </w:r>
          </w:p>
        </w:tc>
      </w:tr>
      <w:tr>
        <w:trPr>
          <w:trHeight w:val="243"/>
        </w:trPr>
        <w:tc>
          <w:tcPr>
            <w:tcW w:w="6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3,757</w:t>
            </w:r>
          </w:p>
        </w:tc>
        <w:tc>
          <w:tcPr>
            <w:tcW w:w="2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2,261</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68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30,218</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31,201</w:t>
            </w:r>
          </w:p>
        </w:tc>
      </w:tr>
      <w:tr>
        <w:trPr>
          <w:trHeight w:val="20"/>
        </w:trPr>
        <w:tc>
          <w:tcPr>
            <w:tcW w:w="6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p>
    <w:p>
      <w:pPr>
        <w:spacing w:after="0" w:line="29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April 30, 2008 and 2007 are as follows (in thousands):</w:t>
      </w:r>
    </w:p>
    <w:p>
      <w:pPr>
        <w:spacing w:after="0" w:line="27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right"/>
              <w:ind w:right="1080"/>
              <w:spacing w:after="0"/>
              <w:rPr>
                <w:sz w:val="20"/>
                <w:szCs w:val="20"/>
                <w:color w:val="auto"/>
              </w:rPr>
            </w:pPr>
            <w:r>
              <w:rPr>
                <w:rFonts w:ascii="Arial" w:cs="Arial" w:eastAsia="Arial" w:hAnsi="Arial"/>
                <w:sz w:val="18"/>
                <w:szCs w:val="18"/>
                <w:color w:val="auto"/>
              </w:rPr>
              <w:t>April 30, 2008</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left="130"/>
              <w:spacing w:after="0"/>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Gross</w:t>
            </w:r>
          </w:p>
        </w:tc>
        <w:tc>
          <w:tcPr>
            <w:tcW w:w="2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Fair</w:t>
            </w:r>
          </w:p>
        </w:tc>
      </w:tr>
      <w:tr>
        <w:trPr>
          <w:trHeight w:val="243"/>
        </w:trPr>
        <w:tc>
          <w:tcPr>
            <w:tcW w:w="3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center"/>
              <w:ind w:left="130"/>
              <w:spacing w:after="0"/>
              <w:rPr>
                <w:sz w:val="20"/>
                <w:szCs w:val="20"/>
                <w:color w:val="auto"/>
              </w:rPr>
            </w:pPr>
            <w:r>
              <w:rPr>
                <w:rFonts w:ascii="Arial" w:cs="Arial" w:eastAsia="Arial" w:hAnsi="Arial"/>
                <w:sz w:val="18"/>
                <w:szCs w:val="18"/>
                <w:color w:val="auto"/>
                <w:w w:val="90"/>
              </w:rPr>
              <w:t>Unrealized</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Unrealized</w:t>
            </w:r>
          </w:p>
        </w:tc>
        <w:tc>
          <w:tcPr>
            <w:tcW w:w="2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Market</w:t>
            </w:r>
          </w:p>
        </w:tc>
      </w:tr>
      <w:tr>
        <w:trPr>
          <w:trHeight w:val="270"/>
        </w:trPr>
        <w:tc>
          <w:tcPr>
            <w:tcW w:w="3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3"/>
                <w:szCs w:val="23"/>
                <w:color w:val="auto"/>
              </w:rPr>
            </w:pPr>
          </w:p>
        </w:tc>
        <w:tc>
          <w:tcPr>
            <w:tcW w:w="10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9"/>
              </w:rPr>
              <w:t>Gains</w:t>
            </w: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3"/>
                <w:szCs w:val="23"/>
                <w:color w:val="auto"/>
              </w:rPr>
            </w:pPr>
          </w:p>
        </w:tc>
      </w:tr>
      <w:tr>
        <w:trPr>
          <w:trHeight w:val="237"/>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4,593</w:t>
            </w:r>
          </w:p>
        </w:tc>
        <w:tc>
          <w:tcPr>
            <w:tcW w:w="1280" w:type="dxa"/>
            <w:vAlign w:val="bottom"/>
            <w:gridSpan w:val="2"/>
            <w:shd w:val="clear" w:color="auto" w:fill="CCFFCC"/>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4,067</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620" w:type="dxa"/>
            <w:vAlign w:val="bottom"/>
            <w:shd w:val="clear" w:color="auto" w:fill="CCFFCC"/>
          </w:tcPr>
          <w:p>
            <w:pPr>
              <w:spacing w:after="0"/>
              <w:rPr>
                <w:sz w:val="22"/>
                <w:szCs w:val="22"/>
                <w:color w:val="auto"/>
              </w:rPr>
            </w:pPr>
          </w:p>
        </w:tc>
        <w:tc>
          <w:tcPr>
            <w:tcW w:w="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5,037</w:t>
            </w:r>
          </w:p>
        </w:tc>
        <w:tc>
          <w:tcPr>
            <w:tcW w:w="1280" w:type="dxa"/>
            <w:vAlign w:val="bottom"/>
            <w:gridSpan w:val="2"/>
            <w:shd w:val="clear" w:color="auto" w:fill="CCFFCC"/>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(630)</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4,414</w:t>
            </w:r>
          </w:p>
        </w:tc>
      </w:tr>
      <w:tr>
        <w:trPr>
          <w:trHeight w:val="20"/>
        </w:trPr>
        <w:tc>
          <w:tcPr>
            <w:tcW w:w="36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521"/>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right"/>
              <w:ind w:right="1080"/>
              <w:spacing w:after="0"/>
              <w:rPr>
                <w:sz w:val="20"/>
                <w:szCs w:val="20"/>
                <w:color w:val="auto"/>
              </w:rPr>
            </w:pPr>
            <w:r>
              <w:rPr>
                <w:rFonts w:ascii="Arial" w:cs="Arial" w:eastAsia="Arial" w:hAnsi="Arial"/>
                <w:sz w:val="18"/>
                <w:szCs w:val="18"/>
                <w:color w:val="auto"/>
              </w:rPr>
              <w:t>April 30, 2007</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left="130"/>
              <w:spacing w:after="0"/>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Gross</w:t>
            </w:r>
          </w:p>
        </w:tc>
        <w:tc>
          <w:tcPr>
            <w:tcW w:w="2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Fair</w:t>
            </w:r>
          </w:p>
        </w:tc>
      </w:tr>
      <w:tr>
        <w:trPr>
          <w:trHeight w:val="243"/>
        </w:trPr>
        <w:tc>
          <w:tcPr>
            <w:tcW w:w="3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center"/>
              <w:ind w:left="130"/>
              <w:spacing w:after="0"/>
              <w:rPr>
                <w:sz w:val="20"/>
                <w:szCs w:val="20"/>
                <w:color w:val="auto"/>
              </w:rPr>
            </w:pPr>
            <w:r>
              <w:rPr>
                <w:rFonts w:ascii="Arial" w:cs="Arial" w:eastAsia="Arial" w:hAnsi="Arial"/>
                <w:sz w:val="18"/>
                <w:szCs w:val="18"/>
                <w:color w:val="auto"/>
                <w:w w:val="90"/>
              </w:rPr>
              <w:t>Unrealized</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Unrealized</w:t>
            </w:r>
          </w:p>
        </w:tc>
        <w:tc>
          <w:tcPr>
            <w:tcW w:w="2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Market</w:t>
            </w:r>
          </w:p>
        </w:tc>
      </w:tr>
      <w:tr>
        <w:trPr>
          <w:trHeight w:val="270"/>
        </w:trPr>
        <w:tc>
          <w:tcPr>
            <w:tcW w:w="3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3"/>
                <w:szCs w:val="23"/>
                <w:color w:val="auto"/>
              </w:rPr>
            </w:pPr>
          </w:p>
        </w:tc>
        <w:tc>
          <w:tcPr>
            <w:tcW w:w="10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9"/>
              </w:rPr>
              <w:t>Gains</w:t>
            </w: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3"/>
                <w:szCs w:val="23"/>
                <w:color w:val="auto"/>
              </w:rPr>
            </w:pPr>
          </w:p>
        </w:tc>
      </w:tr>
      <w:tr>
        <w:trPr>
          <w:trHeight w:val="237"/>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14,172</w:t>
            </w:r>
          </w:p>
        </w:tc>
        <w:tc>
          <w:tcPr>
            <w:tcW w:w="1280" w:type="dxa"/>
            <w:vAlign w:val="bottom"/>
            <w:gridSpan w:val="2"/>
            <w:shd w:val="clear" w:color="auto" w:fill="CCFFCC"/>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13,943</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620" w:type="dxa"/>
            <w:vAlign w:val="bottom"/>
            <w:shd w:val="clear" w:color="auto" w:fill="CCFFCC"/>
          </w:tcPr>
          <w:p>
            <w:pPr>
              <w:spacing w:after="0"/>
              <w:rPr>
                <w:sz w:val="22"/>
                <w:szCs w:val="22"/>
                <w:color w:val="auto"/>
              </w:rPr>
            </w:pPr>
          </w:p>
        </w:tc>
        <w:tc>
          <w:tcPr>
            <w:tcW w:w="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14,455</w:t>
            </w:r>
          </w:p>
        </w:tc>
        <w:tc>
          <w:tcPr>
            <w:tcW w:w="1280" w:type="dxa"/>
            <w:vAlign w:val="bottom"/>
            <w:gridSpan w:val="2"/>
            <w:shd w:val="clear" w:color="auto" w:fill="CCFFCC"/>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42</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14,268</w:t>
            </w:r>
          </w:p>
        </w:tc>
      </w:tr>
      <w:tr>
        <w:trPr>
          <w:trHeight w:val="20"/>
        </w:trPr>
        <w:tc>
          <w:tcPr>
            <w:tcW w:w="36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5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20"/>
                <w:szCs w:val="20"/>
                <w:color w:val="auto"/>
              </w:rPr>
            </w:pPr>
          </w:p>
        </w:tc>
        <w:tc>
          <w:tcPr>
            <w:tcW w:w="2280" w:type="dxa"/>
            <w:vAlign w:val="bottom"/>
            <w:gridSpan w:val="5"/>
          </w:tcPr>
          <w:p>
            <w:pPr>
              <w:jc w:val="right"/>
              <w:ind w:right="620"/>
              <w:spacing w:after="0"/>
              <w:rPr>
                <w:sz w:val="20"/>
                <w:szCs w:val="20"/>
                <w:color w:val="auto"/>
              </w:rPr>
            </w:pPr>
            <w:r>
              <w:rPr>
                <w:rFonts w:ascii="Arial" w:cs="Arial" w:eastAsia="Arial" w:hAnsi="Arial"/>
                <w:sz w:val="18"/>
                <w:szCs w:val="18"/>
                <w:color w:val="auto"/>
              </w:rPr>
              <w:t>12 Months or more</w:t>
            </w:r>
          </w:p>
        </w:tc>
        <w:tc>
          <w:tcPr>
            <w:tcW w:w="22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Fair</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Losses</w:t>
            </w: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Losses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Borders>
              <w:bottom w:val="single" w:sz="8" w:color="CCFFCC"/>
            </w:tcBorders>
            <w:shd w:val="clear" w:color="auto" w:fill="CCFFCC"/>
          </w:tcPr>
          <w:p>
            <w:pPr>
              <w:spacing w:after="0"/>
              <w:rPr>
                <w:sz w:val="16"/>
                <w:szCs w:val="16"/>
                <w:color w:val="auto"/>
              </w:rPr>
            </w:pPr>
          </w:p>
        </w:tc>
        <w:tc>
          <w:tcPr>
            <w:tcW w:w="1060" w:type="dxa"/>
            <w:vAlign w:val="bottom"/>
            <w:tcBorders>
              <w:bottom w:val="single" w:sz="8" w:color="auto"/>
            </w:tcBorders>
            <w:shd w:val="clear" w:color="auto" w:fill="CCFFCC"/>
          </w:tcPr>
          <w:p>
            <w:pPr>
              <w:spacing w:after="0" w:line="170" w:lineRule="exact"/>
              <w:rPr>
                <w:sz w:val="20"/>
                <w:szCs w:val="20"/>
                <w:color w:val="auto"/>
              </w:rPr>
            </w:pPr>
            <w:r>
              <w:rPr>
                <w:rFonts w:ascii="Arial" w:cs="Arial" w:eastAsia="Arial" w:hAnsi="Arial"/>
                <w:sz w:val="18"/>
                <w:szCs w:val="18"/>
                <w:color w:val="auto"/>
                <w:w w:val="93"/>
              </w:rPr>
              <w:t>April 30, 2008</w:t>
            </w:r>
          </w:p>
        </w:tc>
        <w:tc>
          <w:tcPr>
            <w:tcW w:w="740" w:type="dxa"/>
            <w:vAlign w:val="bottom"/>
            <w:tcBorders>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220" w:type="dxa"/>
            <w:vAlign w:val="bottom"/>
            <w:tcBorders>
              <w:top w:val="single" w:sz="8" w:color="auto"/>
              <w:bottom w:val="single" w:sz="8" w:color="CCFFCC"/>
            </w:tcBorders>
            <w:shd w:val="clear" w:color="auto" w:fill="CCFFCC"/>
          </w:tcPr>
          <w:p>
            <w:pPr>
              <w:spacing w:after="0"/>
              <w:rPr>
                <w:sz w:val="16"/>
                <w:szCs w:val="16"/>
                <w:color w:val="auto"/>
              </w:rPr>
            </w:pPr>
          </w:p>
        </w:tc>
        <w:tc>
          <w:tcPr>
            <w:tcW w:w="900" w:type="dxa"/>
            <w:vAlign w:val="bottom"/>
            <w:tcBorders>
              <w:top w:val="single" w:sz="8" w:color="auto"/>
              <w:bottom w:val="single" w:sz="8" w:color="CCFFCC"/>
            </w:tcBorders>
            <w:shd w:val="clear" w:color="auto" w:fill="CCFFCC"/>
          </w:tcPr>
          <w:p>
            <w:pPr>
              <w:spacing w:after="0"/>
              <w:rPr>
                <w:sz w:val="16"/>
                <w:szCs w:val="16"/>
                <w:color w:val="auto"/>
              </w:rPr>
            </w:pPr>
          </w:p>
        </w:tc>
        <w:tc>
          <w:tcPr>
            <w:tcW w:w="120" w:type="dxa"/>
            <w:vAlign w:val="bottom"/>
            <w:tcBorders>
              <w:bottom w:val="single" w:sz="8" w:color="CCFFCC"/>
            </w:tcBorders>
            <w:shd w:val="clear" w:color="auto" w:fill="CCFFCC"/>
          </w:tcPr>
          <w:p>
            <w:pPr>
              <w:spacing w:after="0"/>
              <w:rPr>
                <w:sz w:val="16"/>
                <w:szCs w:val="16"/>
                <w:color w:val="auto"/>
              </w:rPr>
            </w:pPr>
          </w:p>
        </w:tc>
        <w:tc>
          <w:tcPr>
            <w:tcW w:w="120" w:type="dxa"/>
            <w:vAlign w:val="bottom"/>
            <w:tcBorders>
              <w:top w:val="single" w:sz="8" w:color="auto"/>
              <w:bottom w:val="single" w:sz="8" w:color="CCFFCC"/>
            </w:tcBorders>
            <w:shd w:val="clear" w:color="auto" w:fill="CCFFCC"/>
          </w:tcPr>
          <w:p>
            <w:pPr>
              <w:spacing w:after="0"/>
              <w:rPr>
                <w:sz w:val="16"/>
                <w:szCs w:val="16"/>
                <w:color w:val="auto"/>
              </w:rPr>
            </w:pPr>
          </w:p>
        </w:tc>
        <w:tc>
          <w:tcPr>
            <w:tcW w:w="1020" w:type="dxa"/>
            <w:vAlign w:val="bottom"/>
            <w:tcBorders>
              <w:top w:val="single" w:sz="8" w:color="auto"/>
              <w:bottom w:val="single" w:sz="8" w:color="CCFFCC"/>
            </w:tcBorders>
            <w:shd w:val="clear" w:color="auto" w:fill="CCFFCC"/>
          </w:tcPr>
          <w:p>
            <w:pPr>
              <w:spacing w:after="0"/>
              <w:rPr>
                <w:sz w:val="16"/>
                <w:szCs w:val="16"/>
                <w:color w:val="auto"/>
              </w:rPr>
            </w:pPr>
          </w:p>
        </w:tc>
        <w:tc>
          <w:tcPr>
            <w:tcW w:w="100" w:type="dxa"/>
            <w:vAlign w:val="bottom"/>
            <w:tcBorders>
              <w:bottom w:val="single" w:sz="8" w:color="CCFFCC"/>
              <w:right w:val="single" w:sz="8" w:color="CCFFCC"/>
            </w:tcBorders>
            <w:shd w:val="clear" w:color="auto" w:fill="CCFFCC"/>
          </w:tcPr>
          <w:p>
            <w:pPr>
              <w:spacing w:after="0"/>
              <w:rPr>
                <w:sz w:val="16"/>
                <w:szCs w:val="16"/>
                <w:color w:val="auto"/>
              </w:rPr>
            </w:pPr>
          </w:p>
        </w:tc>
        <w:tc>
          <w:tcPr>
            <w:tcW w:w="240" w:type="dxa"/>
            <w:vAlign w:val="bottom"/>
            <w:tcBorders>
              <w:top w:val="single" w:sz="8" w:color="auto"/>
              <w:bottom w:val="single" w:sz="8" w:color="CCFFCC"/>
            </w:tcBorders>
            <w:shd w:val="clear" w:color="auto" w:fill="CCFFCC"/>
          </w:tcPr>
          <w:p>
            <w:pPr>
              <w:spacing w:after="0"/>
              <w:rPr>
                <w:sz w:val="16"/>
                <w:szCs w:val="16"/>
                <w:color w:val="auto"/>
              </w:rPr>
            </w:pPr>
          </w:p>
        </w:tc>
        <w:tc>
          <w:tcPr>
            <w:tcW w:w="920" w:type="dxa"/>
            <w:vAlign w:val="bottom"/>
            <w:tcBorders>
              <w:top w:val="single" w:sz="8" w:color="auto"/>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top w:val="single" w:sz="8" w:color="auto"/>
              <w:bottom w:val="single" w:sz="8" w:color="CCFFCC"/>
            </w:tcBorders>
            <w:shd w:val="clear" w:color="auto" w:fill="CCFFCC"/>
          </w:tcPr>
          <w:p>
            <w:pPr>
              <w:spacing w:after="0"/>
              <w:rPr>
                <w:sz w:val="16"/>
                <w:szCs w:val="16"/>
                <w:color w:val="auto"/>
              </w:rPr>
            </w:pPr>
          </w:p>
        </w:tc>
        <w:tc>
          <w:tcPr>
            <w:tcW w:w="1020" w:type="dxa"/>
            <w:vAlign w:val="bottom"/>
            <w:tcBorders>
              <w:top w:val="single" w:sz="8" w:color="auto"/>
              <w:bottom w:val="single" w:sz="8" w:color="CCFFCC"/>
            </w:tcBorders>
            <w:shd w:val="clear" w:color="auto" w:fill="CCFFCC"/>
          </w:tcPr>
          <w:p>
            <w:pPr>
              <w:spacing w:after="0"/>
              <w:rPr>
                <w:sz w:val="16"/>
                <w:szCs w:val="16"/>
                <w:color w:val="auto"/>
              </w:rPr>
            </w:pPr>
          </w:p>
        </w:tc>
        <w:tc>
          <w:tcPr>
            <w:tcW w:w="100" w:type="dxa"/>
            <w:vAlign w:val="bottom"/>
            <w:tcBorders>
              <w:bottom w:val="single" w:sz="8" w:color="CCFFCC"/>
              <w:right w:val="single" w:sz="8" w:color="CCFFCC"/>
            </w:tcBorders>
            <w:shd w:val="clear" w:color="auto" w:fill="CCFFCC"/>
          </w:tcPr>
          <w:p>
            <w:pPr>
              <w:spacing w:after="0"/>
              <w:rPr>
                <w:sz w:val="16"/>
                <w:szCs w:val="16"/>
                <w:color w:val="auto"/>
              </w:rPr>
            </w:pPr>
          </w:p>
        </w:tc>
        <w:tc>
          <w:tcPr>
            <w:tcW w:w="220" w:type="dxa"/>
            <w:vAlign w:val="bottom"/>
            <w:tcBorders>
              <w:top w:val="single" w:sz="8" w:color="auto"/>
              <w:bottom w:val="single" w:sz="8" w:color="CCFFCC"/>
            </w:tcBorders>
            <w:shd w:val="clear" w:color="auto" w:fill="CCFFCC"/>
          </w:tcPr>
          <w:p>
            <w:pPr>
              <w:spacing w:after="0"/>
              <w:rPr>
                <w:sz w:val="16"/>
                <w:szCs w:val="16"/>
                <w:color w:val="auto"/>
              </w:rPr>
            </w:pPr>
          </w:p>
        </w:tc>
        <w:tc>
          <w:tcPr>
            <w:tcW w:w="920" w:type="dxa"/>
            <w:vAlign w:val="bottom"/>
            <w:tcBorders>
              <w:top w:val="single" w:sz="8" w:color="auto"/>
              <w:bottom w:val="single" w:sz="8" w:color="CCFFCC"/>
            </w:tcBorders>
            <w:shd w:val="clear" w:color="auto" w:fill="CCFFCC"/>
          </w:tcPr>
          <w:p>
            <w:pPr>
              <w:spacing w:after="0"/>
              <w:rPr>
                <w:sz w:val="16"/>
                <w:szCs w:val="16"/>
                <w:color w:val="auto"/>
              </w:rPr>
            </w:pPr>
          </w:p>
        </w:tc>
        <w:tc>
          <w:tcPr>
            <w:tcW w:w="12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top w:val="single" w:sz="8" w:color="auto"/>
              <w:bottom w:val="single" w:sz="8" w:color="CCFFCC"/>
            </w:tcBorders>
            <w:shd w:val="clear" w:color="auto" w:fill="CCFFCC"/>
          </w:tcPr>
          <w:p>
            <w:pPr>
              <w:spacing w:after="0"/>
              <w:rPr>
                <w:sz w:val="16"/>
                <w:szCs w:val="16"/>
                <w:color w:val="auto"/>
              </w:rPr>
            </w:pPr>
          </w:p>
        </w:tc>
        <w:tc>
          <w:tcPr>
            <w:tcW w:w="1000" w:type="dxa"/>
            <w:vAlign w:val="bottom"/>
            <w:tcBorders>
              <w:top w:val="single" w:sz="8" w:color="auto"/>
              <w:bottom w:val="single" w:sz="8" w:color="CCFFCC"/>
            </w:tcBorders>
            <w:shd w:val="clear" w:color="auto" w:fill="CCFFCC"/>
          </w:tcPr>
          <w:p>
            <w:pPr>
              <w:spacing w:after="0"/>
              <w:rPr>
                <w:sz w:val="16"/>
                <w:szCs w:val="16"/>
                <w:color w:val="auto"/>
              </w:rPr>
            </w:pPr>
          </w:p>
        </w:tc>
        <w:tc>
          <w:tcPr>
            <w:tcW w:w="12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2,513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4,067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FFCC"/>
            </w:tcBorders>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CCFFCC"/>
          </w:tcPr>
          <w:p>
            <w:pPr>
              <w:spacing w:after="0" w:line="20" w:lineRule="exact"/>
              <w:rPr>
                <w:sz w:val="1"/>
                <w:szCs w:val="1"/>
                <w:color w:val="auto"/>
              </w:rPr>
            </w:pPr>
          </w:p>
        </w:tc>
        <w:tc>
          <w:tcPr>
            <w:tcW w:w="106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2,854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4,408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tcBorders>
              <w:righ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tcBorders>
              <w:right w:val="single" w:sz="8" w:color="CCFFCC"/>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0" w:type="dxa"/>
            <w:vAlign w:val="bottom"/>
            <w:gridSpan w:val="2"/>
          </w:tcPr>
          <w:p>
            <w:pPr>
              <w:spacing w:after="0" w:line="176" w:lineRule="exact"/>
              <w:rPr>
                <w:sz w:val="20"/>
                <w:szCs w:val="20"/>
                <w:color w:val="auto"/>
              </w:rPr>
            </w:pPr>
            <w:r>
              <w:rPr>
                <w:rFonts w:ascii="Arial" w:cs="Arial" w:eastAsia="Arial" w:hAnsi="Arial"/>
                <w:sz w:val="18"/>
                <w:szCs w:val="18"/>
                <w:color w:val="auto"/>
              </w:rPr>
              <w:t>April 30, 2007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FFCC"/>
            </w:tcBorders>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13,943</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13,943</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20" w:type="dxa"/>
            <w:vAlign w:val="bottom"/>
            <w:shd w:val="clear" w:color="auto" w:fill="CCFFCC"/>
          </w:tcPr>
          <w:p>
            <w:pPr>
              <w:spacing w:after="0"/>
              <w:rPr>
                <w:sz w:val="24"/>
                <w:szCs w:val="24"/>
                <w:color w:val="auto"/>
              </w:rPr>
            </w:pPr>
          </w:p>
        </w:tc>
        <w:tc>
          <w:tcPr>
            <w:tcW w:w="1060" w:type="dxa"/>
            <w:vAlign w:val="bottom"/>
            <w:shd w:val="clear" w:color="auto" w:fill="CCFFCC"/>
          </w:tcPr>
          <w:p>
            <w:pPr>
              <w:spacing w:after="0"/>
              <w:rPr>
                <w:sz w:val="24"/>
                <w:szCs w:val="24"/>
                <w:color w:val="auto"/>
              </w:rPr>
            </w:pPr>
          </w:p>
        </w:tc>
        <w:tc>
          <w:tcPr>
            <w:tcW w:w="740" w:type="dxa"/>
            <w:vAlign w:val="bottom"/>
            <w:shd w:val="clear" w:color="auto" w:fill="CCFFCC"/>
          </w:tcPr>
          <w:p>
            <w:pPr>
              <w:spacing w:after="0"/>
              <w:rPr>
                <w:sz w:val="24"/>
                <w:szCs w:val="24"/>
                <w:color w:val="auto"/>
              </w:rPr>
            </w:pPr>
          </w:p>
        </w:tc>
        <w:tc>
          <w:tcPr>
            <w:tcW w:w="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FFCC"/>
            </w:tcBorders>
            <w:shd w:val="clear" w:color="auto" w:fill="CCFFCC"/>
          </w:tcPr>
          <w:p>
            <w:pPr>
              <w:spacing w:after="0"/>
              <w:rPr>
                <w:sz w:val="24"/>
                <w:szCs w:val="24"/>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13,943</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13,943</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April 30, 2008 are other-than-temporary due to market volatility of the security’s fair value, analysts’ expectations and the Company’s ability to hold the securities for a period of time sufficient to allow for any anticipated recoveries in market value.</w:t>
      </w:r>
    </w:p>
    <w:p>
      <w:pPr>
        <w:sectPr>
          <w:pgSz w:w="11900" w:h="16838" w:orient="portrait"/>
          <w:cols w:equalWidth="0" w:num="1">
            <w:col w:w="11420"/>
          </w:cols>
          <w:pgMar w:left="240" w:top="36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Proceeds from the sale or redemption of available-for-sale securities and the resulting gross realized gains and losses included in the determination of net income (loss) are as follows (in thousands):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5"/>
          </w:tcPr>
          <w:p>
            <w:pPr>
              <w:ind w:left="180"/>
              <w:spacing w:after="0"/>
              <w:rPr>
                <w:sz w:val="20"/>
                <w:szCs w:val="20"/>
                <w:color w:val="auto"/>
              </w:rPr>
            </w:pPr>
            <w:r>
              <w:rPr>
                <w:rFonts w:ascii="Arial" w:cs="Arial" w:eastAsia="Arial" w:hAnsi="Arial"/>
                <w:sz w:val="18"/>
                <w:szCs w:val="18"/>
                <w:color w:val="auto"/>
              </w:rPr>
              <w:t>For the years ended April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Proceeds</w:t>
            </w:r>
          </w:p>
        </w:tc>
        <w:tc>
          <w:tcPr>
            <w:tcW w:w="4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12,923</w:t>
            </w:r>
          </w:p>
        </w:tc>
        <w:tc>
          <w:tcPr>
            <w:tcW w:w="520" w:type="dxa"/>
            <w:vAlign w:val="bottom"/>
            <w:gridSpan w:val="2"/>
            <w:shd w:val="clear" w:color="auto" w:fill="CCFFCC"/>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9,568</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gridSpan w:val="2"/>
          </w:tcPr>
          <w:p>
            <w:pPr>
              <w:spacing w:after="0"/>
              <w:rPr>
                <w:sz w:val="20"/>
                <w:szCs w:val="20"/>
                <w:color w:val="auto"/>
              </w:rPr>
            </w:pPr>
            <w:r>
              <w:rPr>
                <w:rFonts w:ascii="Arial" w:cs="Arial" w:eastAsia="Arial" w:hAnsi="Arial"/>
                <w:sz w:val="18"/>
                <w:szCs w:val="18"/>
                <w:color w:val="auto"/>
              </w:rPr>
              <w:t>Gross realized gains</w:t>
            </w:r>
          </w:p>
        </w:tc>
        <w:tc>
          <w:tcPr>
            <w:tcW w:w="2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392</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20" w:type="dxa"/>
            <w:vAlign w:val="bottom"/>
            <w:tcBorders>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Gross realized losses</w:t>
            </w:r>
          </w:p>
        </w:tc>
        <w:tc>
          <w:tcPr>
            <w:tcW w:w="220" w:type="dxa"/>
            <w:vAlign w:val="bottom"/>
            <w:tcBorders>
              <w:bottom w:val="single" w:sz="8" w:color="CCFFCC"/>
              <w:right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(27)</w:t>
            </w:r>
          </w:p>
        </w:tc>
        <w:tc>
          <w:tcPr>
            <w:tcW w:w="22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auto"/>
            </w:tcBorders>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(89)</w:t>
            </w: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fixed income securities classified as available-for-sale at April 30, 2008 are as follows (in thousands):</w:t>
      </w:r>
    </w:p>
    <w:p>
      <w:pPr>
        <w:spacing w:after="0" w:line="294" w:lineRule="exact"/>
        <w:rPr>
          <w:sz w:val="20"/>
          <w:szCs w:val="20"/>
          <w:color w:val="auto"/>
        </w:rPr>
      </w:pPr>
    </w:p>
    <w:tbl>
      <w:tblPr>
        <w:tblLayout w:type="fixed"/>
        <w:tblInd w:w="1720" w:type="dxa"/>
        <w:tblCellMar>
          <w:top w:w="0" w:type="dxa"/>
          <w:left w:w="0" w:type="dxa"/>
          <w:bottom w:w="0" w:type="dxa"/>
          <w:right w:w="0" w:type="dxa"/>
        </w:tblCellMar>
      </w:tblPr>
      <w:tr>
        <w:trPr>
          <w:trHeight w:val="243"/>
        </w:trPr>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76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1"/>
                <w:szCs w:val="21"/>
                <w:color w:val="auto"/>
              </w:rPr>
            </w:pPr>
          </w:p>
        </w:tc>
      </w:tr>
      <w:tr>
        <w:trPr>
          <w:trHeight w:val="243"/>
        </w:trPr>
        <w:tc>
          <w:tcPr>
            <w:tcW w:w="6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22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6260" w:type="dxa"/>
            <w:vAlign w:val="bottom"/>
          </w:tcPr>
          <w:p>
            <w:pPr>
              <w:spacing w:after="0"/>
              <w:rPr>
                <w:sz w:val="20"/>
                <w:szCs w:val="20"/>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6.</w:t>
            </w:r>
          </w:p>
        </w:tc>
        <w:tc>
          <w:tcPr>
            <w:tcW w:w="626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440" w:type="dxa"/>
            <w:vAlign w:val="bottom"/>
          </w:tcPr>
          <w:p>
            <w:pPr>
              <w:spacing w:after="0"/>
              <w:rPr>
                <w:sz w:val="24"/>
                <w:szCs w:val="24"/>
                <w:color w:val="auto"/>
              </w:rPr>
            </w:pPr>
          </w:p>
        </w:tc>
        <w:tc>
          <w:tcPr>
            <w:tcW w:w="7340" w:type="dxa"/>
            <w:vAlign w:val="bottom"/>
            <w:gridSpan w:val="5"/>
          </w:tcPr>
          <w:p>
            <w:pPr>
              <w:jc w:val="right"/>
              <w:ind w:right="50"/>
              <w:spacing w:after="0"/>
              <w:rPr>
                <w:sz w:val="20"/>
                <w:szCs w:val="20"/>
                <w:color w:val="auto"/>
              </w:rPr>
            </w:pPr>
            <w:r>
              <w:rPr>
                <w:rFonts w:ascii="Arial" w:cs="Arial" w:eastAsia="Arial" w:hAnsi="Arial"/>
                <w:sz w:val="18"/>
                <w:szCs w:val="18"/>
                <w:color w:val="auto"/>
                <w:w w:val="91"/>
              </w:rPr>
              <w:t>Property, plant and equipment at April 30, 2008 and 2007, consists of the following (in thousands):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40"/>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5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4"/>
                <w:szCs w:val="24"/>
                <w:color w:val="auto"/>
              </w:rPr>
            </w:pPr>
          </w:p>
        </w:tc>
      </w:tr>
      <w:tr>
        <w:trPr>
          <w:trHeight w:val="237"/>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Buildings and building improvements</w:t>
            </w:r>
          </w:p>
        </w:tc>
        <w:tc>
          <w:tcPr>
            <w:tcW w:w="1080" w:type="dxa"/>
            <w:vAlign w:val="bottom"/>
            <w:gridSpan w:val="2"/>
            <w:shd w:val="clear" w:color="auto" w:fill="CCFFCC"/>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4,700</w:t>
            </w:r>
          </w:p>
        </w:tc>
        <w:tc>
          <w:tcPr>
            <w:tcW w:w="200" w:type="dxa"/>
            <w:vAlign w:val="bottom"/>
            <w:shd w:val="clear" w:color="auto" w:fill="CCFFCC"/>
          </w:tcPr>
          <w:p>
            <w:pPr>
              <w:spacing w:after="0"/>
              <w:rPr>
                <w:sz w:val="20"/>
                <w:szCs w:val="20"/>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3,464</w:t>
            </w:r>
          </w:p>
        </w:tc>
      </w:tr>
      <w:tr>
        <w:trPr>
          <w:trHeight w:val="243"/>
        </w:trPr>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Machinery, equipment and furniture</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38,096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34,768</w:t>
            </w:r>
          </w:p>
        </w:tc>
      </w:tr>
      <w:tr>
        <w:trPr>
          <w:trHeight w:val="20"/>
        </w:trPr>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shd w:val="clear" w:color="auto" w:fill="CCFFCC"/>
          </w:tcPr>
          <w:p>
            <w:pPr>
              <w:spacing w:after="0"/>
              <w:rPr>
                <w:sz w:val="20"/>
                <w:szCs w:val="20"/>
                <w:color w:val="auto"/>
              </w:rPr>
            </w:pPr>
          </w:p>
        </w:tc>
        <w:tc>
          <w:tcPr>
            <w:tcW w:w="40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42,796</w:t>
            </w:r>
          </w:p>
        </w:tc>
        <w:tc>
          <w:tcPr>
            <w:tcW w:w="2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38,232</w:t>
            </w:r>
          </w:p>
        </w:tc>
      </w:tr>
      <w:tr>
        <w:trPr>
          <w:trHeight w:val="243"/>
        </w:trPr>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33,265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30,393</w:t>
            </w:r>
          </w:p>
        </w:tc>
      </w:tr>
      <w:tr>
        <w:trPr>
          <w:trHeight w:val="20"/>
        </w:trPr>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shd w:val="clear" w:color="auto" w:fill="CCFFCC"/>
          </w:tcPr>
          <w:p>
            <w:pPr>
              <w:spacing w:after="0"/>
              <w:rPr>
                <w:sz w:val="22"/>
                <w:szCs w:val="22"/>
                <w:color w:val="auto"/>
              </w:rPr>
            </w:pPr>
          </w:p>
        </w:tc>
        <w:tc>
          <w:tcPr>
            <w:tcW w:w="40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9,531</w:t>
            </w:r>
          </w:p>
        </w:tc>
        <w:tc>
          <w:tcPr>
            <w:tcW w:w="200" w:type="dxa"/>
            <w:vAlign w:val="bottom"/>
            <w:shd w:val="clear" w:color="auto" w:fill="CCFFCC"/>
          </w:tcPr>
          <w:p>
            <w:pPr>
              <w:spacing w:after="0"/>
              <w:rPr>
                <w:sz w:val="22"/>
                <w:szCs w:val="22"/>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7,839</w:t>
            </w:r>
          </w:p>
        </w:tc>
      </w:tr>
      <w:tr>
        <w:trPr>
          <w:trHeight w:val="20"/>
        </w:trPr>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Borders>
              <w:top w:val="single" w:sz="8" w:color="CCFFCC"/>
            </w:tcBorders>
            <w:shd w:val="clear" w:color="auto" w:fill="CCFFCC"/>
          </w:tcPr>
          <w:p>
            <w:pPr>
              <w:spacing w:after="0" w:line="20" w:lineRule="exact"/>
              <w:rPr>
                <w:sz w:val="1"/>
                <w:szCs w:val="1"/>
                <w:color w:val="auto"/>
              </w:rPr>
            </w:pPr>
          </w:p>
        </w:tc>
        <w:tc>
          <w:tcPr>
            <w:tcW w:w="40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for the years ended April 30, 2008 and 2007 was $1,920,000 and $1,665,000, respectively.</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Maintenance and repairs charged to operations for the years ended April 30, 2008 and 2007 was approximately $886,000 and $912,000, respectively.</w:t>
      </w:r>
    </w:p>
    <w:p>
      <w:pPr>
        <w:spacing w:after="0" w:line="30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January 1998, the Company sold the Long Island, New York building that it occupies to Reckson Associates Realty Corp., a real estate investment trust (“REIT”) whose shares were then traded on the New York Stock Exchange. The sale involved a tax-deferred exchange of the building for approximately 513,000</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participation units of Reckson Operating Partnership, L.P. (“REIT units”) which were valued at closing at $12 million. Each REIT unit was convertible into one share of the common stock of the REIT.</w:t>
      </w:r>
    </w:p>
    <w:p>
      <w:pPr>
        <w:spacing w:after="0" w:line="22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leased back approximately 43% of the building from the purchaser (the "Reckson lease"). Under the accounting provisions for sale and leaseback transactions, the sale of this building was initially considered a financing until the REIT units were converted to Reckson stock in March 2005. Upon conversion of the REIT units, the Company recognized a gain of $4.6 million and deferred an additional $1.3 million gain. The deferred gain will be recognized into income over the remaining term of the initial leaseback period. Annual rental payments are $400,000 for the initial 11-year term which ends in January 2009. The Reckson lease contains two five-year renewal periods at the option of the Company. On May 16, 2007, the Company exercised its option to renew the lease for the first five year period and, commencing February 2009, will pay annual rent of $600,000. Under the terms of the lease, the Company is required to pay its proportional share of real estate taxes, insurance and other charges.</w:t>
      </w:r>
    </w:p>
    <w:p>
      <w:pPr>
        <w:spacing w:after="0" w:line="23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addition, the Company’s subsidiaries in China, France and California lease their office and manufacturing facilities. The lease for the FEI-Asia facility is for a one-year term with rent of $15,000 payable quarterly. In July 2007, FEI-Zyfer moved into newly leased space encompassing 27,850 square feet. Monthly rental payments will be $23,700 for the first year and will increase each year over the 125 month lease term. Satel-FEI, a wholly-owned subsidiary of Gillam-FEI, occupies office space under a 9-year lease, cancelable after three years, at an approximate rate of $2,000 per month.</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38" w:name="page39"/>
    <w:bookmarkEnd w:id="38"/>
    <w:p>
      <w:pPr>
        <w:jc w:val="both"/>
        <w:ind w:firstLine="486"/>
        <w:spacing w:after="0" w:line="259" w:lineRule="auto"/>
        <w:rPr>
          <w:sz w:val="20"/>
          <w:szCs w:val="20"/>
          <w:color w:val="auto"/>
        </w:rPr>
      </w:pPr>
      <w:r>
        <w:rPr>
          <w:rFonts w:ascii="Arial" w:cs="Arial" w:eastAsia="Arial" w:hAnsi="Arial"/>
          <w:sz w:val="18"/>
          <w:szCs w:val="18"/>
          <w:color w:val="auto"/>
        </w:rPr>
        <w:t>Rent expense under operating leases for the fiscal years ended April 30, 2008 and 2007 was approximately $1.0 million and $760,000, respectively. Beginning in fiscal year 2008, the Company records rent expense on its New York building and FEI-Zyfer facility on the straightline method over the lives of the respective leases. As a result, as of April 30, 2008, the Company’s balance sheet includes deferred rent of approximately $439,000 which will be amortized over the respective rental periods.</w:t>
      </w:r>
    </w:p>
    <w:p>
      <w:pPr>
        <w:spacing w:after="0" w:line="24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fiscal year 2008, the Company acquired manufacturing equipment of approximately $1.2 million. This acquisition was financed by entering into a 5-year capital lease payable in monthly installments of approximately $24,000, including interest at 6.57%. At the end of the lease term, the Company may retain the equipment for a nominal charge.</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Future minimum lease payments required by the leases are as follows (in thousands):</w:t>
      </w:r>
    </w:p>
    <w:p>
      <w:pPr>
        <w:spacing w:after="0" w:line="306"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Years ending</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68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April 30,</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Operating Leases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2"/>
              </w:rPr>
              <w:t>Capital Lease</w:t>
            </w:r>
          </w:p>
        </w:tc>
        <w:tc>
          <w:tcPr>
            <w:tcW w:w="100" w:type="dxa"/>
            <w:vAlign w:val="bottom"/>
          </w:tcPr>
          <w:p>
            <w:pPr>
              <w:spacing w:after="0"/>
              <w:rPr>
                <w:sz w:val="21"/>
                <w:szCs w:val="21"/>
                <w:color w:val="auto"/>
              </w:rPr>
            </w:pPr>
          </w:p>
        </w:tc>
      </w:tr>
      <w:tr>
        <w:trPr>
          <w:trHeight w:val="237"/>
        </w:trPr>
        <w:tc>
          <w:tcPr>
            <w:tcW w:w="4020" w:type="dxa"/>
            <w:vAlign w:val="bottom"/>
            <w:gridSpan w:val="2"/>
            <w:shd w:val="clear" w:color="auto" w:fill="CCFFCC"/>
          </w:tcPr>
          <w:p>
            <w:pPr>
              <w:jc w:val="center"/>
              <w:ind w:left="2570"/>
              <w:spacing w:after="0"/>
              <w:rPr>
                <w:sz w:val="20"/>
                <w:szCs w:val="20"/>
                <w:color w:val="auto"/>
              </w:rPr>
            </w:pPr>
            <w:r>
              <w:rPr>
                <w:rFonts w:ascii="Arial" w:cs="Arial" w:eastAsia="Arial" w:hAnsi="Arial"/>
                <w:sz w:val="18"/>
                <w:szCs w:val="18"/>
                <w:color w:val="auto"/>
                <w:w w:val="89"/>
              </w:rPr>
              <w:t>2009</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789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281</w:t>
            </w:r>
          </w:p>
        </w:tc>
      </w:tr>
      <w:tr>
        <w:trPr>
          <w:trHeight w:val="243"/>
        </w:trPr>
        <w:tc>
          <w:tcPr>
            <w:tcW w:w="4020" w:type="dxa"/>
            <w:vAlign w:val="bottom"/>
            <w:gridSpan w:val="2"/>
          </w:tcPr>
          <w:p>
            <w:pPr>
              <w:jc w:val="center"/>
              <w:ind w:left="2570"/>
              <w:spacing w:after="0"/>
              <w:rPr>
                <w:sz w:val="20"/>
                <w:szCs w:val="20"/>
                <w:color w:val="auto"/>
              </w:rPr>
            </w:pPr>
            <w:r>
              <w:rPr>
                <w:rFonts w:ascii="Arial" w:cs="Arial" w:eastAsia="Arial" w:hAnsi="Arial"/>
                <w:sz w:val="18"/>
                <w:szCs w:val="18"/>
                <w:color w:val="auto"/>
                <w:w w:val="89"/>
              </w:rPr>
              <w:t>2010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r>
      <w:tr>
        <w:trPr>
          <w:trHeight w:val="243"/>
        </w:trPr>
        <w:tc>
          <w:tcPr>
            <w:tcW w:w="4020" w:type="dxa"/>
            <w:vAlign w:val="bottom"/>
            <w:gridSpan w:val="2"/>
            <w:shd w:val="clear" w:color="auto" w:fill="CCFFCC"/>
          </w:tcPr>
          <w:p>
            <w:pPr>
              <w:jc w:val="center"/>
              <w:ind w:left="2590"/>
              <w:spacing w:after="0"/>
              <w:rPr>
                <w:sz w:val="20"/>
                <w:szCs w:val="20"/>
                <w:color w:val="auto"/>
              </w:rPr>
            </w:pPr>
            <w:r>
              <w:rPr>
                <w:rFonts w:ascii="Arial" w:cs="Arial" w:eastAsia="Arial" w:hAnsi="Arial"/>
                <w:sz w:val="18"/>
                <w:szCs w:val="18"/>
                <w:color w:val="auto"/>
                <w:w w:val="84"/>
              </w:rPr>
              <w:t>2011</w:t>
            </w:r>
          </w:p>
        </w:tc>
        <w:tc>
          <w:tcPr>
            <w:tcW w:w="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281</w:t>
            </w:r>
          </w:p>
        </w:tc>
      </w:tr>
      <w:tr>
        <w:trPr>
          <w:trHeight w:val="243"/>
        </w:trPr>
        <w:tc>
          <w:tcPr>
            <w:tcW w:w="4020" w:type="dxa"/>
            <w:vAlign w:val="bottom"/>
            <w:gridSpan w:val="2"/>
          </w:tcPr>
          <w:p>
            <w:pPr>
              <w:jc w:val="center"/>
              <w:ind w:left="2570"/>
              <w:spacing w:after="0"/>
              <w:rPr>
                <w:sz w:val="20"/>
                <w:szCs w:val="20"/>
                <w:color w:val="auto"/>
              </w:rPr>
            </w:pPr>
            <w:r>
              <w:rPr>
                <w:rFonts w:ascii="Arial" w:cs="Arial" w:eastAsia="Arial" w:hAnsi="Arial"/>
                <w:sz w:val="18"/>
                <w:szCs w:val="18"/>
                <w:color w:val="auto"/>
                <w:w w:val="89"/>
              </w:rPr>
              <w:t>2012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952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r>
      <w:tr>
        <w:trPr>
          <w:trHeight w:val="243"/>
        </w:trPr>
        <w:tc>
          <w:tcPr>
            <w:tcW w:w="4020" w:type="dxa"/>
            <w:vAlign w:val="bottom"/>
            <w:gridSpan w:val="2"/>
            <w:shd w:val="clear" w:color="auto" w:fill="CCFFCC"/>
          </w:tcPr>
          <w:p>
            <w:pPr>
              <w:jc w:val="center"/>
              <w:ind w:left="2570"/>
              <w:spacing w:after="0"/>
              <w:rPr>
                <w:sz w:val="20"/>
                <w:szCs w:val="20"/>
                <w:color w:val="auto"/>
              </w:rPr>
            </w:pPr>
            <w:r>
              <w:rPr>
                <w:rFonts w:ascii="Arial" w:cs="Arial" w:eastAsia="Arial" w:hAnsi="Arial"/>
                <w:sz w:val="18"/>
                <w:szCs w:val="18"/>
                <w:color w:val="auto"/>
                <w:w w:val="89"/>
              </w:rPr>
              <w:t>2013</w:t>
            </w:r>
          </w:p>
        </w:tc>
        <w:tc>
          <w:tcPr>
            <w:tcW w:w="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962</w:t>
            </w:r>
          </w:p>
        </w:tc>
        <w:tc>
          <w:tcPr>
            <w:tcW w:w="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163</w:t>
            </w:r>
          </w:p>
        </w:tc>
      </w:tr>
      <w:tr>
        <w:trPr>
          <w:trHeight w:val="243"/>
        </w:trPr>
        <w:tc>
          <w:tcPr>
            <w:tcW w:w="26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50"/>
        </w:trPr>
        <w:tc>
          <w:tcPr>
            <w:tcW w:w="40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(163)</w:t>
            </w:r>
          </w:p>
        </w:tc>
      </w:tr>
      <w:tr>
        <w:trPr>
          <w:trHeight w:val="20"/>
        </w:trPr>
        <w:tc>
          <w:tcPr>
            <w:tcW w:w="2680" w:type="dxa"/>
            <w:vAlign w:val="bottom"/>
            <w:shd w:val="clear" w:color="auto" w:fill="CCFFCC"/>
          </w:tcPr>
          <w:p>
            <w:pPr>
              <w:spacing w:after="0" w:line="20" w:lineRule="exact"/>
              <w:rPr>
                <w:sz w:val="1"/>
                <w:szCs w:val="1"/>
                <w:color w:val="auto"/>
              </w:rPr>
            </w:pPr>
          </w:p>
        </w:tc>
        <w:tc>
          <w:tcPr>
            <w:tcW w:w="13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Present value of future minimum lease payments</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6,570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1,124</w:t>
            </w:r>
          </w:p>
        </w:tc>
      </w:tr>
      <w:tr>
        <w:trPr>
          <w:trHeight w:val="20"/>
        </w:trPr>
        <w:tc>
          <w:tcPr>
            <w:tcW w:w="2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Short-Term Debt Obligations</w:t>
      </w:r>
    </w:p>
    <w:p>
      <w:pPr>
        <w:spacing w:after="0" w:line="2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has an $11.5 million line of credit with the financial institution which also manages a substantial portion of its investment in marketable securities. The line is secured by the investments and has no maturity date so long as the Company maintains its investments with the financial instituion. During fiscal year 2008, the Company had borrowings under the line which varied between $4.5 million and $9 million. During the 2007 fiscal year, the Company borrowed $5 million under this line of credit. During fiscal year 2008, advances against the line of credit bore interest at variable interest rates between 3.97% and 6.99%.</w:t>
      </w:r>
    </w:p>
    <w:p>
      <w:pPr>
        <w:spacing w:after="0" w:line="24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European subsidiaries have available approximately 1.7 million Euros (approximately $2.6 million based on current rates of exchange between the dollar and the Euro) in bank credit lines to meet short-term cash flow requirements. As of April 30, 2008, no amount was outstanding under such lines of credit. Borrowings under the bank credit lines, if any, must be repaid within one year of receipt of funds. Interest on these credit lines varies from 0.5% to 1.5% over the EURO Interbank Offered rate (EURIBOR). At April 30, 2008 and 2007, the rate was 4.295% and 4.361%, respectively, based on the 1 month EURIBOR.</w:t>
      </w:r>
    </w:p>
    <w:p>
      <w:pPr>
        <w:spacing w:after="0" w:line="24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Accrued Liabilities</w:t>
      </w:r>
    </w:p>
    <w:p>
      <w:pPr>
        <w:spacing w:after="0" w:line="27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Accrued liabilities at April 30, 2008 and 2007 consist of the following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2008</w:t>
            </w:r>
          </w:p>
        </w:tc>
        <w:tc>
          <w:tcPr>
            <w:tcW w:w="5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r>
      <w:tr>
        <w:trPr>
          <w:trHeight w:val="237"/>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compensation including payroll taxes</w:t>
            </w:r>
          </w:p>
        </w:tc>
        <w:tc>
          <w:tcPr>
            <w:tcW w:w="1540" w:type="dxa"/>
            <w:vAlign w:val="bottom"/>
            <w:gridSpan w:val="2"/>
            <w:shd w:val="clear" w:color="auto" w:fill="CCFFCC"/>
          </w:tcPr>
          <w:p>
            <w:pPr>
              <w:jc w:val="right"/>
              <w:ind w:right="10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2,095</w:t>
            </w:r>
          </w:p>
        </w:tc>
        <w:tc>
          <w:tcPr>
            <w:tcW w:w="7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2,104</w:t>
            </w:r>
          </w:p>
        </w:tc>
        <w:tc>
          <w:tcPr>
            <w:tcW w:w="140" w:type="dxa"/>
            <w:vAlign w:val="bottom"/>
            <w:shd w:val="clear" w:color="auto" w:fill="CCFFCC"/>
          </w:tcPr>
          <w:p>
            <w:pPr>
              <w:spacing w:after="0"/>
              <w:rPr>
                <w:sz w:val="20"/>
                <w:szCs w:val="20"/>
                <w:color w:val="auto"/>
              </w:rPr>
            </w:pPr>
          </w:p>
        </w:tc>
      </w:tr>
      <w:tr>
        <w:trPr>
          <w:trHeight w:val="243"/>
        </w:trPr>
        <w:tc>
          <w:tcPr>
            <w:tcW w:w="440" w:type="dxa"/>
            <w:vAlign w:val="bottom"/>
          </w:tcPr>
          <w:p>
            <w:pPr>
              <w:spacing w:after="0"/>
              <w:rPr>
                <w:sz w:val="21"/>
                <w:szCs w:val="21"/>
                <w:color w:val="auto"/>
              </w:rPr>
            </w:pPr>
          </w:p>
        </w:tc>
        <w:tc>
          <w:tcPr>
            <w:tcW w:w="5440" w:type="dxa"/>
            <w:vAlign w:val="bottom"/>
            <w:gridSpan w:val="3"/>
          </w:tcPr>
          <w:p>
            <w:pPr>
              <w:ind w:left="700"/>
              <w:spacing w:after="0"/>
              <w:rPr>
                <w:sz w:val="20"/>
                <w:szCs w:val="20"/>
                <w:color w:val="auto"/>
              </w:rPr>
            </w:pPr>
            <w:r>
              <w:rPr>
                <w:rFonts w:ascii="Arial" w:cs="Arial" w:eastAsia="Arial" w:hAnsi="Arial"/>
                <w:sz w:val="18"/>
                <w:szCs w:val="18"/>
                <w:color w:val="auto"/>
              </w:rPr>
              <w:t>Vacation accrual</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1,175</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839</w:t>
            </w:r>
          </w:p>
        </w:tc>
        <w:tc>
          <w:tcPr>
            <w:tcW w:w="14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Due customers</w:t>
            </w:r>
          </w:p>
        </w:tc>
        <w:tc>
          <w:tcPr>
            <w:tcW w:w="30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CFFCC"/>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21"/>
                <w:szCs w:val="21"/>
                <w:color w:val="auto"/>
              </w:rPr>
            </w:pPr>
          </w:p>
        </w:tc>
      </w:tr>
      <w:tr>
        <w:trPr>
          <w:trHeight w:val="257"/>
        </w:trPr>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20" w:type="dxa"/>
            <w:vAlign w:val="bottom"/>
            <w:shd w:val="clear" w:color="auto" w:fill="CCFFCC"/>
          </w:tcPr>
          <w:p>
            <w:pPr>
              <w:spacing w:after="0"/>
              <w:rPr>
                <w:sz w:val="22"/>
                <w:szCs w:val="22"/>
                <w:color w:val="auto"/>
              </w:rPr>
            </w:pPr>
          </w:p>
        </w:tc>
        <w:tc>
          <w:tcPr>
            <w:tcW w:w="3500" w:type="dxa"/>
            <w:vAlign w:val="bottom"/>
            <w:shd w:val="clear" w:color="auto" w:fill="CCFFCC"/>
          </w:tcPr>
          <w:p>
            <w:pPr>
              <w:spacing w:after="0"/>
              <w:rPr>
                <w:sz w:val="22"/>
                <w:szCs w:val="22"/>
                <w:color w:val="auto"/>
              </w:rPr>
            </w:pPr>
          </w:p>
        </w:tc>
        <w:tc>
          <w:tcPr>
            <w:tcW w:w="1540" w:type="dxa"/>
            <w:vAlign w:val="bottom"/>
            <w:gridSpan w:val="2"/>
            <w:shd w:val="clear" w:color="auto" w:fill="CCFFCC"/>
          </w:tcPr>
          <w:p>
            <w:pPr>
              <w:jc w:val="right"/>
              <w:ind w:right="10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4,694</w:t>
            </w:r>
          </w:p>
        </w:tc>
        <w:tc>
          <w:tcPr>
            <w:tcW w:w="7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3,956</w:t>
            </w:r>
          </w:p>
        </w:tc>
        <w:tc>
          <w:tcPr>
            <w:tcW w:w="140" w:type="dxa"/>
            <w:vAlign w:val="bottom"/>
            <w:shd w:val="clear" w:color="auto" w:fill="CCFFCC"/>
          </w:tcPr>
          <w:p>
            <w:pPr>
              <w:spacing w:after="0"/>
              <w:rPr>
                <w:sz w:val="22"/>
                <w:szCs w:val="22"/>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35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r>
        <w:trPr>
          <w:trHeight w:val="467"/>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9.</w:t>
            </w: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Investment in Morion, Inc.</w:t>
            </w:r>
          </w:p>
        </w:tc>
        <w:tc>
          <w:tcPr>
            <w:tcW w:w="3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96"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7"/>
          <w:szCs w:val="17"/>
          <w:color w:val="auto"/>
        </w:rPr>
        <w:t>In fiscal year 2007, the Company’s investment in Morion, Inc., a privately-held Russian company, was 36.6% of Morion’s outstanding shares. The Company reported its investment under the equity method and recorded its proportionate share of the earnings of Morion. In June 2007, the Company</w:t>
      </w:r>
    </w:p>
    <w:p>
      <w:pPr>
        <w:jc w:val="both"/>
        <w:spacing w:after="0" w:line="275" w:lineRule="auto"/>
        <w:rPr>
          <w:sz w:val="20"/>
          <w:szCs w:val="20"/>
          <w:color w:val="auto"/>
        </w:rPr>
      </w:pPr>
      <w:r>
        <w:rPr>
          <w:rFonts w:ascii="Arial" w:cs="Arial" w:eastAsia="Arial" w:hAnsi="Arial"/>
          <w:sz w:val="17"/>
          <w:szCs w:val="17"/>
          <w:color w:val="auto"/>
        </w:rPr>
        <w:t>completed the sale of 28.6% of the outstanding shares of Morion, reducing its investment in Morion from 36.6% to 8% of its outstanding shares. Based upon a determination by the Russian Federation that Morion was in a “strategic industry,” Gazprombank, a Russian government majority-owned joint stock bank, acquired the majority interest in Morion previously held by the European Bank for Reconstruction and Development and a portion of the shares previously held by the Company, both at the same price per share. Gazprombank, through its wholly-owned subsidiary, Finproject, Ltd., paid the Company net proceeds of approximately $5.6 million. As a result of the sale, the Company recognized a pre-tax gain of approximately $3.0 million on the sale of the Morion shares. This is in addition to approximately $2.0 million in equity income realized in prior periods from the Morion investment. Effective June 2007, the Company began accounting for its remaining investment in Morion on the cost basis.</w:t>
      </w:r>
    </w:p>
    <w:p>
      <w:pPr>
        <w:sectPr>
          <w:pgSz w:w="11900" w:h="16838" w:orient="portrait"/>
          <w:cols w:equalWidth="0" w:num="1">
            <w:col w:w="11420"/>
          </w:cols>
          <w:pgMar w:left="240" w:top="368"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fiscal years ended April 30, 2008 and 2007, the Company acquired product from Morion in the aggregate amount of approximately $710,000 and $454,000, respectively, and the Company sold product to Morion in the aggregate amount of approximately $248,000 and $269,000, respectively.</w:t>
      </w:r>
    </w:p>
    <w:p>
      <w:pPr>
        <w:spacing w:after="0" w:line="27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fiscal year 2004 the Company acquired FEI-Zyfer, Inc. (“FEI-Ayfer”). This acquisition resulted in the recording of approximately $200,000 in goodwill. Management has determined that this goodwill is not impaired as of April 30, 2008 and 2007.</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the Company acquired customer lists in the FEI-Zyfer acquisition with a value of $600,000 which is being amortized over 6 years. Amortization expense related to these customer lists for the years ended April 30, 2008 and 2007 was approximately $48,000 and $60,000, respectively. For the fiscal year ending April 30, 2009, amortization expense will be approximately $186,000 which will fully amortize the remaining asset.</w:t>
      </w:r>
    </w:p>
    <w:p>
      <w:pPr>
        <w:spacing w:after="0" w:line="241"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Investment in Elcom Technologies, Inc</w:t>
      </w:r>
      <w:r>
        <w:rPr>
          <w:rFonts w:ascii="Arial" w:cs="Arial" w:eastAsia="Arial" w:hAnsi="Arial"/>
          <w:sz w:val="18"/>
          <w:szCs w:val="18"/>
          <w:color w:val="auto"/>
        </w:rPr>
        <w:t>.</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December 2006, the Company acquired a 25% interest (20% on a fully-diluted basis) in the outstanding shares of Elcom Technologies, Inc., a privately-held company which designs and manufactures advanced RF microwave devices. The Company and Elcom entered into a mutual business and facilities support agreement and Frequency Electronics obtained an exclusive license to use Elcom’s technology in space-borne applications. The Company received preferred stock, a $1.5 million convertible note and a 10-year warrant to purchase additional stock in exchange for cash and 39,651 shares of Frequency Electronics common stock. The Company accounts for this investment on the equity method.</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reviewed Elcom’s financial condition at April 30, 2008 and concluded that no impairment charge or valuation allowance related to its investment in Elcom was required. At April 30, 2008, Elcom had total assets of approximately $7.9 million, total liabilities of approximately $4.2 million and stockholders’ equity of $3.7 million</w:t>
      </w:r>
    </w:p>
    <w:p>
      <w:pPr>
        <w:spacing w:after="0" w:line="2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fiscal years ended April 30, 2008 and 2007, the Company acquired technical services from Elcom in the aggregate amount of approximately $622,000 and $280,000, respectively, and the Company recorded interest income on Elcom’s convertible note in the amount of approximately $113,000 and $41,000, respectively.</w:t>
      </w:r>
    </w:p>
    <w:p>
      <w:pPr>
        <w:spacing w:after="0" w:line="27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Plan:</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adopted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2008 and 2007, the Company contributed 61,327 and 37,550 shares of common stock, respectively. The approximate value of these shares at the date of issuance was $573,000 in fiscal year 2008 and $455,000 in fiscal year 2007.</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Incentive Pool:</w:t>
      </w:r>
    </w:p>
    <w:p>
      <w:pPr>
        <w:spacing w:after="0" w:line="2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The Company charged $100,000 and $30,000 to operations under these plans for the fiscal years ended April 30, 2008 and 2007,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Contractor Stock Option Plan:</w:t>
      </w:r>
    </w:p>
    <w:p>
      <w:pPr>
        <w:spacing w:after="0" w:line="28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had an Independent Contractor Stock Option Plan under which up to 350,000 shares could be granted. This plan was terminated in fiscal year 2006. An Independent Contractor Stock Option Committee determined to whom options may be granted from among eligible participants, the timing and duration of option grants, the option price, and the number of shares of common stock subject to each option. Options were granted to certain independent contractors at a price equal to the then fair market value of the Company’s common stock. The options were exercisable over specified periods per terms of the individual agreements. No compensation expense was recorded during the years ended April 30, 2008 and 2007 as no other grants were made in those years and previous grants have been fully expensed. As a result of the adoption by the stockholders of the 2005 Stock Award Plan, the Independent Contractor Stock Option Plan was discontinued. No additional grants will be made under this plan.</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Transactions under this plan, including the weighted average exercise prices of the options, are as follows: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2008</w:t>
            </w: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2007</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Wtd Avg</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Wtd Avg</w:t>
            </w:r>
          </w:p>
        </w:tc>
      </w:tr>
      <w:tr>
        <w:trPr>
          <w:trHeight w:val="270"/>
        </w:trPr>
        <w:tc>
          <w:tcPr>
            <w:tcW w:w="3860" w:type="dxa"/>
            <w:vAlign w:val="bottom"/>
          </w:tcPr>
          <w:p>
            <w:pPr>
              <w:spacing w:after="0"/>
              <w:rPr>
                <w:sz w:val="23"/>
                <w:szCs w:val="23"/>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Price</w:t>
            </w:r>
          </w:p>
        </w:tc>
        <w:tc>
          <w:tcPr>
            <w:tcW w:w="220" w:type="dxa"/>
            <w:vAlign w:val="bottom"/>
          </w:tcPr>
          <w:p>
            <w:pPr>
              <w:spacing w:after="0"/>
              <w:rPr>
                <w:sz w:val="23"/>
                <w:szCs w:val="23"/>
                <w:color w:val="auto"/>
              </w:rPr>
            </w:pPr>
          </w:p>
        </w:tc>
        <w:tc>
          <w:tcPr>
            <w:tcW w:w="1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Price</w:t>
            </w:r>
          </w:p>
        </w:tc>
        <w:tc>
          <w:tcPr>
            <w:tcW w:w="100" w:type="dxa"/>
            <w:vAlign w:val="bottom"/>
          </w:tcPr>
          <w:p>
            <w:pPr>
              <w:spacing w:after="0"/>
              <w:rPr>
                <w:sz w:val="23"/>
                <w:szCs w:val="23"/>
                <w:color w:val="auto"/>
              </w:rPr>
            </w:pPr>
          </w:p>
        </w:tc>
      </w:tr>
      <w:tr>
        <w:trPr>
          <w:trHeight w:val="237"/>
        </w:trPr>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beginning of year</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141,050</w:t>
            </w:r>
          </w:p>
        </w:tc>
        <w:tc>
          <w:tcPr>
            <w:tcW w:w="120" w:type="dxa"/>
            <w:vAlign w:val="bottom"/>
            <w:shd w:val="clear" w:color="auto" w:fill="CCFFCC"/>
          </w:tcPr>
          <w:p>
            <w:pPr>
              <w:spacing w:after="0"/>
              <w:rPr>
                <w:sz w:val="20"/>
                <w:szCs w:val="20"/>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15.33</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141,050</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15.33</w:t>
            </w: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Expired</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(100,750)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15.75</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860" w:type="dxa"/>
            <w:vAlign w:val="bottom"/>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340" w:type="dxa"/>
            <w:vAlign w:val="bottom"/>
          </w:tcPr>
          <w:p>
            <w:pPr>
              <w:jc w:val="right"/>
              <w:spacing w:after="0"/>
              <w:rPr>
                <w:sz w:val="20"/>
                <w:szCs w:val="20"/>
                <w:color w:val="auto"/>
              </w:rPr>
            </w:pPr>
            <w:r>
              <w:rPr>
                <w:rFonts w:ascii="Arial" w:cs="Arial" w:eastAsia="Arial" w:hAnsi="Arial"/>
                <w:sz w:val="18"/>
                <w:szCs w:val="18"/>
                <w:color w:val="auto"/>
              </w:rPr>
              <w:t>40,300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14.29</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141,050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15.33</w:t>
            </w:r>
          </w:p>
        </w:tc>
      </w:tr>
      <w:tr>
        <w:trPr>
          <w:trHeight w:val="20"/>
        </w:trPr>
        <w:tc>
          <w:tcPr>
            <w:tcW w:w="38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44"/>
        </w:trPr>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Exercisable at end of year</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40,300</w:t>
            </w:r>
          </w:p>
        </w:tc>
        <w:tc>
          <w:tcPr>
            <w:tcW w:w="120" w:type="dxa"/>
            <w:vAlign w:val="bottom"/>
            <w:shd w:val="clear" w:color="auto" w:fill="CCFFCC"/>
          </w:tcPr>
          <w:p>
            <w:pPr>
              <w:spacing w:after="0"/>
              <w:rPr>
                <w:sz w:val="21"/>
                <w:szCs w:val="21"/>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14.29</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131,050</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15.38</w:t>
            </w:r>
          </w:p>
        </w:tc>
      </w:tr>
      <w:tr>
        <w:trPr>
          <w:trHeight w:val="20"/>
        </w:trPr>
        <w:tc>
          <w:tcPr>
            <w:tcW w:w="386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r>
        <w:rPr>
          <w:rFonts w:ascii="Arial" w:cs="Arial" w:eastAsia="Arial" w:hAnsi="Arial"/>
          <w:sz w:val="18"/>
          <w:szCs w:val="18"/>
          <w:color w:val="auto"/>
        </w:rPr>
        <w:t>:</w:t>
      </w:r>
    </w:p>
    <w:p>
      <w:pPr>
        <w:spacing w:after="0" w:line="28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Company has various stock plans for key management employees, including officers and directors who are employees. The plans are Nonqualified Stock Option (“NQSO”) plans, Incentive Stock Option ("ISO”) plans and Stock Appreciation Rights (“SARS”). Under these plans, options or SARS are granted at the discretion of the Stock Option committee at an exercise price not less than the fair market value of the Company's common stock on the date of grant. Under one NQSO plan the options were exercisable one year after the date of grant. Under the remaining plans the options and SARS are exercisable over a four-year period beginning one year after the date of grant. The options and SARS expire ten years after the date of grant and are subject to certain restrictions on transferability of the shares obtained on exercise. As of April 30, 2008, eligible employees had been granted options to purchase 1,182,500 shares of Company stock under ISO plans of which approximately 388,000 options are outstanding and approximately 358,000 are exercisable. Through April 30, 2008, eligible employees have been granted options to acquire 1,090,000 shares of Company stock under NQSO plans. Of the NQSO options, approximately 640,000 are both outstanding and exercisable (see tables below). As of April 30, 2008, eligible employees have been granted SARS based on approximately 398,000 shares of Company stock, all are of which outstanding and approximately 44,000 are exercisable. When the SARS become exercisable, the Company will settle the SARS by issuing to exercising recipients the number of shares of stock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Company’s stock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excess of the consideration received over the par value of the common stock or cost of treasury stock issued under both types of option plans has been recognized as an increase in additional paid-in capital.</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stock option activity for the years ended April 30:</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3"/>
              </w:rPr>
              <w:t>Stock Options and Stock Appreciation Rights</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Weighted-</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r>
      <w:tr>
        <w:trPr>
          <w:trHeight w:val="270"/>
        </w:trPr>
        <w:tc>
          <w:tcPr>
            <w:tcW w:w="5160" w:type="dxa"/>
            <w:vAlign w:val="bottom"/>
          </w:tcPr>
          <w:p>
            <w:pPr>
              <w:spacing w:after="0"/>
              <w:rPr>
                <w:sz w:val="23"/>
                <w:szCs w:val="23"/>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Exercise Price</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Term</w:t>
            </w:r>
          </w:p>
        </w:tc>
        <w:tc>
          <w:tcPr>
            <w:tcW w:w="100" w:type="dxa"/>
            <w:vAlign w:val="bottom"/>
          </w:tcPr>
          <w:p>
            <w:pPr>
              <w:spacing w:after="0"/>
              <w:rPr>
                <w:sz w:val="23"/>
                <w:szCs w:val="23"/>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Intrinsic Value</w:t>
            </w:r>
          </w:p>
        </w:tc>
      </w:tr>
      <w:tr>
        <w:trPr>
          <w:trHeight w:val="237"/>
        </w:trPr>
        <w:tc>
          <w:tcPr>
            <w:tcW w:w="516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Outstanding – May 1, 2006</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1,133,387</w:t>
            </w:r>
          </w:p>
        </w:tc>
        <w:tc>
          <w:tcPr>
            <w:tcW w:w="60" w:type="dxa"/>
            <w:vAlign w:val="bottom"/>
            <w:shd w:val="clear" w:color="auto" w:fill="CCFFCC"/>
          </w:tcPr>
          <w:p>
            <w:pPr>
              <w:spacing w:after="0"/>
              <w:rPr>
                <w:sz w:val="21"/>
                <w:szCs w:val="21"/>
                <w:color w:val="auto"/>
              </w:rPr>
            </w:pP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11.32</w:t>
            </w:r>
          </w:p>
        </w:tc>
        <w:tc>
          <w:tcPr>
            <w:tcW w:w="1600" w:type="dxa"/>
            <w:vAlign w:val="bottom"/>
            <w:gridSpan w:val="2"/>
            <w:shd w:val="clear" w:color="auto" w:fill="CCFFCC"/>
          </w:tcPr>
          <w:p>
            <w:pPr>
              <w:ind w:left="740"/>
              <w:spacing w:after="0"/>
              <w:rPr>
                <w:sz w:val="20"/>
                <w:szCs w:val="20"/>
                <w:color w:val="auto"/>
              </w:rPr>
            </w:pPr>
            <w:r>
              <w:rPr>
                <w:rFonts w:ascii="Arial" w:cs="Arial" w:eastAsia="Arial" w:hAnsi="Arial"/>
                <w:sz w:val="18"/>
                <w:szCs w:val="18"/>
                <w:color w:val="auto"/>
              </w:rPr>
              <w:t>4.6 years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2,900,000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172,500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11.93</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(40,300)</w:t>
            </w:r>
          </w:p>
        </w:tc>
        <w:tc>
          <w:tcPr>
            <w:tcW w:w="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7.28</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37"/>
        </w:trPr>
        <w:tc>
          <w:tcPr>
            <w:tcW w:w="51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Outstanding – April 30, 2007</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1,265,587</w:t>
            </w:r>
          </w:p>
        </w:tc>
        <w:tc>
          <w:tcPr>
            <w:tcW w:w="60" w:type="dxa"/>
            <w:vAlign w:val="bottom"/>
            <w:tcBorders>
              <w:top w:val="single" w:sz="8" w:color="CCFFCC"/>
            </w:tcBorders>
          </w:tcPr>
          <w:p>
            <w:pPr>
              <w:spacing w:after="0"/>
              <w:rPr>
                <w:sz w:val="20"/>
                <w:szCs w:val="20"/>
                <w:color w:val="auto"/>
              </w:rPr>
            </w:pPr>
          </w:p>
        </w:tc>
        <w:tc>
          <w:tcPr>
            <w:tcW w:w="280" w:type="dxa"/>
            <w:vAlign w:val="bottom"/>
            <w:tcBorders>
              <w:top w:val="single" w:sz="8" w:color="CCFFCC"/>
            </w:tcBorders>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CCFFCC"/>
            </w:tcBorders>
            <w:gridSpan w:val="2"/>
          </w:tcPr>
          <w:p>
            <w:pPr>
              <w:jc w:val="right"/>
              <w:ind w:right="220"/>
              <w:spacing w:after="0"/>
              <w:rPr>
                <w:sz w:val="20"/>
                <w:szCs w:val="20"/>
                <w:color w:val="auto"/>
              </w:rPr>
            </w:pPr>
            <w:r>
              <w:rPr>
                <w:rFonts w:ascii="Arial" w:cs="Arial" w:eastAsia="Arial" w:hAnsi="Arial"/>
                <w:sz w:val="18"/>
                <w:szCs w:val="18"/>
                <w:color w:val="auto"/>
              </w:rPr>
              <w:t>11.53</w:t>
            </w:r>
          </w:p>
        </w:tc>
        <w:tc>
          <w:tcPr>
            <w:tcW w:w="1600" w:type="dxa"/>
            <w:vAlign w:val="bottom"/>
            <w:tcBorders>
              <w:top w:val="single" w:sz="8" w:color="CCFFCC"/>
            </w:tcBorders>
            <w:gridSpan w:val="2"/>
          </w:tcPr>
          <w:p>
            <w:pPr>
              <w:ind w:left="740"/>
              <w:spacing w:after="0"/>
              <w:rPr>
                <w:sz w:val="20"/>
                <w:szCs w:val="20"/>
                <w:color w:val="auto"/>
              </w:rPr>
            </w:pPr>
            <w:r>
              <w:rPr>
                <w:rFonts w:ascii="Arial" w:cs="Arial" w:eastAsia="Arial" w:hAnsi="Arial"/>
                <w:sz w:val="18"/>
                <w:szCs w:val="18"/>
                <w:color w:val="auto"/>
              </w:rPr>
              <w:t>4.4 years</w:t>
            </w:r>
          </w:p>
        </w:tc>
        <w:tc>
          <w:tcPr>
            <w:tcW w:w="10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225,875</w:t>
            </w:r>
          </w:p>
        </w:tc>
        <w:tc>
          <w:tcPr>
            <w:tcW w:w="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9.73</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(18,312)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8.60</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Expired or Canceled</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(46,375)</w:t>
            </w:r>
          </w:p>
        </w:tc>
        <w:tc>
          <w:tcPr>
            <w:tcW w:w="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10.23</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37"/>
        </w:trPr>
        <w:tc>
          <w:tcPr>
            <w:tcW w:w="51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Outstanding – April 30, 2008</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1,426,775</w:t>
            </w:r>
          </w:p>
        </w:tc>
        <w:tc>
          <w:tcPr>
            <w:tcW w:w="60" w:type="dxa"/>
            <w:vAlign w:val="bottom"/>
            <w:tcBorders>
              <w:top w:val="single" w:sz="8" w:color="CCFFCC"/>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Borders>
              <w:top w:val="single" w:sz="8" w:color="CCFFCC"/>
            </w:tcBorders>
          </w:tcPr>
          <w:p>
            <w:pPr>
              <w:spacing w:after="0"/>
              <w:rPr>
                <w:sz w:val="20"/>
                <w:szCs w:val="20"/>
                <w:color w:val="auto"/>
              </w:rPr>
            </w:pPr>
          </w:p>
        </w:tc>
        <w:tc>
          <w:tcPr>
            <w:tcW w:w="1600" w:type="dxa"/>
            <w:vAlign w:val="bottom"/>
            <w:tcBorders>
              <w:top w:val="single" w:sz="8" w:color="CCFFCC"/>
            </w:tcBorders>
            <w:gridSpan w:val="2"/>
          </w:tcPr>
          <w:p>
            <w:pPr>
              <w:ind w:left="740"/>
              <w:spacing w:after="0"/>
              <w:rPr>
                <w:sz w:val="20"/>
                <w:szCs w:val="20"/>
                <w:color w:val="auto"/>
              </w:rPr>
            </w:pPr>
            <w:r>
              <w:rPr>
                <w:rFonts w:ascii="Arial" w:cs="Arial" w:eastAsia="Arial" w:hAnsi="Arial"/>
                <w:sz w:val="18"/>
                <w:szCs w:val="18"/>
                <w:color w:val="auto"/>
              </w:rPr>
              <w:t>4.5 years</w:t>
            </w:r>
          </w:p>
        </w:tc>
        <w:tc>
          <w:tcPr>
            <w:tcW w:w="10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64"/>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Exercisable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1,042,150</w:t>
            </w:r>
          </w:p>
        </w:tc>
        <w:tc>
          <w:tcPr>
            <w:tcW w:w="60" w:type="dxa"/>
            <w:vAlign w:val="bottom"/>
            <w:shd w:val="clear" w:color="auto" w:fill="CCFFCC"/>
          </w:tcPr>
          <w:p>
            <w:pPr>
              <w:spacing w:after="0"/>
              <w:rPr>
                <w:sz w:val="22"/>
                <w:szCs w:val="22"/>
                <w:color w:val="auto"/>
              </w:rPr>
            </w:pP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11.55</w:t>
            </w:r>
          </w:p>
        </w:tc>
        <w:tc>
          <w:tcPr>
            <w:tcW w:w="1600" w:type="dxa"/>
            <w:vAlign w:val="bottom"/>
            <w:gridSpan w:val="2"/>
            <w:shd w:val="clear" w:color="auto" w:fill="CCFFCC"/>
          </w:tcPr>
          <w:p>
            <w:pPr>
              <w:ind w:left="740"/>
              <w:spacing w:after="0"/>
              <w:rPr>
                <w:sz w:val="20"/>
                <w:szCs w:val="20"/>
                <w:color w:val="auto"/>
              </w:rPr>
            </w:pPr>
            <w:r>
              <w:rPr>
                <w:rFonts w:ascii="Arial" w:cs="Arial" w:eastAsia="Arial" w:hAnsi="Arial"/>
                <w:sz w:val="18"/>
                <w:szCs w:val="18"/>
                <w:color w:val="auto"/>
              </w:rPr>
              <w:t>2.9 years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24"/>
        </w:trPr>
        <w:tc>
          <w:tcPr>
            <w:tcW w:w="51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Available for future grants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60" w:type="dxa"/>
            <w:vAlign w:val="bottom"/>
            <w:tcBorders>
              <w:top w:val="single" w:sz="8" w:color="CCFFCC"/>
            </w:tcBorders>
          </w:tcPr>
          <w:p>
            <w:pPr>
              <w:spacing w:after="0"/>
              <w:rPr>
                <w:sz w:val="19"/>
                <w:szCs w:val="19"/>
                <w:color w:val="auto"/>
              </w:rPr>
            </w:pPr>
          </w:p>
        </w:tc>
        <w:tc>
          <w:tcPr>
            <w:tcW w:w="160" w:type="dxa"/>
            <w:vAlign w:val="bottom"/>
            <w:tcBorders>
              <w:top w:val="single" w:sz="8" w:color="CCFFC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26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As of April 30, 2008, total unrecognized compensation cost related to nonvested options and stock appreciation rights under the plans was approximately $1.4 million. These costs are expected to be recognized over a weighted average period of 2.85 years.</w:t>
      </w:r>
    </w:p>
    <w:p>
      <w:pPr>
        <w:spacing w:after="0" w:line="224"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During the year ended April 30, 2008, 98,875 shares vested the fair value of which was approximately $546,000. Cash received from stock option exercises for the year ended April 30, 2008 was $83,000.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w:t>
      </w:r>
    </w:p>
    <w:p>
      <w:pPr>
        <w:spacing w:after="0" w:line="283"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During fiscal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As a result of the adoption by the Company’s stockholders of the 2005 Stock Award Plan, the Restricted Stock Plan was discontinued. No additional grants will be made under this plan. As of April 30, 2008 and 2007, grants for 22,500 restricted shares are available to be purchased at a price of $4.00 per share.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Transferability of shares is restricted for a four-year period, except in the event of a change in control as defined.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Plan/Stock Bonus Plan:</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1990 the Company amended its Stock Bonus Plan to become an Employee Stock Ownership Plan (“ESOP”). By means of a bank note, subsequently repaid, the Company reacquired 561,652 shares of its common stock during fiscal 1990. These shares plus approximately 510,000 additional shares issued by the Company from its authorized, unissued shares were sold to the ESOP in May 1990. Shares were released for allocation to participants based on a formula as specified in the ESOP document. By the end of fiscal 2000, all shares (1,071,652) had been allocated to participant accounts of which 556,785 shares remain in the ESOP.</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8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Company has a program for key employees providing for the payment of benefits upon retirement or death. Under the plan, each key employee receives specified retirement payments for the remainder of the employee's life with a minimum payment of ten years' benefits to either the employee or his beneficiaries. The plan also provides for reduced benefits upon early retirement or termination of employment. The Company pays the benefits out of its working capital but has also purchased whole life or term life insurance policies on the lives of certain of the participants to cover the optional lump sum obligations of the plan upon the death of the participant. During the year ended April 30, 2008, two former employees who were receiving retirement benefits, died. The Company received proceeds from the life insurance policies on these participants. The amount received exceeded the cash surrender value of the policies and the Company recognized a gain of approximately $290,000. Deferred compensation expense charged to operations during the years ended April 30, 2008 and 2007 was approximately $1.1 million and $878,000, respectively.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jc w:val="right"/>
              <w:spacing w:after="0"/>
              <w:rPr>
                <w:sz w:val="20"/>
                <w:szCs w:val="20"/>
                <w:color w:val="auto"/>
              </w:rPr>
            </w:pPr>
            <w:r>
              <w:rPr>
                <w:rFonts w:ascii="Arial" w:cs="Arial" w:eastAsia="Arial" w:hAnsi="Arial"/>
                <w:sz w:val="18"/>
                <w:szCs w:val="18"/>
                <w:color w:val="auto"/>
                <w:w w:val="87"/>
              </w:rPr>
              <w:t>13.</w:t>
            </w:r>
          </w:p>
        </w:tc>
        <w:tc>
          <w:tcPr>
            <w:tcW w:w="42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Income Taxes</w:t>
            </w:r>
          </w:p>
        </w:tc>
        <w:tc>
          <w:tcPr>
            <w:tcW w:w="41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20"/>
        </w:trPr>
        <w:tc>
          <w:tcPr>
            <w:tcW w:w="280" w:type="dxa"/>
            <w:vAlign w:val="bottom"/>
          </w:tcPr>
          <w:p>
            <w:pPr>
              <w:spacing w:after="0"/>
              <w:rPr>
                <w:sz w:val="24"/>
                <w:szCs w:val="24"/>
                <w:color w:val="auto"/>
              </w:rPr>
            </w:pPr>
          </w:p>
        </w:tc>
        <w:tc>
          <w:tcPr>
            <w:tcW w:w="7260" w:type="dxa"/>
            <w:vAlign w:val="bottom"/>
            <w:gridSpan w:val="10"/>
          </w:tcPr>
          <w:p>
            <w:pPr>
              <w:jc w:val="right"/>
              <w:ind w:right="580"/>
              <w:spacing w:after="0"/>
              <w:rPr>
                <w:sz w:val="20"/>
                <w:szCs w:val="20"/>
                <w:color w:val="auto"/>
              </w:rPr>
            </w:pPr>
            <w:r>
              <w:rPr>
                <w:rFonts w:ascii="Arial" w:cs="Arial" w:eastAsia="Arial" w:hAnsi="Arial"/>
                <w:sz w:val="18"/>
                <w:szCs w:val="18"/>
                <w:color w:val="auto"/>
                <w:w w:val="93"/>
              </w:rPr>
              <w:t>The income (loss) before provision (benefit) for income taxes consisted of (in thousands):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color w:val="auto"/>
                <w:w w:val="98"/>
              </w:rPr>
              <w:t>Year Ended April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2007</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6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1,614</w:t>
            </w:r>
          </w:p>
        </w:tc>
        <w:tc>
          <w:tcPr>
            <w:tcW w:w="140" w:type="dxa"/>
            <w:vAlign w:val="bottom"/>
            <w:shd w:val="clear" w:color="auto" w:fill="CCFFCC"/>
          </w:tcPr>
          <w:p>
            <w:pPr>
              <w:spacing w:after="0"/>
              <w:rPr>
                <w:sz w:val="20"/>
                <w:szCs w:val="20"/>
                <w:color w:val="auto"/>
              </w:rPr>
            </w:pPr>
          </w:p>
        </w:tc>
        <w:tc>
          <w:tcPr>
            <w:tcW w:w="4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4"/>
              </w:rPr>
              <w:t>(1,944)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500" w:type="dxa"/>
            <w:vAlign w:val="bottom"/>
            <w:shd w:val="clear" w:color="auto" w:fill="CCFFCC"/>
          </w:tcPr>
          <w:p>
            <w:pPr>
              <w:spacing w:after="0"/>
              <w:rPr>
                <w:sz w:val="22"/>
                <w:szCs w:val="22"/>
                <w:color w:val="auto"/>
              </w:rPr>
            </w:pPr>
          </w:p>
        </w:tc>
        <w:tc>
          <w:tcPr>
            <w:tcW w:w="6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1,447</w:t>
            </w:r>
          </w:p>
        </w:tc>
        <w:tc>
          <w:tcPr>
            <w:tcW w:w="140" w:type="dxa"/>
            <w:vAlign w:val="bottom"/>
            <w:shd w:val="clear" w:color="auto" w:fill="CCFFCC"/>
          </w:tcPr>
          <w:p>
            <w:pPr>
              <w:spacing w:after="0"/>
              <w:rPr>
                <w:sz w:val="22"/>
                <w:szCs w:val="22"/>
                <w:color w:val="auto"/>
              </w:rPr>
            </w:pPr>
          </w:p>
        </w:tc>
        <w:tc>
          <w:tcPr>
            <w:tcW w:w="4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4"/>
              </w:rPr>
              <w:t>(1,812)</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7"/>
        </w:trPr>
        <w:tc>
          <w:tcPr>
            <w:tcW w:w="280" w:type="dxa"/>
            <w:vAlign w:val="bottom"/>
          </w:tcPr>
          <w:p>
            <w:pPr>
              <w:spacing w:after="0"/>
              <w:rPr>
                <w:sz w:val="24"/>
                <w:szCs w:val="24"/>
                <w:color w:val="auto"/>
              </w:rPr>
            </w:pPr>
          </w:p>
        </w:tc>
        <w:tc>
          <w:tcPr>
            <w:tcW w:w="6120" w:type="dxa"/>
            <w:vAlign w:val="bottom"/>
            <w:gridSpan w:val="7"/>
          </w:tcPr>
          <w:p>
            <w:pPr>
              <w:jc w:val="right"/>
              <w:ind w:right="220"/>
              <w:spacing w:after="0"/>
              <w:rPr>
                <w:sz w:val="20"/>
                <w:szCs w:val="20"/>
                <w:color w:val="auto"/>
              </w:rPr>
            </w:pPr>
            <w:r>
              <w:rPr>
                <w:rFonts w:ascii="Arial" w:cs="Arial" w:eastAsia="Arial" w:hAnsi="Arial"/>
                <w:sz w:val="18"/>
                <w:szCs w:val="18"/>
                <w:color w:val="auto"/>
                <w:w w:val="92"/>
              </w:rPr>
              <w:t>The provision (benefit) for income taxes consists of the following (in thousands):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780" w:type="dxa"/>
            <w:vAlign w:val="bottom"/>
            <w:tcBorders>
              <w:top w:val="single" w:sz="8" w:color="auto"/>
            </w:tcBorders>
            <w:shd w:val="clear" w:color="auto" w:fill="CCFFCC"/>
          </w:tcPr>
          <w:p>
            <w:pPr>
              <w:spacing w:after="0"/>
              <w:rPr>
                <w:sz w:val="20"/>
                <w:szCs w:val="20"/>
                <w:color w:val="auto"/>
              </w:rPr>
            </w:pPr>
          </w:p>
        </w:tc>
        <w:tc>
          <w:tcPr>
            <w:tcW w:w="140" w:type="dxa"/>
            <w:vAlign w:val="bottom"/>
            <w:tcBorders>
              <w:top w:val="single" w:sz="8" w:color="auto"/>
            </w:tcBorders>
            <w:shd w:val="clear" w:color="auto" w:fill="CCFFCC"/>
          </w:tcPr>
          <w:p>
            <w:pPr>
              <w:spacing w:after="0"/>
              <w:rPr>
                <w:sz w:val="20"/>
                <w:szCs w:val="20"/>
                <w:color w:val="auto"/>
              </w:rPr>
            </w:pPr>
          </w:p>
        </w:tc>
        <w:tc>
          <w:tcPr>
            <w:tcW w:w="80" w:type="dxa"/>
            <w:vAlign w:val="bottom"/>
            <w:tcBorders>
              <w:top w:val="single" w:sz="8" w:color="auto"/>
            </w:tcBorders>
            <w:shd w:val="clear" w:color="auto" w:fill="CCFFCC"/>
          </w:tcPr>
          <w:p>
            <w:pPr>
              <w:spacing w:after="0"/>
              <w:rPr>
                <w:sz w:val="20"/>
                <w:szCs w:val="20"/>
                <w:color w:val="auto"/>
              </w:rPr>
            </w:pPr>
          </w:p>
        </w:tc>
        <w:tc>
          <w:tcPr>
            <w:tcW w:w="3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20" w:type="dxa"/>
            <w:vAlign w:val="bottom"/>
            <w:tcBorders>
              <w:top w:val="single" w:sz="8" w:color="auto"/>
            </w:tcBorders>
            <w:shd w:val="clear" w:color="auto" w:fill="CCFFCC"/>
          </w:tcPr>
          <w:p>
            <w:pPr>
              <w:spacing w:after="0"/>
              <w:rPr>
                <w:sz w:val="20"/>
                <w:szCs w:val="20"/>
                <w:color w:val="auto"/>
              </w:rPr>
            </w:pPr>
          </w:p>
        </w:tc>
        <w:tc>
          <w:tcPr>
            <w:tcW w:w="500" w:type="dxa"/>
            <w:vAlign w:val="bottom"/>
            <w:tcBorders>
              <w:top w:val="single" w:sz="8" w:color="auto"/>
            </w:tcBorders>
            <w:shd w:val="clear" w:color="auto" w:fill="CCFFCC"/>
          </w:tcPr>
          <w:p>
            <w:pPr>
              <w:spacing w:after="0"/>
              <w:rPr>
                <w:sz w:val="20"/>
                <w:szCs w:val="20"/>
                <w:color w:val="auto"/>
              </w:rPr>
            </w:pPr>
          </w:p>
        </w:tc>
        <w:tc>
          <w:tcPr>
            <w:tcW w:w="120" w:type="dxa"/>
            <w:vAlign w:val="bottom"/>
            <w:tcBorders>
              <w:top w:val="single" w:sz="8" w:color="auto"/>
            </w:tcBorders>
            <w:shd w:val="clear" w:color="auto" w:fill="CCFFCC"/>
          </w:tcPr>
          <w:p>
            <w:pPr>
              <w:spacing w:after="0"/>
              <w:rPr>
                <w:sz w:val="20"/>
                <w:szCs w:val="20"/>
                <w:color w:val="auto"/>
              </w:rPr>
            </w:pPr>
          </w:p>
        </w:tc>
        <w:tc>
          <w:tcPr>
            <w:tcW w:w="4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8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1,260</w:t>
            </w:r>
          </w:p>
        </w:tc>
        <w:tc>
          <w:tcPr>
            <w:tcW w:w="12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(150)</w:t>
            </w:r>
          </w:p>
        </w:tc>
      </w:tr>
      <w:tr>
        <w:trPr>
          <w:trHeight w:val="243"/>
        </w:trPr>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Foreign</w:t>
            </w:r>
          </w:p>
        </w:tc>
        <w:tc>
          <w:tcPr>
            <w:tcW w:w="2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8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80" w:type="dxa"/>
            <w:vAlign w:val="bottom"/>
            <w:gridSpan w:val="2"/>
          </w:tcPr>
          <w:p>
            <w:pPr>
              <w:ind w:left="32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Current provision (benefit)</w:t>
            </w:r>
          </w:p>
        </w:tc>
        <w:tc>
          <w:tcPr>
            <w:tcW w:w="2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3"/>
              </w:rPr>
              <w:t>1,380</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180" w:type="dxa"/>
            <w:vAlign w:val="bottom"/>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(250)</w:t>
            </w:r>
          </w:p>
        </w:tc>
      </w:tr>
      <w:tr>
        <w:trPr>
          <w:trHeight w:val="237"/>
        </w:trPr>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tcBorders>
              <w:top w:val="single" w:sz="8" w:color="CCFFCC"/>
            </w:tcBorders>
            <w:gridSpan w:val="2"/>
          </w:tcPr>
          <w:p>
            <w:pPr>
              <w:spacing w:after="0"/>
              <w:rPr>
                <w:sz w:val="20"/>
                <w:szCs w:val="20"/>
                <w:color w:val="auto"/>
              </w:rPr>
            </w:pPr>
            <w:r>
              <w:rPr>
                <w:rFonts w:ascii="Arial" w:cs="Arial" w:eastAsia="Arial" w:hAnsi="Arial"/>
                <w:sz w:val="18"/>
                <w:szCs w:val="18"/>
                <w:color w:val="auto"/>
              </w:rPr>
              <w:t>Deferred</w:t>
            </w:r>
          </w:p>
        </w:tc>
        <w:tc>
          <w:tcPr>
            <w:tcW w:w="220" w:type="dxa"/>
            <w:vAlign w:val="bottom"/>
            <w:tcBorders>
              <w:top w:val="single" w:sz="8" w:color="CCFFCC"/>
            </w:tcBorders>
          </w:tcPr>
          <w:p>
            <w:pPr>
              <w:spacing w:after="0"/>
              <w:rPr>
                <w:sz w:val="20"/>
                <w:szCs w:val="20"/>
                <w:color w:val="auto"/>
              </w:rPr>
            </w:pPr>
          </w:p>
        </w:tc>
        <w:tc>
          <w:tcPr>
            <w:tcW w:w="38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Federal</w:t>
            </w:r>
          </w:p>
        </w:tc>
        <w:tc>
          <w:tcPr>
            <w:tcW w:w="2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5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80" w:type="dxa"/>
            <w:vAlign w:val="bottom"/>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(950)</w:t>
            </w:r>
          </w:p>
        </w:tc>
      </w:tr>
      <w:tr>
        <w:trPr>
          <w:trHeight w:val="243"/>
        </w:trPr>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80" w:type="dxa"/>
            <w:vAlign w:val="bottom"/>
            <w:gridSpan w:val="2"/>
          </w:tcPr>
          <w:p>
            <w:pPr>
              <w:ind w:left="32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(205)</w:t>
            </w:r>
          </w:p>
        </w:tc>
      </w:tr>
      <w:tr>
        <w:trPr>
          <w:trHeight w:val="243"/>
        </w:trPr>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5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80" w:type="dxa"/>
            <w:vAlign w:val="bottom"/>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(150)</w:t>
            </w:r>
          </w:p>
        </w:tc>
      </w:tr>
      <w:tr>
        <w:trPr>
          <w:trHeight w:val="20"/>
        </w:trPr>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35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ind w:left="480"/>
              <w:spacing w:after="0"/>
              <w:rPr>
                <w:sz w:val="20"/>
                <w:szCs w:val="20"/>
                <w:color w:val="auto"/>
              </w:rPr>
            </w:pPr>
            <w:r>
              <w:rPr>
                <w:rFonts w:ascii="Arial" w:cs="Arial" w:eastAsia="Arial" w:hAnsi="Arial"/>
                <w:sz w:val="18"/>
                <w:szCs w:val="18"/>
                <w:color w:val="auto"/>
              </w:rPr>
              <w:t>Deferred benefit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(1,305)</w:t>
            </w:r>
          </w:p>
        </w:tc>
      </w:tr>
      <w:tr>
        <w:trPr>
          <w:trHeight w:val="20"/>
        </w:trPr>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Total provision (benefit)</w:t>
            </w:r>
          </w:p>
        </w:tc>
        <w:tc>
          <w:tcPr>
            <w:tcW w:w="220" w:type="dxa"/>
            <w:vAlign w:val="bottom"/>
            <w:shd w:val="clear" w:color="auto" w:fill="CCFFCC"/>
          </w:tcPr>
          <w:p>
            <w:pPr>
              <w:spacing w:after="0"/>
              <w:rPr>
                <w:sz w:val="22"/>
                <w:szCs w:val="22"/>
                <w:color w:val="auto"/>
              </w:rPr>
            </w:pPr>
          </w:p>
        </w:tc>
        <w:tc>
          <w:tcPr>
            <w:tcW w:w="38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6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2"/>
                <w:szCs w:val="22"/>
                <w:color w:val="auto"/>
              </w:rPr>
            </w:pPr>
          </w:p>
        </w:tc>
        <w:tc>
          <w:tcPr>
            <w:tcW w:w="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FFCC"/>
          </w:tcPr>
          <w:p>
            <w:pPr>
              <w:spacing w:after="0"/>
              <w:rPr>
                <w:sz w:val="22"/>
                <w:szCs w:val="22"/>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(1,555)</w:t>
            </w:r>
          </w:p>
        </w:tc>
      </w:tr>
      <w:tr>
        <w:trPr>
          <w:trHeight w:val="20"/>
        </w:trPr>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35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reconciles the reported income tax expense (benefit) with the amount computed using the federal statutory income tax rate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0"/>
                <w:szCs w:val="20"/>
                <w:color w:val="auto"/>
              </w:rPr>
            </w:pPr>
          </w:p>
        </w:tc>
      </w:tr>
      <w:tr>
        <w:trPr>
          <w:trHeight w:val="237"/>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Computed "expected" tax expense (benefit)</w:t>
            </w:r>
          </w:p>
        </w:tc>
        <w:tc>
          <w:tcPr>
            <w:tcW w:w="1140" w:type="dxa"/>
            <w:vAlign w:val="bottom"/>
            <w:gridSpan w:val="2"/>
            <w:shd w:val="clear" w:color="auto" w:fill="CCFFCC"/>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w:t>
            </w:r>
          </w:p>
        </w:tc>
        <w:tc>
          <w:tcPr>
            <w:tcW w:w="140" w:type="dxa"/>
            <w:vAlign w:val="bottom"/>
            <w:shd w:val="clear" w:color="auto" w:fill="CCFFCC"/>
          </w:tcPr>
          <w:p>
            <w:pPr>
              <w:spacing w:after="0"/>
              <w:rPr>
                <w:sz w:val="20"/>
                <w:szCs w:val="20"/>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(616)</w:t>
            </w:r>
          </w:p>
        </w:tc>
      </w:tr>
      <w:tr>
        <w:trPr>
          <w:trHeight w:val="243"/>
        </w:trPr>
        <w:tc>
          <w:tcPr>
            <w:tcW w:w="7000" w:type="dxa"/>
            <w:vAlign w:val="bottom"/>
          </w:tcPr>
          <w:p>
            <w:pPr>
              <w:spacing w:after="0"/>
              <w:rPr>
                <w:sz w:val="20"/>
                <w:szCs w:val="20"/>
                <w:color w:val="auto"/>
              </w:rPr>
            </w:pPr>
            <w:r>
              <w:rPr>
                <w:rFonts w:ascii="Arial" w:cs="Arial" w:eastAsia="Arial" w:hAnsi="Arial"/>
                <w:sz w:val="18"/>
                <w:szCs w:val="18"/>
                <w:color w:val="auto"/>
              </w:rPr>
              <w:t>State and local tax, net of federal benefit</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r>
      <w:tr>
        <w:trPr>
          <w:trHeight w:val="243"/>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Tax basis gain on sale of Morion shares</w:t>
            </w:r>
          </w:p>
        </w:tc>
        <w:tc>
          <w:tcPr>
            <w:tcW w:w="2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r>
      <w:tr>
        <w:trPr>
          <w:trHeight w:val="243"/>
        </w:trPr>
        <w:tc>
          <w:tcPr>
            <w:tcW w:w="7000" w:type="dxa"/>
            <w:vAlign w:val="bottom"/>
          </w:tcPr>
          <w:p>
            <w:pPr>
              <w:spacing w:after="0"/>
              <w:rPr>
                <w:sz w:val="20"/>
                <w:szCs w:val="20"/>
                <w:color w:val="auto"/>
              </w:rPr>
            </w:pPr>
            <w:r>
              <w:rPr>
                <w:rFonts w:ascii="Arial" w:cs="Arial" w:eastAsia="Arial" w:hAnsi="Arial"/>
                <w:sz w:val="18"/>
                <w:szCs w:val="18"/>
                <w:color w:val="auto"/>
              </w:rPr>
              <w:t>Nontaxable loss (income) from foreign subsidiaries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243"/>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Reserve reversal on foreign deferred taxes</w:t>
            </w:r>
          </w:p>
        </w:tc>
        <w:tc>
          <w:tcPr>
            <w:tcW w:w="2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(405)</w:t>
            </w:r>
          </w:p>
        </w:tc>
      </w:tr>
      <w:tr>
        <w:trPr>
          <w:trHeight w:val="243"/>
        </w:trPr>
        <w:tc>
          <w:tcPr>
            <w:tcW w:w="7000" w:type="dxa"/>
            <w:vAlign w:val="bottom"/>
          </w:tcPr>
          <w:p>
            <w:pPr>
              <w:spacing w:after="0"/>
              <w:rPr>
                <w:sz w:val="20"/>
                <w:szCs w:val="20"/>
                <w:color w:val="auto"/>
              </w:rPr>
            </w:pPr>
            <w:r>
              <w:rPr>
                <w:rFonts w:ascii="Arial" w:cs="Arial" w:eastAsia="Arial" w:hAnsi="Arial"/>
                <w:sz w:val="18"/>
                <w:szCs w:val="18"/>
                <w:color w:val="auto"/>
              </w:rPr>
              <w:t>Nondeductible expenses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r>
      <w:tr>
        <w:trPr>
          <w:trHeight w:val="243"/>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Nontaxable life insurance cash value increase</w:t>
            </w:r>
          </w:p>
        </w:tc>
        <w:tc>
          <w:tcPr>
            <w:tcW w:w="2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5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(102)</w:t>
            </w:r>
          </w:p>
        </w:tc>
      </w:tr>
      <w:tr>
        <w:trPr>
          <w:trHeight w:val="243"/>
        </w:trPr>
        <w:tc>
          <w:tcPr>
            <w:tcW w:w="7000" w:type="dxa"/>
            <w:vAlign w:val="bottom"/>
          </w:tcPr>
          <w:p>
            <w:pPr>
              <w:spacing w:after="0"/>
              <w:rPr>
                <w:sz w:val="20"/>
                <w:szCs w:val="20"/>
                <w:color w:val="auto"/>
              </w:rPr>
            </w:pPr>
            <w:r>
              <w:rPr>
                <w:rFonts w:ascii="Arial" w:cs="Arial" w:eastAsia="Arial" w:hAnsi="Arial"/>
                <w:sz w:val="18"/>
                <w:szCs w:val="18"/>
                <w:color w:val="auto"/>
              </w:rPr>
              <w:t>Tax credits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r>
      <w:tr>
        <w:trPr>
          <w:trHeight w:val="243"/>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w w:val="97"/>
              </w:rPr>
              <w:t>Other items, net, none of which individually exceeds 5% of federal taxes at statutory rates</w:t>
            </w:r>
          </w:p>
        </w:tc>
        <w:tc>
          <w:tcPr>
            <w:tcW w:w="2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5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w:t>
            </w:r>
          </w:p>
        </w:tc>
      </w:tr>
      <w:tr>
        <w:trPr>
          <w:trHeight w:val="20"/>
        </w:trPr>
        <w:tc>
          <w:tcPr>
            <w:tcW w:w="700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37"/>
        </w:trPr>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(1,555)</w:t>
            </w:r>
          </w:p>
        </w:tc>
      </w:tr>
      <w:tr>
        <w:trPr>
          <w:trHeight w:val="20"/>
        </w:trPr>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The components of deferred taxes are as follows (in thousands):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40"/>
        </w:trPr>
        <w:tc>
          <w:tcPr>
            <w:tcW w:w="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4"/>
                <w:szCs w:val="24"/>
                <w:color w:val="auto"/>
              </w:rPr>
            </w:pPr>
          </w:p>
        </w:tc>
      </w:tr>
      <w:tr>
        <w:trPr>
          <w:trHeight w:val="237"/>
        </w:trPr>
        <w:tc>
          <w:tcPr>
            <w:tcW w:w="80" w:type="dxa"/>
            <w:vAlign w:val="bottom"/>
          </w:tcPr>
          <w:p>
            <w:pPr>
              <w:spacing w:after="0"/>
              <w:rPr>
                <w:sz w:val="20"/>
                <w:szCs w:val="20"/>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FFCC"/>
          </w:tcPr>
          <w:p>
            <w:pPr>
              <w:spacing w:after="0"/>
              <w:rPr>
                <w:sz w:val="20"/>
                <w:szCs w:val="20"/>
                <w:color w:val="auto"/>
              </w:rPr>
            </w:pPr>
          </w:p>
        </w:tc>
        <w:tc>
          <w:tcPr>
            <w:tcW w:w="880" w:type="dxa"/>
            <w:vAlign w:val="bottom"/>
            <w:tcBorders>
              <w:top w:val="single" w:sz="8" w:color="auto"/>
            </w:tcBorders>
            <w:shd w:val="clear" w:color="auto" w:fill="CCFFCC"/>
          </w:tcPr>
          <w:p>
            <w:pPr>
              <w:spacing w:after="0"/>
              <w:rPr>
                <w:sz w:val="20"/>
                <w:szCs w:val="20"/>
                <w:color w:val="auto"/>
              </w:rPr>
            </w:pPr>
          </w:p>
        </w:tc>
        <w:tc>
          <w:tcPr>
            <w:tcW w:w="48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Employee benefits</w:t>
            </w:r>
          </w:p>
        </w:tc>
        <w:tc>
          <w:tcPr>
            <w:tcW w:w="10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5,178</w:t>
            </w:r>
          </w:p>
        </w:tc>
        <w:tc>
          <w:tcPr>
            <w:tcW w:w="140" w:type="dxa"/>
            <w:vAlign w:val="bottom"/>
          </w:tcPr>
          <w:p>
            <w:pPr>
              <w:spacing w:after="0"/>
              <w:rPr>
                <w:sz w:val="21"/>
                <w:szCs w:val="21"/>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7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2,100</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FFCC"/>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7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FFCC"/>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Research &amp; development</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7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FFCC"/>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Foreign net operating loss carryforwards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70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Miscellaneous</w:t>
            </w:r>
          </w:p>
        </w:tc>
        <w:tc>
          <w:tcPr>
            <w:tcW w:w="20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spacing w:after="0"/>
              <w:rPr>
                <w:sz w:val="21"/>
                <w:szCs w:val="21"/>
                <w:color w:val="auto"/>
              </w:rPr>
            </w:pP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37"/>
        </w:trPr>
        <w:tc>
          <w:tcPr>
            <w:tcW w:w="80" w:type="dxa"/>
            <w:vAlign w:val="bottom"/>
          </w:tcPr>
          <w:p>
            <w:pPr>
              <w:spacing w:after="0"/>
              <w:rPr>
                <w:sz w:val="20"/>
                <w:szCs w:val="20"/>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Total deferred tax asset</w:t>
            </w:r>
          </w:p>
        </w:tc>
        <w:tc>
          <w:tcPr>
            <w:tcW w:w="2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w:t>
            </w:r>
          </w:p>
        </w:tc>
        <w:tc>
          <w:tcPr>
            <w:tcW w:w="120" w:type="dxa"/>
            <w:vAlign w:val="bottom"/>
          </w:tcPr>
          <w:p>
            <w:pPr>
              <w:spacing w:after="0"/>
              <w:rPr>
                <w:sz w:val="20"/>
                <w:szCs w:val="20"/>
                <w:color w:val="auto"/>
              </w:rPr>
            </w:pPr>
          </w:p>
        </w:tc>
      </w:tr>
      <w:tr>
        <w:trPr>
          <w:trHeight w:val="237"/>
        </w:trPr>
        <w:tc>
          <w:tcPr>
            <w:tcW w:w="80" w:type="dxa"/>
            <w:vAlign w:val="bottom"/>
          </w:tcPr>
          <w:p>
            <w:pPr>
              <w:spacing w:after="0"/>
              <w:rPr>
                <w:sz w:val="20"/>
                <w:szCs w:val="20"/>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1"/>
                <w:szCs w:val="21"/>
                <w:color w:val="auto"/>
              </w:rPr>
            </w:pPr>
          </w:p>
        </w:tc>
      </w:tr>
      <w:tr>
        <w:trPr>
          <w:trHeight w:val="237"/>
        </w:trPr>
        <w:tc>
          <w:tcPr>
            <w:tcW w:w="80" w:type="dxa"/>
            <w:vAlign w:val="bottom"/>
          </w:tcPr>
          <w:p>
            <w:pPr>
              <w:spacing w:after="0"/>
              <w:rPr>
                <w:sz w:val="20"/>
                <w:szCs w:val="20"/>
                <w:color w:val="auto"/>
              </w:rPr>
            </w:pPr>
          </w:p>
        </w:tc>
        <w:tc>
          <w:tcPr>
            <w:tcW w:w="7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deferred tax asset</w:t>
            </w:r>
          </w:p>
        </w:tc>
        <w:tc>
          <w:tcPr>
            <w:tcW w:w="20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8,269</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7,122</w:t>
            </w:r>
          </w:p>
        </w:tc>
        <w:tc>
          <w:tcPr>
            <w:tcW w:w="120" w:type="dxa"/>
            <w:vAlign w:val="bottom"/>
            <w:shd w:val="clear" w:color="auto" w:fill="CCFFCC"/>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(1,305)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(1,102)</w:t>
            </w:r>
          </w:p>
        </w:tc>
      </w:tr>
      <w:tr>
        <w:trPr>
          <w:trHeight w:val="277"/>
        </w:trPr>
        <w:tc>
          <w:tcPr>
            <w:tcW w:w="80" w:type="dxa"/>
            <w:vAlign w:val="bottom"/>
          </w:tcPr>
          <w:p>
            <w:pPr>
              <w:spacing w:after="0"/>
              <w:rPr>
                <w:sz w:val="24"/>
                <w:szCs w:val="24"/>
                <w:color w:val="auto"/>
              </w:rPr>
            </w:pPr>
          </w:p>
        </w:tc>
        <w:tc>
          <w:tcPr>
            <w:tcW w:w="7000" w:type="dxa"/>
            <w:vAlign w:val="bottom"/>
            <w:tcBorders>
              <w:bottom w:val="single" w:sz="8" w:color="CCFFCC"/>
            </w:tcBorders>
            <w:shd w:val="clear" w:color="auto" w:fill="CCFFCC"/>
          </w:tcPr>
          <w:p>
            <w:pPr>
              <w:spacing w:after="0"/>
              <w:rPr>
                <w:sz w:val="24"/>
                <w:szCs w:val="24"/>
                <w:color w:val="auto"/>
              </w:rPr>
            </w:pPr>
          </w:p>
        </w:tc>
        <w:tc>
          <w:tcPr>
            <w:tcW w:w="200" w:type="dxa"/>
            <w:vAlign w:val="bottom"/>
            <w:tcBorders>
              <w:bottom w:val="single" w:sz="8" w:color="CCFFCC"/>
            </w:tcBorders>
            <w:shd w:val="clear" w:color="auto" w:fill="CCFFCC"/>
          </w:tcPr>
          <w:p>
            <w:pPr>
              <w:spacing w:after="0"/>
              <w:rPr>
                <w:sz w:val="24"/>
                <w:szCs w:val="24"/>
                <w:color w:val="auto"/>
              </w:rPr>
            </w:pPr>
          </w:p>
        </w:tc>
        <w:tc>
          <w:tcPr>
            <w:tcW w:w="880" w:type="dxa"/>
            <w:vAlign w:val="bottom"/>
            <w:tcBorders>
              <w:top w:val="single" w:sz="8" w:color="auto"/>
              <w:bottom w:val="single" w:sz="8" w:color="auto"/>
            </w:tcBorders>
            <w:shd w:val="clear" w:color="auto" w:fill="CCFFCC"/>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6,964</w:t>
            </w:r>
          </w:p>
        </w:tc>
        <w:tc>
          <w:tcPr>
            <w:tcW w:w="14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30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6,020</w:t>
            </w:r>
          </w:p>
        </w:tc>
        <w:tc>
          <w:tcPr>
            <w:tcW w:w="120" w:type="dxa"/>
            <w:vAlign w:val="bottom"/>
            <w:tcBorders>
              <w:bottom w:val="single" w:sz="8" w:color="CCFFCC"/>
            </w:tcBorders>
            <w:shd w:val="clear" w:color="auto" w:fill="CCFFCC"/>
          </w:tcPr>
          <w:p>
            <w:pPr>
              <w:spacing w:after="0"/>
              <w:rPr>
                <w:sz w:val="24"/>
                <w:szCs w:val="24"/>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total valuation allowance relates to deferred tax assets of foreign subsidiaries. At April 30, 2008, the Company has available approximately $1.2 million in net operating losses available to offset future income of certain of its foreign subsidiaries.</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1, 2007, the Company adopted the provisions of FASB Financial Interpretation No. 48, “Accounting for Uncertainty in Income Taxes – an interpretation of FASB Statement No. 109.” (“FIN 48”) This interpretation clarifies the accounting for uncertainty in income taxes recognized in an entity’s financial statements and prescribes recognition thresholds and measurement attributes for tax positions taken in a tax return. Tax positions must meet a more-likely-than-not recognition threshold at the effective date to be recognized upon the adoption of FIN 48 and in subsequent periods. As a result of the implementation of FIN 48, the Company has evaluated its tax positions and has concluded that the tax positions meet the more-likely-than-not recognition threshold. As such, there is no impact on the Company’s financial position or results of operations.</w:t>
      </w:r>
    </w:p>
    <w:p>
      <w:pPr>
        <w:spacing w:after="0" w:line="273" w:lineRule="exact"/>
        <w:rPr>
          <w:sz w:val="20"/>
          <w:szCs w:val="20"/>
          <w:color w:val="auto"/>
        </w:rPr>
      </w:pPr>
    </w:p>
    <w:p>
      <w:pPr>
        <w:ind w:left="820" w:hanging="812"/>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Product Warranties</w:t>
      </w:r>
    </w:p>
    <w:p>
      <w:pPr>
        <w:spacing w:after="0" w:line="29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Changes in the carrying amount of accrued product warranty costs are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color w:val="auto"/>
              </w:rPr>
              <w:t>Year Ended April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780" w:type="dxa"/>
            <w:vAlign w:val="bottom"/>
            <w:gridSpan w:val="2"/>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2008</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2007</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Balance at beginning of year</w:t>
            </w:r>
          </w:p>
        </w:tc>
        <w:tc>
          <w:tcPr>
            <w:tcW w:w="3720" w:type="dxa"/>
            <w:vAlign w:val="bottom"/>
            <w:gridSpan w:val="3"/>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FFCC"/>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ind w:left="1140"/>
              <w:spacing w:after="0"/>
              <w:rPr>
                <w:sz w:val="20"/>
                <w:szCs w:val="20"/>
                <w:color w:val="auto"/>
              </w:rPr>
            </w:pPr>
            <w:r>
              <w:rPr>
                <w:rFonts w:ascii="Arial" w:cs="Arial" w:eastAsia="Arial" w:hAnsi="Arial"/>
                <w:sz w:val="18"/>
                <w:szCs w:val="18"/>
                <w:color w:val="auto"/>
              </w:rPr>
              <w:t>Warranty costs incurred</w:t>
            </w: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(596)</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Product warranty accrual</w:t>
            </w:r>
          </w:p>
        </w:tc>
        <w:tc>
          <w:tcPr>
            <w:tcW w:w="256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spacing w:after="0"/>
              <w:rPr>
                <w:sz w:val="21"/>
                <w:szCs w:val="21"/>
                <w:color w:val="auto"/>
              </w:rPr>
            </w:pP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spacing w:after="0"/>
              <w:rPr>
                <w:sz w:val="21"/>
                <w:szCs w:val="21"/>
                <w:color w:val="auto"/>
              </w:rPr>
            </w:pP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gridSpan w:val="2"/>
          </w:tcPr>
          <w:p>
            <w:pPr>
              <w:ind w:left="1140"/>
              <w:spacing w:after="0"/>
              <w:rPr>
                <w:sz w:val="20"/>
                <w:szCs w:val="20"/>
                <w:color w:val="auto"/>
              </w:rPr>
            </w:pPr>
            <w:r>
              <w:rPr>
                <w:rFonts w:ascii="Arial" w:cs="Arial" w:eastAsia="Arial" w:hAnsi="Arial"/>
                <w:sz w:val="18"/>
                <w:szCs w:val="18"/>
                <w:color w:val="auto"/>
              </w:rPr>
              <w:t>Balance at end of year</w:t>
            </w:r>
          </w:p>
        </w:tc>
        <w:tc>
          <w:tcPr>
            <w:tcW w:w="3720" w:type="dxa"/>
            <w:vAlign w:val="bottom"/>
            <w:gridSpan w:val="3"/>
          </w:tcPr>
          <w:p>
            <w:pPr>
              <w:jc w:val="right"/>
              <w:ind w:right="7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0"/>
                <w:szCs w:val="20"/>
                <w:color w:val="auto"/>
              </w:rPr>
            </w:pPr>
          </w:p>
        </w:tc>
        <w:tc>
          <w:tcPr>
            <w:tcW w:w="10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560" w:type="dxa"/>
            <w:vAlign w:val="bottom"/>
            <w:vMerge w:val="restart"/>
          </w:tcPr>
          <w:p>
            <w:pPr>
              <w:jc w:val="right"/>
              <w:ind w:right="109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320" w:lineRule="exact"/>
        <w:rPr>
          <w:sz w:val="20"/>
          <w:szCs w:val="20"/>
          <w:color w:val="auto"/>
        </w:rPr>
      </w:pPr>
    </w:p>
    <w:p>
      <w:pPr>
        <w:ind w:left="780" w:hanging="772"/>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Segment Information</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under three reportable segments:</w:t>
      </w:r>
    </w:p>
    <w:p>
      <w:pPr>
        <w:spacing w:after="0" w:line="23" w:lineRule="exact"/>
        <w:rPr>
          <w:sz w:val="20"/>
          <w:szCs w:val="20"/>
          <w:color w:val="auto"/>
        </w:rPr>
      </w:pPr>
    </w:p>
    <w:p>
      <w:pPr>
        <w:jc w:val="both"/>
        <w:ind w:left="1460" w:hanging="642"/>
        <w:spacing w:after="0" w:line="250"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 w:lineRule="exact"/>
        <w:rPr>
          <w:rFonts w:ascii="Arial" w:cs="Arial" w:eastAsia="Arial" w:hAnsi="Arial"/>
          <w:sz w:val="18"/>
          <w:szCs w:val="18"/>
          <w:color w:val="auto"/>
        </w:rPr>
      </w:pPr>
    </w:p>
    <w:p>
      <w:pPr>
        <w:ind w:left="1460" w:hanging="642"/>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Gillam-FEI - the Company’s Belgian subsidiary primarily sells wireline synchronization and network management systems.</w:t>
      </w:r>
    </w:p>
    <w:p>
      <w:pPr>
        <w:spacing w:after="0" w:line="9" w:lineRule="exact"/>
        <w:rPr>
          <w:rFonts w:ascii="Arial" w:cs="Arial" w:eastAsia="Arial" w:hAnsi="Arial"/>
          <w:sz w:val="18"/>
          <w:szCs w:val="18"/>
          <w:color w:val="auto"/>
        </w:rPr>
      </w:pPr>
    </w:p>
    <w:p>
      <w:pPr>
        <w:ind w:left="1460" w:hanging="642"/>
        <w:spacing w:after="0" w:line="261"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reports its segment information on primarily a geographic basis. The FEI-NY segment, which operates out of the Company’s New York headquarters facility, also includes the operations of the Company’s wholly-owned subsidiary, FEI-Asia. FEI-Asia functions primarily as a manufacturing facility for the FEI-NY segment.</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center rather than on the specific types of customers or end-users. Consequently, the Company determined that limiting the number of segments to the three indicated above more appropriately reflects the way the Company’s management views the business.</w:t>
      </w:r>
    </w:p>
    <w:p>
      <w:pPr>
        <w:spacing w:after="0" w:line="23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accounting policies of the three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The European-based director of Gillam-FEI and the president of FEI-Zyfer manage the assets of these segments. All acquired assets, including intangible assets, are included in the assets of these two segments.</w:t>
      </w:r>
    </w:p>
    <w:p>
      <w:pPr>
        <w:spacing w:after="0" w:line="24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table below presents information about reported segments for each of the years ended April 30 with reconciliation of segment amounts to consolidated amounts as reported in the statement of operations or the balance sheet for each of the years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0"/>
                <w:szCs w:val="20"/>
                <w:color w:val="auto"/>
              </w:rPr>
            </w:pPr>
          </w:p>
        </w:tc>
      </w:tr>
      <w:tr>
        <w:trPr>
          <w:trHeight w:val="237"/>
        </w:trPr>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r>
      <w:tr>
        <w:trPr>
          <w:trHeight w:val="243"/>
        </w:trPr>
        <w:tc>
          <w:tcPr>
            <w:tcW w:w="6920" w:type="dxa"/>
            <w:vAlign w:val="bottom"/>
          </w:tcPr>
          <w:p>
            <w:pPr>
              <w:ind w:left="180"/>
              <w:spacing w:after="0"/>
              <w:rPr>
                <w:sz w:val="20"/>
                <w:szCs w:val="20"/>
                <w:color w:val="auto"/>
              </w:rPr>
            </w:pPr>
            <w:r>
              <w:rPr>
                <w:rFonts w:ascii="Arial" w:cs="Arial" w:eastAsia="Arial" w:hAnsi="Arial"/>
                <w:sz w:val="18"/>
                <w:szCs w:val="18"/>
                <w:color w:val="auto"/>
              </w:rPr>
              <w:t>FEI-NY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46,258</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40,184</w:t>
            </w:r>
          </w:p>
        </w:tc>
      </w:tr>
      <w:tr>
        <w:trPr>
          <w:trHeight w:val="243"/>
        </w:trPr>
        <w:tc>
          <w:tcPr>
            <w:tcW w:w="6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Gillam-FEI</w:t>
            </w:r>
          </w:p>
        </w:tc>
        <w:tc>
          <w:tcPr>
            <w:tcW w:w="28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11,459</w:t>
            </w:r>
            <w:r>
              <w:rPr>
                <w:rFonts w:ascii="Arial" w:cs="Arial" w:eastAsia="Arial" w:hAnsi="Arial"/>
                <w:sz w:val="17"/>
                <w:szCs w:val="17"/>
                <w:color w:val="auto"/>
              </w:rPr>
              <w:t>**</w:t>
            </w:r>
          </w:p>
        </w:tc>
        <w:tc>
          <w:tcPr>
            <w:tcW w:w="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11,382</w:t>
            </w:r>
            <w:r>
              <w:rPr>
                <w:rFonts w:ascii="Arial" w:cs="Arial" w:eastAsia="Arial" w:hAnsi="Arial"/>
                <w:sz w:val="17"/>
                <w:szCs w:val="17"/>
                <w:color w:val="auto"/>
              </w:rPr>
              <w:t>**</w:t>
            </w:r>
          </w:p>
        </w:tc>
      </w:tr>
      <w:tr>
        <w:trPr>
          <w:trHeight w:val="243"/>
        </w:trPr>
        <w:tc>
          <w:tcPr>
            <w:tcW w:w="6920" w:type="dxa"/>
            <w:vAlign w:val="bottom"/>
          </w:tcPr>
          <w:p>
            <w:pPr>
              <w:ind w:left="180"/>
              <w:spacing w:after="0"/>
              <w:rPr>
                <w:sz w:val="20"/>
                <w:szCs w:val="20"/>
                <w:color w:val="auto"/>
              </w:rPr>
            </w:pPr>
            <w:r>
              <w:rPr>
                <w:rFonts w:ascii="Arial" w:cs="Arial" w:eastAsia="Arial" w:hAnsi="Arial"/>
                <w:sz w:val="18"/>
                <w:szCs w:val="18"/>
                <w:color w:val="auto"/>
              </w:rPr>
              <w:t>FEI-Zyfer</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9,089</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7,542</w:t>
            </w:r>
          </w:p>
        </w:tc>
      </w:tr>
      <w:tr>
        <w:trPr>
          <w:trHeight w:val="243"/>
        </w:trPr>
        <w:tc>
          <w:tcPr>
            <w:tcW w:w="6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less intersegment sales</w:t>
            </w:r>
          </w:p>
        </w:tc>
        <w:tc>
          <w:tcPr>
            <w:tcW w:w="28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(2,409</w:t>
            </w:r>
            <w:r>
              <w:rPr>
                <w:rFonts w:ascii="Arial" w:cs="Arial" w:eastAsia="Arial" w:hAnsi="Arial"/>
                <w:sz w:val="17"/>
                <w:szCs w:val="17"/>
                <w:color w:val="auto"/>
              </w:rPr>
              <w:t>)**</w:t>
            </w:r>
          </w:p>
        </w:tc>
        <w:tc>
          <w:tcPr>
            <w:tcW w:w="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(2,902</w:t>
            </w:r>
            <w:r>
              <w:rPr>
                <w:rFonts w:ascii="Arial" w:cs="Arial" w:eastAsia="Arial" w:hAnsi="Arial"/>
                <w:sz w:val="17"/>
                <w:szCs w:val="17"/>
                <w:color w:val="auto"/>
              </w:rPr>
              <w:t>)**</w:t>
            </w:r>
          </w:p>
        </w:tc>
      </w:tr>
      <w:tr>
        <w:trPr>
          <w:trHeight w:val="20"/>
        </w:trPr>
        <w:tc>
          <w:tcPr>
            <w:tcW w:w="69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Consolidated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64,397</w:t>
            </w:r>
          </w:p>
        </w:tc>
        <w:tc>
          <w:tcPr>
            <w:tcW w:w="32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56,206</w:t>
            </w:r>
          </w:p>
        </w:tc>
      </w:tr>
      <w:tr>
        <w:trPr>
          <w:trHeight w:val="20"/>
        </w:trPr>
        <w:tc>
          <w:tcPr>
            <w:tcW w:w="6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4"/>
        </w:trPr>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Operating (loss) profit:</w:t>
            </w:r>
          </w:p>
        </w:tc>
        <w:tc>
          <w:tcPr>
            <w:tcW w:w="280" w:type="dxa"/>
            <w:vAlign w:val="bottom"/>
            <w:shd w:val="clear" w:color="auto" w:fill="CCFFCC"/>
          </w:tcPr>
          <w:p>
            <w:pPr>
              <w:spacing w:after="0"/>
              <w:rPr>
                <w:sz w:val="19"/>
                <w:szCs w:val="19"/>
                <w:color w:val="auto"/>
              </w:rPr>
            </w:pPr>
          </w:p>
        </w:tc>
        <w:tc>
          <w:tcPr>
            <w:tcW w:w="10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r>
      <w:tr>
        <w:trPr>
          <w:trHeight w:val="243"/>
        </w:trPr>
        <w:tc>
          <w:tcPr>
            <w:tcW w:w="6920" w:type="dxa"/>
            <w:vAlign w:val="bottom"/>
          </w:tcPr>
          <w:p>
            <w:pPr>
              <w:ind w:left="180"/>
              <w:spacing w:after="0"/>
              <w:rPr>
                <w:sz w:val="20"/>
                <w:szCs w:val="20"/>
                <w:color w:val="auto"/>
              </w:rPr>
            </w:pPr>
            <w:r>
              <w:rPr>
                <w:rFonts w:ascii="Arial" w:cs="Arial" w:eastAsia="Arial" w:hAnsi="Arial"/>
                <w:sz w:val="18"/>
                <w:szCs w:val="18"/>
                <w:color w:val="auto"/>
              </w:rPr>
              <w:t>FEI-NY</w:t>
            </w:r>
          </w:p>
        </w:tc>
        <w:tc>
          <w:tcPr>
            <w:tcW w:w="28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($2,889)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(3,336)</w:t>
            </w:r>
          </w:p>
        </w:tc>
      </w:tr>
      <w:tr>
        <w:trPr>
          <w:trHeight w:val="243"/>
        </w:trPr>
        <w:tc>
          <w:tcPr>
            <w:tcW w:w="6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Gillam-FEI</w:t>
            </w:r>
          </w:p>
        </w:tc>
        <w:tc>
          <w:tcPr>
            <w:tcW w:w="28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273</w:t>
            </w:r>
            <w:r>
              <w:rPr>
                <w:rFonts w:ascii="Arial" w:cs="Arial" w:eastAsia="Arial" w:hAnsi="Arial"/>
                <w:sz w:val="17"/>
                <w:szCs w:val="17"/>
                <w:color w:val="auto"/>
              </w:rPr>
              <w:t>**</w:t>
            </w:r>
          </w:p>
        </w:tc>
        <w:tc>
          <w:tcPr>
            <w:tcW w:w="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412</w:t>
            </w:r>
            <w:r>
              <w:rPr>
                <w:rFonts w:ascii="Arial" w:cs="Arial" w:eastAsia="Arial" w:hAnsi="Arial"/>
                <w:sz w:val="17"/>
                <w:szCs w:val="17"/>
                <w:color w:val="auto"/>
              </w:rPr>
              <w:t>**</w:t>
            </w:r>
          </w:p>
        </w:tc>
      </w:tr>
      <w:tr>
        <w:trPr>
          <w:trHeight w:val="243"/>
        </w:trPr>
        <w:tc>
          <w:tcPr>
            <w:tcW w:w="6920" w:type="dxa"/>
            <w:vAlign w:val="bottom"/>
          </w:tcPr>
          <w:p>
            <w:pPr>
              <w:ind w:left="180"/>
              <w:spacing w:after="0"/>
              <w:rPr>
                <w:sz w:val="20"/>
                <w:szCs w:val="20"/>
                <w:color w:val="auto"/>
              </w:rPr>
            </w:pPr>
            <w:r>
              <w:rPr>
                <w:rFonts w:ascii="Arial" w:cs="Arial" w:eastAsia="Arial" w:hAnsi="Arial"/>
                <w:sz w:val="18"/>
                <w:szCs w:val="18"/>
                <w:color w:val="auto"/>
              </w:rPr>
              <w:t>FEI-Zyfer</w:t>
            </w:r>
          </w:p>
        </w:tc>
        <w:tc>
          <w:tcPr>
            <w:tcW w:w="28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(339)</w:t>
            </w:r>
          </w:p>
        </w:tc>
      </w:tr>
      <w:tr>
        <w:trPr>
          <w:trHeight w:val="243"/>
        </w:trPr>
        <w:tc>
          <w:tcPr>
            <w:tcW w:w="6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Corporate</w:t>
            </w:r>
          </w:p>
        </w:tc>
        <w:tc>
          <w:tcPr>
            <w:tcW w:w="28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(458)</w:t>
            </w:r>
          </w:p>
        </w:tc>
      </w:tr>
      <w:tr>
        <w:trPr>
          <w:trHeight w:val="20"/>
        </w:trPr>
        <w:tc>
          <w:tcPr>
            <w:tcW w:w="69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Consolidated Operating Loss</w:t>
            </w:r>
          </w:p>
        </w:tc>
        <w:tc>
          <w:tcPr>
            <w:tcW w:w="2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($ 2,578)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($ 3,721)</w:t>
            </w:r>
          </w:p>
        </w:tc>
      </w:tr>
      <w:tr>
        <w:trPr>
          <w:trHeight w:val="20"/>
        </w:trPr>
        <w:tc>
          <w:tcPr>
            <w:tcW w:w="6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340" w:hanging="332"/>
        <w:spacing w:after="0" w:line="25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fiscal years ended April 30, 2008 and 2007, includes Gillam-FEI intersegment sales of $1.0 million and $1.8 million, respectively, to the FEI-NY segment. In fiscal years 2008 and 2007, such sales included final development costs and manufacture of assemblies and units of a wireline synchronization product for ultimate production and sale in the U.S. In the Gillam-FEI segment, these transactions increased the operating profit in each of the fiscal years.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8640" w:type="dxa"/>
            <w:vAlign w:val="bottom"/>
            <w:gridSpan w:val="2"/>
          </w:tcPr>
          <w:p>
            <w:pPr>
              <w:ind w:left="3020"/>
              <w:spacing w:after="0"/>
              <w:rPr>
                <w:sz w:val="20"/>
                <w:szCs w:val="20"/>
                <w:color w:val="auto"/>
              </w:rPr>
            </w:pPr>
            <w:r>
              <w:rPr>
                <w:rFonts w:ascii="Arial" w:cs="Arial" w:eastAsia="Arial" w:hAnsi="Arial"/>
                <w:sz w:val="18"/>
                <w:szCs w:val="18"/>
                <w:color w:val="auto"/>
                <w:w w:val="99"/>
              </w:rPr>
              <w:t>NOTES TO CONSOLIDATED FINANCIAL STATEMENTS - Continued</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4"/>
                <w:szCs w:val="24"/>
                <w:color w:val="auto"/>
              </w:rPr>
            </w:pP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FEI-NY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54,522</w:t>
            </w:r>
          </w:p>
        </w:tc>
        <w:tc>
          <w:tcPr>
            <w:tcW w:w="140" w:type="dxa"/>
            <w:vAlign w:val="bottom"/>
          </w:tcPr>
          <w:p>
            <w:pPr>
              <w:spacing w:after="0"/>
              <w:rPr>
                <w:sz w:val="21"/>
                <w:szCs w:val="21"/>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49,868</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Gillam-FEI</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18,611</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FEI-Zyfer</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6,538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5,366</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less intersegment balances</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(17,786)</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(11,773)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36,615</w:t>
            </w:r>
          </w:p>
        </w:tc>
        <w:tc>
          <w:tcPr>
            <w:tcW w:w="100" w:type="dxa"/>
            <w:vAlign w:val="bottom"/>
          </w:tcPr>
          <w:p>
            <w:pPr>
              <w:spacing w:after="0"/>
              <w:rPr>
                <w:sz w:val="21"/>
                <w:szCs w:val="21"/>
                <w:color w:val="auto"/>
              </w:rPr>
            </w:pPr>
          </w:p>
        </w:tc>
      </w:tr>
      <w:tr>
        <w:trPr>
          <w:trHeight w:val="277"/>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Identifiable Assets</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96,920</w:t>
            </w:r>
          </w:p>
        </w:tc>
        <w:tc>
          <w:tcPr>
            <w:tcW w:w="140" w:type="dxa"/>
            <w:vAlign w:val="bottom"/>
            <w:shd w:val="clear" w:color="auto" w:fill="CCFFCC"/>
          </w:tcPr>
          <w:p>
            <w:pPr>
              <w:spacing w:after="0"/>
              <w:rPr>
                <w:sz w:val="24"/>
                <w:szCs w:val="24"/>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93,826</w:t>
            </w:r>
          </w:p>
        </w:tc>
      </w:tr>
      <w:tr>
        <w:trPr>
          <w:trHeight w:val="224"/>
        </w:trPr>
        <w:tc>
          <w:tcPr>
            <w:tcW w:w="83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Depreciation and amortization (allocated):</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FEI-NY</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1,469</w:t>
            </w:r>
          </w:p>
        </w:tc>
        <w:tc>
          <w:tcPr>
            <w:tcW w:w="140" w:type="dxa"/>
            <w:vAlign w:val="bottom"/>
            <w:shd w:val="clear" w:color="auto" w:fill="CCFFCC"/>
          </w:tcPr>
          <w:p>
            <w:pPr>
              <w:spacing w:after="0"/>
              <w:rPr>
                <w:sz w:val="21"/>
                <w:szCs w:val="21"/>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Gillam-FEI</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FEI-Zyfer</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r>
      <w:tr>
        <w:trPr>
          <w:trHeight w:val="277"/>
        </w:trPr>
        <w:tc>
          <w:tcPr>
            <w:tcW w:w="83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Consolidated Depreciation and Amortization Expense</w:t>
            </w: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1,969</w:t>
            </w:r>
          </w:p>
        </w:tc>
        <w:tc>
          <w:tcPr>
            <w:tcW w:w="14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Major Customers</w:t>
      </w:r>
    </w:p>
    <w:p>
      <w:pPr>
        <w:spacing w:after="0" w:line="27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fiscal year 2008, sales to four customers of the FEI-NY segment aggregated $29.1 million or 63% of that segment’s total sales. Three of these customers accounted for 15%, 12% and 11%, respectively, of the Company’s consolidated sales for the year. In the Gillam-FEI segment, sales to two customers aggregated $4.5 million or 39% of that segment’s revenues. In the FEI-Zyfer segment, one customer accounted for $1.1 million or 12% of that segment’s sales. None of the customers in the Gillam-FEI or FEI-Zyfer segments accounted for more than 10% of consolidated revenues.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fiscal year 2007, sales to three customers of the FEI-NY segment aggregated $24.4 million or 61% of that segment’s total sales. These customers accounted for 17%, 14% and 13%, respectively, of the Company’s consolidated sales for the year. During the year ended April 30, 2007, in the Gillam-FEI segment, sales to two customers aggregated $4.0 million or 42% of that segment’s revenues (exclusive of the $1.8 million of intersegment sale). In the FEI-Zyfer segment, two customers accounted for $1.6 million or 21% of that segment’s sales. None of the customers in the Gillam-FEI or FEI-Zyfer segments accounted for more than 10% of consolidated revenues.</w:t>
      </w:r>
    </w:p>
    <w:p>
      <w:pPr>
        <w:spacing w:after="0" w:line="24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loss by the Company of any one of these customers would have a material adverse effect on the Company’s business. The Company believes its relationship with these companies to be mutually satisfactory.</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Foreign Sales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Revenues in each of the Company’s segments include sales to foreign governments or to companies located in foreign countries. Revenues, based on the location of the procurement entity, were derived from the following countries: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(in thousands)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70"/>
        </w:trPr>
        <w:tc>
          <w:tcPr>
            <w:tcW w:w="28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5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2007</w:t>
            </w:r>
          </w:p>
        </w:tc>
        <w:tc>
          <w:tcPr>
            <w:tcW w:w="140" w:type="dxa"/>
            <w:vAlign w:val="bottom"/>
          </w:tcPr>
          <w:p>
            <w:pPr>
              <w:spacing w:after="0"/>
              <w:rPr>
                <w:sz w:val="23"/>
                <w:szCs w:val="23"/>
                <w:color w:val="auto"/>
              </w:rPr>
            </w:pPr>
          </w:p>
        </w:tc>
        <w:tc>
          <w:tcPr>
            <w:tcW w:w="2840" w:type="dxa"/>
            <w:vAlign w:val="bottom"/>
          </w:tcPr>
          <w:p>
            <w:pPr>
              <w:spacing w:after="0"/>
              <w:rPr>
                <w:sz w:val="23"/>
                <w:szCs w:val="23"/>
                <w:color w:val="auto"/>
              </w:rPr>
            </w:pPr>
          </w:p>
        </w:tc>
      </w:tr>
      <w:tr>
        <w:trPr>
          <w:trHeight w:val="237"/>
        </w:trPr>
        <w:tc>
          <w:tcPr>
            <w:tcW w:w="2880" w:type="dxa"/>
            <w:vAlign w:val="bottom"/>
          </w:tcPr>
          <w:p>
            <w:pPr>
              <w:spacing w:after="0"/>
              <w:rPr>
                <w:sz w:val="20"/>
                <w:szCs w:val="20"/>
                <w:color w:val="auto"/>
              </w:rPr>
            </w:pPr>
          </w:p>
        </w:tc>
        <w:tc>
          <w:tcPr>
            <w:tcW w:w="2360" w:type="dxa"/>
            <w:vAlign w:val="bottom"/>
            <w:shd w:val="clear" w:color="auto" w:fill="CCFFCC"/>
          </w:tcPr>
          <w:p>
            <w:pPr>
              <w:spacing w:after="0"/>
              <w:rPr>
                <w:sz w:val="20"/>
                <w:szCs w:val="20"/>
                <w:color w:val="auto"/>
              </w:rPr>
            </w:pPr>
            <w:r>
              <w:rPr>
                <w:rFonts w:ascii="Arial" w:cs="Arial" w:eastAsia="Arial" w:hAnsi="Arial"/>
                <w:sz w:val="18"/>
                <w:szCs w:val="18"/>
                <w:color w:val="auto"/>
              </w:rPr>
              <w:t>Belgium</w:t>
            </w:r>
          </w:p>
        </w:tc>
        <w:tc>
          <w:tcPr>
            <w:tcW w:w="1080" w:type="dxa"/>
            <w:vAlign w:val="bottom"/>
            <w:gridSpan w:val="2"/>
            <w:shd w:val="clear" w:color="auto" w:fill="CCFFCC"/>
          </w:tcPr>
          <w:p>
            <w:pPr>
              <w:jc w:val="right"/>
              <w:ind w:right="6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5,717</w:t>
            </w:r>
          </w:p>
        </w:tc>
        <w:tc>
          <w:tcPr>
            <w:tcW w:w="6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5,612</w:t>
            </w:r>
          </w:p>
        </w:tc>
        <w:tc>
          <w:tcPr>
            <w:tcW w:w="140" w:type="dxa"/>
            <w:vAlign w:val="bottom"/>
            <w:shd w:val="clear" w:color="auto" w:fill="CCFFCC"/>
          </w:tcPr>
          <w:p>
            <w:pPr>
              <w:spacing w:after="0"/>
              <w:rPr>
                <w:sz w:val="20"/>
                <w:szCs w:val="20"/>
                <w:color w:val="auto"/>
              </w:rPr>
            </w:pPr>
          </w:p>
        </w:tc>
        <w:tc>
          <w:tcPr>
            <w:tcW w:w="2840" w:type="dxa"/>
            <w:vAlign w:val="bottom"/>
          </w:tcPr>
          <w:p>
            <w:pPr>
              <w:spacing w:after="0"/>
              <w:rPr>
                <w:sz w:val="20"/>
                <w:szCs w:val="20"/>
                <w:color w:val="auto"/>
              </w:rPr>
            </w:pPr>
          </w:p>
        </w:tc>
      </w:tr>
      <w:tr>
        <w:trPr>
          <w:trHeight w:val="243"/>
        </w:trPr>
        <w:tc>
          <w:tcPr>
            <w:tcW w:w="5240" w:type="dxa"/>
            <w:vAlign w:val="bottom"/>
            <w:gridSpan w:val="2"/>
          </w:tcPr>
          <w:p>
            <w:pPr>
              <w:ind w:left="2860"/>
              <w:spacing w:after="0"/>
              <w:rPr>
                <w:sz w:val="20"/>
                <w:szCs w:val="20"/>
                <w:color w:val="auto"/>
              </w:rPr>
            </w:pPr>
            <w:r>
              <w:rPr>
                <w:rFonts w:ascii="Arial" w:cs="Arial" w:eastAsia="Arial" w:hAnsi="Arial"/>
                <w:sz w:val="18"/>
                <w:szCs w:val="18"/>
                <w:color w:val="auto"/>
              </w:rPr>
              <w:t>China</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5,038</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5,799</w:t>
            </w:r>
          </w:p>
        </w:tc>
        <w:tc>
          <w:tcPr>
            <w:tcW w:w="14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2360" w:type="dxa"/>
            <w:vAlign w:val="bottom"/>
            <w:shd w:val="clear" w:color="auto" w:fill="CCFFCC"/>
          </w:tcPr>
          <w:p>
            <w:pPr>
              <w:spacing w:after="0"/>
              <w:rPr>
                <w:sz w:val="20"/>
                <w:szCs w:val="20"/>
                <w:color w:val="auto"/>
              </w:rPr>
            </w:pPr>
            <w:r>
              <w:rPr>
                <w:rFonts w:ascii="Arial" w:cs="Arial" w:eastAsia="Arial" w:hAnsi="Arial"/>
                <w:sz w:val="18"/>
                <w:szCs w:val="18"/>
                <w:color w:val="auto"/>
              </w:rPr>
              <w:t>France</w:t>
            </w:r>
          </w:p>
        </w:tc>
        <w:tc>
          <w:tcPr>
            <w:tcW w:w="2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2,515</w:t>
            </w:r>
          </w:p>
        </w:tc>
        <w:tc>
          <w:tcPr>
            <w:tcW w:w="2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2,653</w:t>
            </w:r>
          </w:p>
        </w:tc>
        <w:tc>
          <w:tcPr>
            <w:tcW w:w="140" w:type="dxa"/>
            <w:vAlign w:val="bottom"/>
            <w:shd w:val="clear" w:color="auto" w:fill="CCFFCC"/>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5240" w:type="dxa"/>
            <w:vAlign w:val="bottom"/>
            <w:gridSpan w:val="2"/>
          </w:tcPr>
          <w:p>
            <w:pPr>
              <w:ind w:left="2860"/>
              <w:spacing w:after="0"/>
              <w:rPr>
                <w:sz w:val="20"/>
                <w:szCs w:val="20"/>
                <w:color w:val="auto"/>
              </w:rPr>
            </w:pPr>
            <w:r>
              <w:rPr>
                <w:rFonts w:ascii="Arial" w:cs="Arial" w:eastAsia="Arial" w:hAnsi="Arial"/>
                <w:sz w:val="18"/>
                <w:szCs w:val="18"/>
                <w:color w:val="auto"/>
              </w:rPr>
              <w:t>Canada</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953</w:t>
            </w:r>
          </w:p>
        </w:tc>
        <w:tc>
          <w:tcPr>
            <w:tcW w:w="14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23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spacing w:after="0"/>
              <w:rPr>
                <w:sz w:val="21"/>
                <w:szCs w:val="21"/>
                <w:color w:val="auto"/>
              </w:rPr>
            </w:pP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5,395</w:t>
            </w:r>
          </w:p>
        </w:tc>
        <w:tc>
          <w:tcPr>
            <w:tcW w:w="2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2,899</w:t>
            </w:r>
          </w:p>
        </w:tc>
        <w:tc>
          <w:tcPr>
            <w:tcW w:w="140" w:type="dxa"/>
            <w:vAlign w:val="bottom"/>
            <w:tcBorders>
              <w:bottom w:val="single" w:sz="8" w:color="CCFFCC"/>
            </w:tcBorders>
            <w:shd w:val="clear" w:color="auto" w:fill="CCFFCC"/>
          </w:tcPr>
          <w:p>
            <w:pPr>
              <w:spacing w:after="0"/>
              <w:rPr>
                <w:sz w:val="21"/>
                <w:szCs w:val="21"/>
                <w:color w:val="auto"/>
              </w:rPr>
            </w:pPr>
          </w:p>
        </w:tc>
        <w:tc>
          <w:tcPr>
            <w:tcW w:w="2840" w:type="dxa"/>
            <w:vAlign w:val="bottom"/>
          </w:tcPr>
          <w:p>
            <w:pPr>
              <w:spacing w:after="0"/>
              <w:rPr>
                <w:sz w:val="21"/>
                <w:szCs w:val="21"/>
                <w:color w:val="auto"/>
              </w:rPr>
            </w:pPr>
          </w:p>
        </w:tc>
      </w:tr>
      <w:tr>
        <w:trPr>
          <w:trHeight w:val="237"/>
        </w:trPr>
        <w:tc>
          <w:tcPr>
            <w:tcW w:w="28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19,707</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17,916</w:t>
            </w:r>
          </w:p>
        </w:tc>
        <w:tc>
          <w:tcPr>
            <w:tcW w:w="1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0"/>
        </w:trPr>
        <w:tc>
          <w:tcPr>
            <w:tcW w:w="2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40"/>
        </w:trPr>
        <w:tc>
          <w:tcPr>
            <w:tcW w:w="2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80" w:type="dxa"/>
            <w:vAlign w:val="bottom"/>
            <w:gridSpan w:val="2"/>
          </w:tcPr>
          <w:p>
            <w:pPr>
              <w:jc w:val="right"/>
              <w:ind w:right="430"/>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320" w:lineRule="exact"/>
        <w:rPr>
          <w:sz w:val="20"/>
          <w:szCs w:val="20"/>
          <w:color w:val="auto"/>
        </w:rPr>
      </w:pPr>
    </w:p>
    <w:p>
      <w:pPr>
        <w:ind w:left="780" w:hanging="772"/>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Interim Results (Unaudited)</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Quarterly results for fiscal years 2008 and 2007 are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5"/>
          </w:tcPr>
          <w:p>
            <w:pPr>
              <w:jc w:val="right"/>
              <w:ind w:right="420"/>
              <w:spacing w:after="0"/>
              <w:rPr>
                <w:sz w:val="20"/>
                <w:szCs w:val="20"/>
                <w:color w:val="auto"/>
              </w:rPr>
            </w:pPr>
            <w:r>
              <w:rPr>
                <w:rFonts w:ascii="Arial" w:cs="Arial" w:eastAsia="Arial" w:hAnsi="Arial"/>
                <w:sz w:val="18"/>
                <w:szCs w:val="18"/>
                <w:color w:val="auto"/>
                <w:w w:val="88"/>
              </w:rPr>
              <w:t>(in thousands, except per share data)</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516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2008 Quarter</w:t>
            </w:r>
          </w:p>
        </w:tc>
        <w:tc>
          <w:tcPr>
            <w:tcW w:w="9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51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1st</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2nd</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3rd</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4th</w:t>
            </w:r>
          </w:p>
        </w:tc>
        <w:tc>
          <w:tcPr>
            <w:tcW w:w="100" w:type="dxa"/>
            <w:vAlign w:val="bottom"/>
          </w:tcPr>
          <w:p>
            <w:pPr>
              <w:spacing w:after="0"/>
              <w:rPr>
                <w:sz w:val="22"/>
                <w:szCs w:val="22"/>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840" w:type="dxa"/>
            <w:vAlign w:val="bottom"/>
            <w:shd w:val="clear" w:color="auto" w:fill="CCFFCC"/>
          </w:tcPr>
          <w:p>
            <w:pPr>
              <w:jc w:val="right"/>
              <w:ind w:right="68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4"/>
              </w:rPr>
              <w:t>15,557</w:t>
            </w:r>
          </w:p>
        </w:tc>
        <w:tc>
          <w:tcPr>
            <w:tcW w:w="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17,494</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17,055</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14,291</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Gross margin</w:t>
            </w:r>
          </w:p>
        </w:tc>
        <w:tc>
          <w:tcPr>
            <w:tcW w:w="84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5,470</w:t>
            </w: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5,455</w:t>
            </w: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2,266</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409</w:t>
            </w:r>
          </w:p>
        </w:tc>
        <w:tc>
          <w:tcPr>
            <w:tcW w:w="46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758</w:t>
            </w:r>
          </w:p>
        </w:tc>
        <w:tc>
          <w:tcPr>
            <w:tcW w:w="3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(1,660)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FFCC"/>
          </w:tcPr>
          <w:p>
            <w:pPr>
              <w:jc w:val="right"/>
              <w:ind w:right="68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0.16</w:t>
            </w:r>
          </w:p>
        </w:tc>
        <w:tc>
          <w:tcPr>
            <w:tcW w:w="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0.05</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(0.19)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Quarterly earnings per share data do not equal the annual amount due to changes in the average common equivalent shares outstanding.</w:t>
      </w:r>
    </w:p>
    <w:p>
      <w:pPr>
        <w:spacing w:after="0" w:line="291" w:lineRule="exact"/>
        <w:rPr>
          <w:sz w:val="20"/>
          <w:szCs w:val="20"/>
          <w:color w:val="auto"/>
        </w:rPr>
      </w:pPr>
    </w:p>
    <w:p>
      <w:pPr>
        <w:jc w:val="both"/>
        <w:ind w:right="440" w:firstLine="486"/>
        <w:spacing w:after="0" w:line="264" w:lineRule="auto"/>
        <w:rPr>
          <w:sz w:val="20"/>
          <w:szCs w:val="20"/>
          <w:color w:val="auto"/>
        </w:rPr>
      </w:pPr>
      <w:r>
        <w:rPr>
          <w:rFonts w:ascii="Arial" w:cs="Arial" w:eastAsia="Arial" w:hAnsi="Arial"/>
          <w:sz w:val="18"/>
          <w:szCs w:val="18"/>
          <w:color w:val="auto"/>
        </w:rPr>
        <w:t>During the fourth quarter of fiscal year 2008, the Company increased inventory reserves by $1,000 and incurred higher than anticipated engineering and manufacturing costs as a result of testing failures on certain satellite payload contracts. Such costs reduced revenues and increased the net loss.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5"/>
          </w:tcPr>
          <w:p>
            <w:pPr>
              <w:jc w:val="right"/>
              <w:ind w:right="420"/>
              <w:spacing w:after="0"/>
              <w:rPr>
                <w:sz w:val="20"/>
                <w:szCs w:val="20"/>
                <w:color w:val="auto"/>
              </w:rPr>
            </w:pPr>
            <w:r>
              <w:rPr>
                <w:rFonts w:ascii="Arial" w:cs="Arial" w:eastAsia="Arial" w:hAnsi="Arial"/>
                <w:sz w:val="18"/>
                <w:szCs w:val="18"/>
                <w:color w:val="auto"/>
                <w:w w:val="88"/>
              </w:rPr>
              <w:t>(in thousands, except per share data)</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516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2007 Quarter</w:t>
            </w:r>
          </w:p>
        </w:tc>
        <w:tc>
          <w:tcPr>
            <w:tcW w:w="9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51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1st</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2nd</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3rd</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4th</w:t>
            </w:r>
          </w:p>
        </w:tc>
        <w:tc>
          <w:tcPr>
            <w:tcW w:w="100" w:type="dxa"/>
            <w:vAlign w:val="bottom"/>
          </w:tcPr>
          <w:p>
            <w:pPr>
              <w:spacing w:after="0"/>
              <w:rPr>
                <w:sz w:val="22"/>
                <w:szCs w:val="22"/>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840" w:type="dxa"/>
            <w:vAlign w:val="bottom"/>
            <w:shd w:val="clear" w:color="auto" w:fill="CCFFCC"/>
          </w:tcPr>
          <w:p>
            <w:pPr>
              <w:jc w:val="right"/>
              <w:ind w:right="68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4"/>
              </w:rPr>
              <w:t>14,314</w:t>
            </w:r>
          </w:p>
        </w:tc>
        <w:tc>
          <w:tcPr>
            <w:tcW w:w="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14,320</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12,117</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15,455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Gross margin</w:t>
            </w:r>
          </w:p>
        </w:tc>
        <w:tc>
          <w:tcPr>
            <w:tcW w:w="84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5,340</w:t>
            </w: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3,777</w:t>
            </w: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3,106</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187</w:t>
            </w:r>
          </w:p>
        </w:tc>
        <w:tc>
          <w:tcPr>
            <w:tcW w:w="46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(754)</w:t>
            </w:r>
          </w:p>
        </w:tc>
        <w:tc>
          <w:tcPr>
            <w:tcW w:w="3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(588)</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FFCC"/>
          </w:tcPr>
          <w:p>
            <w:pPr>
              <w:jc w:val="right"/>
              <w:ind w:right="68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0.10</w:t>
            </w:r>
          </w:p>
        </w:tc>
        <w:tc>
          <w:tcPr>
            <w:tcW w:w="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0.02</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r>
    </w:tbl>
    <w:p>
      <w:pPr>
        <w:spacing w:after="0" w:line="256" w:lineRule="exact"/>
        <w:rPr>
          <w:sz w:val="20"/>
          <w:szCs w:val="20"/>
          <w:color w:val="auto"/>
        </w:rPr>
      </w:pPr>
    </w:p>
    <w:p>
      <w:pPr>
        <w:jc w:val="center"/>
        <w:ind w:left="5620" w:right="1000" w:hanging="5126"/>
        <w:spacing w:after="0" w:line="590"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earnings per share data do not equal the annual amount due to changes in the average common equivalent shares outstanding.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Item 9A(T) Controls and Procedures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April 30, 2008, the Company’s disclosure controls and procedures were not effective for the reasons discussed below,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2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April 30, 2008. In making this assessment, management used the criteria established in Internal Control—Integrated Framework issued by the Committee of Sponsoring Organizations of the Treadway Commission (COSO). Based on this evaluation, management has concluded that the Company’s internal control over financial reporting was not effective as of April 30, 2008. The Company’s chief executive officer and chief financial officer have concluded that the Company has material weaknesses in its internal control over financial reporting.</w:t>
      </w:r>
    </w:p>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Financial Reporting</w:t>
      </w:r>
    </w:p>
    <w:p>
      <w:pPr>
        <w:spacing w:after="0" w:line="2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had inadequate resources and an insufficient number of personnel having adequate knowledge, experience and training to provide effective oversight and review of our internal controls within the prescribed timeframe. As a result, as of April 30, 2008, there was a material weakness in the Company’s internal control because management has not performed a self-assessment or the necessary documentation and testing of the internal controls at two of the Company’s subsidiaries, Gillam-FEI and FEI-Zyfer. The lack of documentation and testing of these subsidiaries constitutes a material weakness. In order to remediate this material weakness, management will continue to establish policies and procedures to provide for the necessary documentation and testing of such internal controls over the coming year. During fiscal year 2009, the Company plans to fully document and test the internal controls over financial reporting at its Gillam-FEI and FEI-Zyfer subsidiaries. If this process identifies material weaknesses or significant deficiencies over such internal controls, the Company will implement appropriate remediation efforts.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8" w:name="page49"/>
    <w:bookmarkEnd w:id="48"/>
    <w:p>
      <w:pPr>
        <w:jc w:val="both"/>
        <w:ind w:firstLine="324"/>
        <w:spacing w:after="0" w:line="272" w:lineRule="auto"/>
        <w:rPr>
          <w:sz w:val="20"/>
          <w:szCs w:val="20"/>
          <w:color w:val="auto"/>
        </w:rPr>
      </w:pPr>
      <w:r>
        <w:rPr>
          <w:rFonts w:ascii="Arial" w:cs="Arial" w:eastAsia="Arial" w:hAnsi="Arial"/>
          <w:sz w:val="17"/>
          <w:szCs w:val="17"/>
          <w:color w:val="auto"/>
        </w:rPr>
        <w:t>Due to the Company’s small size and lack of resources and staffing, the Chief Financial Officer is actively involved in the preparation of the financial statements and therefore, cannot provide an independent review and quality assurance function within the accounting and financial reporting group. The limited number of accounting personnel results in an inability to have independent review and approval by the Chief Financial Officer of financial accounting entries. There is a risk that a material misstatement of the financial statements could be caused, or at least not be detected in a timely manner, due to this insufficient segregation of duties. During fiscal year 2009, the Company plans to remediate this material weakness by engaging third-party accounting advisors and by creating processes whereby personnel in its Accounting Department (other than the Chief Financial Officer) will create analysis and original accounting entries, which will subsequently be reviewed and approved by the Chief Financial Officer.</w:t>
      </w:r>
    </w:p>
    <w:p>
      <w:pPr>
        <w:spacing w:after="0" w:line="23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Securities and Exchange Commission that permit the Company to provide only management’s report in this annual report.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during the quarter ending April 30, 2008 to which this report relates that have materially affected, or are reasonably likely to materially affect, the Company’s internal control over financial reporting.</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Item 9B Other Information</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and Executive Officers of the Company</w:t>
      </w:r>
    </w:p>
    <w:p>
      <w:pPr>
        <w:spacing w:after="0" w:line="2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information required to be furnished pursuant to this item with respect to Directors of the Company, in compliance with Section 16(a) of the Securities Exchange Act of 1934, as amended, and the Company’s code of ethics is incorporated herein by reference from the Company’s definitive proxy statement for the annual meeting of stockholders to be held on or about October 7, 2008. The information required to be furnished pursuant to this item with respect to Executive Officers is set forth, pursuant to General Instruction G of Form 10-K, under Part I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October 7, 2008.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Stockholder Matters</w:t>
      </w:r>
    </w:p>
    <w:p>
      <w:pPr>
        <w:spacing w:after="0" w:line="2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October 7, 2008.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w:t>
      </w:r>
    </w:p>
    <w:p>
      <w:pPr>
        <w:spacing w:after="0" w:line="2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October 7, 2008.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Accountant Fees and Services</w:t>
      </w:r>
    </w:p>
    <w:p>
      <w:pPr>
        <w:spacing w:after="0" w:line="2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October 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-45085</wp:posOffset>
            </wp:positionV>
            <wp:extent cx="285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9" w:name="page50"/>
    <w:bookmarkEnd w:id="49"/>
    <w:p>
      <w:pPr>
        <w:ind w:left="5380"/>
        <w:spacing w:after="0"/>
        <w:rPr>
          <w:sz w:val="20"/>
          <w:szCs w:val="20"/>
          <w:color w:val="auto"/>
        </w:rPr>
      </w:pPr>
      <w:r>
        <w:rPr>
          <w:rFonts w:ascii="Arial" w:cs="Arial" w:eastAsia="Arial" w:hAnsi="Arial"/>
          <w:sz w:val="18"/>
          <w:szCs w:val="18"/>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32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u w:val="single" w:color="auto"/>
          <w:color w:val="auto"/>
        </w:rPr>
        <w:t>Index to Financial Statements and Exhibits</w:t>
      </w:r>
    </w:p>
    <w:p>
      <w:pPr>
        <w:spacing w:after="0" w:line="2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financial statements and exhibits are listed below and are filed as part of this report.</w:t>
      </w:r>
    </w:p>
    <w:p>
      <w:pPr>
        <w:spacing w:after="0" w:line="279" w:lineRule="exact"/>
        <w:rPr>
          <w:sz w:val="20"/>
          <w:szCs w:val="20"/>
          <w:color w:val="auto"/>
        </w:rPr>
      </w:pPr>
    </w:p>
    <w:p>
      <w:pPr>
        <w:ind w:left="1140" w:right="6739" w:hanging="322"/>
        <w:spacing w:after="0" w:line="493" w:lineRule="auto"/>
        <w:tabs>
          <w:tab w:leader="none" w:pos="1071"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FINANCIAL STATEMENTS Included in Part II of this report:</w:t>
      </w:r>
    </w:p>
    <w:tbl>
      <w:tblPr>
        <w:tblLayout w:type="fixed"/>
        <w:tblInd w:w="8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300" w:type="dxa"/>
            <w:vAlign w:val="bottom"/>
            <w:gridSpan w:val="2"/>
          </w:tcPr>
          <w:p>
            <w:pPr>
              <w:ind w:left="320"/>
              <w:spacing w:after="0"/>
              <w:rPr>
                <w:sz w:val="20"/>
                <w:szCs w:val="20"/>
                <w:color w:val="auto"/>
              </w:rPr>
            </w:pPr>
            <w:r>
              <w:rPr>
                <w:rFonts w:ascii="Arial" w:cs="Arial" w:eastAsia="Arial" w:hAnsi="Arial"/>
                <w:sz w:val="18"/>
                <w:szCs w:val="18"/>
                <w:color w:val="auto"/>
              </w:rPr>
              <w:t>Page(s)</w:t>
            </w:r>
          </w:p>
        </w:tc>
      </w:tr>
      <w:tr>
        <w:trPr>
          <w:trHeight w:val="237"/>
        </w:trPr>
        <w:tc>
          <w:tcPr>
            <w:tcW w:w="480" w:type="dxa"/>
            <w:vAlign w:val="bottom"/>
          </w:tcPr>
          <w:p>
            <w:pPr>
              <w:spacing w:after="0"/>
              <w:rPr>
                <w:sz w:val="20"/>
                <w:szCs w:val="20"/>
                <w:color w:val="auto"/>
              </w:rPr>
            </w:pPr>
          </w:p>
        </w:tc>
        <w:tc>
          <w:tcPr>
            <w:tcW w:w="6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20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FFCC"/>
          </w:tcPr>
          <w:p>
            <w:pPr>
              <w:spacing w:after="0"/>
              <w:rPr>
                <w:sz w:val="20"/>
                <w:szCs w:val="20"/>
                <w:color w:val="auto"/>
              </w:rPr>
            </w:pPr>
          </w:p>
        </w:tc>
      </w:tr>
      <w:tr>
        <w:trPr>
          <w:trHeight w:val="243"/>
        </w:trPr>
        <w:tc>
          <w:tcPr>
            <w:tcW w:w="480" w:type="dxa"/>
            <w:vAlign w:val="bottom"/>
          </w:tcPr>
          <w:p>
            <w:pPr>
              <w:spacing w:after="0"/>
              <w:rPr>
                <w:sz w:val="21"/>
                <w:szCs w:val="21"/>
                <w:color w:val="auto"/>
              </w:rPr>
            </w:pPr>
          </w:p>
        </w:tc>
        <w:tc>
          <w:tcPr>
            <w:tcW w:w="6800" w:type="dxa"/>
            <w:vAlign w:val="bottom"/>
            <w:gridSpan w:val="2"/>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6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Balance Sheets April 30, 2008 and 2007</w:t>
            </w:r>
          </w:p>
        </w:tc>
        <w:tc>
          <w:tcPr>
            <w:tcW w:w="12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26</w:t>
            </w:r>
          </w:p>
        </w:tc>
        <w:tc>
          <w:tcPr>
            <w:tcW w:w="100" w:type="dxa"/>
            <w:vAlign w:val="bottom"/>
            <w:shd w:val="clear" w:color="auto" w:fill="CCFFCC"/>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6800" w:type="dxa"/>
            <w:vAlign w:val="bottom"/>
            <w:gridSpan w:val="2"/>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6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Statements of Operations -years ended April 30, 2008 and 2007</w:t>
            </w:r>
          </w:p>
        </w:tc>
        <w:tc>
          <w:tcPr>
            <w:tcW w:w="12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27</w:t>
            </w:r>
          </w:p>
        </w:tc>
        <w:tc>
          <w:tcPr>
            <w:tcW w:w="100" w:type="dxa"/>
            <w:vAlign w:val="bottom"/>
            <w:shd w:val="clear" w:color="auto" w:fill="CCFFCC"/>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6800" w:type="dxa"/>
            <w:vAlign w:val="bottom"/>
            <w:gridSpan w:val="2"/>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6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Statements of Cash Flows - years ended April 30, 2008 and 2007</w:t>
            </w:r>
          </w:p>
        </w:tc>
        <w:tc>
          <w:tcPr>
            <w:tcW w:w="12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28-29</w:t>
            </w:r>
          </w:p>
        </w:tc>
        <w:tc>
          <w:tcPr>
            <w:tcW w:w="100" w:type="dxa"/>
            <w:vAlign w:val="bottom"/>
            <w:shd w:val="clear" w:color="auto" w:fill="CCFFCC"/>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6800" w:type="dxa"/>
            <w:vAlign w:val="bottom"/>
            <w:gridSpan w:val="2"/>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2"/>
        </w:trPr>
        <w:tc>
          <w:tcPr>
            <w:tcW w:w="480" w:type="dxa"/>
            <w:vAlign w:val="bottom"/>
          </w:tcPr>
          <w:p>
            <w:pPr>
              <w:spacing w:after="0"/>
              <w:rPr>
                <w:sz w:val="17"/>
                <w:szCs w:val="17"/>
                <w:color w:val="auto"/>
              </w:rPr>
            </w:pPr>
          </w:p>
        </w:tc>
        <w:tc>
          <w:tcPr>
            <w:tcW w:w="680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94"/>
              </w:rPr>
              <w:t>Consolidated Statements of Changes in Stockholders' Equity - years ended April 30, 2008</w:t>
            </w:r>
          </w:p>
        </w:tc>
        <w:tc>
          <w:tcPr>
            <w:tcW w:w="1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480" w:type="dxa"/>
            <w:vAlign w:val="bottom"/>
          </w:tcPr>
          <w:p>
            <w:pPr>
              <w:spacing w:after="0"/>
              <w:rPr>
                <w:sz w:val="20"/>
                <w:szCs w:val="20"/>
                <w:color w:val="auto"/>
              </w:rPr>
            </w:pPr>
          </w:p>
        </w:tc>
        <w:tc>
          <w:tcPr>
            <w:tcW w:w="1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and 2007</w:t>
            </w:r>
          </w:p>
        </w:tc>
        <w:tc>
          <w:tcPr>
            <w:tcW w:w="5660" w:type="dxa"/>
            <w:vAlign w:val="bottom"/>
            <w:shd w:val="clear" w:color="auto" w:fill="CCFFCC"/>
          </w:tcPr>
          <w:p>
            <w:pPr>
              <w:spacing w:after="0"/>
              <w:rPr>
                <w:sz w:val="20"/>
                <w:szCs w:val="20"/>
                <w:color w:val="auto"/>
              </w:rPr>
            </w:pPr>
          </w:p>
        </w:tc>
        <w:tc>
          <w:tcPr>
            <w:tcW w:w="12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CFFCC"/>
          </w:tcPr>
          <w:p>
            <w:pPr>
              <w:spacing w:after="0"/>
              <w:rPr>
                <w:sz w:val="20"/>
                <w:szCs w:val="20"/>
                <w:color w:val="auto"/>
              </w:rPr>
            </w:pPr>
          </w:p>
        </w:tc>
      </w:tr>
      <w:tr>
        <w:trPr>
          <w:trHeight w:val="243"/>
        </w:trPr>
        <w:tc>
          <w:tcPr>
            <w:tcW w:w="480" w:type="dxa"/>
            <w:vAlign w:val="bottom"/>
          </w:tcPr>
          <w:p>
            <w:pPr>
              <w:spacing w:after="0"/>
              <w:rPr>
                <w:sz w:val="21"/>
                <w:szCs w:val="21"/>
                <w:color w:val="auto"/>
              </w:rPr>
            </w:pPr>
          </w:p>
        </w:tc>
        <w:tc>
          <w:tcPr>
            <w:tcW w:w="6800" w:type="dxa"/>
            <w:vAlign w:val="bottom"/>
            <w:gridSpan w:val="2"/>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6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12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31-46</w:t>
            </w:r>
          </w:p>
        </w:tc>
        <w:tc>
          <w:tcPr>
            <w:tcW w:w="100" w:type="dxa"/>
            <w:vAlign w:val="bottom"/>
            <w:shd w:val="clear" w:color="auto" w:fill="CCFFCC"/>
          </w:tcPr>
          <w:p>
            <w:pPr>
              <w:spacing w:after="0"/>
              <w:rPr>
                <w:sz w:val="21"/>
                <w:szCs w:val="21"/>
                <w:color w:val="auto"/>
              </w:rPr>
            </w:pPr>
          </w:p>
        </w:tc>
      </w:tr>
      <w:tr>
        <w:trPr>
          <w:trHeight w:val="486"/>
        </w:trPr>
        <w:tc>
          <w:tcPr>
            <w:tcW w:w="1620" w:type="dxa"/>
            <w:vAlign w:val="bottom"/>
            <w:gridSpan w:val="2"/>
          </w:tcPr>
          <w:p>
            <w:pPr>
              <w:spacing w:after="0"/>
              <w:rPr>
                <w:sz w:val="20"/>
                <w:szCs w:val="20"/>
                <w:color w:val="auto"/>
              </w:rPr>
            </w:pPr>
            <w:r>
              <w:rPr>
                <w:rFonts w:ascii="Arial" w:cs="Arial" w:eastAsia="Arial" w:hAnsi="Arial"/>
                <w:sz w:val="18"/>
                <w:szCs w:val="18"/>
                <w:color w:val="auto"/>
              </w:rPr>
              <w:t>(2) EXHIBITS</w:t>
            </w:r>
          </w:p>
        </w:tc>
        <w:tc>
          <w:tcPr>
            <w:tcW w:w="5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Exhibit 21</w:t>
            </w:r>
          </w:p>
        </w:tc>
        <w:tc>
          <w:tcPr>
            <w:tcW w:w="5660" w:type="dxa"/>
            <w:vAlign w:val="bottom"/>
          </w:tcPr>
          <w:p>
            <w:pPr>
              <w:ind w:left="260"/>
              <w:spacing w:after="0"/>
              <w:rPr>
                <w:sz w:val="20"/>
                <w:szCs w:val="20"/>
                <w:color w:val="auto"/>
              </w:rPr>
            </w:pPr>
            <w:r>
              <w:rPr>
                <w:rFonts w:ascii="Arial" w:cs="Arial" w:eastAsia="Arial" w:hAnsi="Arial"/>
                <w:sz w:val="18"/>
                <w:szCs w:val="18"/>
                <w:color w:val="auto"/>
              </w:rPr>
              <w:t>List of Subsidiaries of Registrant</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Exhibit 23.1</w:t>
            </w:r>
          </w:p>
        </w:tc>
        <w:tc>
          <w:tcPr>
            <w:tcW w:w="5660" w:type="dxa"/>
            <w:vAlign w:val="bottom"/>
          </w:tcPr>
          <w:p>
            <w:pPr>
              <w:ind w:left="260"/>
              <w:spacing w:after="0"/>
              <w:rPr>
                <w:sz w:val="20"/>
                <w:szCs w:val="20"/>
                <w:color w:val="auto"/>
              </w:rPr>
            </w:pPr>
            <w:r>
              <w:rPr>
                <w:rFonts w:ascii="Arial" w:cs="Arial" w:eastAsia="Arial" w:hAnsi="Arial"/>
                <w:sz w:val="18"/>
                <w:szCs w:val="18"/>
                <w:color w:val="auto"/>
              </w:rPr>
              <w:t>Consent of Independent Registered Public Accounting Firm</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Exhibit 31.1</w:t>
            </w:r>
          </w:p>
        </w:tc>
        <w:tc>
          <w:tcPr>
            <w:tcW w:w="6960" w:type="dxa"/>
            <w:vAlign w:val="bottom"/>
            <w:gridSpan w:val="3"/>
          </w:tcPr>
          <w:p>
            <w:pPr>
              <w:ind w:left="260"/>
              <w:spacing w:after="0"/>
              <w:rPr>
                <w:sz w:val="20"/>
                <w:szCs w:val="20"/>
                <w:color w:val="auto"/>
              </w:rPr>
            </w:pPr>
            <w:r>
              <w:rPr>
                <w:rFonts w:ascii="Arial" w:cs="Arial" w:eastAsia="Arial" w:hAnsi="Arial"/>
                <w:sz w:val="18"/>
                <w:szCs w:val="18"/>
                <w:color w:val="auto"/>
                <w:w w:val="93"/>
              </w:rPr>
              <w:t>Certification of the Chief Executive Officer pursuant to Section 302 of the Sarbanes-Oxley</w:t>
            </w:r>
          </w:p>
        </w:tc>
      </w:tr>
      <w:tr>
        <w:trPr>
          <w:trHeight w:val="230"/>
        </w:trPr>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Act of 2002</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Exhibit 31.2</w:t>
            </w:r>
          </w:p>
        </w:tc>
        <w:tc>
          <w:tcPr>
            <w:tcW w:w="6960" w:type="dxa"/>
            <w:vAlign w:val="bottom"/>
            <w:gridSpan w:val="3"/>
          </w:tcPr>
          <w:p>
            <w:pPr>
              <w:ind w:left="260"/>
              <w:spacing w:after="0"/>
              <w:rPr>
                <w:sz w:val="20"/>
                <w:szCs w:val="20"/>
                <w:color w:val="auto"/>
              </w:rPr>
            </w:pPr>
            <w:r>
              <w:rPr>
                <w:rFonts w:ascii="Arial" w:cs="Arial" w:eastAsia="Arial" w:hAnsi="Arial"/>
                <w:sz w:val="18"/>
                <w:szCs w:val="18"/>
                <w:color w:val="auto"/>
                <w:w w:val="94"/>
              </w:rPr>
              <w:t>Certification of the Chief Financial Officer pursuant to Section 302 of the Sarbanes-Oxley</w:t>
            </w:r>
          </w:p>
        </w:tc>
      </w:tr>
      <w:tr>
        <w:trPr>
          <w:trHeight w:val="230"/>
        </w:trPr>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Act of 2002</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Exhibit 32.1</w:t>
            </w:r>
          </w:p>
        </w:tc>
        <w:tc>
          <w:tcPr>
            <w:tcW w:w="6960" w:type="dxa"/>
            <w:vAlign w:val="bottom"/>
            <w:gridSpan w:val="3"/>
          </w:tcPr>
          <w:p>
            <w:pPr>
              <w:ind w:left="260"/>
              <w:spacing w:after="0"/>
              <w:rPr>
                <w:sz w:val="20"/>
                <w:szCs w:val="20"/>
                <w:color w:val="auto"/>
              </w:rPr>
            </w:pPr>
            <w:r>
              <w:rPr>
                <w:rFonts w:ascii="Arial" w:cs="Arial" w:eastAsia="Arial" w:hAnsi="Arial"/>
                <w:sz w:val="18"/>
                <w:szCs w:val="18"/>
                <w:color w:val="auto"/>
                <w:w w:val="93"/>
              </w:rPr>
              <w:t>Certification of the Chief Executive Officer pursuant to Section 906 of the Sarbanes-Oxley</w:t>
            </w:r>
          </w:p>
        </w:tc>
      </w:tr>
      <w:tr>
        <w:trPr>
          <w:trHeight w:val="230"/>
        </w:trPr>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Act of 2002</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Exhibit 32.2</w:t>
            </w:r>
          </w:p>
        </w:tc>
        <w:tc>
          <w:tcPr>
            <w:tcW w:w="6960" w:type="dxa"/>
            <w:vAlign w:val="bottom"/>
            <w:gridSpan w:val="3"/>
          </w:tcPr>
          <w:p>
            <w:pPr>
              <w:ind w:left="260"/>
              <w:spacing w:after="0"/>
              <w:rPr>
                <w:sz w:val="20"/>
                <w:szCs w:val="20"/>
                <w:color w:val="auto"/>
              </w:rPr>
            </w:pPr>
            <w:r>
              <w:rPr>
                <w:rFonts w:ascii="Arial" w:cs="Arial" w:eastAsia="Arial" w:hAnsi="Arial"/>
                <w:sz w:val="18"/>
                <w:szCs w:val="18"/>
                <w:color w:val="auto"/>
                <w:w w:val="94"/>
              </w:rPr>
              <w:t>Certification of the Chief Financial Officer pursuant to Section 906 of the Sarbanes-Oxley</w:t>
            </w:r>
          </w:p>
        </w:tc>
      </w:tr>
    </w:tbl>
    <w:p>
      <w:pPr>
        <w:ind w:left="2700"/>
        <w:spacing w:after="0"/>
        <w:rPr>
          <w:sz w:val="20"/>
          <w:szCs w:val="20"/>
          <w:color w:val="auto"/>
        </w:rPr>
      </w:pPr>
      <w:r>
        <w:rPr>
          <w:rFonts w:ascii="Arial" w:cs="Arial" w:eastAsia="Arial" w:hAnsi="Arial"/>
          <w:sz w:val="18"/>
          <w:szCs w:val="18"/>
          <w:color w:val="auto"/>
        </w:rPr>
        <w:t>Act of 2002</w:t>
      </w:r>
    </w:p>
    <w:p>
      <w:pPr>
        <w:spacing w:after="0" w:line="265" w:lineRule="exact"/>
        <w:rPr>
          <w:sz w:val="20"/>
          <w:szCs w:val="20"/>
          <w:color w:val="auto"/>
        </w:rPr>
      </w:pPr>
    </w:p>
    <w:p>
      <w:pPr>
        <w:jc w:val="center"/>
        <w:ind w:left="1540"/>
        <w:spacing w:after="0" w:line="590" w:lineRule="auto"/>
        <w:rPr>
          <w:sz w:val="20"/>
          <w:szCs w:val="20"/>
          <w:color w:val="auto"/>
        </w:rPr>
      </w:pPr>
      <w:r>
        <w:rPr>
          <w:rFonts w:ascii="Arial" w:cs="Arial" w:eastAsia="Arial" w:hAnsi="Arial"/>
          <w:sz w:val="18"/>
          <w:szCs w:val="18"/>
          <w:color w:val="auto"/>
        </w:rPr>
        <w:t>The exhibits listed on the accompanying Index to Exhibits beginning on page 51 are filed as part of this annual report.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50" w:name="page51"/>
    <w:bookmarkEnd w:id="50"/>
    <w:p>
      <w:pPr>
        <w:jc w:val="center"/>
        <w:ind w:left="340"/>
        <w:spacing w:after="0"/>
        <w:rPr>
          <w:sz w:val="20"/>
          <w:szCs w:val="20"/>
          <w:color w:val="auto"/>
        </w:rPr>
      </w:pPr>
      <w:r>
        <w:rPr>
          <w:rFonts w:ascii="Arial" w:cs="Arial" w:eastAsia="Arial" w:hAnsi="Arial"/>
          <w:sz w:val="18"/>
          <w:szCs w:val="18"/>
          <w:u w:val="single" w:color="auto"/>
          <w:color w:val="auto"/>
        </w:rPr>
        <w:t>SIGNATURES</w:t>
      </w:r>
    </w:p>
    <w:p>
      <w:pPr>
        <w:spacing w:after="0" w:line="279" w:lineRule="exact"/>
        <w:rPr>
          <w:sz w:val="20"/>
          <w:szCs w:val="20"/>
          <w:color w:val="auto"/>
        </w:rPr>
      </w:pPr>
    </w:p>
    <w:p>
      <w:pPr>
        <w:ind w:left="340" w:right="20" w:firstLine="648"/>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FREQUENCY ELECTRONICS, INC.</w:t>
      </w:r>
    </w:p>
    <w:p>
      <w:pPr>
        <w:spacing w:after="0" w:line="252" w:lineRule="exact"/>
        <w:rPr>
          <w:sz w:val="20"/>
          <w:szCs w:val="20"/>
          <w:color w:val="auto"/>
        </w:rPr>
      </w:pPr>
    </w:p>
    <w:tbl>
      <w:tblPr>
        <w:tblLayout w:type="fixed"/>
        <w:tblInd w:w="62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B. Bloch</w:t>
            </w:r>
          </w:p>
        </w:tc>
      </w:tr>
      <w:tr>
        <w:trPr>
          <w:trHeight w:val="229"/>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Martin B. Bloch</w:t>
            </w: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49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L. Miller</w:t>
            </w:r>
          </w:p>
        </w:tc>
      </w:tr>
      <w:tr>
        <w:trPr>
          <w:trHeight w:val="229"/>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Alan L. Miller</w:t>
            </w: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58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and Treasurer</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July 29, 2008</w:t>
      </w:r>
    </w:p>
    <w:p>
      <w:pPr>
        <w:spacing w:after="0" w:line="279" w:lineRule="exact"/>
        <w:rPr>
          <w:sz w:val="20"/>
          <w:szCs w:val="20"/>
          <w:color w:val="auto"/>
        </w:rPr>
      </w:pPr>
    </w:p>
    <w:p>
      <w:pPr>
        <w:jc w:val="both"/>
        <w:ind w:left="3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Signature</w:t>
            </w:r>
          </w:p>
        </w:tc>
        <w:tc>
          <w:tcPr>
            <w:tcW w:w="240" w:type="dxa"/>
            <w:vAlign w:val="bottom"/>
          </w:tcPr>
          <w:p>
            <w:pPr>
              <w:spacing w:after="0"/>
              <w:rPr>
                <w:sz w:val="20"/>
                <w:szCs w:val="20"/>
                <w:color w:val="auto"/>
              </w:rPr>
            </w:pPr>
          </w:p>
        </w:tc>
        <w:tc>
          <w:tcPr>
            <w:tcW w:w="41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66"/>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P. Franklin</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Chairman of the Board</w:t>
            </w:r>
          </w:p>
        </w:tc>
        <w:tc>
          <w:tcPr>
            <w:tcW w:w="294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7/29/08</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Joseph P. Franklin</w:t>
            </w: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79"/>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Girsky</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94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7/29/08</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Joel Girsky</w:t>
            </w: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79"/>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Donald Shapiro</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94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7/29/08</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 Donald Shapiro</w:t>
            </w: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79"/>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 Robert Foley</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94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7/29/08</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 Robert Foley</w:t>
            </w: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79"/>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Schwartz</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94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7/29/08</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Richard Schwartz</w:t>
            </w: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79"/>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B. Bloch</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President and CEO</w:t>
            </w:r>
          </w:p>
        </w:tc>
        <w:tc>
          <w:tcPr>
            <w:tcW w:w="294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7/29/08</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Martin B. Bloch</w:t>
            </w: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79"/>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L. Miller</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94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7/29/08</w:t>
            </w: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Alan L. Miller</w:t>
            </w:r>
          </w:p>
        </w:tc>
        <w:tc>
          <w:tcPr>
            <w:tcW w:w="24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and Treasurer</w:t>
            </w: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0"/>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513"/>
        </w:trPr>
        <w:tc>
          <w:tcPr>
            <w:tcW w:w="4120" w:type="dxa"/>
            <w:vAlign w:val="bottom"/>
          </w:tcPr>
          <w:p>
            <w:pPr>
              <w:spacing w:after="0"/>
              <w:rPr>
                <w:sz w:val="24"/>
                <w:szCs w:val="24"/>
                <w:color w:val="auto"/>
              </w:rPr>
            </w:pPr>
          </w:p>
        </w:tc>
        <w:tc>
          <w:tcPr>
            <w:tcW w:w="4360" w:type="dxa"/>
            <w:vAlign w:val="bottom"/>
            <w:gridSpan w:val="2"/>
          </w:tcPr>
          <w:p>
            <w:pPr>
              <w:jc w:val="right"/>
              <w:ind w:right="259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18"/>
        </w:trPr>
        <w:tc>
          <w:tcPr>
            <w:tcW w:w="4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INDEX TO EXHIBITS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15(a)(3)</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were filed with the Securities and Exchange Commission as exhibits, numbered as indicated below, to the Registration Statement or report specified below, which exhibits are incorporated herein by reference: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96"/>
              </w:rPr>
              <w:t>Exhibit No. in</w:t>
            </w:r>
          </w:p>
        </w:tc>
        <w:tc>
          <w:tcPr>
            <w:tcW w:w="2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720" w:type="dxa"/>
            <w:vAlign w:val="bottom"/>
          </w:tcPr>
          <w:p>
            <w:pPr>
              <w:jc w:val="center"/>
              <w:spacing w:after="0"/>
              <w:rPr>
                <w:sz w:val="20"/>
                <w:szCs w:val="20"/>
                <w:color w:val="auto"/>
              </w:rPr>
            </w:pPr>
            <w:r>
              <w:rPr>
                <w:rFonts w:ascii="Arial" w:cs="Arial" w:eastAsia="Arial" w:hAnsi="Arial"/>
                <w:sz w:val="18"/>
                <w:szCs w:val="18"/>
                <w:color w:val="auto"/>
                <w:w w:val="93"/>
              </w:rPr>
              <w:t>this Form 10-K</w:t>
            </w:r>
          </w:p>
        </w:tc>
        <w:tc>
          <w:tcPr>
            <w:tcW w:w="240" w:type="dxa"/>
            <w:vAlign w:val="bottom"/>
          </w:tcPr>
          <w:p>
            <w:pPr>
              <w:spacing w:after="0"/>
              <w:rPr>
                <w:sz w:val="20"/>
                <w:szCs w:val="20"/>
                <w:color w:val="auto"/>
              </w:rPr>
            </w:pPr>
          </w:p>
        </w:tc>
        <w:tc>
          <w:tcPr>
            <w:tcW w:w="8100" w:type="dxa"/>
            <w:vAlign w:val="bottom"/>
          </w:tcPr>
          <w:p>
            <w:pPr>
              <w:ind w:left="3240"/>
              <w:spacing w:after="0"/>
              <w:rPr>
                <w:sz w:val="20"/>
                <w:szCs w:val="20"/>
                <w:color w:val="auto"/>
              </w:rPr>
            </w:pPr>
            <w:r>
              <w:rPr>
                <w:rFonts w:ascii="Arial" w:cs="Arial" w:eastAsia="Arial" w:hAnsi="Arial"/>
                <w:sz w:val="18"/>
                <w:szCs w:val="18"/>
                <w:color w:val="auto"/>
              </w:rPr>
              <w:t>Description of Exhibit</w:t>
            </w:r>
          </w:p>
        </w:tc>
        <w:tc>
          <w:tcPr>
            <w:tcW w:w="220" w:type="dxa"/>
            <w:vAlign w:val="bottom"/>
          </w:tcPr>
          <w:p>
            <w:pPr>
              <w:spacing w:after="0"/>
              <w:rPr>
                <w:sz w:val="20"/>
                <w:szCs w:val="20"/>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NOTE</w:t>
            </w:r>
          </w:p>
        </w:tc>
      </w:tr>
      <w:tr>
        <w:trPr>
          <w:trHeight w:val="27"/>
        </w:trPr>
        <w:tc>
          <w:tcPr>
            <w:tcW w:w="1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53"/>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Copy of Certificate of Incorporation of the Registrant filed with the Secretary of State of Delaware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w:t>
            </w:r>
          </w:p>
        </w:tc>
      </w:tr>
      <w:tr>
        <w:trPr>
          <w:trHeight w:val="472"/>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5"/>
              </w:rPr>
              <w:t>Amendment to Certificate of Incorporation of the Registrant filed with the Secretary of State of Delaware on</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(2)</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March 27, 1981</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5"/>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8"/>
              </w:rPr>
              <w:t>Amendment to Certificate of Incorporation of the Registrant filed with Secretary of State of Delaware on</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(5)</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October 26, 1984</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5"/>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5"/>
              </w:rPr>
              <w:t>Amendment to Certificate of Incorporation of the Registrant filed with the Secretary of State of Delaware on</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(7)</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October 22, 1986</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5"/>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8"/>
              </w:rPr>
              <w:t>Amended and Restated Certificate of Incorporation of the Registrant filed with the Secretary of State of</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(9)</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Delaware on October 26, 1987</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5"/>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Amended Certificate of Incorporation of the Company filed with the Secretary of State of Delaware on</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(9)</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November 2, 1989</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Copy of By-Laws of the Registrant, as amended to date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w:t>
            </w:r>
          </w:p>
        </w:tc>
      </w:tr>
      <w:tr>
        <w:trPr>
          <w:trHeight w:val="486"/>
        </w:trPr>
        <w:tc>
          <w:tcPr>
            <w:tcW w:w="1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Specimen of Common Stock certificate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w:t>
            </w:r>
          </w:p>
        </w:tc>
      </w:tr>
      <w:tr>
        <w:trPr>
          <w:trHeight w:val="486"/>
        </w:trPr>
        <w:tc>
          <w:tcPr>
            <w:tcW w:w="1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Registrant’s 1997 Independent Contractor Stock Option Plan</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(10)</w:t>
            </w:r>
          </w:p>
        </w:tc>
      </w:tr>
      <w:tr>
        <w:trPr>
          <w:trHeight w:val="486"/>
        </w:trPr>
        <w:tc>
          <w:tcPr>
            <w:tcW w:w="17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Employment agreement between Registrant and Harry Newman</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w:t>
            </w:r>
          </w:p>
        </w:tc>
      </w:tr>
      <w:tr>
        <w:trPr>
          <w:trHeight w:val="486"/>
        </w:trPr>
        <w:tc>
          <w:tcPr>
            <w:tcW w:w="17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Employment agreement between Registrant and Marcus Hechler</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w:t>
            </w:r>
          </w:p>
        </w:tc>
      </w:tr>
      <w:tr>
        <w:trPr>
          <w:trHeight w:val="48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Employment agreement between Registrant and Charles Stone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(8)</w:t>
            </w:r>
          </w:p>
        </w:tc>
      </w:tr>
      <w:tr>
        <w:trPr>
          <w:trHeight w:val="48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8"/>
              </w:rPr>
              <w:t>Lease agreement between Registrant and Reckson Operating Partnership, L.P. dated January 6, 1998</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(11)</w:t>
            </w:r>
          </w:p>
        </w:tc>
      </w:tr>
      <w:tr>
        <w:trPr>
          <w:trHeight w:val="472"/>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3"/>
              </w:rPr>
              <w:t>Registrant’s Cash or Deferral Profit Sharing Plan and Trust under Internal Revenue Code Section 401, dated</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(6)</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April 1, 1985</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Form of Agreement concerning Executive Compensation</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(2)</w:t>
            </w:r>
          </w:p>
        </w:tc>
      </w:tr>
      <w:tr>
        <w:trPr>
          <w:trHeight w:val="48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Registrant’s Senior Executive Stock Option Plan</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(8)</w:t>
            </w:r>
          </w:p>
        </w:tc>
      </w:tr>
      <w:tr>
        <w:trPr>
          <w:trHeight w:val="472"/>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3"/>
              </w:rPr>
              <w:t>Amendment dated Jan. 1, 1988 to Registrant’s Cash or Deferred Profit Sharing Plan and Trust under Section</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(8)</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401 of Internal Revenue Code</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86"/>
        </w:trPr>
        <w:tc>
          <w:tcPr>
            <w:tcW w:w="1720" w:type="dxa"/>
            <w:vAlign w:val="bottom"/>
          </w:tcPr>
          <w:p>
            <w:pPr>
              <w:spacing w:after="0"/>
              <w:rPr>
                <w:sz w:val="24"/>
                <w:szCs w:val="24"/>
                <w:color w:val="auto"/>
              </w:rPr>
            </w:pPr>
          </w:p>
        </w:tc>
        <w:tc>
          <w:tcPr>
            <w:tcW w:w="8340" w:type="dxa"/>
            <w:vAlign w:val="bottom"/>
            <w:gridSpan w:val="2"/>
          </w:tcPr>
          <w:p>
            <w:pPr>
              <w:jc w:val="right"/>
              <w:ind w:right="417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96"/>
              </w:rPr>
              <w:t>Exhibit No. in</w:t>
            </w:r>
          </w:p>
        </w:tc>
        <w:tc>
          <w:tcPr>
            <w:tcW w:w="2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720" w:type="dxa"/>
            <w:vAlign w:val="bottom"/>
          </w:tcPr>
          <w:p>
            <w:pPr>
              <w:jc w:val="center"/>
              <w:spacing w:after="0"/>
              <w:rPr>
                <w:sz w:val="20"/>
                <w:szCs w:val="20"/>
                <w:color w:val="auto"/>
              </w:rPr>
            </w:pPr>
            <w:r>
              <w:rPr>
                <w:rFonts w:ascii="Arial" w:cs="Arial" w:eastAsia="Arial" w:hAnsi="Arial"/>
                <w:sz w:val="18"/>
                <w:szCs w:val="18"/>
                <w:color w:val="auto"/>
                <w:w w:val="93"/>
              </w:rPr>
              <w:t>this Form 10-K</w:t>
            </w:r>
          </w:p>
        </w:tc>
        <w:tc>
          <w:tcPr>
            <w:tcW w:w="240" w:type="dxa"/>
            <w:vAlign w:val="bottom"/>
          </w:tcPr>
          <w:p>
            <w:pPr>
              <w:spacing w:after="0"/>
              <w:rPr>
                <w:sz w:val="20"/>
                <w:szCs w:val="20"/>
                <w:color w:val="auto"/>
              </w:rPr>
            </w:pPr>
          </w:p>
        </w:tc>
        <w:tc>
          <w:tcPr>
            <w:tcW w:w="8100" w:type="dxa"/>
            <w:vAlign w:val="bottom"/>
          </w:tcPr>
          <w:p>
            <w:pPr>
              <w:ind w:left="3240"/>
              <w:spacing w:after="0"/>
              <w:rPr>
                <w:sz w:val="20"/>
                <w:szCs w:val="20"/>
                <w:color w:val="auto"/>
              </w:rPr>
            </w:pPr>
            <w:r>
              <w:rPr>
                <w:rFonts w:ascii="Arial" w:cs="Arial" w:eastAsia="Arial" w:hAnsi="Arial"/>
                <w:sz w:val="18"/>
                <w:szCs w:val="18"/>
                <w:color w:val="auto"/>
              </w:rPr>
              <w:t>Description of Exhibit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NOTE</w:t>
            </w:r>
          </w:p>
        </w:tc>
      </w:tr>
      <w:tr>
        <w:trPr>
          <w:trHeight w:val="27"/>
        </w:trPr>
        <w:tc>
          <w:tcPr>
            <w:tcW w:w="1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53"/>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Executive Incentive Compensation Plan between Registrant and various employees</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(8)</w:t>
            </w:r>
          </w:p>
        </w:tc>
      </w:tr>
      <w:tr>
        <w:trPr>
          <w:trHeight w:val="486"/>
        </w:trPr>
        <w:tc>
          <w:tcPr>
            <w:tcW w:w="17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List of Subsidiaries of Registrant</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7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3"/>
              </w:rPr>
              <w:t>Consent of Independent Registered Public Accounting Firm to incorporation by reference of 2008 audit report</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 Registrant’s Form S-8 Registration Statement.</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17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9"/>
              </w:rPr>
              <w:t>Certification of the Chief Executive Officer pursuant to Section 302 of the Sarbanes-Oxley Act of 2002</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86"/>
        </w:trPr>
        <w:tc>
          <w:tcPr>
            <w:tcW w:w="17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86"/>
        </w:trPr>
        <w:tc>
          <w:tcPr>
            <w:tcW w:w="17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9"/>
              </w:rPr>
              <w:t>Certification of the Chief Executive Officer pursuant to Section 906 of the Sarbanes-Oxley Act of 2002</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86"/>
        </w:trPr>
        <w:tc>
          <w:tcPr>
            <w:tcW w:w="17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906 of the Sarbanes-Oxley Act of 2002</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79" w:lineRule="exact"/>
        <w:rPr>
          <w:sz w:val="20"/>
          <w:szCs w:val="20"/>
          <w:color w:val="auto"/>
        </w:rPr>
      </w:pPr>
    </w:p>
    <w:p>
      <w:pPr>
        <w:ind w:left="820" w:hanging="488"/>
        <w:spacing w:after="0" w:line="258"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2-29609, which exhibit is incorporated herein by reference.</w:t>
      </w:r>
    </w:p>
    <w:p>
      <w:pPr>
        <w:spacing w:after="0" w:line="1" w:lineRule="exact"/>
        <w:rPr>
          <w:rFonts w:ascii="Arial" w:cs="Arial" w:eastAsia="Arial" w:hAnsi="Arial"/>
          <w:sz w:val="18"/>
          <w:szCs w:val="18"/>
          <w:color w:val="auto"/>
        </w:rPr>
      </w:pPr>
    </w:p>
    <w:p>
      <w:pPr>
        <w:ind w:left="820" w:hanging="488"/>
        <w:spacing w:after="0" w:line="250"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2-71727, which exhibit is incorporated herein by reference.</w:t>
      </w:r>
    </w:p>
    <w:p>
      <w:pPr>
        <w:ind w:left="820" w:right="20" w:hanging="488"/>
        <w:spacing w:after="0" w:line="250"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1981, which exhibit is incorporated herein by reference.</w:t>
      </w:r>
    </w:p>
    <w:p>
      <w:pPr>
        <w:ind w:left="820" w:hanging="488"/>
        <w:spacing w:after="0" w:line="250"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2-69527, which exhibit is incorporated herein by reference.</w:t>
      </w:r>
    </w:p>
    <w:p>
      <w:pPr>
        <w:ind w:left="820" w:hanging="488"/>
        <w:spacing w:after="0" w:line="250"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1985, which exhibit is incorporated herein by reference.</w:t>
      </w:r>
    </w:p>
    <w:p>
      <w:pPr>
        <w:ind w:left="820" w:hanging="488"/>
        <w:spacing w:after="0" w:line="250"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exhibit, numbered as indicated above, to the annual report of Registrant on Form 10-K, File No. 1-8061, for the year ended April 30, 1986, which exhibit is incorporated herein by reference.</w:t>
      </w:r>
    </w:p>
    <w:p>
      <w:pPr>
        <w:ind w:left="820" w:hanging="488"/>
        <w:spacing w:after="0" w:line="250"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1987, which exhibit is incorporated herein by reference.</w:t>
      </w:r>
    </w:p>
    <w:p>
      <w:pPr>
        <w:ind w:left="820" w:hanging="488"/>
        <w:spacing w:after="0" w:line="250"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1989, which exhibit is incorporated herein by reference.</w:t>
      </w:r>
    </w:p>
    <w:p>
      <w:pPr>
        <w:ind w:left="820" w:hanging="488"/>
        <w:spacing w:after="0" w:line="250"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1990, which exhibit is incorporated herein by reference.</w:t>
      </w:r>
    </w:p>
    <w:p>
      <w:pPr>
        <w:ind w:left="820" w:right="20" w:hanging="488"/>
        <w:spacing w:after="0" w:line="250"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S-8, File No. 333-42233, which exhibit is incorporated herein by reference.</w:t>
      </w:r>
    </w:p>
    <w:p>
      <w:pPr>
        <w:ind w:left="820" w:hanging="488"/>
        <w:spacing w:after="0" w:line="261"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1998, which exhibit is incorporated herein by reference.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4940" w:type="dxa"/>
            <w:vAlign w:val="bottom"/>
            <w:gridSpan w:val="3"/>
          </w:tcPr>
          <w:p>
            <w:pPr>
              <w:ind w:left="320"/>
              <w:spacing w:after="0"/>
              <w:rPr>
                <w:sz w:val="20"/>
                <w:szCs w:val="20"/>
                <w:color w:val="auto"/>
              </w:rPr>
            </w:pPr>
            <w:r>
              <w:rPr>
                <w:rFonts w:ascii="Arial" w:cs="Arial" w:eastAsia="Arial" w:hAnsi="Arial"/>
                <w:sz w:val="18"/>
                <w:szCs w:val="18"/>
                <w:color w:val="auto"/>
              </w:rPr>
              <w:t>List of Subsidiaries of Registrant</w:t>
            </w:r>
          </w:p>
        </w:tc>
        <w:tc>
          <w:tcPr>
            <w:tcW w:w="2280" w:type="dxa"/>
            <w:vAlign w:val="bottom"/>
          </w:tcPr>
          <w:p>
            <w:pPr>
              <w:spacing w:after="0"/>
              <w:rPr>
                <w:sz w:val="20"/>
                <w:szCs w:val="20"/>
                <w:color w:val="auto"/>
              </w:rPr>
            </w:pPr>
          </w:p>
        </w:tc>
      </w:tr>
      <w:tr>
        <w:trPr>
          <w:trHeight w:val="486"/>
        </w:trPr>
        <w:tc>
          <w:tcPr>
            <w:tcW w:w="4200" w:type="dxa"/>
            <w:vAlign w:val="bottom"/>
          </w:tcPr>
          <w:p>
            <w:pPr>
              <w:ind w:left="1920"/>
              <w:spacing w:after="0"/>
              <w:rPr>
                <w:sz w:val="20"/>
                <w:szCs w:val="20"/>
                <w:color w:val="auto"/>
              </w:rPr>
            </w:pPr>
            <w:r>
              <w:rPr>
                <w:rFonts w:ascii="Arial" w:cs="Arial" w:eastAsia="Arial" w:hAnsi="Arial"/>
                <w:sz w:val="18"/>
                <w:szCs w:val="18"/>
                <w:color w:val="auto"/>
              </w:rPr>
              <w:t>Subsidiary &amp; Name under</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0"/>
        </w:trPr>
        <w:tc>
          <w:tcPr>
            <w:tcW w:w="420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which business is performed</w:t>
            </w:r>
          </w:p>
        </w:tc>
        <w:tc>
          <w:tcPr>
            <w:tcW w:w="15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Jurisdiction of Incorporation</w:t>
            </w:r>
          </w:p>
        </w:tc>
        <w:tc>
          <w:tcPr>
            <w:tcW w:w="2280" w:type="dxa"/>
            <w:vAlign w:val="bottom"/>
          </w:tcPr>
          <w:p>
            <w:pPr>
              <w:spacing w:after="0"/>
              <w:rPr>
                <w:sz w:val="21"/>
                <w:szCs w:val="21"/>
                <w:color w:val="auto"/>
              </w:rPr>
            </w:pPr>
          </w:p>
        </w:tc>
      </w:tr>
      <w:tr>
        <w:trPr>
          <w:trHeight w:val="459"/>
        </w:trPr>
        <w:tc>
          <w:tcPr>
            <w:tcW w:w="4200" w:type="dxa"/>
            <w:vAlign w:val="bottom"/>
          </w:tcPr>
          <w:p>
            <w:pPr>
              <w:spacing w:after="0"/>
              <w:rPr>
                <w:sz w:val="20"/>
                <w:szCs w:val="20"/>
                <w:color w:val="auto"/>
              </w:rPr>
            </w:pPr>
            <w:r>
              <w:rPr>
                <w:rFonts w:ascii="Arial" w:cs="Arial" w:eastAsia="Arial" w:hAnsi="Arial"/>
                <w:sz w:val="18"/>
                <w:szCs w:val="18"/>
                <w:color w:val="auto"/>
              </w:rPr>
              <w:t>Frequency Electronics, Inc.</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80" w:type="dxa"/>
            <w:vAlign w:val="bottom"/>
          </w:tcPr>
          <w:p>
            <w:pPr>
              <w:spacing w:after="0"/>
              <w:rPr>
                <w:sz w:val="24"/>
                <w:szCs w:val="24"/>
                <w:color w:val="auto"/>
              </w:rPr>
            </w:pPr>
          </w:p>
        </w:tc>
      </w:tr>
      <w:tr>
        <w:trPr>
          <w:trHeight w:val="486"/>
        </w:trPr>
        <w:tc>
          <w:tcPr>
            <w:tcW w:w="4200" w:type="dxa"/>
            <w:vAlign w:val="bottom"/>
          </w:tcPr>
          <w:p>
            <w:pPr>
              <w:spacing w:after="0"/>
              <w:rPr>
                <w:sz w:val="20"/>
                <w:szCs w:val="20"/>
                <w:color w:val="auto"/>
              </w:rPr>
            </w:pPr>
            <w:r>
              <w:rPr>
                <w:rFonts w:ascii="Arial" w:cs="Arial" w:eastAsia="Arial" w:hAnsi="Arial"/>
                <w:sz w:val="18"/>
                <w:szCs w:val="18"/>
                <w:color w:val="auto"/>
              </w:rPr>
              <w:t>FEI Communications, Inc.</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80" w:type="dxa"/>
            <w:vAlign w:val="bottom"/>
          </w:tcPr>
          <w:p>
            <w:pPr>
              <w:spacing w:after="0"/>
              <w:rPr>
                <w:sz w:val="24"/>
                <w:szCs w:val="24"/>
                <w:color w:val="auto"/>
              </w:rPr>
            </w:pPr>
          </w:p>
        </w:tc>
      </w:tr>
      <w:tr>
        <w:trPr>
          <w:trHeight w:val="486"/>
        </w:trPr>
        <w:tc>
          <w:tcPr>
            <w:tcW w:w="4200" w:type="dxa"/>
            <w:vAlign w:val="bottom"/>
          </w:tcPr>
          <w:p>
            <w:pPr>
              <w:spacing w:after="0"/>
              <w:rPr>
                <w:sz w:val="20"/>
                <w:szCs w:val="20"/>
                <w:color w:val="auto"/>
              </w:rPr>
            </w:pPr>
            <w:r>
              <w:rPr>
                <w:rFonts w:ascii="Arial" w:cs="Arial" w:eastAsia="Arial" w:hAnsi="Arial"/>
                <w:sz w:val="18"/>
                <w:szCs w:val="18"/>
                <w:color w:val="auto"/>
              </w:rPr>
              <w:t>FEI Government Systems, Inc.</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80" w:type="dxa"/>
            <w:vAlign w:val="bottom"/>
          </w:tcPr>
          <w:p>
            <w:pPr>
              <w:spacing w:after="0"/>
              <w:rPr>
                <w:sz w:val="24"/>
                <w:szCs w:val="24"/>
                <w:color w:val="auto"/>
              </w:rPr>
            </w:pPr>
          </w:p>
        </w:tc>
      </w:tr>
      <w:tr>
        <w:trPr>
          <w:trHeight w:val="486"/>
        </w:trPr>
        <w:tc>
          <w:tcPr>
            <w:tcW w:w="4200" w:type="dxa"/>
            <w:vAlign w:val="bottom"/>
          </w:tcPr>
          <w:p>
            <w:pPr>
              <w:spacing w:after="0"/>
              <w:rPr>
                <w:sz w:val="20"/>
                <w:szCs w:val="20"/>
                <w:color w:val="auto"/>
              </w:rPr>
            </w:pPr>
            <w:r>
              <w:rPr>
                <w:rFonts w:ascii="Arial" w:cs="Arial" w:eastAsia="Arial" w:hAnsi="Arial"/>
                <w:sz w:val="18"/>
                <w:szCs w:val="18"/>
                <w:color w:val="auto"/>
              </w:rPr>
              <w:t>FEI Realty, Inc. (Inactive)</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80" w:type="dxa"/>
            <w:vAlign w:val="bottom"/>
          </w:tcPr>
          <w:p>
            <w:pPr>
              <w:spacing w:after="0"/>
              <w:rPr>
                <w:sz w:val="24"/>
                <w:szCs w:val="24"/>
                <w:color w:val="auto"/>
              </w:rPr>
            </w:pPr>
          </w:p>
        </w:tc>
      </w:tr>
      <w:tr>
        <w:trPr>
          <w:trHeight w:val="486"/>
        </w:trPr>
        <w:tc>
          <w:tcPr>
            <w:tcW w:w="4200" w:type="dxa"/>
            <w:vAlign w:val="bottom"/>
          </w:tcPr>
          <w:p>
            <w:pPr>
              <w:spacing w:after="0"/>
              <w:rPr>
                <w:sz w:val="20"/>
                <w:szCs w:val="20"/>
                <w:color w:val="auto"/>
              </w:rPr>
            </w:pPr>
            <w:r>
              <w:rPr>
                <w:rFonts w:ascii="Arial" w:cs="Arial" w:eastAsia="Arial" w:hAnsi="Arial"/>
                <w:sz w:val="18"/>
                <w:szCs w:val="18"/>
                <w:color w:val="auto"/>
              </w:rPr>
              <w:t>Monitor Corp. (Inactive)</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80" w:type="dxa"/>
            <w:vAlign w:val="bottom"/>
          </w:tcPr>
          <w:p>
            <w:pPr>
              <w:spacing w:after="0"/>
              <w:rPr>
                <w:sz w:val="24"/>
                <w:szCs w:val="24"/>
                <w:color w:val="auto"/>
              </w:rPr>
            </w:pPr>
          </w:p>
        </w:tc>
      </w:tr>
      <w:tr>
        <w:trPr>
          <w:trHeight w:val="486"/>
        </w:trPr>
        <w:tc>
          <w:tcPr>
            <w:tcW w:w="4200" w:type="dxa"/>
            <w:vAlign w:val="bottom"/>
          </w:tcPr>
          <w:p>
            <w:pPr>
              <w:spacing w:after="0"/>
              <w:rPr>
                <w:sz w:val="20"/>
                <w:szCs w:val="20"/>
                <w:color w:val="auto"/>
              </w:rPr>
            </w:pPr>
            <w:r>
              <w:rPr>
                <w:rFonts w:ascii="Arial" w:cs="Arial" w:eastAsia="Arial" w:hAnsi="Arial"/>
                <w:sz w:val="18"/>
                <w:szCs w:val="18"/>
                <w:color w:val="auto"/>
              </w:rPr>
              <w:t>FEI Zyfer, Inc.</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80" w:type="dxa"/>
            <w:vAlign w:val="bottom"/>
          </w:tcPr>
          <w:p>
            <w:pPr>
              <w:spacing w:after="0"/>
              <w:rPr>
                <w:sz w:val="24"/>
                <w:szCs w:val="24"/>
                <w:color w:val="auto"/>
              </w:rPr>
            </w:pPr>
          </w:p>
        </w:tc>
      </w:tr>
      <w:tr>
        <w:trPr>
          <w:trHeight w:val="486"/>
        </w:trPr>
        <w:tc>
          <w:tcPr>
            <w:tcW w:w="4200" w:type="dxa"/>
            <w:vAlign w:val="bottom"/>
          </w:tcPr>
          <w:p>
            <w:pPr>
              <w:spacing w:after="0"/>
              <w:rPr>
                <w:sz w:val="20"/>
                <w:szCs w:val="20"/>
                <w:color w:val="auto"/>
              </w:rPr>
            </w:pPr>
            <w:r>
              <w:rPr>
                <w:rFonts w:ascii="Arial" w:cs="Arial" w:eastAsia="Arial" w:hAnsi="Arial"/>
                <w:sz w:val="18"/>
                <w:szCs w:val="18"/>
                <w:color w:val="auto"/>
              </w:rPr>
              <w:t>Gillam-FEI, s.a.</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2280" w:type="dxa"/>
            <w:vAlign w:val="bottom"/>
          </w:tcPr>
          <w:p>
            <w:pPr>
              <w:spacing w:after="0"/>
              <w:rPr>
                <w:sz w:val="24"/>
                <w:szCs w:val="24"/>
                <w:color w:val="auto"/>
              </w:rPr>
            </w:pPr>
          </w:p>
        </w:tc>
      </w:tr>
      <w:tr>
        <w:trPr>
          <w:trHeight w:val="486"/>
        </w:trPr>
        <w:tc>
          <w:tcPr>
            <w:tcW w:w="4200" w:type="dxa"/>
            <w:vAlign w:val="bottom"/>
          </w:tcPr>
          <w:p>
            <w:pPr>
              <w:spacing w:after="0"/>
              <w:rPr>
                <w:sz w:val="20"/>
                <w:szCs w:val="20"/>
                <w:color w:val="auto"/>
              </w:rPr>
            </w:pPr>
            <w:r>
              <w:rPr>
                <w:rFonts w:ascii="Arial" w:cs="Arial" w:eastAsia="Arial" w:hAnsi="Arial"/>
                <w:sz w:val="18"/>
                <w:szCs w:val="18"/>
                <w:color w:val="auto"/>
              </w:rPr>
              <w:t>Satel-FEI, s.a.</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2280" w:type="dxa"/>
            <w:vAlign w:val="bottom"/>
          </w:tcPr>
          <w:p>
            <w:pPr>
              <w:spacing w:after="0"/>
              <w:rPr>
                <w:sz w:val="24"/>
                <w:szCs w:val="24"/>
                <w:color w:val="auto"/>
              </w:rPr>
            </w:pPr>
          </w:p>
        </w:tc>
      </w:tr>
      <w:tr>
        <w:trPr>
          <w:trHeight w:val="486"/>
        </w:trPr>
        <w:tc>
          <w:tcPr>
            <w:tcW w:w="4200" w:type="dxa"/>
            <w:vAlign w:val="bottom"/>
          </w:tcPr>
          <w:p>
            <w:pPr>
              <w:spacing w:after="0"/>
              <w:rPr>
                <w:sz w:val="20"/>
                <w:szCs w:val="20"/>
                <w:color w:val="auto"/>
              </w:rPr>
            </w:pPr>
            <w:r>
              <w:rPr>
                <w:rFonts w:ascii="Arial" w:cs="Arial" w:eastAsia="Arial" w:hAnsi="Arial"/>
                <w:sz w:val="18"/>
                <w:szCs w:val="18"/>
                <w:color w:val="auto"/>
              </w:rPr>
              <w:t>Frequency Electronics, Inc. Asia</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People’s Republic of China</w:t>
            </w:r>
          </w:p>
        </w:tc>
        <w:tc>
          <w:tcPr>
            <w:tcW w:w="2280" w:type="dxa"/>
            <w:vAlign w:val="bottom"/>
          </w:tcPr>
          <w:p>
            <w:pPr>
              <w:spacing w:after="0"/>
              <w:rPr>
                <w:sz w:val="24"/>
                <w:szCs w:val="24"/>
                <w:color w:val="auto"/>
              </w:rPr>
            </w:pPr>
          </w:p>
        </w:tc>
      </w:tr>
      <w:tr>
        <w:trPr>
          <w:trHeight w:val="902"/>
        </w:trPr>
        <w:tc>
          <w:tcPr>
            <w:tcW w:w="4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23.1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7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333-42233) of Frequency Electronics, Inc. of our report dated July 25, 2008 relating to the consolidated financial statements and financial statement schedule, which appears in this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Holtz Rubenstein Reminick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Holtz Rubenstein Reminick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Melville,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Chief Executive Officer, certify that:</w:t>
      </w:r>
    </w:p>
    <w:p>
      <w:pPr>
        <w:spacing w:after="0" w:line="279"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79" w:lineRule="exact"/>
        <w:rPr>
          <w:rFonts w:ascii="Arial" w:cs="Arial" w:eastAsia="Arial" w:hAnsi="Arial"/>
          <w:sz w:val="18"/>
          <w:szCs w:val="18"/>
          <w:color w:val="auto"/>
        </w:rPr>
      </w:pPr>
    </w:p>
    <w:p>
      <w:pPr>
        <w:ind w:firstLine="8"/>
        <w:spacing w:after="0" w:line="342" w:lineRule="auto"/>
        <w:tabs>
          <w:tab w:leader="none" w:pos="207"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0" w:firstLine="8"/>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firstLine="8"/>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4"/>
        <w:spacing w:after="0" w:line="264" w:lineRule="auto"/>
        <w:tabs>
          <w:tab w:leader="none" w:pos="9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hanging="4"/>
        <w:spacing w:after="0" w:line="308" w:lineRule="auto"/>
        <w:tabs>
          <w:tab w:leader="none" w:pos="955"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200" w:lineRule="exact"/>
        <w:rPr>
          <w:rFonts w:ascii="Arial" w:cs="Arial" w:eastAsia="Arial" w:hAnsi="Arial"/>
          <w:sz w:val="17"/>
          <w:szCs w:val="17"/>
          <w:color w:val="auto"/>
        </w:rPr>
      </w:pPr>
    </w:p>
    <w:p>
      <w:pPr>
        <w:jc w:val="both"/>
        <w:ind w:left="660" w:hanging="4"/>
        <w:spacing w:after="0" w:line="264" w:lineRule="auto"/>
        <w:tabs>
          <w:tab w:leader="none" w:pos="9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firstLine="8"/>
        <w:spacing w:after="0" w:line="277" w:lineRule="auto"/>
        <w:tabs>
          <w:tab w:leader="none" w:pos="2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4" w:lineRule="exact"/>
        <w:rPr>
          <w:rFonts w:ascii="Arial" w:cs="Arial" w:eastAsia="Arial" w:hAnsi="Arial"/>
          <w:sz w:val="18"/>
          <w:szCs w:val="18"/>
          <w:color w:val="auto"/>
        </w:rPr>
      </w:pPr>
    </w:p>
    <w:p>
      <w:pPr>
        <w:ind w:left="660" w:hanging="4"/>
        <w:spacing w:after="0" w:line="277" w:lineRule="auto"/>
        <w:tabs>
          <w:tab w:leader="none" w:pos="9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4"/>
        <w:spacing w:after="0" w:line="277" w:lineRule="auto"/>
        <w:tabs>
          <w:tab w:leader="none" w:pos="91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2008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B. Bloch</w:t>
            </w:r>
          </w:p>
        </w:tc>
        <w:tc>
          <w:tcPr>
            <w:tcW w:w="628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Martin B. Bloch</w:t>
            </w:r>
          </w:p>
        </w:tc>
        <w:tc>
          <w:tcPr>
            <w:tcW w:w="62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280" w:type="dxa"/>
            <w:vAlign w:val="bottom"/>
          </w:tcPr>
          <w:p>
            <w:pPr>
              <w:spacing w:after="0"/>
              <w:rPr>
                <w:sz w:val="20"/>
                <w:szCs w:val="20"/>
                <w:color w:val="auto"/>
              </w:rPr>
            </w:pPr>
          </w:p>
        </w:tc>
      </w:tr>
      <w:tr>
        <w:trPr>
          <w:trHeight w:val="902"/>
        </w:trPr>
        <w:tc>
          <w:tcPr>
            <w:tcW w:w="58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6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Chief Financial Officer, certify that:</w:t>
      </w:r>
    </w:p>
    <w:p>
      <w:pPr>
        <w:spacing w:after="0" w:line="279"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79" w:lineRule="exact"/>
        <w:rPr>
          <w:rFonts w:ascii="Arial" w:cs="Arial" w:eastAsia="Arial" w:hAnsi="Arial"/>
          <w:sz w:val="18"/>
          <w:szCs w:val="18"/>
          <w:color w:val="auto"/>
        </w:rPr>
      </w:pPr>
    </w:p>
    <w:p>
      <w:pPr>
        <w:ind w:firstLine="8"/>
        <w:spacing w:after="0" w:line="342" w:lineRule="auto"/>
        <w:tabs>
          <w:tab w:leader="none" w:pos="207"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0" w:firstLine="8"/>
        <w:spacing w:after="0" w:line="277"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firstLine="8"/>
        <w:spacing w:after="0" w:line="277"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4"/>
        <w:spacing w:after="0" w:line="264" w:lineRule="auto"/>
        <w:tabs>
          <w:tab w:leader="none" w:pos="9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hanging="4"/>
        <w:spacing w:after="0" w:line="308" w:lineRule="auto"/>
        <w:tabs>
          <w:tab w:leader="none" w:pos="955"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200" w:lineRule="exact"/>
        <w:rPr>
          <w:rFonts w:ascii="Arial" w:cs="Arial" w:eastAsia="Arial" w:hAnsi="Arial"/>
          <w:sz w:val="17"/>
          <w:szCs w:val="17"/>
          <w:color w:val="auto"/>
        </w:rPr>
      </w:pPr>
    </w:p>
    <w:p>
      <w:pPr>
        <w:jc w:val="both"/>
        <w:ind w:left="660" w:hanging="4"/>
        <w:spacing w:after="0" w:line="264" w:lineRule="auto"/>
        <w:tabs>
          <w:tab w:leader="none" w:pos="9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firstLine="8"/>
        <w:spacing w:after="0" w:line="277" w:lineRule="auto"/>
        <w:tabs>
          <w:tab w:leader="none" w:pos="2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4" w:lineRule="exact"/>
        <w:rPr>
          <w:rFonts w:ascii="Arial" w:cs="Arial" w:eastAsia="Arial" w:hAnsi="Arial"/>
          <w:sz w:val="18"/>
          <w:szCs w:val="18"/>
          <w:color w:val="auto"/>
        </w:rPr>
      </w:pPr>
    </w:p>
    <w:p>
      <w:pPr>
        <w:ind w:left="660" w:hanging="4"/>
        <w:spacing w:after="0" w:line="277" w:lineRule="auto"/>
        <w:tabs>
          <w:tab w:leader="none" w:pos="9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4"/>
        <w:spacing w:after="0" w:line="277" w:lineRule="auto"/>
        <w:tabs>
          <w:tab w:leader="none" w:pos="9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2008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L. Miller</w:t>
            </w:r>
          </w:p>
        </w:tc>
        <w:tc>
          <w:tcPr>
            <w:tcW w:w="628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Alan L. Miller</w:t>
            </w:r>
          </w:p>
        </w:tc>
        <w:tc>
          <w:tcPr>
            <w:tcW w:w="62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280" w:type="dxa"/>
            <w:vAlign w:val="bottom"/>
          </w:tcPr>
          <w:p>
            <w:pPr>
              <w:spacing w:after="0"/>
              <w:rPr>
                <w:sz w:val="20"/>
                <w:szCs w:val="20"/>
                <w:color w:val="auto"/>
              </w:rPr>
            </w:pPr>
          </w:p>
        </w:tc>
      </w:tr>
      <w:tr>
        <w:trPr>
          <w:trHeight w:val="902"/>
        </w:trPr>
        <w:tc>
          <w:tcPr>
            <w:tcW w:w="58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6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2008 as filed with the Securities and Exchange Commission on the date hereof (the “Report”), I, Martin B. Bloch, Chief Executive Officer of the Company, certify, pursuant to Section 18 U.S.C. 1350, as adopted pursuant to Section 906 of the Sarbanes-Oxley Act of 2002, that:</w:t>
      </w:r>
    </w:p>
    <w:p>
      <w:pPr>
        <w:spacing w:after="0" w:line="235" w:lineRule="exact"/>
        <w:rPr>
          <w:sz w:val="20"/>
          <w:szCs w:val="20"/>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/s/ Martin B. Bloch</w:t>
      </w:r>
      <w:r>
        <w:rPr>
          <w:sz w:val="20"/>
          <w:szCs w:val="20"/>
          <w:color w:val="auto"/>
        </w:rPr>
        <w:tab/>
      </w:r>
      <w:r>
        <w:rPr>
          <w:rFonts w:ascii="Arial" w:cs="Arial" w:eastAsia="Arial" w:hAnsi="Arial"/>
          <w:sz w:val="16"/>
          <w:szCs w:val="16"/>
          <w:color w:val="auto"/>
        </w:rPr>
        <w:t>July 29, 2008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0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2008 as filed with the Securities and Exchange Commission on the date hereof (the “Report”), I, Alan L. Miller, Chief Financial Officer of the Company, certify, pursuant to Section 18 U.S.C. 1350, as adopted pursuant to Section 906 of the Sarbanes-Oxley Act of 2002, that:</w:t>
      </w:r>
    </w:p>
    <w:p>
      <w:pPr>
        <w:spacing w:after="0" w:line="235" w:lineRule="exact"/>
        <w:rPr>
          <w:sz w:val="20"/>
          <w:szCs w:val="20"/>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333"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/s/ Alan L. Miller</w:t>
      </w:r>
      <w:r>
        <w:rPr>
          <w:sz w:val="20"/>
          <w:szCs w:val="20"/>
          <w:color w:val="auto"/>
        </w:rPr>
        <w:tab/>
      </w:r>
      <w:r>
        <w:rPr>
          <w:rFonts w:ascii="Arial" w:cs="Arial" w:eastAsia="Arial" w:hAnsi="Arial"/>
          <w:sz w:val="16"/>
          <w:szCs w:val="16"/>
          <w:color w:val="auto"/>
        </w:rPr>
        <w:t>July 29, 2008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0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3"/>
    </w:lvl>
  </w:abstractNum>
  <w:abstractNum w:abstractNumId="4">
    <w:nsid w:val="431BD7B7"/>
    <w:multiLevelType w:val="hybridMultilevel"/>
    <w:lvl w:ilvl="0">
      <w:lvlJc w:val="left"/>
      <w:lvlText w:val="(%1)"/>
      <w:numFmt w:val="decimal"/>
      <w:start w:val="6"/>
    </w:lvl>
  </w:abstractNum>
  <w:abstractNum w:abstractNumId="5">
    <w:nsid w:val="3F2DBA31"/>
    <w:multiLevelType w:val="hybridMultilevel"/>
    <w:lvl w:ilvl="0">
      <w:lvlJc w:val="left"/>
      <w:lvlText w:val="(%1)"/>
      <w:numFmt w:val="decimal"/>
      <w:start w:val="7"/>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2"/>
    </w:lvl>
  </w:abstractNum>
  <w:abstractNum w:abstractNumId="11">
    <w:nsid w:val="333AB105"/>
    <w:multiLevelType w:val="hybridMultilevel"/>
    <w:lvl w:ilvl="0">
      <w:lvlJc w:val="left"/>
      <w:lvlText w:val="%1."/>
      <w:numFmt w:val="decimal"/>
      <w:start w:val="3"/>
    </w:lvl>
  </w:abstractNum>
  <w:abstractNum w:abstractNumId="12">
    <w:nsid w:val="721DA317"/>
    <w:multiLevelType w:val="hybridMultilevel"/>
    <w:lvl w:ilvl="0">
      <w:lvlJc w:val="left"/>
      <w:lvlText w:val="%1."/>
      <w:numFmt w:val="decimal"/>
      <w:start w:val="4"/>
    </w:lvl>
  </w:abstractNum>
  <w:abstractNum w:abstractNumId="13">
    <w:nsid w:val="2443A858"/>
    <w:multiLevelType w:val="hybridMultilevel"/>
    <w:lvl w:ilvl="0">
      <w:lvlJc w:val="left"/>
      <w:lvlText w:val="%1."/>
      <w:numFmt w:val="decimal"/>
      <w:start w:val="5"/>
    </w:lvl>
  </w:abstractNum>
  <w:abstractNum w:abstractNumId="14">
    <w:nsid w:val="2D1D5AE9"/>
    <w:multiLevelType w:val="hybridMultilevel"/>
    <w:lvl w:ilvl="0">
      <w:lvlJc w:val="left"/>
      <w:lvlText w:val="%1."/>
      <w:numFmt w:val="decimal"/>
      <w:start w:val="7"/>
    </w:lvl>
  </w:abstractNum>
  <w:abstractNum w:abstractNumId="15">
    <w:nsid w:val="6763845E"/>
    <w:multiLevelType w:val="hybridMultilevel"/>
    <w:lvl w:ilvl="0">
      <w:lvlJc w:val="left"/>
      <w:lvlText w:val="%1."/>
      <w:numFmt w:val="decimal"/>
      <w:start w:val="8"/>
    </w:lvl>
  </w:abstractNum>
  <w:abstractNum w:abstractNumId="16">
    <w:nsid w:val="75A2A8D4"/>
    <w:multiLevelType w:val="hybridMultilevel"/>
    <w:lvl w:ilvl="0">
      <w:lvlJc w:val="left"/>
      <w:lvlText w:val="%1."/>
      <w:numFmt w:val="decimal"/>
      <w:start w:val="10"/>
    </w:lvl>
  </w:abstractNum>
  <w:abstractNum w:abstractNumId="17">
    <w:nsid w:val="8EDBDAB"/>
    <w:multiLevelType w:val="hybridMultilevel"/>
    <w:lvl w:ilvl="0">
      <w:lvlJc w:val="left"/>
      <w:lvlText w:val="%1."/>
      <w:numFmt w:val="decimal"/>
      <w:start w:val="11"/>
    </w:lvl>
  </w:abstractNum>
  <w:abstractNum w:abstractNumId="18">
    <w:nsid w:val="79838CB2"/>
    <w:multiLevelType w:val="hybridMultilevel"/>
    <w:lvl w:ilvl="0">
      <w:lvlJc w:val="left"/>
      <w:lvlText w:val="%1."/>
      <w:numFmt w:val="decimal"/>
      <w:start w:val="12"/>
    </w:lvl>
  </w:abstractNum>
  <w:abstractNum w:abstractNumId="19">
    <w:nsid w:val="4353D0CD"/>
    <w:multiLevelType w:val="hybridMultilevel"/>
    <w:lvl w:ilvl="0">
      <w:lvlJc w:val="left"/>
      <w:lvlText w:val="%1."/>
      <w:numFmt w:val="decimal"/>
      <w:start w:val="14"/>
    </w:lvl>
  </w:abstractNum>
  <w:abstractNum w:abstractNumId="20">
    <w:nsid w:val="B03E0C6"/>
    <w:multiLevelType w:val="hybridMultilevel"/>
    <w:lvl w:ilvl="0">
      <w:lvlJc w:val="left"/>
      <w:lvlText w:val="%1."/>
      <w:numFmt w:val="decimal"/>
      <w:start w:val="15"/>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6"/>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2019-12-11T12:56:13Z</dcterms:created>
  <dcterms:modified xsi:type="dcterms:W3CDTF">2019-12-11T12:56:13Z</dcterms:modified>
</cp:coreProperties>
</file>