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210820</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245745</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ind w:left="3920" w:right="2360" w:hanging="3682"/>
        <w:spacing w:after="0" w:line="530" w:lineRule="auto"/>
        <w:tabs>
          <w:tab w:leader="none" w:pos="446"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 (d) OF THE SECURITIES EXCHANGE ACT OF 1934 For the Quarterly Period ended </w:t>
      </w:r>
      <w:r>
        <w:rPr>
          <w:rFonts w:ascii="Arial" w:cs="Arial" w:eastAsia="Arial" w:hAnsi="Arial"/>
          <w:sz w:val="18"/>
          <w:szCs w:val="18"/>
          <w:b w:val="1"/>
          <w:bCs w:val="1"/>
          <w:u w:val="single" w:color="auto"/>
          <w:color w:val="auto"/>
        </w:rPr>
        <w:t>January 31, 2013</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3600" w:right="2340" w:hanging="3362"/>
        <w:spacing w:after="0" w:line="524" w:lineRule="auto"/>
        <w:tabs>
          <w:tab w:leader="none" w:pos="433"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Arial" w:cs="Arial" w:eastAsia="Arial" w:hAnsi="Arial"/>
          <w:sz w:val="18"/>
          <w:szCs w:val="18"/>
          <w:color w:val="auto"/>
        </w:rPr>
      </w:pPr>
      <w:r>
        <w:rPr>
          <w:rFonts w:ascii="Arial" w:cs="Arial" w:eastAsia="Arial" w:hAnsi="Arial"/>
          <w:sz w:val="18"/>
          <w:szCs w:val="18"/>
          <w:color w:val="auto"/>
        </w:rPr>
        <w:t>Commission File No. 1-8061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760" w:type="dxa"/>
            <w:vAlign w:val="bottom"/>
            <w:gridSpan w:val="3"/>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1880" w:type="dxa"/>
            <w:vAlign w:val="bottom"/>
            <w:vMerge w:val="restart"/>
          </w:tcPr>
          <w:p>
            <w:pPr>
              <w:spacing w:after="0"/>
              <w:rPr>
                <w:sz w:val="18"/>
                <w:szCs w:val="18"/>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87"/>
              </w:rPr>
              <w:t>11-1986657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60" w:type="dxa"/>
            <w:vAlign w:val="bottom"/>
          </w:tcPr>
          <w:p>
            <w:pPr>
              <w:spacing w:after="0"/>
              <w:rPr>
                <w:sz w:val="17"/>
                <w:szCs w:val="17"/>
                <w:color w:val="auto"/>
              </w:rPr>
            </w:pPr>
          </w:p>
        </w:tc>
        <w:tc>
          <w:tcPr>
            <w:tcW w:w="5800" w:type="dxa"/>
            <w:vAlign w:val="bottom"/>
            <w:gridSpan w:val="4"/>
          </w:tcPr>
          <w:p>
            <w:pPr>
              <w:jc w:val="center"/>
              <w:ind w:right="1040"/>
              <w:spacing w:after="0" w:line="196" w:lineRule="exact"/>
              <w:rPr>
                <w:sz w:val="20"/>
                <w:szCs w:val="20"/>
                <w:color w:val="auto"/>
              </w:rPr>
            </w:pPr>
            <w:r>
              <w:rPr>
                <w:rFonts w:ascii="Arial" w:cs="Arial" w:eastAsia="Arial" w:hAnsi="Arial"/>
                <w:sz w:val="18"/>
                <w:szCs w:val="18"/>
                <w:color w:val="auto"/>
                <w:w w:val="92"/>
              </w:rPr>
              <w:t>(State or other jurisdiction of</w:t>
            </w:r>
          </w:p>
        </w:tc>
        <w:tc>
          <w:tcPr>
            <w:tcW w:w="1880" w:type="dxa"/>
            <w:vAlign w:val="bottom"/>
            <w:vMerge w:val="continue"/>
          </w:tcPr>
          <w:p>
            <w:pPr>
              <w:spacing w:after="0"/>
              <w:rPr>
                <w:sz w:val="17"/>
                <w:szCs w:val="17"/>
                <w:color w:val="auto"/>
              </w:rPr>
            </w:pPr>
          </w:p>
        </w:tc>
        <w:tc>
          <w:tcPr>
            <w:tcW w:w="860" w:type="dxa"/>
            <w:vAlign w:val="bottom"/>
            <w:tcBorders>
              <w:bottom w:val="single" w:sz="8" w:color="auto"/>
            </w:tcBorders>
            <w:gridSpan w:val="3"/>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gridSpan w:val="5"/>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rPr>
              <w:t>55 CHARLES LINDBERGH BLVD., MITCHEL FIELD, N.Y.</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32"/>
        </w:trPr>
        <w:tc>
          <w:tcPr>
            <w:tcW w:w="62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97"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669" w:lineRule="exact"/>
        <w:rPr>
          <w:sz w:val="24"/>
          <w:szCs w:val="24"/>
          <w:color w:val="auto"/>
        </w:rPr>
      </w:pPr>
    </w:p>
    <w:p>
      <w:pPr>
        <w:sectPr>
          <w:pgSz w:w="11900" w:h="16838" w:orient="portrait"/>
          <w:cols w:equalWidth="0" w:num="4">
            <w:col w:w="2160" w:space="720"/>
            <w:col w:w="2120" w:space="720"/>
            <w:col w:w="2540" w:space="320"/>
            <w:col w:w="2840"/>
          </w:cols>
          <w:pgMar w:left="240" w:top="297"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The number of shares outstanding of Registrant's Common Stock, par value $1.00 as of March 11, 2013 – 8,436,007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720" w:type="dxa"/>
            <w:vAlign w:val="bottom"/>
            <w:gridSpan w:val="16"/>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453"/>
        </w:trPr>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40" w:type="dxa"/>
            <w:vAlign w:val="bottom"/>
            <w:gridSpan w:val="8"/>
          </w:tcPr>
          <w:p>
            <w:pPr>
              <w:jc w:val="center"/>
              <w:ind w:right="198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240" w:type="dxa"/>
            <w:vAlign w:val="bottom"/>
            <w:gridSpan w:val="7"/>
          </w:tcPr>
          <w:p>
            <w:pPr>
              <w:jc w:val="center"/>
              <w:ind w:right="3780"/>
              <w:spacing w:after="0"/>
              <w:rPr>
                <w:sz w:val="20"/>
                <w:szCs w:val="20"/>
                <w:color w:val="auto"/>
              </w:rPr>
            </w:pPr>
            <w:r>
              <w:rPr>
                <w:rFonts w:ascii="Arial" w:cs="Arial" w:eastAsia="Arial" w:hAnsi="Arial"/>
                <w:sz w:val="18"/>
                <w:szCs w:val="18"/>
                <w:color w:val="auto"/>
                <w:w w:val="95"/>
              </w:rPr>
              <w:t>TABLE OF CONTENTS</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0720" w:type="dxa"/>
            <w:vAlign w:val="bottom"/>
            <w:gridSpan w:val="16"/>
          </w:tcPr>
          <w:p>
            <w:pPr>
              <w:spacing w:after="0"/>
              <w:rPr>
                <w:sz w:val="20"/>
                <w:szCs w:val="20"/>
                <w:color w:val="auto"/>
              </w:rPr>
            </w:pPr>
            <w:r>
              <w:rPr>
                <w:rFonts w:ascii="Arial" w:cs="Arial" w:eastAsia="Arial" w:hAnsi="Arial"/>
                <w:sz w:val="18"/>
                <w:szCs w:val="18"/>
                <w:b w:val="1"/>
                <w:bCs w:val="1"/>
                <w:color w:val="auto"/>
              </w:rPr>
              <w:t>Part I. Financial Information:</w:t>
            </w:r>
          </w:p>
        </w:tc>
        <w:tc>
          <w:tcPr>
            <w:tcW w:w="700" w:type="dxa"/>
            <w:vAlign w:val="bottom"/>
            <w:gridSpan w:val="2"/>
          </w:tcPr>
          <w:p>
            <w:pPr>
              <w:spacing w:after="0"/>
              <w:rPr>
                <w:sz w:val="20"/>
                <w:szCs w:val="20"/>
                <w:color w:val="auto"/>
              </w:rPr>
            </w:pPr>
            <w:r>
              <w:rPr>
                <w:rFonts w:ascii="Arial" w:cs="Arial" w:eastAsia="Arial" w:hAnsi="Arial"/>
                <w:sz w:val="18"/>
                <w:szCs w:val="18"/>
                <w:color w:val="auto"/>
                <w:w w:val="90"/>
              </w:rPr>
              <w:t>Page No.</w:t>
            </w:r>
          </w:p>
        </w:tc>
      </w:tr>
      <w:tr>
        <w:trPr>
          <w:trHeight w:val="412"/>
        </w:trPr>
        <w:tc>
          <w:tcPr>
            <w:tcW w:w="34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w:t>
              </w:r>
            </w:hyperlink>
          </w:p>
        </w:tc>
        <w:tc>
          <w:tcPr>
            <w:tcW w:w="9900" w:type="dxa"/>
            <w:vAlign w:val="bottom"/>
            <w:gridSpan w:val="13"/>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 Financial Statements:</w:t>
              </w:r>
            </w:hyperlink>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January 31, 2013 and April 30, 2012</w:t>
              </w:r>
            </w:hyperlink>
          </w:p>
        </w:tc>
        <w:tc>
          <w:tcPr>
            <w:tcW w:w="4500" w:type="dxa"/>
            <w:vAlign w:val="bottom"/>
            <w:gridSpan w:val="5"/>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and Comprehensive Income Nine Months Ended January 31, 2013 and 2012</w:t>
              </w:r>
            </w:hyperlink>
          </w:p>
        </w:tc>
        <w:tc>
          <w:tcPr>
            <w:tcW w:w="126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2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and Comprehensive Income Three Months Ended January 31, 2013 and 2012</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Nine Months Ended January 31, 2013 and 2012</w:t>
              </w:r>
            </w:hyperlink>
          </w:p>
        </w:tc>
        <w:tc>
          <w:tcPr>
            <w:tcW w:w="1820" w:type="dxa"/>
            <w:vAlign w:val="bottom"/>
            <w:tcBorders>
              <w:top w:val="single" w:sz="8" w:color="0000EE"/>
            </w:tcBorders>
            <w:gridSpan w:val="2"/>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2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4"/>
              </w:rPr>
              <w:t>7-13</w:t>
            </w:r>
          </w:p>
        </w:tc>
        <w:tc>
          <w:tcPr>
            <w:tcW w:w="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Item 2</w:t>
              </w:r>
            </w:hyperlink>
          </w:p>
        </w:tc>
        <w:tc>
          <w:tcPr>
            <w:tcW w:w="9900" w:type="dxa"/>
            <w:vAlign w:val="bottom"/>
            <w:gridSpan w:val="13"/>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 Management's Discussion and Analysis of Financial Condition and Results of Operations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14-21</w:t>
            </w:r>
          </w:p>
        </w:tc>
        <w:tc>
          <w:tcPr>
            <w:tcW w:w="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480" w:type="dxa"/>
            <w:vAlign w:val="bottom"/>
            <w:tcBorders>
              <w:top w:val="single" w:sz="8" w:color="0000EE"/>
            </w:tcBorders>
            <w:gridSpan w:val="2"/>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3</w:t>
              </w:r>
            </w:hyperlink>
          </w:p>
        </w:tc>
        <w:tc>
          <w:tcPr>
            <w:tcW w:w="6560" w:type="dxa"/>
            <w:vAlign w:val="bottom"/>
            <w:tcBorders>
              <w:top w:val="single" w:sz="8" w:color="0000EE"/>
            </w:tcBorders>
            <w:gridSpan w:val="9"/>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 Quantitative and Qualitative Disclosures about Market Risk</w:t>
              </w:r>
            </w:hyperlink>
          </w:p>
        </w:tc>
        <w:tc>
          <w:tcPr>
            <w:tcW w:w="3340" w:type="dxa"/>
            <w:vAlign w:val="bottom"/>
            <w:gridSpan w:val="4"/>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4- Controls and Procedures</w:t>
              </w:r>
            </w:hyperlink>
          </w:p>
        </w:tc>
        <w:tc>
          <w:tcPr>
            <w:tcW w:w="2600" w:type="dxa"/>
            <w:vAlign w:val="bottom"/>
            <w:tcBorders>
              <w:top w:val="single" w:sz="8" w:color="0000EE"/>
            </w:tcBorders>
            <w:gridSpan w:val="2"/>
          </w:tcPr>
          <w:p>
            <w:pPr>
              <w:spacing w:after="0"/>
              <w:rPr>
                <w:sz w:val="24"/>
                <w:szCs w:val="24"/>
                <w:color w:val="auto"/>
              </w:rPr>
            </w:pPr>
          </w:p>
        </w:tc>
        <w:tc>
          <w:tcPr>
            <w:tcW w:w="5440" w:type="dxa"/>
            <w:vAlign w:val="bottom"/>
            <w:gridSpan w:val="6"/>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40" w:type="dxa"/>
            <w:vAlign w:val="bottom"/>
          </w:tcPr>
          <w:p>
            <w:pPr>
              <w:spacing w:after="0"/>
              <w:rPr>
                <w:sz w:val="24"/>
                <w:szCs w:val="24"/>
                <w:color w:val="auto"/>
              </w:rPr>
            </w:pPr>
          </w:p>
        </w:tc>
      </w:tr>
      <w:tr>
        <w:trPr>
          <w:trHeight w:val="453"/>
        </w:trPr>
        <w:tc>
          <w:tcPr>
            <w:tcW w:w="10720" w:type="dxa"/>
            <w:vAlign w:val="bottom"/>
            <w:gridSpan w:val="16"/>
          </w:tcPr>
          <w:p>
            <w:pPr>
              <w:spacing w:after="0"/>
              <w:rPr>
                <w:sz w:val="20"/>
                <w:szCs w:val="20"/>
                <w:color w:val="auto"/>
              </w:rPr>
            </w:pPr>
            <w:r>
              <w:rPr>
                <w:rFonts w:ascii="Arial" w:cs="Arial" w:eastAsia="Arial" w:hAnsi="Arial"/>
                <w:sz w:val="18"/>
                <w:szCs w:val="18"/>
                <w:b w:val="1"/>
                <w:bCs w:val="1"/>
                <w:color w:val="auto"/>
              </w:rPr>
              <w:t>Part II. Other Information:</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6</w:t>
              </w:r>
            </w:hyperlink>
          </w:p>
        </w:tc>
        <w:tc>
          <w:tcPr>
            <w:tcW w:w="9900" w:type="dxa"/>
            <w:vAlign w:val="bottom"/>
            <w:gridSpan w:val="13"/>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 Exhibits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4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1200" w:type="dxa"/>
            <w:vAlign w:val="bottom"/>
            <w:tcBorders>
              <w:top w:val="single" w:sz="8" w:color="0000EE"/>
            </w:tcBorders>
            <w:gridSpan w:val="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9180" w:type="dxa"/>
            <w:vAlign w:val="bottom"/>
            <w:gridSpan w:val="10"/>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40" w:type="dxa"/>
            <w:vAlign w:val="bottom"/>
          </w:tcPr>
          <w:p>
            <w:pPr>
              <w:spacing w:after="0"/>
              <w:rPr>
                <w:sz w:val="24"/>
                <w:szCs w:val="24"/>
                <w:color w:val="auto"/>
              </w:rPr>
            </w:pPr>
          </w:p>
        </w:tc>
      </w:tr>
      <w:tr>
        <w:trPr>
          <w:trHeight w:val="679"/>
        </w:trPr>
        <w:tc>
          <w:tcPr>
            <w:tcW w:w="34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7860" w:type="dxa"/>
            <w:vAlign w:val="bottom"/>
            <w:gridSpan w:val="5"/>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5600" w:type="dxa"/>
            <w:vAlign w:val="bottom"/>
          </w:tcPr>
          <w:p>
            <w:pPr>
              <w:ind w:left="3160"/>
              <w:spacing w:after="0"/>
              <w:rPr>
                <w:sz w:val="20"/>
                <w:szCs w:val="20"/>
                <w:color w:val="auto"/>
              </w:rPr>
            </w:pPr>
            <w:r>
              <w:rPr>
                <w:rFonts w:ascii="Arial" w:cs="Arial" w:eastAsia="Arial" w:hAnsi="Arial"/>
                <w:sz w:val="18"/>
                <w:szCs w:val="18"/>
                <w:b w:val="1"/>
                <w:bCs w:val="1"/>
                <w:color w:val="auto"/>
              </w:rPr>
              <w:t>PART I</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860" w:type="dxa"/>
            <w:vAlign w:val="bottom"/>
            <w:gridSpan w:val="5"/>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600" w:type="dxa"/>
            <w:vAlign w:val="bottom"/>
          </w:tcPr>
          <w:p>
            <w:pPr>
              <w:jc w:val="center"/>
              <w:ind w:left="57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0" w:type="dxa"/>
            <w:vAlign w:val="bottom"/>
          </w:tcPr>
          <w:p>
            <w:pPr>
              <w:jc w:val="center"/>
              <w:ind w:left="5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January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April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30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70"/>
              <w:spacing w:after="0" w:line="201" w:lineRule="exact"/>
              <w:rPr>
                <w:sz w:val="20"/>
                <w:szCs w:val="20"/>
                <w:color w:val="auto"/>
              </w:rPr>
            </w:pPr>
            <w:r>
              <w:rPr>
                <w:rFonts w:ascii="Arial" w:cs="Arial" w:eastAsia="Arial" w:hAnsi="Arial"/>
                <w:sz w:val="18"/>
                <w:szCs w:val="18"/>
                <w:b w:val="1"/>
                <w:bCs w:val="1"/>
                <w:color w:val="auto"/>
              </w:rPr>
              <w:t>(NOTE 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2780" w:type="dxa"/>
            <w:vAlign w:val="bottom"/>
            <w:gridSpan w:val="7"/>
          </w:tcPr>
          <w:p>
            <w:pPr>
              <w:jc w:val="right"/>
              <w:ind w:right="340"/>
              <w:spacing w:after="0"/>
              <w:rPr>
                <w:sz w:val="20"/>
                <w:szCs w:val="20"/>
                <w:color w:val="auto"/>
              </w:rPr>
            </w:pPr>
            <w:r>
              <w:rPr>
                <w:rFonts w:ascii="Arial" w:cs="Arial" w:eastAsia="Arial" w:hAnsi="Arial"/>
                <w:sz w:val="18"/>
                <w:szCs w:val="18"/>
                <w:color w:val="auto"/>
                <w:w w:val="91"/>
              </w:rPr>
              <w:t>(In thousands except share data)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5,222</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ind w:left="16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16,409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17,658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rPr>
              <w:t>Accounts receivable, net of allowance for doubtful accounts of $355 at January 31, 2013 and</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$400 at April 30, 2012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ind w:left="160"/>
              <w:spacing w:after="0"/>
              <w:rPr>
                <w:sz w:val="20"/>
                <w:szCs w:val="20"/>
                <w:color w:val="auto"/>
              </w:rPr>
            </w:pPr>
            <w:r>
              <w:rPr>
                <w:rFonts w:ascii="Arial" w:cs="Arial" w:eastAsia="Arial" w:hAnsi="Arial"/>
                <w:sz w:val="18"/>
                <w:szCs w:val="18"/>
                <w:color w:val="auto"/>
              </w:rPr>
              <w:t>Costs and estimated earnings in excess of billings, net</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8,617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37,756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ind w:left="16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80,718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4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10,605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 in affiliates</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933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4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108,280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40" w:type="dxa"/>
            <w:vAlign w:val="bottom"/>
            <w:gridSpan w:val="2"/>
          </w:tcPr>
          <w:p>
            <w:pPr>
              <w:ind w:left="620"/>
              <w:spacing w:after="0"/>
              <w:rPr>
                <w:sz w:val="20"/>
                <w:szCs w:val="20"/>
                <w:color w:val="auto"/>
              </w:rPr>
            </w:pPr>
            <w:r>
              <w:rPr>
                <w:rFonts w:ascii="Arial" w:cs="Arial" w:eastAsia="Arial" w:hAnsi="Arial"/>
                <w:sz w:val="18"/>
                <w:szCs w:val="18"/>
                <w:b w:val="1"/>
                <w:bCs w:val="1"/>
                <w:color w:val="auto"/>
              </w:rPr>
              <w:t>LIABILITIES AND STOCKHOLDERS' EQUITY</w:t>
            </w: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6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Short-term credit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ind w:left="160"/>
              <w:spacing w:after="0"/>
              <w:rPr>
                <w:sz w:val="20"/>
                <w:szCs w:val="20"/>
                <w:color w:val="auto"/>
              </w:rPr>
            </w:pPr>
            <w:r>
              <w:rPr>
                <w:rFonts w:ascii="Arial" w:cs="Arial" w:eastAsia="Arial" w:hAnsi="Arial"/>
                <w:sz w:val="18"/>
                <w:szCs w:val="18"/>
                <w:color w:val="auto"/>
              </w:rPr>
              <w:t>Accounts payable - trade</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4"/>
          </w:tcPr>
          <w:p>
            <w:pPr>
              <w:ind w:left="16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14,701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Capital lease obligation- noncurrent</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10,314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Deferred rent and other liabilities</w:t>
            </w:r>
          </w:p>
        </w:tc>
        <w:tc>
          <w:tcPr>
            <w:tcW w:w="14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819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25,834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ind w:left="160"/>
              <w:spacing w:after="0"/>
              <w:rPr>
                <w:sz w:val="20"/>
                <w:szCs w:val="20"/>
                <w:color w:val="auto"/>
              </w:rPr>
            </w:pPr>
            <w:r>
              <w:rPr>
                <w:rFonts w:ascii="Arial" w:cs="Arial" w:eastAsia="Arial" w:hAnsi="Arial"/>
                <w:sz w:val="18"/>
                <w:szCs w:val="18"/>
                <w:color w:val="auto"/>
              </w:rPr>
              <w:t>Preferred stock -$1.00 par value</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Common stock-$1.00 par value, issued 9,163,940 shares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51,526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20,705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at cost (732,554 shares at January 31, 2013 and</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800,787 shares at April 30, 2012)</w:t>
            </w:r>
          </w:p>
        </w:tc>
        <w:tc>
          <w:tcPr>
            <w:tcW w:w="14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(3,344)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4"/>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82,446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gridSpan w:val="4"/>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108,280</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106,227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0780"/>
          </w:cols>
          <w:pgMar w:left="240" w:top="114" w:right="879" w:bottom="1440" w:gutter="0" w:footer="0" w:header="0"/>
        </w:sectPr>
      </w:pPr>
    </w:p>
    <w:p>
      <w:pPr>
        <w:spacing w:after="0" w:line="37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3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14" w:right="87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January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6"/>
          </w:tcPr>
          <w:p>
            <w:pPr>
              <w:jc w:val="right"/>
              <w:ind w:right="220"/>
              <w:spacing w:after="0"/>
              <w:rPr>
                <w:sz w:val="20"/>
                <w:szCs w:val="20"/>
                <w:color w:val="auto"/>
              </w:rPr>
            </w:pPr>
            <w:r>
              <w:rPr>
                <w:rFonts w:ascii="Arial" w:cs="Arial" w:eastAsia="Arial" w:hAnsi="Arial"/>
                <w:sz w:val="18"/>
                <w:szCs w:val="18"/>
                <w:color w:val="auto"/>
                <w:w w:val="87"/>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51,391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Cost of revenues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31,928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27,970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19,463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10,883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80"/>
              <w:spacing w:after="0"/>
              <w:rPr>
                <w:sz w:val="20"/>
                <w:szCs w:val="20"/>
                <w:color w:val="auto"/>
              </w:rPr>
            </w:pPr>
            <w:r>
              <w:rPr>
                <w:rFonts w:ascii="Arial" w:cs="Arial" w:eastAsia="Arial" w:hAnsi="Arial"/>
                <w:sz w:val="18"/>
                <w:szCs w:val="18"/>
                <w:color w:val="auto"/>
              </w:rPr>
              <w:t>Operating profit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4,849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Equity loss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investment in and loans receivable from affiliate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5,129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3,729</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0.43</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8,401,348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8,319,740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8,583,616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8,537,591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Other comprehensive income (loss):</w:t>
            </w:r>
          </w:p>
        </w:tc>
        <w:tc>
          <w:tcPr>
            <w:tcW w:w="15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Change in market value of marketable securities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effect of change in marketable securities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Total other comprehensive income (loss)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2" w:right="87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January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6"/>
          </w:tcPr>
          <w:p>
            <w:pPr>
              <w:jc w:val="right"/>
              <w:ind w:right="220"/>
              <w:spacing w:after="0"/>
              <w:rPr>
                <w:sz w:val="20"/>
                <w:szCs w:val="20"/>
                <w:color w:val="auto"/>
              </w:rPr>
            </w:pPr>
            <w:r>
              <w:rPr>
                <w:rFonts w:ascii="Arial" w:cs="Arial" w:eastAsia="Arial" w:hAnsi="Arial"/>
                <w:sz w:val="18"/>
                <w:szCs w:val="18"/>
                <w:color w:val="auto"/>
                <w:w w:val="87"/>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17,137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Cost of revenues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10,387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profit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Investment income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loss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Impairment of investment in and loans receivable from affiliate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Other expense, net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8,424,162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8,323,912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8,603,774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8,508,297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Other comprehensive income (loss):</w:t>
            </w:r>
          </w:p>
        </w:tc>
        <w:tc>
          <w:tcPr>
            <w:tcW w:w="15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Change in market value of marketable securities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effect of change in marketable securities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Total other comprehensive income (loss)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2" w:right="8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77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76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6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Condensed Consolidated Statements of Cash Flows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6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Nine Months Ended January 31,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760" w:type="dxa"/>
            <w:vAlign w:val="bottom"/>
          </w:tcPr>
          <w:p>
            <w:pPr>
              <w:jc w:val="center"/>
              <w:ind w:left="189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(In</w:t>
            </w:r>
          </w:p>
        </w:tc>
        <w:tc>
          <w:tcPr>
            <w:tcW w:w="660" w:type="dxa"/>
            <w:vAlign w:val="bottom"/>
            <w:gridSpan w:val="3"/>
          </w:tcPr>
          <w:p>
            <w:pPr>
              <w:jc w:val="right"/>
              <w:ind w:right="20"/>
              <w:spacing w:after="0"/>
              <w:rPr>
                <w:sz w:val="20"/>
                <w:szCs w:val="20"/>
                <w:color w:val="auto"/>
              </w:rPr>
            </w:pPr>
            <w:r>
              <w:rPr>
                <w:rFonts w:ascii="Arial" w:cs="Arial" w:eastAsia="Arial" w:hAnsi="Arial"/>
                <w:sz w:val="17"/>
                <w:szCs w:val="17"/>
                <w:color w:val="auto"/>
                <w:w w:val="73"/>
              </w:rPr>
              <w:t>thousands)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8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w w:val="97"/>
              </w:rPr>
              <w:t>3,729</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Non-cash charges to earnings, net</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w w:val="97"/>
              </w:rPr>
              <w:t>3,843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changes in operating assets and liabilities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(4,347)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w w:val="97"/>
              </w:rPr>
              <w:t>3,225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sale of marketable securities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w w:val="97"/>
              </w:rPr>
              <w:t>2,509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Purchase of marketable securities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(1,004)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to affiliate</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Purchase of fixed assets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(1,608)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Proceeds from short-term credit obligations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w w:val="97"/>
              </w:rPr>
              <w:t>4,000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Debt payments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(5,311)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Payment of cash dividend</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(1,684)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Exercise of stock options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(2,975)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before effect of exchange rate changes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on cash and cash equivalents</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w w:val="97"/>
              </w:rPr>
              <w:t>4,782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55"/>
              <w:spacing w:after="0"/>
              <w:rPr>
                <w:sz w:val="20"/>
                <w:szCs w:val="20"/>
                <w:color w:val="auto"/>
              </w:rPr>
            </w:pPr>
            <w:r>
              <w:rPr>
                <w:rFonts w:ascii="Arial" w:cs="Arial" w:eastAsia="Arial" w:hAnsi="Arial"/>
                <w:sz w:val="18"/>
                <w:szCs w:val="18"/>
                <w:color w:val="auto"/>
                <w:w w:val="97"/>
              </w:rPr>
              <w:t>5,222</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83514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5140"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Cash paid during the period for:</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0"/>
        </w:trPr>
        <w:tc>
          <w:tcPr>
            <w:tcW w:w="786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Income Taxes</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top w:val="single" w:sz="8" w:color="CCEEFF"/>
            </w:tcBorders>
          </w:tcPr>
          <w:p>
            <w:pPr>
              <w:spacing w:after="0"/>
              <w:rPr>
                <w:sz w:val="18"/>
                <w:szCs w:val="18"/>
                <w:color w:val="auto"/>
              </w:rPr>
            </w:pPr>
          </w:p>
        </w:tc>
      </w:tr>
      <w:tr>
        <w:trPr>
          <w:trHeight w:val="21"/>
        </w:trPr>
        <w:tc>
          <w:tcPr>
            <w:tcW w:w="7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14" w:right="87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CONSOLIDATED FINANCIAL STATEMENTS</w:t>
      </w:r>
    </w:p>
    <w:p>
      <w:pPr>
        <w:spacing w:after="0" w:line="25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2013 and the results of its operations and cash flows for the nine and three months ended January 31, 2013 and 2012. The April 30, 2012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2012 Annual Report to Stockholders on Form 10-K. The results of operations for such interim periods are not necessarily indicative of the operating results for the full fiscal year.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EARNINGS PER SHARE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200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b w:val="1"/>
                <w:bCs w:val="1"/>
                <w:color w:val="auto"/>
                <w:w w:val="91"/>
              </w:rPr>
              <w:t>Nine months</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2"/>
              </w:rPr>
              <w:t>Three months</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40" w:type="dxa"/>
            <w:vAlign w:val="bottom"/>
            <w:gridSpan w:val="5"/>
          </w:tcPr>
          <w:p>
            <w:pPr>
              <w:ind w:left="60"/>
              <w:spacing w:after="0" w:line="198" w:lineRule="exact"/>
              <w:rPr>
                <w:sz w:val="20"/>
                <w:szCs w:val="20"/>
                <w:color w:val="auto"/>
              </w:rPr>
            </w:pPr>
            <w:r>
              <w:rPr>
                <w:rFonts w:ascii="Arial" w:cs="Arial" w:eastAsia="Arial" w:hAnsi="Arial"/>
                <w:sz w:val="18"/>
                <w:szCs w:val="18"/>
                <w:b w:val="1"/>
                <w:bCs w:val="1"/>
                <w:color w:val="auto"/>
              </w:rPr>
              <w:t>Periods ended January 31,</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228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2012</w:t>
            </w:r>
          </w:p>
        </w:tc>
        <w:tc>
          <w:tcPr>
            <w:tcW w:w="120" w:type="dxa"/>
            <w:vAlign w:val="bottom"/>
          </w:tcPr>
          <w:p>
            <w:pPr>
              <w:spacing w:after="0"/>
              <w:rPr>
                <w:sz w:val="20"/>
                <w:szCs w:val="20"/>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Weighted average</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shares outstanding:</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8,401,348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8,319,740</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8,424,162</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8,323,912</w:t>
            </w:r>
          </w:p>
        </w:tc>
        <w:tc>
          <w:tcPr>
            <w:tcW w:w="120" w:type="dxa"/>
            <w:vAlign w:val="bottom"/>
            <w:shd w:val="clear" w:color="auto" w:fill="CCEEFF"/>
          </w:tcPr>
          <w:p>
            <w:pPr>
              <w:spacing w:after="0"/>
              <w:rPr>
                <w:sz w:val="18"/>
                <w:szCs w:val="18"/>
                <w:color w:val="auto"/>
              </w:rPr>
            </w:pPr>
          </w:p>
        </w:tc>
      </w:tr>
      <w:tr>
        <w:trPr>
          <w:trHeight w:val="202"/>
        </w:trPr>
        <w:tc>
          <w:tcPr>
            <w:tcW w:w="2280" w:type="dxa"/>
            <w:vAlign w:val="bottom"/>
          </w:tcPr>
          <w:p>
            <w:pPr>
              <w:ind w:left="160"/>
              <w:spacing w:after="0" w:line="201" w:lineRule="exact"/>
              <w:rPr>
                <w:sz w:val="20"/>
                <w:szCs w:val="20"/>
                <w:color w:val="auto"/>
              </w:rPr>
            </w:pPr>
            <w:r>
              <w:rPr>
                <w:rFonts w:ascii="Arial" w:cs="Arial" w:eastAsia="Arial" w:hAnsi="Arial"/>
                <w:sz w:val="18"/>
                <w:szCs w:val="18"/>
                <w:color w:val="auto"/>
              </w:rPr>
              <w:t>Effect of dilutive</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182,268</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217,851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179,612</w:t>
            </w:r>
          </w:p>
        </w:tc>
        <w:tc>
          <w:tcPr>
            <w:tcW w:w="4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184,385</w:t>
            </w:r>
          </w:p>
        </w:tc>
      </w:tr>
      <w:tr>
        <w:trPr>
          <w:trHeight w:val="27"/>
        </w:trPr>
        <w:tc>
          <w:tcPr>
            <w:tcW w:w="228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8,583,616</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8,537,591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8,603,774</w:t>
            </w: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8,508,297</w:t>
            </w:r>
          </w:p>
        </w:tc>
        <w:tc>
          <w:tcPr>
            <w:tcW w:w="120" w:type="dxa"/>
            <w:vAlign w:val="bottom"/>
            <w:shd w:val="clear" w:color="auto" w:fill="CCEEFF"/>
          </w:tcPr>
          <w:p>
            <w:pPr>
              <w:spacing w:after="0"/>
              <w:rPr>
                <w:sz w:val="20"/>
                <w:szCs w:val="20"/>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computation of diluted earnings per share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200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b w:val="1"/>
                <w:bCs w:val="1"/>
                <w:color w:val="auto"/>
                <w:w w:val="91"/>
              </w:rPr>
              <w:t>Nine months</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2"/>
              </w:rPr>
              <w:t>Three months</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40" w:type="dxa"/>
            <w:vAlign w:val="bottom"/>
            <w:gridSpan w:val="5"/>
          </w:tcPr>
          <w:p>
            <w:pPr>
              <w:ind w:left="60"/>
              <w:spacing w:after="0" w:line="198" w:lineRule="exact"/>
              <w:rPr>
                <w:sz w:val="20"/>
                <w:szCs w:val="20"/>
                <w:color w:val="auto"/>
              </w:rPr>
            </w:pPr>
            <w:r>
              <w:rPr>
                <w:rFonts w:ascii="Arial" w:cs="Arial" w:eastAsia="Arial" w:hAnsi="Arial"/>
                <w:sz w:val="18"/>
                <w:szCs w:val="18"/>
                <w:b w:val="1"/>
                <w:bCs w:val="1"/>
                <w:color w:val="auto"/>
              </w:rPr>
              <w:t>Periods ended January 31,</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228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2012</w:t>
            </w:r>
          </w:p>
        </w:tc>
        <w:tc>
          <w:tcPr>
            <w:tcW w:w="120" w:type="dxa"/>
            <w:vAlign w:val="bottom"/>
          </w:tcPr>
          <w:p>
            <w:pPr>
              <w:spacing w:after="0"/>
              <w:rPr>
                <w:sz w:val="20"/>
                <w:szCs w:val="20"/>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Outstanding options</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and SARS excluded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942,375</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733,375</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942,375</w:t>
            </w:r>
          </w:p>
        </w:tc>
        <w:tc>
          <w:tcPr>
            <w:tcW w:w="4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746,375</w:t>
            </w:r>
          </w:p>
        </w:tc>
      </w:tr>
      <w:tr>
        <w:trPr>
          <w:trHeight w:val="27"/>
        </w:trPr>
        <w:tc>
          <w:tcPr>
            <w:tcW w:w="228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COSTS AND ESTIMATED EARNINGS IN EXCESS OF BILLINGS, NET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January 31, 2013 and April 30, 2012, costs and estimated earnings in excess of billings, net, consist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January 31, 2013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April 30, 2012</w:t>
            </w:r>
          </w:p>
        </w:tc>
        <w:tc>
          <w:tcPr>
            <w:tcW w:w="120" w:type="dxa"/>
            <w:vAlign w:val="bottom"/>
          </w:tcPr>
          <w:p>
            <w:pPr>
              <w:spacing w:after="0"/>
              <w:rPr>
                <w:sz w:val="20"/>
                <w:szCs w:val="20"/>
                <w:color w:val="auto"/>
              </w:rPr>
            </w:pPr>
          </w:p>
        </w:tc>
      </w:tr>
      <w:tr>
        <w:trPr>
          <w:trHeight w:val="216"/>
        </w:trPr>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4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(2,479)</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(2,345)</w:t>
            </w:r>
          </w:p>
        </w:tc>
      </w:tr>
      <w:tr>
        <w:trPr>
          <w:trHeight w:val="27"/>
        </w:trPr>
        <w:tc>
          <w:tcPr>
            <w:tcW w:w="4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asset</w:t>
            </w: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7,207</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During the nine and three months ended January 31, 2013, percentage of completion revenue was approximately $25.9 million and $8.9 million, respectively. During the nine and three months ended January 31, 2012, percentage of completion revenue was approximately $26.9 million and $9.0 million, respectively.</w:t>
      </w:r>
    </w:p>
    <w:p>
      <w:pPr>
        <w:sectPr>
          <w:pgSz w:w="11900" w:h="16838" w:orient="portrait"/>
          <w:cols w:equalWidth="0" w:num="1">
            <w:col w:w="11420"/>
          </w:cols>
          <w:pgMar w:left="240" w:top="121" w:right="2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TREASURY STOCK TRANSACTIONS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nine month period ended January 31, 2013, the Company made a contribution of 39,091 shares of its common stock held in treasury to the Company’s profit sharing plan and trust under section 401(k) of the Internal Revenue Code. Such contribution is in accordance with the Company’s discretionary match of employee voluntary contributions to this plan. During the same period, the Company issued 29,142 shares from treasury upon the exercise of stock options and SARS by certain employees.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INVENTORIES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which are reported at the lower of cost or market, consist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January 31, 2013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April 30, 2012</w:t>
            </w:r>
          </w:p>
        </w:tc>
        <w:tc>
          <w:tcPr>
            <w:tcW w:w="120" w:type="dxa"/>
            <w:vAlign w:val="bottom"/>
          </w:tcPr>
          <w:p>
            <w:pPr>
              <w:spacing w:after="0"/>
              <w:rPr>
                <w:sz w:val="20"/>
                <w:szCs w:val="20"/>
                <w:color w:val="auto"/>
              </w:rPr>
            </w:pPr>
          </w:p>
        </w:tc>
      </w:tr>
      <w:tr>
        <w:trPr>
          <w:trHeight w:val="216"/>
        </w:trPr>
        <w:tc>
          <w:tcPr>
            <w:tcW w:w="5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600" w:type="dxa"/>
            <w:vAlign w:val="bottom"/>
            <w:gridSpan w:val="3"/>
          </w:tcPr>
          <w:p>
            <w:pPr>
              <w:jc w:val="right"/>
              <w:ind w:right="870"/>
              <w:spacing w:after="0"/>
              <w:rPr>
                <w:sz w:val="20"/>
                <w:szCs w:val="20"/>
                <w:color w:val="auto"/>
              </w:rPr>
            </w:pPr>
            <w:r>
              <w:rPr>
                <w:rFonts w:ascii="Arial" w:cs="Arial" w:eastAsia="Arial" w:hAnsi="Arial"/>
                <w:sz w:val="17"/>
                <w:szCs w:val="17"/>
                <w:color w:val="auto"/>
                <w:w w:val="73"/>
              </w:rPr>
              <w:t>thousands)</w:t>
            </w:r>
          </w:p>
        </w:tc>
        <w:tc>
          <w:tcPr>
            <w:tcW w:w="1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15,813</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Work in Progress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15,762</w:t>
            </w:r>
          </w:p>
        </w:tc>
      </w:tr>
      <w:tr>
        <w:trPr>
          <w:trHeight w:val="22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54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37,756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34,299</w:t>
            </w:r>
          </w:p>
        </w:tc>
      </w:tr>
      <w:tr>
        <w:trPr>
          <w:trHeight w:val="21"/>
        </w:trPr>
        <w:tc>
          <w:tcPr>
            <w:tcW w:w="5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As of January 31, 2013 and April 30, 2012, approximately $25.9 million and $25.5 million, respectively, of total inventory is located in the United States, approximately $11.2 million and $8.2 million, respectively, is located in Belgium and $0.7 million and $0.6 million, respectively, is located in China.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SEGMENT INFORMATION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52" w:lineRule="exact"/>
        <w:rPr>
          <w:sz w:val="20"/>
          <w:szCs w:val="20"/>
          <w:color w:val="auto"/>
        </w:rPr>
      </w:pPr>
    </w:p>
    <w:p>
      <w:pPr>
        <w:jc w:val="both"/>
        <w:ind w:left="1140" w:hanging="297"/>
        <w:spacing w:after="0" w:line="256"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1140" w:hanging="297"/>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jc w:val="both"/>
        <w:ind w:left="1140" w:hanging="297"/>
        <w:spacing w:after="0" w:line="302"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8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FEI-NY segment also includes the operations of the Company’s wholly-owned subsidiaries, FEI-Elcom Tech (“FEI-Elcom”) and FEI-Asia. FEI-Asia functions primarily as a manufacturing facility for the Company’s commercial product subsidiaries with minimal sales to outside customers. FEI-Elcom, in addition to its own product line, provides design and technical support for the FEI-NY segment’s satellite business.</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 users. Consequently, the Company determined that the segments indicated above most appropriately reflect the way the Company’s management views the business.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table below presents information about reported segments with reconciliation of segment amounts to consolidated amounts as reported in the statements of income or the balance sheet for each of the periods. The January 31, 2012 amounts do not include FEI-Elcom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80" w:type="dxa"/>
            <w:vAlign w:val="bottom"/>
            <w:gridSpan w:val="6"/>
          </w:tcPr>
          <w:p>
            <w:pPr>
              <w:jc w:val="right"/>
              <w:ind w:right="580"/>
              <w:spacing w:after="0" w:line="198" w:lineRule="exact"/>
              <w:rPr>
                <w:sz w:val="20"/>
                <w:szCs w:val="20"/>
                <w:color w:val="auto"/>
              </w:rPr>
            </w:pPr>
            <w:r>
              <w:rPr>
                <w:rFonts w:ascii="Arial" w:cs="Arial" w:eastAsia="Arial" w:hAnsi="Arial"/>
                <w:sz w:val="18"/>
                <w:szCs w:val="18"/>
                <w:b w:val="1"/>
                <w:bCs w:val="1"/>
                <w:color w:val="auto"/>
                <w:w w:val="91"/>
              </w:rPr>
              <w:t>Periods ended January 31,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2012</w:t>
            </w:r>
          </w:p>
        </w:tc>
        <w:tc>
          <w:tcPr>
            <w:tcW w:w="120" w:type="dxa"/>
            <w:vAlign w:val="bottom"/>
          </w:tcPr>
          <w:p>
            <w:pPr>
              <w:spacing w:after="0"/>
              <w:rPr>
                <w:sz w:val="20"/>
                <w:szCs w:val="20"/>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38,211</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33,050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14,076</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11,075</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Gillam-FEI</w:t>
            </w: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6,431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3,370</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FEI-Zyfer</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8,742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2,001</w:t>
            </w:r>
          </w:p>
        </w:tc>
      </w:tr>
      <w:tr>
        <w:trPr>
          <w:trHeight w:val="202"/>
        </w:trPr>
        <w:tc>
          <w:tcPr>
            <w:tcW w:w="20" w:type="dxa"/>
            <w:vAlign w:val="bottom"/>
          </w:tcPr>
          <w:p>
            <w:pPr>
              <w:spacing w:after="0"/>
              <w:rPr>
                <w:sz w:val="17"/>
                <w:szCs w:val="17"/>
                <w:color w:val="auto"/>
              </w:rPr>
            </w:pPr>
          </w:p>
        </w:tc>
        <w:tc>
          <w:tcPr>
            <w:tcW w:w="2260" w:type="dxa"/>
            <w:vAlign w:val="bottom"/>
          </w:tcPr>
          <w:p>
            <w:pPr>
              <w:spacing w:after="0" w:line="201" w:lineRule="exact"/>
              <w:rPr>
                <w:sz w:val="20"/>
                <w:szCs w:val="20"/>
                <w:color w:val="auto"/>
              </w:rPr>
            </w:pPr>
            <w:r>
              <w:rPr>
                <w:rFonts w:ascii="Arial" w:cs="Arial" w:eastAsia="Arial" w:hAnsi="Arial"/>
                <w:sz w:val="18"/>
                <w:szCs w:val="18"/>
                <w:color w:val="auto"/>
              </w:rPr>
              <w:t>less intersegment</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22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(1,993)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(2,235)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(906)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(998)</w:t>
            </w: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Consolidated</w:t>
            </w: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71"/>
        </w:trPr>
        <w:tc>
          <w:tcPr>
            <w:tcW w:w="20" w:type="dxa"/>
            <w:vAlign w:val="bottom"/>
          </w:tcPr>
          <w:p>
            <w:pPr>
              <w:spacing w:after="0"/>
              <w:rPr>
                <w:sz w:val="23"/>
                <w:szCs w:val="23"/>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51,391</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46,442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17,137</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15,448</w:t>
            </w:r>
          </w:p>
        </w:tc>
      </w:tr>
      <w:tr>
        <w:trPr>
          <w:trHeight w:val="195"/>
        </w:trPr>
        <w:tc>
          <w:tcPr>
            <w:tcW w:w="20" w:type="dxa"/>
            <w:vAlign w:val="bottom"/>
          </w:tcPr>
          <w:p>
            <w:pPr>
              <w:spacing w:after="0"/>
              <w:rPr>
                <w:sz w:val="16"/>
                <w:szCs w:val="16"/>
                <w:color w:val="auto"/>
              </w:rPr>
            </w:pPr>
          </w:p>
        </w:tc>
        <w:tc>
          <w:tcPr>
            <w:tcW w:w="226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(loss):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5,178</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6,404</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2,205</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2,348</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Gillam-FEI</w:t>
            </w: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FEI-Zyfer</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w:t>
            </w:r>
          </w:p>
        </w:tc>
      </w:tr>
      <w:tr>
        <w:trPr>
          <w:trHeight w:val="223"/>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Consolidated</w:t>
            </w: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4,849</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1,750</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1,943</w:t>
            </w: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January 31, 2013</w:t>
            </w:r>
          </w:p>
        </w:tc>
        <w:tc>
          <w:tcPr>
            <w:tcW w:w="1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April 30, 2012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Identifiable assets:</w:t>
            </w: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FEI-NY (approximately $3.6 million in China)</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50,234</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Gillam-FEI (all in Belgium or France)</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20,407</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FEI-Zyfer</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9,685</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less intersegment balances</w:t>
            </w:r>
          </w:p>
        </w:tc>
        <w:tc>
          <w:tcPr>
            <w:tcW w:w="4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(15,157)</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(16,424)</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42,325</w:t>
            </w:r>
          </w:p>
        </w:tc>
      </w:tr>
      <w:tr>
        <w:trPr>
          <w:trHeight w:val="27"/>
        </w:trPr>
        <w:tc>
          <w:tcPr>
            <w:tcW w:w="54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Consolidated identifiable assets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108,280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106,227</w:t>
            </w:r>
          </w:p>
        </w:tc>
      </w:tr>
      <w:tr>
        <w:trPr>
          <w:trHeight w:val="21"/>
        </w:trPr>
        <w:tc>
          <w:tcPr>
            <w:tcW w:w="5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INVESTMENT IN MORION, INC.</w:t>
      </w:r>
    </w:p>
    <w:p>
      <w:pPr>
        <w:spacing w:after="0" w:line="256"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The Company has an investment in Morion, Inc.,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investment in affiliates in the accompanying balance sheets.</w:t>
      </w:r>
    </w:p>
    <w:p>
      <w:pPr>
        <w:spacing w:after="0" w:line="193"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During the nine months ended January 31, 2013 and 2012, the Company acquired product from Morion in the aggregate amount of approximately $42,000 and $169,000, respectively, and the Company sold product to Morion in the aggregate amount of approximately $200,000 and $1.1 million, respectively. During the three months ended January 31, 2013 and 2012, the Company acquired product from Morion in the aggregate amount of approximately $23,000 and $24,000, respectively, and the Company sold product to Morion in the aggregate amount of approximately $103,000 and $63,000, respectively. At January 31, 2013, no amounts were payable to Morion and accounts receivable from Morion was approximately $92,000.</w:t>
      </w:r>
    </w:p>
    <w:p>
      <w:pPr>
        <w:spacing w:after="0" w:line="18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On October 22, 2012, the Company entered into an agreement to license its rubidium oscillator production technology to Morion. The agreement requires the Company to sell certain fully-depreciated production equipment currently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 In November 2012, Morion paid the Company a $925,000 deposit under this agreement. This amount is considered deferred revenue and is included in accrued liabilities on the accompanying condensed consolidated balance sheet. The United States Department of State has approved the technology transfer which is expected to be completed within a year from the date of the agreement.</w:t>
      </w:r>
    </w:p>
    <w:p>
      <w:pPr>
        <w:sectPr>
          <w:pgSz w:w="11900" w:h="16838" w:orient="portrait"/>
          <w:cols w:equalWidth="0" w:num="1">
            <w:col w:w="11420"/>
          </w:cols>
          <w:pgMar w:left="240" w:top="121"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ACQUISITION OF ELCOM TECHNOLOGIES, INC.</w:t>
      </w:r>
    </w:p>
    <w:p>
      <w:pPr>
        <w:spacing w:after="0" w:line="256"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On February 21, 2012, the Company purchased 74.88% of the capital stock of Elcom Technologies, Inc. (“Elcom” and after the acquisition “FEI-Elcom”). Prior to the acquisition, the Company had a minority ownership interest of 25.12% of the capital stock of Elcom. After the acquisition, the Company owned 100% and changed the subsidiary’s name to FEI-Elcom Tech, Inc. The Company acquired Elcom as, in addition to its own product line, Elcom provides design and technical support for the Company’s satellite business, which accounts for a significant amount of the Company’s consolidated revenue. For the acquisition, the Company paid approximately $4.1 million to the shareholders for their shares of common stock and an additional $910,000 to certain selling shareholders to settle their outstanding debt with Elcom. In addition the Company had notes due from Elcom with a fair value of approximately $1.7 million which was forgiven as an additional investment in Elcom. Based on the amounts paid to the Elcom shareholders, the Company determined that the fair value of Elcom at the date of acquisition was approximately $7.9 million. The Company’s determination of the fair value of Elcom at the date of acquisition included an adjustment for a control premium of 15% based on the total value at the date of acquisition.</w:t>
      </w:r>
    </w:p>
    <w:p>
      <w:pPr>
        <w:spacing w:after="0" w:line="19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fair value of Elcom at the date of the transaction was allocated to $4.6 million of net tangible assets, deferred taxes of $2.6 million, and approximately $700,000 of intangible assets, including goodwill of approximately $400,000. None of the goodwill is expected to be deductible for income tax purposes.</w:t>
      </w:r>
    </w:p>
    <w:p>
      <w:pPr>
        <w:spacing w:after="0" w:line="20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FEI-Elcom transaction was accounted for as a “step acquisition” in accordance with generally accepted accounting principles. Accordingly, the Company remeasured its previously held equity interest in Elcom and adjusted it to fair value. The difference between the fair value of the Company’s ownership in Elcom and the Company’s carrying value of its investment resulted in the recognition of a gain of approximately $730,000 at the date of the acquisition during the fourth quarter of fiscal year 2012.</w:t>
      </w:r>
    </w:p>
    <w:p>
      <w:pPr>
        <w:spacing w:after="0" w:line="21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Prior to the acquisition of Elcom, the Company recorded its share of Elcom’s income or loss on the equity method. In addition, periodically the Company measured the market value of Elcom based on comparisons to comparable companies as well as Elcom’s forecasts of future financial results. During the nine and three months ended January 31, 2012, in addition to its equity share in the income or loss of Elcom during the year, the Company determined that its investment was impaired and the collectibility of the notes receivable may be reduced. Accordingly, the Company recorded an investment impairment charge in the amount $200,000 and an additional $150,000 allowance against the notes receivable.</w:t>
      </w:r>
    </w:p>
    <w:p>
      <w:pPr>
        <w:spacing w:after="0" w:line="20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nine and three months ended January 31, 2012, prior to the acquisition of Elcom, the Company sold product to Elcom in the amount of $4,000 and acquired technical services from Elcom in the aggregate amount of approximately $16,000 and zero, respectively, and recorded interest income on notes to Elcom in the amount of approximately $75,000 and $32,000, respectively.</w:t>
      </w:r>
    </w:p>
    <w:p>
      <w:pPr>
        <w:spacing w:after="0" w:line="20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accompanying consolidated statements of income for the nine and three months ended January 31, 2013 include the results of operations of FEI-Elcom. The pro forma financial information set forth below is based upon the Company’s historical consolidated statements of income for the nine and three months ended January 31, 2012, adjusted to give effect to the acquisition of FEI-Elcom as if it had occurred at the beginning of the fiscal year. The financial information includes the results of operations of FEI-Elcom for the nine month period from April 1, 2011 to December 31, 2011 and for the three month period from October 1, 2011 to December 31, 2011.</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pro forma financial information is presented for informational purposes only and may not be indicative of what actual results of operations would have been had the acquisition occurred on May 1, 2011, nor does it purport to represent the results of operations for future periods. The pro forma results of operations do not include the gain on the Company’s original investment of $730,000 or the impairment of the Company’s investment in Elcom during fiscal year 2012.</w:t>
      </w:r>
    </w:p>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1"/>
              </w:rPr>
              <w:t>Pro forma</w:t>
            </w:r>
          </w:p>
        </w:tc>
      </w:tr>
      <w:tr>
        <w:trPr>
          <w:trHeight w:val="216"/>
        </w:trPr>
        <w:tc>
          <w:tcPr>
            <w:tcW w:w="3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1"/>
              </w:rPr>
              <w:t>(unaudited)</w:t>
            </w:r>
          </w:p>
        </w:tc>
      </w:tr>
      <w:tr>
        <w:trPr>
          <w:trHeight w:val="241"/>
        </w:trPr>
        <w:tc>
          <w:tcPr>
            <w:tcW w:w="37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Nine months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w:t>
            </w:r>
          </w:p>
        </w:tc>
        <w:tc>
          <w:tcPr>
            <w:tcW w:w="120" w:type="dxa"/>
            <w:vAlign w:val="bottom"/>
          </w:tcPr>
          <w:p>
            <w:pPr>
              <w:spacing w:after="0"/>
              <w:rPr>
                <w:sz w:val="20"/>
                <w:szCs w:val="20"/>
                <w:color w:val="auto"/>
              </w:rPr>
            </w:pPr>
          </w:p>
        </w:tc>
      </w:tr>
      <w:tr>
        <w:trPr>
          <w:trHeight w:val="223"/>
        </w:trPr>
        <w:tc>
          <w:tcPr>
            <w:tcW w:w="3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Periods ended</w:t>
            </w: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January 31, 2012</w:t>
            </w:r>
          </w:p>
        </w:tc>
        <w:tc>
          <w:tcPr>
            <w:tcW w:w="120" w:type="dxa"/>
            <w:vAlign w:val="bottom"/>
          </w:tcPr>
          <w:p>
            <w:pPr>
              <w:spacing w:after="0"/>
              <w:rPr>
                <w:sz w:val="19"/>
                <w:szCs w:val="19"/>
                <w:color w:val="auto"/>
              </w:rPr>
            </w:pPr>
          </w:p>
        </w:tc>
      </w:tr>
      <w:tr>
        <w:trPr>
          <w:trHeight w:val="216"/>
        </w:trPr>
        <w:tc>
          <w:tcPr>
            <w:tcW w:w="3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thousands except per share data)</w:t>
            </w:r>
          </w:p>
        </w:tc>
        <w:tc>
          <w:tcPr>
            <w:tcW w:w="12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17,462</w:t>
            </w:r>
          </w:p>
        </w:tc>
      </w:tr>
      <w:tr>
        <w:trPr>
          <w:trHeight w:val="27"/>
        </w:trPr>
        <w:tc>
          <w:tcPr>
            <w:tcW w:w="37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Operating profit</w:t>
            </w:r>
          </w:p>
        </w:tc>
        <w:tc>
          <w:tcPr>
            <w:tcW w:w="1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4,058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984</w:t>
            </w:r>
          </w:p>
        </w:tc>
      </w:tr>
      <w:tr>
        <w:trPr>
          <w:trHeight w:val="27"/>
        </w:trPr>
        <w:tc>
          <w:tcPr>
            <w:tcW w:w="3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r>
      <w:tr>
        <w:trPr>
          <w:trHeight w:val="20"/>
        </w:trPr>
        <w:tc>
          <w:tcPr>
            <w:tcW w:w="37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Earnings per share- basic</w:t>
            </w:r>
          </w:p>
        </w:tc>
        <w:tc>
          <w:tcPr>
            <w:tcW w:w="1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r>
      <w:tr>
        <w:trPr>
          <w:trHeight w:val="21"/>
        </w:trPr>
        <w:tc>
          <w:tcPr>
            <w:tcW w:w="3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diluted</w:t>
            </w: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r>
      <w:tr>
        <w:trPr>
          <w:trHeight w:val="20"/>
        </w:trPr>
        <w:tc>
          <w:tcPr>
            <w:tcW w:w="37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FAIR VALUE OF FINANCIAL INSTRUMENTS</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January 31, 2013 and April 30, 2012 are as follows (in thousands):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8"/>
                <w:szCs w:val="18"/>
                <w:b w:val="1"/>
                <w:bCs w:val="1"/>
                <w:color w:val="auto"/>
              </w:rPr>
              <w:t>January 31, 2013</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41"/>
        </w:trPr>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r>
      <w:tr>
        <w:trPr>
          <w:trHeight w:val="202"/>
        </w:trPr>
        <w:tc>
          <w:tcPr>
            <w:tcW w:w="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w:t>
            </w:r>
          </w:p>
        </w:tc>
        <w:tc>
          <w:tcPr>
            <w:tcW w:w="11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income</w:t>
            </w:r>
          </w:p>
        </w:tc>
        <w:tc>
          <w:tcPr>
            <w:tcW w:w="2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10,115</w:t>
            </w:r>
          </w:p>
        </w:tc>
        <w:tc>
          <w:tcPr>
            <w:tcW w:w="120" w:type="dxa"/>
            <w:vAlign w:val="bottom"/>
            <w:shd w:val="clear" w:color="auto" w:fill="CCEEFF"/>
          </w:tcPr>
          <w:p>
            <w:pPr>
              <w:spacing w:after="0"/>
              <w:rPr>
                <w:sz w:val="20"/>
                <w:szCs w:val="20"/>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6,294</w:t>
            </w:r>
          </w:p>
        </w:tc>
      </w:tr>
      <w:tr>
        <w:trPr>
          <w:trHeight w:val="27"/>
        </w:trPr>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8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15,453</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16,409</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460"/>
        </w:trPr>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8"/>
                <w:szCs w:val="18"/>
                <w:b w:val="1"/>
                <w:bCs w:val="1"/>
                <w:color w:val="auto"/>
              </w:rPr>
              <w:t>April 30, 2012</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9"/>
                <w:szCs w:val="19"/>
                <w:color w:val="auto"/>
              </w:rPr>
            </w:pPr>
          </w:p>
        </w:tc>
      </w:tr>
      <w:tr>
        <w:trPr>
          <w:trHeight w:val="216"/>
        </w:trPr>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41"/>
        </w:trPr>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120" w:type="dxa"/>
            <w:vAlign w:val="bottom"/>
            <w:shd w:val="clear" w:color="auto" w:fill="CCEEFF"/>
          </w:tcPr>
          <w:p>
            <w:pPr>
              <w:spacing w:after="0"/>
              <w:rPr>
                <w:sz w:val="18"/>
                <w:szCs w:val="18"/>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5,794</w:t>
            </w:r>
          </w:p>
        </w:tc>
      </w:tr>
      <w:tr>
        <w:trPr>
          <w:trHeight w:val="27"/>
        </w:trPr>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8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17,658</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Less than 12 months</w:t>
            </w:r>
          </w:p>
        </w:tc>
        <w:tc>
          <w:tcPr>
            <w:tcW w:w="260" w:type="dxa"/>
            <w:vAlign w:val="bottom"/>
          </w:tcPr>
          <w:p>
            <w:pPr>
              <w:spacing w:after="0"/>
              <w:rPr>
                <w:sz w:val="20"/>
                <w:szCs w:val="20"/>
                <w:color w:val="auto"/>
              </w:rPr>
            </w:pPr>
          </w:p>
        </w:tc>
        <w:tc>
          <w:tcPr>
            <w:tcW w:w="23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12 Months or more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Fair</w:t>
            </w:r>
          </w:p>
        </w:tc>
        <w:tc>
          <w:tcPr>
            <w:tcW w:w="3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6"/>
              </w:rPr>
              <w:t>Unrealized</w:t>
            </w: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6"/>
              </w:rPr>
              <w:t>Fair</w:t>
            </w:r>
          </w:p>
        </w:tc>
        <w:tc>
          <w:tcPr>
            <w:tcW w:w="10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Unrealized</w:t>
            </w:r>
          </w:p>
        </w:tc>
        <w:tc>
          <w:tcPr>
            <w:tcW w:w="1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4"/>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20"/>
                <w:szCs w:val="20"/>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Value</w:t>
            </w:r>
          </w:p>
        </w:tc>
        <w:tc>
          <w:tcPr>
            <w:tcW w:w="1060" w:type="dxa"/>
            <w:vAlign w:val="bottom"/>
          </w:tcPr>
          <w:p>
            <w:pPr>
              <w:jc w:val="right"/>
              <w:ind w:right="120"/>
              <w:spacing w:after="0"/>
              <w:rPr>
                <w:sz w:val="20"/>
                <w:szCs w:val="20"/>
                <w:color w:val="auto"/>
              </w:rPr>
            </w:pPr>
            <w:r>
              <w:rPr>
                <w:rFonts w:ascii="Arial" w:cs="Arial" w:eastAsia="Arial" w:hAnsi="Arial"/>
                <w:sz w:val="18"/>
                <w:szCs w:val="18"/>
                <w:b w:val="1"/>
                <w:bCs w:val="1"/>
                <w:color w:val="auto"/>
              </w:rPr>
              <w:t>Losses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03"/>
        </w:trPr>
        <w:tc>
          <w:tcPr>
            <w:tcW w:w="2640" w:type="dxa"/>
            <w:vAlign w:val="bottom"/>
            <w:gridSpan w:val="4"/>
          </w:tcPr>
          <w:p>
            <w:pPr>
              <w:spacing w:after="0" w:line="202" w:lineRule="exact"/>
              <w:rPr>
                <w:sz w:val="20"/>
                <w:szCs w:val="20"/>
                <w:color w:val="auto"/>
              </w:rPr>
            </w:pPr>
            <w:r>
              <w:rPr>
                <w:rFonts w:ascii="Arial" w:cs="Arial" w:eastAsia="Arial" w:hAnsi="Arial"/>
                <w:sz w:val="18"/>
                <w:szCs w:val="18"/>
                <w:color w:val="auto"/>
              </w:rPr>
              <w:t>January 31, 2013</w:t>
            </w:r>
          </w:p>
        </w:tc>
        <w:tc>
          <w:tcPr>
            <w:tcW w:w="9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0"/>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9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708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06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060" w:type="dxa"/>
            <w:vAlign w:val="bottom"/>
            <w:shd w:val="clear" w:color="auto" w:fill="CCEEFF"/>
          </w:tcPr>
          <w:p>
            <w:pPr>
              <w:jc w:val="right"/>
              <w:ind w:right="900"/>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gridSpan w:val="4"/>
          </w:tcPr>
          <w:p>
            <w:pPr>
              <w:spacing w:after="0" w:line="196" w:lineRule="exact"/>
              <w:rPr>
                <w:sz w:val="20"/>
                <w:szCs w:val="20"/>
                <w:color w:val="auto"/>
              </w:rPr>
            </w:pPr>
            <w:r>
              <w:rPr>
                <w:rFonts w:ascii="Arial" w:cs="Arial" w:eastAsia="Arial" w:hAnsi="Arial"/>
                <w:sz w:val="18"/>
                <w:szCs w:val="18"/>
                <w:color w:val="auto"/>
              </w:rPr>
              <w:t>April 30, 2012</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0"/>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9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(169)</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00"/>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January 31, 2013 are other-than-temporary due to market volatility of the security’s fair value, analysts’ expectations and the Company’s ability to hold the securities for a period of time sufficient to allow for any anticipated recoveries in market value.</w:t>
      </w:r>
    </w:p>
    <w:p>
      <w:pPr>
        <w:spacing w:after="0" w:line="21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nine and three months ended January 31, 2013, the Company sold or redeemed available-for-sale securities in the approximate amount of $2.5 million and $500,000, respectively, and realized gains of approximately $40,000 during the fiscal year 2013 periods. During the nine and three months ended January 31, 2012, the Company sold or redeemed available-for-sale securities in the approximate amount of $6.1 million and $1.0 million, respectively, and realized gains of $19,000 and $11,500, respectively. Gains or losses on marketable securities transactions are included in the determination of net income for each fiscal period.</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fixed income securities classified as available-for-sale at January 31, 2013 are as follows, at cost (in thousands):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7,497</w:t>
            </w:r>
          </w:p>
        </w:tc>
        <w:tc>
          <w:tcPr>
            <w:tcW w:w="120" w:type="dxa"/>
            <w:vAlign w:val="bottom"/>
          </w:tcPr>
          <w:p>
            <w:pPr>
              <w:spacing w:after="0"/>
              <w:rPr>
                <w:sz w:val="18"/>
                <w:szCs w:val="18"/>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9,823</w:t>
            </w:r>
          </w:p>
        </w:tc>
        <w:tc>
          <w:tcPr>
            <w:tcW w:w="120" w:type="dxa"/>
            <w:vAlign w:val="bottom"/>
          </w:tcPr>
          <w:p>
            <w:pPr>
              <w:spacing w:after="0"/>
              <w:rPr>
                <w:sz w:val="18"/>
                <w:szCs w:val="18"/>
                <w:color w:val="auto"/>
              </w:rPr>
            </w:pPr>
          </w:p>
        </w:tc>
      </w:tr>
      <w:tr>
        <w:trPr>
          <w:trHeight w:val="21"/>
        </w:trPr>
        <w:tc>
          <w:tcPr>
            <w:tcW w:w="7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93" w:lineRule="exact"/>
        <w:rPr>
          <w:sz w:val="20"/>
          <w:szCs w:val="20"/>
          <w:color w:val="auto"/>
        </w:rPr>
      </w:pPr>
    </w:p>
    <w:p>
      <w:pPr>
        <w:ind w:left="1380" w:right="20" w:hanging="971"/>
        <w:spacing w:after="0" w:line="277" w:lineRule="auto"/>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97"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8"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VALUATION ALLOWANCE ON DEFERRED TAX ASSETS</w:t>
      </w:r>
    </w:p>
    <w:p>
      <w:pPr>
        <w:spacing w:after="0" w:line="25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During fiscal years 2012 and 2011, the Company reduced the valuation allowance on the deferred tax assets of its U.S. subsidiaries. Consequently, for the nine and three months ended January 31, 2013 and 2012, the Company recorded provisions for income taxes based on both current taxes due in the United States as well as the tax provision or benefit to be realized from temporary tax differences. As of January 31, 2013 and April 30, 2012, the remaining deferred tax asset valuation allowance is approximately $1.5 million and is primarily related to deferred tax assets of the Company’s non-U.S.-based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SPECIAL DIVIDEND</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December 12, 2012, the Company’s Board of Directors declared a special cash dividend of $0.20 per share, payable on December 31, 2012 to shareholders of record on December 24, 2012.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RECENTLY ISSUED ACCOUNTING PRONOUNCEMENTS</w:t>
      </w:r>
    </w:p>
    <w:p>
      <w:pPr>
        <w:spacing w:after="0" w:line="256" w:lineRule="exact"/>
        <w:rPr>
          <w:sz w:val="20"/>
          <w:szCs w:val="20"/>
          <w:color w:val="auto"/>
        </w:rPr>
      </w:pPr>
    </w:p>
    <w:p>
      <w:pPr>
        <w:jc w:val="both"/>
        <w:ind w:right="60" w:firstLine="486"/>
        <w:spacing w:after="0" w:line="253" w:lineRule="auto"/>
        <w:rPr>
          <w:sz w:val="20"/>
          <w:szCs w:val="20"/>
          <w:color w:val="auto"/>
        </w:rPr>
      </w:pPr>
      <w:r>
        <w:rPr>
          <w:rFonts w:ascii="Arial" w:cs="Arial" w:eastAsia="Arial" w:hAnsi="Arial"/>
          <w:sz w:val="18"/>
          <w:szCs w:val="18"/>
          <w:color w:val="auto"/>
        </w:rPr>
        <w:t>In June 2011, the Financial Accounting Standards Board (“FASB”) issued Accounting Standards Update (“ASU”) No. 2011-05 “Comprehensive Income (Topic 220): Presentation of Comprehensive Income” (“ASU No. 2011-05”). Under ASU No. 2011-5, an entity has the option to present the total of comprehensive income, the components of net income, and the components of other comprehensive income either in a single continuous statement of comprehensive income or in two separate but consecutive statements. Regardless of which option is selected, an entity is required to present each component of net income along with total net income, each component of other comprehensive income along with a total for other comprehensive income, and a total amount for comprehensive income. ASU No. 2011-5 eliminates the option (previously utilized by the Company) to present the components of other comprehensive income as part of the statement of changes in stockholders’ equity. ASU No. 2011-5 was adopted by the Company at the beginning of the current fiscal year, and affects only the presentation of financial statements and has no financial impact on the Company’s Condensed Consolidated Financial Statements.</w:t>
      </w:r>
    </w:p>
    <w:p>
      <w:pPr>
        <w:spacing w:after="0" w:line="19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February 2013, the FASB issued Accounting Standard Update No. 2013-02</w:t>
      </w:r>
      <w:r>
        <w:rPr>
          <w:rFonts w:ascii="Arial" w:cs="Arial" w:eastAsia="Arial" w:hAnsi="Arial"/>
          <w:sz w:val="18"/>
          <w:szCs w:val="18"/>
          <w:i w:val="1"/>
          <w:iCs w:val="1"/>
          <w:color w:val="auto"/>
        </w:rPr>
        <w:t>, Other Comprehensive Income</w:t>
      </w:r>
      <w:r>
        <w:rPr>
          <w:rFonts w:ascii="Arial" w:cs="Arial" w:eastAsia="Arial" w:hAnsi="Arial"/>
          <w:sz w:val="18"/>
          <w:szCs w:val="18"/>
          <w:color w:val="auto"/>
        </w:rPr>
        <w:t>. The amendments require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 This ASU is effective for periods beginning after December 15, 2012. The Company does not expect adoption of ASU 2013-02 to have a material effect on its financial statements.</w:t>
      </w:r>
    </w:p>
    <w:p>
      <w:pPr>
        <w:spacing w:after="0" w:line="192" w:lineRule="exact"/>
        <w:rPr>
          <w:sz w:val="20"/>
          <w:szCs w:val="20"/>
          <w:color w:val="auto"/>
        </w:rPr>
      </w:pPr>
    </w:p>
    <w:p>
      <w:pPr>
        <w:jc w:val="both"/>
        <w:ind w:right="60" w:firstLine="486"/>
        <w:spacing w:after="0" w:line="289" w:lineRule="auto"/>
        <w:rPr>
          <w:sz w:val="20"/>
          <w:szCs w:val="20"/>
          <w:color w:val="auto"/>
        </w:rPr>
      </w:pPr>
      <w:r>
        <w:rPr>
          <w:rFonts w:ascii="Arial" w:cs="Arial" w:eastAsia="Arial" w:hAnsi="Arial"/>
          <w:sz w:val="16"/>
          <w:szCs w:val="16"/>
          <w:color w:val="auto"/>
        </w:rPr>
        <w:t xml:space="preserve">In July 2012, the FASB issued ASU No. 2012-02, </w:t>
      </w:r>
      <w:r>
        <w:rPr>
          <w:rFonts w:ascii="Arial" w:cs="Arial" w:eastAsia="Arial" w:hAnsi="Arial"/>
          <w:sz w:val="16"/>
          <w:szCs w:val="16"/>
          <w:i w:val="1"/>
          <w:iCs w:val="1"/>
          <w:color w:val="auto"/>
        </w:rPr>
        <w:t>Intangibles – Goodwill and Other (Topic 350): Test Indefinite-Lived Intangible Assets for</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w:t>
      </w:r>
      <w:r>
        <w:rPr>
          <w:rFonts w:ascii="Arial" w:cs="Arial" w:eastAsia="Arial" w:hAnsi="Arial"/>
          <w:sz w:val="16"/>
          <w:szCs w:val="16"/>
          <w:color w:val="auto"/>
        </w:rPr>
        <w:t>. Under the requirements of ASU 2012-02 an entity has the option to assess qualitative factors when testing indefinite-lived intangible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annually to determine whether it is more likely than not that the asset is not impaired. An entity also has the option to bypass the qualitative assessment for any indefinite-lived intangible asset in any period and proceed directly to performing the quantitative impairment test or resume performing the qualitative assessment in any subsequent period. If, after assessing the totality of events and circumstances, an entity concludes that it is more likely than not that the indefinite-lived intangible asset is impaired, then it is required to determine the fair value of the indefinite-lived intangible asset and perform the quantitative impairment test by comparing the fair value with the carrying amount in accordance with </w:t>
      </w:r>
      <w:r>
        <w:rPr>
          <w:rFonts w:ascii="Arial" w:cs="Arial" w:eastAsia="Arial" w:hAnsi="Arial"/>
          <w:sz w:val="16"/>
          <w:szCs w:val="16"/>
          <w:i w:val="1"/>
          <w:iCs w:val="1"/>
          <w:color w:val="auto"/>
        </w:rPr>
        <w:t>Subtopic 350-30</w:t>
      </w:r>
      <w:r>
        <w:rPr>
          <w:rFonts w:ascii="Arial" w:cs="Arial" w:eastAsia="Arial" w:hAnsi="Arial"/>
          <w:sz w:val="16"/>
          <w:szCs w:val="16"/>
          <w:color w:val="auto"/>
        </w:rPr>
        <w:t>. ASU 2012-02 is effective for annual and interim impairment tests performed for fiscal years beginning after September 15, 2012. The Company will adopt ASU 2012-02 for its fiscal year 2014 which begins on May 1, 2013. The Company is unable to determine the impact of such adoption until it performs the annual test for impairment in the next fiscal year.</w:t>
      </w:r>
    </w:p>
    <w:p>
      <w:pPr>
        <w:spacing w:after="0" w:line="163"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80"/>
          </w:cols>
          <w:pgMar w:left="240" w:top="122" w:right="1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5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April 30, 2012.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updating estimated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0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9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19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including orders for FEI-Elcom products,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and obsolete items and are based upon management’s experience and expectations for future business. Any changes arising from revised expectations are reflected in cost of sales in the period the revision is made.</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Marketable Securities</w:t>
      </w:r>
    </w:p>
    <w:p>
      <w:pPr>
        <w:spacing w:after="0" w:line="25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FEI-Elcom Acquisition</w:t>
      </w:r>
    </w:p>
    <w:p>
      <w:pPr>
        <w:spacing w:after="0" w:line="25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Fiscal year 2013 results include the results of operations of the Company’s subsidiary, FEI-Elcom Tech, Inc. (formerly Elcom Technologies, Inc. or “Elcom” and after the acquisition, “FEI-Elcom”), which was acquired during the fourth quarter of fiscal year 2012. FEI-Elcom’s operations are included in the FEI-NY segment. For the nine and three-month periods ended January 31, 2013, FEI-Elcom’s third-party revenues were approximately $6.0 million and $2.9 million, respectively. This subsidiary recorded an operating loss of approximately $750,000 for the nine month period but recorded an operating profit of approximately $130,000 for the three month period ended January 31, 2013. In the comparable nine and three-month periods of the prior fiscal year, before the acquisition, Elcom recorded revenues of approximately $6.9 million and $2.0 million, respectively, operating losses of approximately $880,000 and $620,000, respectively, and net losses of approximately $1.4 million and $900,000, respectively. In the discussion below, all amounts for the nine and three months ended January 31, 2012, do not include FEI-Elcom, with the exception of the Company’s “Other income (expenses)” which includes $451,000 and $335,000, respectively, of equity losses from its minority interest in Elcom at that time. The nine-month period also includes $350,000 of impairment charges against the Company’s investment in Elcom and certain notes receivable from Elcom.</w:t>
      </w:r>
    </w:p>
    <w:p>
      <w:pPr>
        <w:spacing w:after="0" w:line="20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2013 and 2012 (which end on April 30, 2013 and 2012, respectively) the percentage of consolidated revenues represented by certain items in the Company’s consolidated statements of income: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2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1"/>
              </w:rPr>
              <w:t>Nine months</w:t>
            </w:r>
          </w:p>
        </w:tc>
        <w:tc>
          <w:tcPr>
            <w:tcW w:w="9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2"/>
              </w:rPr>
              <w:t>Three months</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80" w:type="dxa"/>
            <w:vAlign w:val="bottom"/>
            <w:gridSpan w:val="5"/>
          </w:tcPr>
          <w:p>
            <w:pPr>
              <w:ind w:left="60"/>
              <w:spacing w:after="0" w:line="198" w:lineRule="exact"/>
              <w:rPr>
                <w:sz w:val="20"/>
                <w:szCs w:val="20"/>
                <w:color w:val="auto"/>
              </w:rPr>
            </w:pPr>
            <w:r>
              <w:rPr>
                <w:rFonts w:ascii="Arial" w:cs="Arial" w:eastAsia="Arial" w:hAnsi="Arial"/>
                <w:sz w:val="18"/>
                <w:szCs w:val="18"/>
                <w:b w:val="1"/>
                <w:bCs w:val="1"/>
                <w:color w:val="auto"/>
              </w:rPr>
              <w:t>Periods ended January 31,</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2012</w:t>
            </w:r>
          </w:p>
        </w:tc>
        <w:tc>
          <w:tcPr>
            <w:tcW w:w="160" w:type="dxa"/>
            <w:vAlign w:val="bottom"/>
          </w:tcPr>
          <w:p>
            <w:pPr>
              <w:spacing w:after="0"/>
              <w:rPr>
                <w:sz w:val="20"/>
                <w:szCs w:val="20"/>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w:t>
            </w: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c>
          <w:tcPr>
            <w:tcW w:w="4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15.2</w:t>
            </w:r>
          </w:p>
        </w:tc>
        <w:tc>
          <w:tcPr>
            <w:tcW w:w="136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r>
      <w:tr>
        <w:trPr>
          <w:trHeight w:val="223"/>
        </w:trPr>
        <w:tc>
          <w:tcPr>
            <w:tcW w:w="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Less intersegment revenues</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Cost of revenues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6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39.8</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21.2</w:t>
            </w:r>
          </w:p>
        </w:tc>
        <w:tc>
          <w:tcPr>
            <w:tcW w:w="4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21.5</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22.7</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80"/>
              <w:spacing w:after="0"/>
              <w:rPr>
                <w:sz w:val="20"/>
                <w:szCs w:val="20"/>
                <w:color w:val="auto"/>
              </w:rPr>
            </w:pPr>
            <w:r>
              <w:rPr>
                <w:rFonts w:ascii="Arial" w:cs="Arial" w:eastAsia="Arial" w:hAnsi="Arial"/>
                <w:sz w:val="18"/>
                <w:szCs w:val="18"/>
                <w:color w:val="auto"/>
              </w:rPr>
              <w:t>Operating Profit</w:t>
            </w:r>
          </w:p>
        </w:tc>
        <w:tc>
          <w:tcPr>
            <w:tcW w:w="134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r>
      <w:tr>
        <w:trPr>
          <w:trHeight w:val="223"/>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50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Pretax Income</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top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1"/>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 All dollar amounts in the following tables are in thousands. Dollar amounts in the narratives are in approximate actual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7"/>
        </w:trPr>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Three months</w:t>
            </w:r>
          </w:p>
        </w:tc>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60" w:type="dxa"/>
            <w:vAlign w:val="bottom"/>
            <w:gridSpan w:val="7"/>
          </w:tcPr>
          <w:p>
            <w:pPr>
              <w:jc w:val="right"/>
              <w:ind w:right="160"/>
              <w:spacing w:after="0" w:line="198" w:lineRule="exact"/>
              <w:rPr>
                <w:sz w:val="20"/>
                <w:szCs w:val="20"/>
                <w:color w:val="auto"/>
              </w:rPr>
            </w:pPr>
            <w:r>
              <w:rPr>
                <w:rFonts w:ascii="Arial" w:cs="Arial" w:eastAsia="Arial" w:hAnsi="Arial"/>
                <w:sz w:val="18"/>
                <w:szCs w:val="18"/>
                <w:b w:val="1"/>
                <w:bCs w:val="1"/>
                <w:color w:val="auto"/>
              </w:rPr>
              <w:t>Periods ended January 31,</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Segment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Change</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33,050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5,161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14,076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3,001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Gillam-FEI</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6,431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7,039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570"/>
              <w:spacing w:after="0"/>
              <w:rPr>
                <w:sz w:val="20"/>
                <w:szCs w:val="20"/>
                <w:color w:val="auto"/>
              </w:rPr>
            </w:pPr>
            <w:r>
              <w:rPr>
                <w:rFonts w:ascii="Arial" w:cs="Arial" w:eastAsia="Arial" w:hAnsi="Arial"/>
                <w:sz w:val="18"/>
                <w:szCs w:val="18"/>
                <w:color w:val="auto"/>
              </w:rPr>
              <w:t>(608)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1,913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(1,457)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FEI-Zyfer</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8,742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154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(1,993)</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(2,235)</w:t>
            </w:r>
          </w:p>
        </w:tc>
        <w:tc>
          <w:tcPr>
            <w:tcW w:w="440" w:type="dxa"/>
            <w:vAlign w:val="bottom"/>
          </w:tcPr>
          <w:p>
            <w:pPr>
              <w:spacing w:after="0"/>
              <w:rPr>
                <w:sz w:val="18"/>
                <w:szCs w:val="18"/>
                <w:color w:val="auto"/>
              </w:rPr>
            </w:pPr>
          </w:p>
        </w:tc>
        <w:tc>
          <w:tcPr>
            <w:tcW w:w="1200" w:type="dxa"/>
            <w:vAlign w:val="bottom"/>
            <w:gridSpan w:val="2"/>
          </w:tcPr>
          <w:p>
            <w:pPr>
              <w:jc w:val="right"/>
              <w:ind w:right="630"/>
              <w:spacing w:after="0"/>
              <w:rPr>
                <w:sz w:val="20"/>
                <w:szCs w:val="20"/>
                <w:color w:val="auto"/>
              </w:rPr>
            </w:pPr>
            <w:r>
              <w:rPr>
                <w:rFonts w:ascii="Arial" w:cs="Arial" w:eastAsia="Arial" w:hAnsi="Arial"/>
                <w:sz w:val="18"/>
                <w:szCs w:val="18"/>
                <w:color w:val="auto"/>
              </w:rPr>
              <w:t>242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(906)</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(998)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92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46,442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4,949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17,137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15,448</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1,689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For the nine and three months ended January 31, 2013, revenues from FEI-Elcom, acquired by the Company in late fiscal year 2012, are included in the revenues of the FEI-NY segment. For the nine and three months ended January 31, 2013, FEI-NY revenues from commercial and U.S. Government satellite programs increased 10% over the same periods in the prior year. Revenues from these programs for the nine-month period ended January 31, 2013 accounted for approximately 50% of consolidated sales, approximately the same ratio as the same nine-month period of fiscal year 2012. Revenues on these long-term contracts are recognized primarily under the percentage of completion method. For the nine-month period ended January 31, 2013, sales from the U.S. Government/DOD business area, which accounted for more than 25% of consolidated revenues, increased by 40% over revenues for the same period of fiscal year 2012 due primarily to the FEI-Elcom acquisition. For the nine and three months ended January 31, 2013, total revenues from both satellite and non-space programs for which the U.S. Government is the end-user accounted for approximately 60% and 70%, respectively, of consolidated revenues. Such revenues are recorded in the FEI-NY (including FEI-Elcom) and FEI-Zyfer segments. For the nine-months ended January 31, 2013, network infrastructure sales, which are recorded in all three segments, grew approximately 10% year over year and accounted for approximately 20% of consolidated revenues, similar to revenues from this market during the same period of the prior fiscal year. For the first nine months of fiscal year 2013, sales to other industrial and commercial customers not included in the Company’s major market areas, as discussed above, declined by approximately 35% from the same nine-month period of fiscal year 2012.</w:t>
      </w:r>
    </w:p>
    <w:p>
      <w:pPr>
        <w:spacing w:after="0" w:line="21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For the nine and three months ended January 31, 2012, consolidated revenues increased 25% and 22%, respectively, compared to the same periods of fiscal year 2011, primarily due to increased revenues from the FEI-NY segment’s satellite payload programs. In the fiscal year 2012 periods, revenues from commercial and U.S. Government satellite programs accounted for approximately half of consolidated revenues compared to approximately 30% during the same periods of fiscal year 2011. Revenues on these long-term contracts are recognized primarily under the percentage of completion method. Increased network infrastructure revenues generated by the FEI-Zyfer segment were offset by declines in that business area in the Gillam-FEI segment and lower wireless infrastructure sales in the FEI-NY segment. Network infrastructure revenues were less than 20% of consolidated revenues for the nine months ended January 31, 2012 compared to approximately 25% for the same period of fiscal year 2011. In the fiscal year 2012 periods, revenues from the U.S. Government/DOD business area, which are recorded in the FEI-NY and FEI-Zyfer segments, were approximately 20% of consolidated revenues compared to more than 25% for the same periods of fiscal year 2011. The lower ratio of U.S. Government/DOD revenues to consolidated revenues in the fiscal year 2012 periods is due mostly to higher satellite payload revenues in the fiscal year 2012 periods compared to the same periods of fiscal year 2011.</w:t>
      </w:r>
    </w:p>
    <w:p>
      <w:pPr>
        <w:spacing w:after="0" w:line="19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Based on the Company’s current backlog, three-fourths of which represent satellite payload business, the potential for additional new orders, as well as the Company’s acquisition of FEI-Elcom in late fiscal year 2012, revenues for the full fiscal year 2013 are expected to exceed revenues recorded in the prior fiscal year. Satellite payload revenues will remain the dominant portion of the Company’s business but revenues from the other major business areas, U.S. Government/DOD non-space and network infrastructure, are also expected to increase over fiscal year 2012 levels.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gridSpan w:val="4"/>
          </w:tcPr>
          <w:p>
            <w:pPr>
              <w:spacing w:after="0"/>
              <w:rPr>
                <w:sz w:val="20"/>
                <w:szCs w:val="20"/>
                <w:color w:val="auto"/>
              </w:rPr>
            </w:pPr>
            <w:r>
              <w:rPr>
                <w:rFonts w:ascii="Arial" w:cs="Arial" w:eastAsia="Arial" w:hAnsi="Arial"/>
                <w:sz w:val="18"/>
                <w:szCs w:val="18"/>
                <w:b w:val="1"/>
                <w:bCs w:val="1"/>
                <w:color w:val="auto"/>
              </w:rPr>
              <w:t>Gross margin</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87"/>
        </w:trPr>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Nine months</w:t>
            </w: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Three months</w:t>
            </w: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6"/>
          </w:tcPr>
          <w:p>
            <w:pPr>
              <w:jc w:val="right"/>
              <w:ind w:right="120"/>
              <w:spacing w:after="0" w:line="198" w:lineRule="exact"/>
              <w:rPr>
                <w:sz w:val="20"/>
                <w:szCs w:val="20"/>
                <w:color w:val="auto"/>
              </w:rPr>
            </w:pPr>
            <w:r>
              <w:rPr>
                <w:rFonts w:ascii="Arial" w:cs="Arial" w:eastAsia="Arial" w:hAnsi="Arial"/>
                <w:sz w:val="18"/>
                <w:szCs w:val="18"/>
                <w:b w:val="1"/>
                <w:bCs w:val="1"/>
                <w:color w:val="auto"/>
              </w:rPr>
              <w:t>Periods ended January 31,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19,463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18,472</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991</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535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GM Rate</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the nine and three months ended January 31, 2013, gross margin increased as a result of the 11% increase in consolidated revenues over the fiscal year 2012 periods. The gross margin rate is impacted by the Company’s product mix. For the nine months of fiscal year 2013, the rate was reduced by the low sales volume at FEI-Elcom in the early portion of the fiscal year. In addition, FEI-Elcom incurred higher costs on certain customer-funded nonrecurring engineering projects.</w:t>
      </w: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Gross margins and gross margin rates for the nine and three months ended January 31, 2012 increased as compared to the same periods in the prior fiscal year reflecting the more than 20% increase in revenue recorded in the fiscal year 2012 periods as well a favorable change in product mix. Of the Company’s three segments, the FEI-NY segment experienced the largest gross margin rate improvement as the higher volume of business covered more of that segment’s fixed costs.</w:t>
      </w: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gross margin rates recorded in the fiscal year 2013 and 2012 periods are approaching or achieved the Company’s targeted rate of 40%. As consolidated revenues increase, including higher sales volume at FEI-Elcom, and as the sales product mix changes, the Company believes that its gross margin rates for the remainder of fiscal year 2013 will reach or exceed its target rate.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Nine months</w:t>
            </w: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w w:val="95"/>
              </w:rPr>
              <w:t>Three months</w:t>
            </w:r>
          </w:p>
        </w:tc>
        <w:tc>
          <w:tcPr>
            <w:tcW w:w="10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00" w:type="dxa"/>
            <w:vAlign w:val="bottom"/>
            <w:gridSpan w:val="6"/>
          </w:tcPr>
          <w:p>
            <w:pPr>
              <w:ind w:left="580"/>
              <w:spacing w:after="0" w:line="198" w:lineRule="exact"/>
              <w:rPr>
                <w:sz w:val="20"/>
                <w:szCs w:val="20"/>
                <w:color w:val="auto"/>
              </w:rPr>
            </w:pPr>
            <w:r>
              <w:rPr>
                <w:rFonts w:ascii="Arial" w:cs="Arial" w:eastAsia="Arial" w:hAnsi="Arial"/>
                <w:sz w:val="18"/>
                <w:szCs w:val="18"/>
                <w:b w:val="1"/>
                <w:bCs w:val="1"/>
                <w:color w:val="auto"/>
                <w:w w:val="92"/>
              </w:rPr>
              <w:t>Periods ended January 31,</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3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10,883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10,017</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866</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  $</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4"/>
              </w:rPr>
              <w:t>3,390</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497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bl>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nine and three months ended January 31, 2013, selling and administrative expenses were approximately 21% and 23%, respectively, of consolidated revenues compared to 22% for each of the same periods of the prior fiscal year. The increase in expenses in the fiscal year 2013 periods compared to the same periods of fiscal year 2012 are due to selling and administrative expenses incurred at FEI-Elcom of approximately $1.6 million and $500,000, respectively. The expenses of this subsidiary were partially offset by lower expenses at Gillam-FEI due to the 9% decrease in the value of the euro to the U.S. dollar, reduced incentive and deferred compensation expenses and lower bad debt expense. For the remainder of fiscal year 2013, the Company expects selling and administrative expenses to be incurred at approximately the same rate and further expects such expenses will approach the Company’s target of 20% of revenues.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w w:val="97"/>
              </w:rPr>
              <w:t>Nine months</w:t>
            </w: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Three months</w:t>
            </w:r>
          </w:p>
        </w:tc>
        <w:tc>
          <w:tcPr>
            <w:tcW w:w="10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gridSpan w:val="2"/>
          </w:tcPr>
          <w:p>
            <w:pPr>
              <w:ind w:left="680"/>
              <w:spacing w:after="0" w:line="198" w:lineRule="exact"/>
              <w:rPr>
                <w:sz w:val="20"/>
                <w:szCs w:val="20"/>
                <w:color w:val="auto"/>
              </w:rPr>
            </w:pPr>
            <w:r>
              <w:rPr>
                <w:rFonts w:ascii="Arial" w:cs="Arial" w:eastAsia="Arial" w:hAnsi="Arial"/>
                <w:sz w:val="18"/>
                <w:szCs w:val="18"/>
                <w:b w:val="1"/>
                <w:bCs w:val="1"/>
                <w:color w:val="auto"/>
              </w:rPr>
              <w:t>Periods</w:t>
            </w:r>
          </w:p>
        </w:tc>
        <w:tc>
          <w:tcPr>
            <w:tcW w:w="280" w:type="dxa"/>
            <w:vAlign w:val="bottom"/>
          </w:tcPr>
          <w:p>
            <w:pPr>
              <w:spacing w:after="0"/>
              <w:rPr>
                <w:sz w:val="20"/>
                <w:szCs w:val="20"/>
                <w:color w:val="auto"/>
              </w:rPr>
            </w:pPr>
            <w:r>
              <w:rPr>
                <w:rFonts w:ascii="Arial" w:cs="Arial" w:eastAsia="Arial" w:hAnsi="Arial"/>
                <w:sz w:val="12"/>
                <w:szCs w:val="12"/>
                <w:b w:val="1"/>
                <w:bCs w:val="1"/>
                <w:color w:val="auto"/>
                <w:w w:val="73"/>
              </w:rPr>
              <w:t>ended</w:t>
            </w:r>
          </w:p>
        </w:tc>
        <w:tc>
          <w:tcPr>
            <w:tcW w:w="1220" w:type="dxa"/>
            <w:vAlign w:val="bottom"/>
            <w:gridSpan w:val="4"/>
          </w:tcPr>
          <w:p>
            <w:pPr>
              <w:jc w:val="right"/>
              <w:ind w:right="70"/>
              <w:spacing w:after="0" w:line="198" w:lineRule="exact"/>
              <w:rPr>
                <w:sz w:val="20"/>
                <w:szCs w:val="20"/>
                <w:color w:val="auto"/>
              </w:rPr>
            </w:pPr>
            <w:r>
              <w:rPr>
                <w:rFonts w:ascii="Arial" w:cs="Arial" w:eastAsia="Arial" w:hAnsi="Arial"/>
                <w:sz w:val="18"/>
                <w:szCs w:val="18"/>
                <w:b w:val="1"/>
                <w:bCs w:val="1"/>
                <w:color w:val="auto"/>
              </w:rPr>
              <w:t>January 31,</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4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2,954</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777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231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bl>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Research and development (“R&amp;D”) expenditures represent investments intended to keep the Company’s products at the leading edge of time and frequency technology and enhance competitiveness for future revenues. R&amp;D spending for the nine and three-month periods ended January 31, 2013 and 2012, was less than the Company’s target of 10% of revenues. The year-over-year increase in spending is due primarily to product development expenditures of approximately $790,000 and $240,000, respectively, at FEI-Elcom to improve its own product line. R&amp;D spending in fiscal year 2013 continued to facilitate development of new satellite payload products from DC to Ka Band, development and improvement of miniaturized rubidium atomic clocks, development of new GPS-based synchronization products and further enhancement of the capabilities of the Company’s line of low g-sensitivity and ruggedized rubidium oscillators. Included in these efforts are product redesign and process improvements to enhance product manufacturability and reduce production costs. In addition, the Company continues to conduct development activities on customer-funded programs the cost of which appears in cost of revenues, thus reducing the level of internal R&amp;D spending. The Company will continue to devote significant resources to develop new products, enhance existing products and implement efficient manufacturing processes. For fiscal year 2013, the Company is targeting to spend under 10% of revenues on internal R&amp;D projects. Internally generated cash and cash reserves are adequate to fund these development efforts.</w:t>
      </w:r>
    </w:p>
    <w:p>
      <w:pPr>
        <w:sectPr>
          <w:pgSz w:w="11900" w:h="16838" w:orient="portrait"/>
          <w:cols w:equalWidth="0" w:num="1">
            <w:col w:w="11420"/>
          </w:cols>
          <w:pgMar w:left="240" w:top="122" w:right="239"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160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438"/>
        </w:trPr>
        <w:tc>
          <w:tcPr>
            <w:tcW w:w="10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20" w:type="dxa"/>
            <w:vAlign w:val="bottom"/>
            <w:gridSpan w:val="12"/>
          </w:tcPr>
          <w:p>
            <w:pPr>
              <w:jc w:val="center"/>
              <w:ind w:right="145"/>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8"/>
                <w:szCs w:val="18"/>
                <w:color w:val="auto"/>
                <w:w w:val="91"/>
              </w:rPr>
              <w:t>(Continued)</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19"/>
        </w:trPr>
        <w:tc>
          <w:tcPr>
            <w:tcW w:w="1600" w:type="dxa"/>
            <w:vAlign w:val="bottom"/>
            <w:gridSpan w:val="4"/>
          </w:tcPr>
          <w:p>
            <w:pPr>
              <w:spacing w:after="0"/>
              <w:rPr>
                <w:sz w:val="20"/>
                <w:szCs w:val="20"/>
                <w:color w:val="auto"/>
              </w:rPr>
            </w:pPr>
            <w:r>
              <w:rPr>
                <w:rFonts w:ascii="Arial" w:cs="Arial" w:eastAsia="Arial" w:hAnsi="Arial"/>
                <w:sz w:val="18"/>
                <w:szCs w:val="18"/>
                <w:b w:val="1"/>
                <w:bCs w:val="1"/>
                <w:color w:val="auto"/>
              </w:rPr>
              <w:t>Operating profit</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87"/>
        </w:trPr>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w w:val="91"/>
              </w:rPr>
              <w:t>Nine months</w:t>
            </w: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w w:val="90"/>
              </w:rPr>
              <w:t>Three months</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gridSpan w:val="2"/>
          </w:tcPr>
          <w:p>
            <w:pPr>
              <w:ind w:left="760"/>
              <w:spacing w:after="0" w:line="198" w:lineRule="exact"/>
              <w:rPr>
                <w:sz w:val="20"/>
                <w:szCs w:val="20"/>
                <w:color w:val="auto"/>
              </w:rPr>
            </w:pPr>
            <w:r>
              <w:rPr>
                <w:rFonts w:ascii="Arial" w:cs="Arial" w:eastAsia="Arial" w:hAnsi="Arial"/>
                <w:sz w:val="18"/>
                <w:szCs w:val="18"/>
                <w:b w:val="1"/>
                <w:bCs w:val="1"/>
                <w:color w:val="auto"/>
                <w:w w:val="96"/>
              </w:rPr>
              <w:t>Periods</w:t>
            </w:r>
          </w:p>
        </w:tc>
        <w:tc>
          <w:tcPr>
            <w:tcW w:w="320" w:type="dxa"/>
            <w:vAlign w:val="bottom"/>
          </w:tcPr>
          <w:p>
            <w:pPr>
              <w:spacing w:after="0"/>
              <w:rPr>
                <w:sz w:val="20"/>
                <w:szCs w:val="20"/>
                <w:color w:val="auto"/>
              </w:rPr>
            </w:pPr>
            <w:r>
              <w:rPr>
                <w:rFonts w:ascii="Arial" w:cs="Arial" w:eastAsia="Arial" w:hAnsi="Arial"/>
                <w:sz w:val="14"/>
                <w:szCs w:val="14"/>
                <w:b w:val="1"/>
                <w:bCs w:val="1"/>
                <w:color w:val="auto"/>
                <w:w w:val="72"/>
              </w:rPr>
              <w:t>ended</w:t>
            </w:r>
          </w:p>
        </w:tc>
        <w:tc>
          <w:tcPr>
            <w:tcW w:w="1220" w:type="dxa"/>
            <w:vAlign w:val="bottom"/>
            <w:gridSpan w:val="4"/>
          </w:tcPr>
          <w:p>
            <w:pPr>
              <w:jc w:val="right"/>
              <w:ind w:right="70"/>
              <w:spacing w:after="0" w:line="198" w:lineRule="exact"/>
              <w:rPr>
                <w:sz w:val="20"/>
                <w:szCs w:val="20"/>
                <w:color w:val="auto"/>
              </w:rPr>
            </w:pPr>
            <w:r>
              <w:rPr>
                <w:rFonts w:ascii="Arial" w:cs="Arial" w:eastAsia="Arial" w:hAnsi="Arial"/>
                <w:sz w:val="18"/>
                <w:szCs w:val="18"/>
                <w:b w:val="1"/>
                <w:bCs w:val="1"/>
                <w:color w:val="auto"/>
              </w:rPr>
              <w:t>January 31,</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7"/>
              </w:rPr>
              <w:t>5,501</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(652)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1,943</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(193)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anticipated, for the three months ended January 31, 2013, FEI-Elcom made a positive contribution to operating profit following an operating loss for the first quarter of fiscal year 2013. The fiscal year 2013 year-to-date operating loss at FEI-Elcom reduced consolidated operating profit compared to the first nine months of the prior fiscal year. For the three month period ended January 31, 2013, increased consolidated revenues, including increased revenue at FEI-Elcom, generated higher gross margin but this was offset by higher operating expenses resulting in a 10% decrease in operating profits for the third quarter of fiscal year 2013. Operating profits for the nine and three-month periods of fiscal year 2013 were 9.4% and 10.2%, respectively, of consolidated revenues compared to 11.9% and 12.6%, respectively, of revenues for the comparable periods of the previous fiscal year. With increased revenues and higher gross margins, the Company anticipates that for the full fiscal year 2013, it will generate an operating profit that exceeds that of the prior fiscal year.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gridSpan w:val="3"/>
          </w:tcPr>
          <w:p>
            <w:pPr>
              <w:spacing w:after="0"/>
              <w:rPr>
                <w:sz w:val="20"/>
                <w:szCs w:val="20"/>
                <w:color w:val="auto"/>
              </w:rPr>
            </w:pPr>
            <w:r>
              <w:rPr>
                <w:rFonts w:ascii="Arial" w:cs="Arial" w:eastAsia="Arial" w:hAnsi="Arial"/>
                <w:sz w:val="18"/>
                <w:szCs w:val="18"/>
                <w:b w:val="1"/>
                <w:bCs w:val="1"/>
                <w:color w:val="auto"/>
                <w:w w:val="97"/>
              </w:rPr>
              <w:t>Other income (expense)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7"/>
        </w:trPr>
        <w:tc>
          <w:tcPr>
            <w:tcW w:w="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Periods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72"/>
              </w:rPr>
              <w:t>ended</w:t>
            </w:r>
          </w:p>
        </w:tc>
        <w:tc>
          <w:tcPr>
            <w:tcW w:w="1060" w:type="dxa"/>
            <w:vAlign w:val="bottom"/>
            <w:gridSpan w:val="3"/>
          </w:tcPr>
          <w:p>
            <w:pPr>
              <w:jc w:val="right"/>
              <w:ind w:right="40"/>
              <w:spacing w:after="0" w:line="198" w:lineRule="exact"/>
              <w:rPr>
                <w:sz w:val="20"/>
                <w:szCs w:val="20"/>
                <w:color w:val="auto"/>
              </w:rPr>
            </w:pPr>
            <w:r>
              <w:rPr>
                <w:rFonts w:ascii="Arial" w:cs="Arial" w:eastAsia="Arial" w:hAnsi="Arial"/>
                <w:sz w:val="18"/>
                <w:szCs w:val="18"/>
                <w:b w:val="1"/>
                <w:bCs w:val="1"/>
                <w:color w:val="auto"/>
              </w:rPr>
              <w:t>January 31,</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Change</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116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Equity loss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(451)</w:t>
            </w:r>
          </w:p>
        </w:tc>
        <w:tc>
          <w:tcPr>
            <w:tcW w:w="5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451</w:t>
            </w:r>
          </w:p>
        </w:tc>
        <w:tc>
          <w:tcPr>
            <w:tcW w:w="1160" w:type="dxa"/>
            <w:vAlign w:val="bottom"/>
            <w:gridSpan w:val="2"/>
          </w:tcPr>
          <w:p>
            <w:pPr>
              <w:jc w:val="right"/>
              <w:ind w:right="25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54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335</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r>
      <w:tr>
        <w:trPr>
          <w:trHeight w:val="216"/>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160" w:type="dxa"/>
            <w:vAlign w:val="bottom"/>
            <w:tcBorders>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r>
      <w:tr>
        <w:trPr>
          <w:trHeight w:val="216"/>
        </w:trPr>
        <w:tc>
          <w:tcPr>
            <w:tcW w:w="2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(27)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1160" w:type="dxa"/>
            <w:vAlign w:val="bottom"/>
            <w:tcBorders>
              <w:righ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155</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r>
      <w:tr>
        <w:trPr>
          <w:trHeight w:val="27"/>
        </w:trPr>
        <w:tc>
          <w:tcPr>
            <w:tcW w:w="20" w:type="dxa"/>
            <w:vAlign w:val="bottom"/>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(537)</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817</w:t>
            </w:r>
          </w:p>
        </w:tc>
        <w:tc>
          <w:tcPr>
            <w:tcW w:w="1160" w:type="dxa"/>
            <w:vAlign w:val="bottom"/>
            <w:gridSpan w:val="2"/>
          </w:tcPr>
          <w:p>
            <w:pPr>
              <w:jc w:val="right"/>
              <w:ind w:right="250"/>
              <w:spacing w:after="0"/>
              <w:rPr>
                <w:sz w:val="20"/>
                <w:szCs w:val="20"/>
                <w:color w:val="auto"/>
              </w:rPr>
            </w:pPr>
            <w:r>
              <w:rPr>
                <w:rFonts w:ascii="Arial" w:cs="Arial" w:eastAsia="Arial" w:hAnsi="Arial"/>
                <w:sz w:val="18"/>
                <w:szCs w:val="18"/>
                <w:color w:val="auto"/>
              </w:rPr>
              <w:t>NM</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439</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r>
    </w:tbl>
    <w:p>
      <w:pPr>
        <w:spacing w:after="0" w:line="21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Investment income is derived from the Company’s holdings of marketable securities. Earnings on these securities may vary based on fluctuating interest rate levels, the timing of dividend payments and the timing of purchases or sales of securities. In addition, during the nine and three months ended January 31, 2013, the Company sold or redeemed marketable securities which resulted in realized gains of approximately $40,000. During the same periods of fiscal year 2012, the Company recorded gains of approximately $19,000 and $11,000, respectively.</w:t>
      </w:r>
    </w:p>
    <w:p>
      <w:pPr>
        <w:spacing w:after="0" w:line="19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Equity losses in the nine and three months ended January 31, 2012, represent the Company’s share of the quarterly income recorded by Elcom in which the Company owned a 25% interest prior to its late fiscal year 2012 acquisition of FEI-Elcom. In addition, in the nine-month fiscal year 2012 period, the Company recorded an impairment charge against its investment in the amount of $200,000 and also increased an allowance against notes receivable in the amount of $150,000. In connection with the acquisition of Elcom in the fourth quarter of fiscal year 2012, the Company recorded a gain of $730,000 on its related investment and notes receivable from Elcom.</w:t>
      </w:r>
    </w:p>
    <w:p>
      <w:pPr>
        <w:spacing w:after="0" w:line="2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increase in interest expense for the nine and three months ended January 31, 2013 compared to the same periods of fiscal year 2012 is due to borrowings under the Company’s line of credit from a financial institution. The Company borrowed $6 million during fiscal year 2012 to finance the acquisition of Elcom and borrowed an additional $2.5 million during the nine months ended January 31, 2013 to meet current working capital requirements. The Company repaid approximately $3.5 million of such borrowings during the third quarter of fiscal year 2013 and expects to reduce interest expense as a result.</w:t>
      </w:r>
    </w:p>
    <w:p>
      <w:pPr>
        <w:spacing w:after="0" w:line="21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Other expense in the nine and three months ended January 31, 2012 resulted from certain transaction costs related to the acquisition of Elcom and the amortization of certain non-operating assets. During the nine month period of fiscal year 2012, such expenses were partially offset by gains of approximately $137,000 derived from the excess of proceeds over the cash values of life insurance policies covering a former employee. No similar gains were recognized during the fiscal year 2013 periods. The fiscal year 2013 expenses are primarily due to uninsured losses incurred in the Company’s Gillam-FEI segment.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3200" w:type="dxa"/>
            <w:vAlign w:val="bottom"/>
            <w:gridSpan w:val="6"/>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438"/>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20" w:type="dxa"/>
            <w:vAlign w:val="bottom"/>
            <w:gridSpan w:val="13"/>
          </w:tcPr>
          <w:p>
            <w:pPr>
              <w:jc w:val="center"/>
              <w:ind w:right="66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8"/>
                <w:szCs w:val="18"/>
                <w:color w:val="auto"/>
                <w:w w:val="91"/>
              </w:rPr>
              <w:t>(Continued)</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92"/>
        </w:trPr>
        <w:tc>
          <w:tcPr>
            <w:tcW w:w="3200" w:type="dxa"/>
            <w:vAlign w:val="bottom"/>
            <w:gridSpan w:val="6"/>
          </w:tcPr>
          <w:p>
            <w:pPr>
              <w:spacing w:after="0"/>
              <w:rPr>
                <w:sz w:val="20"/>
                <w:szCs w:val="20"/>
                <w:color w:val="auto"/>
              </w:rPr>
            </w:pPr>
            <w:r>
              <w:rPr>
                <w:rFonts w:ascii="Arial" w:cs="Arial" w:eastAsia="Arial" w:hAnsi="Arial"/>
                <w:sz w:val="18"/>
                <w:szCs w:val="18"/>
                <w:b w:val="1"/>
                <w:bCs w:val="1"/>
                <w:color w:val="auto"/>
              </w:rPr>
              <w:t>Income tax provision</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87"/>
        </w:trPr>
        <w:tc>
          <w:tcPr>
            <w:tcW w:w="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Nine months</w:t>
            </w: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Three months</w:t>
            </w: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40" w:type="dxa"/>
            <w:vAlign w:val="bottom"/>
            <w:gridSpan w:val="5"/>
          </w:tcPr>
          <w:p>
            <w:pPr>
              <w:jc w:val="right"/>
              <w:ind w:right="220"/>
              <w:spacing w:after="0" w:line="198" w:lineRule="exact"/>
              <w:rPr>
                <w:sz w:val="20"/>
                <w:szCs w:val="20"/>
                <w:color w:val="auto"/>
              </w:rPr>
            </w:pPr>
            <w:r>
              <w:rPr>
                <w:rFonts w:ascii="Arial" w:cs="Arial" w:eastAsia="Arial" w:hAnsi="Arial"/>
                <w:sz w:val="18"/>
                <w:szCs w:val="18"/>
                <w:b w:val="1"/>
                <w:bCs w:val="1"/>
                <w:color w:val="auto"/>
                <w:w w:val="92"/>
              </w:rPr>
              <w:t>Periods ended January 31,</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2160" w:type="dxa"/>
            <w:vAlign w:val="bottom"/>
            <w:gridSpan w:val="4"/>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93"/>
              </w:rPr>
              <w:t>$1,400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 $</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(200)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r>
        <w:trPr>
          <w:trHeight w:val="418"/>
        </w:trPr>
        <w:tc>
          <w:tcPr>
            <w:tcW w:w="3200" w:type="dxa"/>
            <w:vAlign w:val="bottom"/>
            <w:gridSpan w:val="6"/>
          </w:tcPr>
          <w:p>
            <w:pPr>
              <w:spacing w:after="0"/>
              <w:rPr>
                <w:sz w:val="20"/>
                <w:szCs w:val="20"/>
                <w:color w:val="auto"/>
              </w:rPr>
            </w:pPr>
            <w:r>
              <w:rPr>
                <w:rFonts w:ascii="Arial" w:cs="Arial" w:eastAsia="Arial" w:hAnsi="Arial"/>
                <w:sz w:val="18"/>
                <w:szCs w:val="18"/>
                <w:color w:val="auto"/>
              </w:rPr>
              <w:t>Effective tax rate on pre-tax book</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3200" w:type="dxa"/>
            <w:vAlign w:val="bottom"/>
            <w:gridSpan w:val="6"/>
          </w:tcPr>
          <w:p>
            <w:pPr>
              <w:spacing w:after="0"/>
              <w:rPr>
                <w:sz w:val="20"/>
                <w:szCs w:val="20"/>
                <w:color w:val="auto"/>
              </w:rPr>
            </w:pPr>
            <w:r>
              <w:rPr>
                <w:rFonts w:ascii="Arial" w:cs="Arial" w:eastAsia="Arial" w:hAnsi="Arial"/>
                <w:sz w:val="18"/>
                <w:szCs w:val="18"/>
                <w:color w:val="auto"/>
              </w:rPr>
              <w:t>income:</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During the three month period ended January 31, 2013, certain tax law changes were enacted which the Company expects will enable it to utilize its California state tax loss carryforward and to obtain larger federal tax credits. The impact of these changes is expected to reduce the Company’s effective tax rate for fiscal year 2013 to the range of 25% to 28%. The actual effective tax rate will depend on the level of pretax income or loss recorded at the Company’s foreign subsidiaries, which are not currently taxed. The effective tax rate for the fiscal periods ended January 31, 2012 were higher than the comparable periods of fiscal year 2011 due to the non-tax deductible impairment charges related to the Company’s investment in Elcom.</w:t>
      </w:r>
    </w:p>
    <w:p>
      <w:pPr>
        <w:spacing w:after="0" w:line="20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is subject to taxation in several countries as well as the states of New York, New Jersey and California. The statutory federal rates are 34% in the United States and Belgium. The effective rate is impacted by the income or loss of certain of the Company’s European and Asian subsidiaries which are currently not taxed. In addition, the Company utilizes the availability of research and development tax credits and the Domestic Production Activity credit in the United States to lower its tax rate. As of April 30, 2012, the Company’s European subsidiaries had available net operating loss carryforwards of approximately $1.2 million, which will offset any future taxable income. As a result of the Elcom acquisition, the Company has a federal net operating loss carryforward of $6.6 million which may be applied in annually limited amounts to offset future U.S.-sourced taxable income over the next 20 years. For State of California income tax purposes, the Company has a tax loss carryforward of approximately $2.3 million which expires in 20 years.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w w:val="95"/>
              </w:rPr>
              <w:t>Nine months</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w w:val="94"/>
              </w:rPr>
              <w:t>Three months</w:t>
            </w: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98"/>
        </w:trPr>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20" w:type="dxa"/>
            <w:vAlign w:val="bottom"/>
            <w:gridSpan w:val="6"/>
          </w:tcPr>
          <w:p>
            <w:pPr>
              <w:ind w:left="600"/>
              <w:spacing w:after="0" w:line="198" w:lineRule="exact"/>
              <w:rPr>
                <w:sz w:val="20"/>
                <w:szCs w:val="20"/>
                <w:color w:val="auto"/>
              </w:rPr>
            </w:pPr>
            <w:r>
              <w:rPr>
                <w:rFonts w:ascii="Arial" w:cs="Arial" w:eastAsia="Arial" w:hAnsi="Arial"/>
                <w:sz w:val="18"/>
                <w:szCs w:val="18"/>
                <w:b w:val="1"/>
                <w:bCs w:val="1"/>
                <w:color w:val="auto"/>
                <w:w w:val="92"/>
              </w:rPr>
              <w:t>Periods ended January 31,</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1"/>
        </w:trPr>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3,194</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535</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  $</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1,074</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446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bl>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detailed above, for the nine and three months ended January 31, 2013, higher revenues due to the FEI-Elcom acquisition were partially offset by higher operating expenses, plus a lower effective income tax rate, enabled the Company to increase its net income over that recorded in the prior fiscal year periods. Based on consolidated backlog and the improved operating performance at FEI-Elcom, the Company expects to record higher consolidated revenue and to realize improved gross margins and operating profits over the remainder of fiscal year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The Company’s balance sheet continues to reflect a strong working capital position of $66.0 million at January 31, 2013, compared to $63.3 million at April 30, 2012. Included in working capital at January 31, 2013 is $21.6 million of cash, cash equivalents and marketable securities which is partially offset by $5.1 million of borrowings under the Company’s line of credit. The Company’s current ratio at January 31, 2013 is 5.5 to 1.</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For the nine months ended January 31, 2013, the Company had positive cash flow from operating activities of $3.2 million compared to $1.3 million in the comparable fiscal year 2012 period. The increased cash flow in the fiscal year 2013 period resulted from higher operating profits, collection of accounts receivable partially offset by increased costs and estimated earnings in excess of billings (“unbilled accounts receivables”) and increased inventory. Unbilled receivables arise from the use of the percentage of completion method on the Company’s long-term contracts, including satellite payload contracts. Under this method revenue was recognized but contractual milestones were not yet billed in accordance with the terms of the contracts. For the nine months ended January 31, 2013 and 2012, the Company incurred approximately $3.8 million and $4.9 million, respectively, of non-cash operating expenses, such as depreciation and amortization and accruals for employee benefit programs. For the balance of fiscal year 2013, as contractual milestones are met and customers are invoiced, unbilled receivables will be reduced and the Company expects to generate positive cash flow from operating activities.</w:t>
      </w:r>
    </w:p>
    <w:p>
      <w:pPr>
        <w:spacing w:after="0" w:line="19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Net cash used in investing activities for the nine months ended January 31, 2013 was $103,000 compared to cash used in investing activities of $3.9 million for the same period of fiscal year 2012. The Company redeemed marketable securities in the amount of $2.5 million in the fiscal year 2013 period and $6.1 million in the fiscal year 2012 period. These proceeds and other cash was reinvested in additional marketable securities for the nine-month periods ended January 31, 2013 and 2012 in the amount of $1.0 million and $8.8 million, respectively. In the fiscal year 2013 and 2012 periods, the Company acquired property, plant and equipment in the amount of $1.6 million and $1.1 million, respectively. During the nine months ended January 31, 2012, the Company provided an additional loan to Elcom in the amount of $92,000. The Company may continue to acquire, sell or redeem marketable securities as dictated by its investment strategies as well as by the cash requirements for its development activities and capital equipment acquisitions. The Company intends to spend between $2.0 million and $3.0 million on capital equipment during fiscal year 2013. The Company’s cash, cash reserves, including marketable securities, and internally generated cash are adequate to acquire this level of property, plant and equipment.</w:t>
      </w:r>
    </w:p>
    <w:p>
      <w:pPr>
        <w:spacing w:after="0" w:line="20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Net cash used in financing activities for the nine months ended January 31, 2013 was $3.0 million compared to cash provided by financing activities of $2.2 million for the period ended January 31, 2012. The principal source of cash was $4.0 million borrowed against the Company’s line of credit with the financial institution which also manages a substantial portion of its investment in marketable securities. During the fiscal 2013 period the Company repaid $5.3 million of such borrowings. During the nine months ended January 31, 2013, the Company declared and paid a special cash dividend of $0.20 per share which aggregated $1.7 million. In the nine month periods ended January 31, 2013 and 2012, the Company received cash inflows of $20,000 and $13,000, respectively, upon the exercise of employee stock options.</w:t>
      </w:r>
    </w:p>
    <w:p>
      <w:pPr>
        <w:spacing w:after="0" w:line="220"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January 31, 2013, the Company has repurchased approximately $4 million of its common stock out of the $5 million authorization.</w:t>
      </w:r>
    </w:p>
    <w:p>
      <w:pPr>
        <w:spacing w:after="0" w:line="19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2013, the Company has and intends to continue to make a substantial investment of capital and technical resources to develop and acquire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of less than 10% of revenues to achieve its development goals. The Company’s cash, cash reserves, including marketable securities, and internally generated cash are adequate to fund these development efforts. The Company may also pursue acquisitions to expand its production and development capabilities as well as the range of products it can offer its customers. The Company may use its cash, marketable securities or external funding in connection with such acquisitions.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January 31, 2013, the Company's consolidated backlog is approximately $63 million. Approximately 70% of this backlog is expected to be realized in the next twelve months. Included in the backlog at January 31, 2013 is approximately $200,000 under cost-plus-fee contracts which the Company believes represent firm commitments from its customers for which the Company has not received full funding to date. The Company excludes from backlog any contracts or awards for which it has not received authorization to proceed. On fixed price contracts, the Company excludes any unfunded portion which, as of January 31, 2013, was in excess of $1.0 million. The Company expects these contracts to become fully funded over time and will be added to its backlog at that time.</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at least January 31, 2014.</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56"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January 31, 2013, for the reasons discussed below, the Company’s disclosure controls and procedures were not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Material Weaknesses in Internal Control over Financial Reporting</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As disclosed in its Annual Report on Form 10-K for the year ended April 30, 2012, the Company has identified a material weakness in its internal control over financial reporting related to accounting for acquisitions. While the Company did not conduct a full assessment of the effectiveness of internal controls over financial reporting at January 31, 2013, for the first nine months of fiscal year 2013 there were no substantial changes made to the Company’s internal control over financial reporting since management’s assessment of April 30, 2012, and therefore the weakness previously identified by management continued to exist at January 31, 2013. In order to remediate the material weakness, if and when another acquisition takes place, the Company plans to supplement its technical resources to provide expertise in accounting for acquisitions. Please refer to the Company’s Annual Report on Form 10-K for the year ended April 30, 2012 for a more detailed discussion of the weakness previously identified by management.</w:t>
      </w:r>
    </w:p>
    <w:p>
      <w:pPr>
        <w:spacing w:after="0" w:line="20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u w:val="single" w:color="auto"/>
          <w:color w:val="auto"/>
        </w:rPr>
        <w:t>Changes in Internal Control Over Financial Reporting</w:t>
      </w:r>
      <w:r>
        <w:rPr>
          <w:rFonts w:ascii="Arial" w:cs="Arial" w:eastAsia="Arial" w:hAnsi="Arial"/>
          <w:sz w:val="17"/>
          <w:szCs w:val="17"/>
          <w:color w:val="auto"/>
        </w:rPr>
        <w:t>. There were no changes in the Company’s internal control over financial reporting (as such term is defined in Rules 13a-15(f) and 15d-15(f) under the Exchange Act) during the nine months ended January 31, 2013 to which this report relates that have materially affected, or are reasonably likely to materially affect, the Company’s internal control over financial reporting.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Exhibits</w:t>
      </w:r>
    </w:p>
    <w:p>
      <w:pPr>
        <w:spacing w:after="0" w:line="238" w:lineRule="exact"/>
        <w:rPr>
          <w:sz w:val="20"/>
          <w:szCs w:val="20"/>
          <w:color w:val="auto"/>
        </w:rPr>
      </w:pPr>
    </w:p>
    <w:p>
      <w:pPr>
        <w:ind w:left="580" w:right="260"/>
        <w:spacing w:after="0" w:line="277" w:lineRule="auto"/>
        <w:rPr>
          <w:sz w:val="20"/>
          <w:szCs w:val="20"/>
          <w:color w:val="auto"/>
        </w:rPr>
      </w:pPr>
      <w:r>
        <w:rPr>
          <w:rFonts w:ascii="Arial" w:cs="Arial" w:eastAsia="Arial" w:hAnsi="Arial"/>
          <w:sz w:val="18"/>
          <w:szCs w:val="18"/>
          <w:color w:val="auto"/>
        </w:rPr>
        <w:t xml:space="preserve">31.1 - </w:t>
      </w:r>
      <w:r>
        <w:rPr>
          <w:rFonts w:ascii="Arial" w:cs="Arial" w:eastAsia="Arial" w:hAnsi="Arial"/>
          <w:sz w:val="18"/>
          <w:szCs w:val="18"/>
          <w:u w:val="single" w:color="auto"/>
          <w:color w:val="0000EE"/>
        </w:rPr>
        <w:t>Certification by the Chief Executive Officer pursuant to Rule 13a-14(a) or 15d-14(a) under the Securities Exchange Act of 1934, as adopted</w:t>
      </w:r>
      <w:r>
        <w:rPr>
          <w:rFonts w:ascii="Arial" w:cs="Arial" w:eastAsia="Arial" w:hAnsi="Arial"/>
          <w:sz w:val="18"/>
          <w:szCs w:val="18"/>
          <w:color w:val="auto"/>
        </w:rPr>
        <w:t xml:space="preserve"> </w:t>
      </w:r>
      <w:r>
        <w:rPr>
          <w:rFonts w:ascii="Arial" w:cs="Arial" w:eastAsia="Arial" w:hAnsi="Arial"/>
          <w:sz w:val="18"/>
          <w:szCs w:val="18"/>
          <w:u w:val="single" w:color="auto"/>
          <w:color w:val="0000EE"/>
        </w:rPr>
        <w:t>pursuant to Section 302 of the Sarbanes-Oxley Act of 2002.</w:t>
      </w:r>
    </w:p>
    <w:p>
      <w:pPr>
        <w:spacing w:after="0" w:line="170" w:lineRule="exact"/>
        <w:rPr>
          <w:sz w:val="20"/>
          <w:szCs w:val="20"/>
          <w:color w:val="auto"/>
        </w:rPr>
      </w:pPr>
    </w:p>
    <w:p>
      <w:pPr>
        <w:ind w:left="580" w:right="300"/>
        <w:spacing w:after="0" w:line="277" w:lineRule="auto"/>
        <w:rPr>
          <w:sz w:val="20"/>
          <w:szCs w:val="20"/>
          <w:color w:val="auto"/>
        </w:rPr>
      </w:pPr>
      <w:r>
        <w:rPr>
          <w:rFonts w:ascii="Arial" w:cs="Arial" w:eastAsia="Arial" w:hAnsi="Arial"/>
          <w:sz w:val="18"/>
          <w:szCs w:val="18"/>
          <w:color w:val="auto"/>
        </w:rPr>
        <w:t xml:space="preserve">31.2 - </w:t>
      </w:r>
      <w:r>
        <w:rPr>
          <w:rFonts w:ascii="Arial" w:cs="Arial" w:eastAsia="Arial" w:hAnsi="Arial"/>
          <w:sz w:val="18"/>
          <w:szCs w:val="18"/>
          <w:u w:val="single" w:color="auto"/>
          <w:color w:val="0000EE"/>
        </w:rPr>
        <w:t>Certification by the Chief Financial Officer pursuant to Rule 13a-14(a) or 15d-14(a) under the Securities Exchange Act of 1934, as adopted</w:t>
      </w:r>
      <w:r>
        <w:rPr>
          <w:rFonts w:ascii="Arial" w:cs="Arial" w:eastAsia="Arial" w:hAnsi="Arial"/>
          <w:sz w:val="18"/>
          <w:szCs w:val="18"/>
          <w:color w:val="auto"/>
        </w:rPr>
        <w:t xml:space="preserve"> </w:t>
      </w:r>
      <w:r>
        <w:rPr>
          <w:rFonts w:ascii="Arial" w:cs="Arial" w:eastAsia="Arial" w:hAnsi="Arial"/>
          <w:sz w:val="18"/>
          <w:szCs w:val="18"/>
          <w:u w:val="single" w:color="auto"/>
          <w:color w:val="0000EE"/>
        </w:rPr>
        <w:t>pursuant to Section 302 of the Sarbanes-Oxley Act of 2002.</w:t>
      </w:r>
    </w:p>
    <w:p>
      <w:pPr>
        <w:spacing w:after="0" w:line="170" w:lineRule="exact"/>
        <w:rPr>
          <w:sz w:val="20"/>
          <w:szCs w:val="20"/>
          <w:color w:val="auto"/>
        </w:rPr>
      </w:pPr>
    </w:p>
    <w:p>
      <w:pPr>
        <w:ind w:left="860" w:hanging="271"/>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0000EE"/>
        </w:rPr>
        <w:t>Certification by the Chief Executive Officer and Chief Financial Officer pursuant to 18 U.S.C. Section 1350, as adopted pursuant to Section</w:t>
      </w:r>
    </w:p>
    <w:p>
      <w:pPr>
        <w:spacing w:after="0" w:line="46" w:lineRule="exact"/>
        <w:rPr>
          <w:rFonts w:ascii="Arial" w:cs="Arial" w:eastAsia="Arial" w:hAnsi="Arial"/>
          <w:sz w:val="16"/>
          <w:szCs w:val="16"/>
          <w:color w:val="auto"/>
        </w:rPr>
      </w:pPr>
    </w:p>
    <w:p>
      <w:pPr>
        <w:ind w:left="900" w:hanging="311"/>
        <w:spacing w:after="0"/>
        <w:tabs>
          <w:tab w:leader="none" w:pos="900" w:val="left"/>
        </w:tabs>
        <w:numPr>
          <w:ilvl w:val="0"/>
          <w:numId w:val="6"/>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of the Sarbanes-Oxley Act of 2002.</w:t>
      </w:r>
    </w:p>
    <w:p>
      <w:pPr>
        <w:spacing w:after="0" w:line="211" w:lineRule="exact"/>
        <w:rPr>
          <w:sz w:val="20"/>
          <w:szCs w:val="20"/>
          <w:color w:val="auto"/>
        </w:rPr>
      </w:pPr>
    </w:p>
    <w:p>
      <w:pPr>
        <w:jc w:val="both"/>
        <w:ind w:left="580"/>
        <w:spacing w:after="0" w:line="312" w:lineRule="auto"/>
        <w:rPr>
          <w:sz w:val="20"/>
          <w:szCs w:val="20"/>
          <w:color w:val="auto"/>
        </w:rPr>
      </w:pPr>
      <w:r>
        <w:rPr>
          <w:rFonts w:ascii="Arial" w:cs="Arial" w:eastAsia="Arial" w:hAnsi="Arial"/>
          <w:sz w:val="16"/>
          <w:szCs w:val="16"/>
          <w:color w:val="auto"/>
        </w:rPr>
        <w:t>101 - The following materials from the Frequency Electronics, Inc. Quarterly Report on Form 10-Q for the quarter ended January 31, 2013 formatted in eXtensible Business Reporting Language (XBRL): (i) Condensed Consolidated Balance Sheets, (ii) Condensed Consolidated Statements of Income and Comprehensive Income, (iii) Condensed Consolidated Statements of Cash Flows and (iv)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FREQUENCY ELECTRONICS, INC.</w:t>
      </w:r>
    </w:p>
    <w:p>
      <w:pPr>
        <w:spacing w:after="0" w:line="2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 March 18, 2013</w:t>
      </w:r>
      <w:r>
        <w:rPr>
          <w:sz w:val="20"/>
          <w:szCs w:val="20"/>
          <w:color w:val="auto"/>
        </w:rPr>
        <w:tab/>
      </w:r>
      <w:r>
        <w:rPr>
          <w:rFonts w:ascii="Arial" w:cs="Arial" w:eastAsia="Arial" w:hAnsi="Arial"/>
          <w:sz w:val="18"/>
          <w:szCs w:val="18"/>
          <w:color w:val="auto"/>
        </w:rPr>
        <w:t>By: /s/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3926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Alan Miller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Secretary/Treasurer and Chief Financial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Signing on behalf of the registrant and as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24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240" w:top="121" w:right="131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0219"/>
          </w:cols>
          <w:pgMar w:left="240" w:top="121" w:right="1440" w:bottom="1440" w:gutter="0" w:footer="0" w:header="0"/>
        </w:sectPr>
      </w:pPr>
    </w:p>
    <w:bookmarkStart w:id="25" w:name="page26"/>
    <w:bookmarkEnd w:id="25"/>
    <w:p>
      <w:pPr>
        <w:ind w:left="10540"/>
        <w:spacing w:after="0"/>
        <w:rPr>
          <w:sz w:val="20"/>
          <w:szCs w:val="20"/>
          <w:color w:val="auto"/>
        </w:rPr>
      </w:pPr>
      <w:r>
        <w:rPr>
          <w:rFonts w:ascii="Arial" w:cs="Arial" w:eastAsia="Arial" w:hAnsi="Arial"/>
          <w:sz w:val="16"/>
          <w:szCs w:val="16"/>
          <w:color w:val="auto"/>
        </w:rPr>
        <w:t>Exhibit 31.1</w:t>
      </w:r>
    </w:p>
    <w:p>
      <w:pPr>
        <w:spacing w:after="0" w:line="27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52"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308" w:lineRule="auto"/>
        <w:tabs>
          <w:tab w:leader="none" w:pos="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Martin B. Bloch</w:t>
            </w:r>
          </w:p>
        </w:tc>
        <w:tc>
          <w:tcPr>
            <w:tcW w:w="1960" w:type="dxa"/>
            <w:vAlign w:val="bottom"/>
          </w:tcPr>
          <w:p>
            <w:pPr>
              <w:ind w:left="820"/>
              <w:spacing w:after="0"/>
              <w:rPr>
                <w:sz w:val="20"/>
                <w:szCs w:val="20"/>
                <w:color w:val="auto"/>
              </w:rPr>
            </w:pPr>
            <w:r>
              <w:rPr>
                <w:rFonts w:ascii="Arial" w:cs="Arial" w:eastAsia="Arial" w:hAnsi="Arial"/>
                <w:sz w:val="18"/>
                <w:szCs w:val="18"/>
                <w:color w:val="auto"/>
                <w:w w:val="89"/>
              </w:rPr>
              <w:t>March 18, 2013</w:t>
            </w:r>
          </w:p>
        </w:tc>
      </w:tr>
      <w:tr>
        <w:trPr>
          <w:trHeight w:val="222"/>
        </w:trPr>
        <w:tc>
          <w:tcPr>
            <w:tcW w:w="2680" w:type="dxa"/>
            <w:vAlign w:val="bottom"/>
          </w:tcPr>
          <w:p>
            <w:pPr>
              <w:ind w:left="320"/>
              <w:spacing w:after="0"/>
              <w:rPr>
                <w:sz w:val="20"/>
                <w:szCs w:val="20"/>
                <w:color w:val="auto"/>
              </w:rPr>
            </w:pPr>
            <w:r>
              <w:rPr>
                <w:rFonts w:ascii="Arial" w:cs="Arial" w:eastAsia="Arial" w:hAnsi="Arial"/>
                <w:sz w:val="18"/>
                <w:szCs w:val="18"/>
                <w:color w:val="auto"/>
              </w:rPr>
              <w:t>Martin B. Bloch</w:t>
            </w:r>
          </w:p>
        </w:tc>
        <w:tc>
          <w:tcPr>
            <w:tcW w:w="1960" w:type="dxa"/>
            <w:vAlign w:val="bottom"/>
          </w:tcPr>
          <w:p>
            <w:pPr>
              <w:spacing w:after="0"/>
              <w:rPr>
                <w:sz w:val="19"/>
                <w:szCs w:val="19"/>
                <w:color w:val="auto"/>
              </w:rPr>
            </w:pPr>
          </w:p>
        </w:tc>
      </w:tr>
      <w:tr>
        <w:trPr>
          <w:trHeight w:val="230"/>
        </w:trPr>
        <w:tc>
          <w:tcPr>
            <w:tcW w:w="2680" w:type="dxa"/>
            <w:vAlign w:val="bottom"/>
          </w:tcPr>
          <w:p>
            <w:pPr>
              <w:ind w:left="320"/>
              <w:spacing w:after="0"/>
              <w:rPr>
                <w:sz w:val="20"/>
                <w:szCs w:val="20"/>
                <w:color w:val="auto"/>
              </w:rPr>
            </w:pPr>
            <w:r>
              <w:rPr>
                <w:rFonts w:ascii="Arial" w:cs="Arial" w:eastAsia="Arial" w:hAnsi="Arial"/>
                <w:sz w:val="18"/>
                <w:szCs w:val="18"/>
                <w:color w:val="auto"/>
              </w:rPr>
              <w:t>Chief Executive Officer</w:t>
            </w:r>
          </w:p>
        </w:tc>
        <w:tc>
          <w:tcPr>
            <w:tcW w:w="1960" w:type="dxa"/>
            <w:vAlign w:val="bottom"/>
          </w:tcPr>
          <w:p>
            <w:pPr>
              <w:spacing w:after="0"/>
              <w:rPr>
                <w:sz w:val="20"/>
                <w:szCs w:val="20"/>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ind w:left="10540"/>
        <w:spacing w:after="0"/>
        <w:rPr>
          <w:sz w:val="20"/>
          <w:szCs w:val="20"/>
          <w:color w:val="auto"/>
        </w:rPr>
      </w:pPr>
      <w:r>
        <w:rPr>
          <w:rFonts w:ascii="Arial" w:cs="Arial" w:eastAsia="Arial" w:hAnsi="Arial"/>
          <w:sz w:val="16"/>
          <w:szCs w:val="16"/>
          <w:color w:val="auto"/>
        </w:rPr>
        <w:t>Exhibit 31.2</w:t>
      </w:r>
    </w:p>
    <w:p>
      <w:pPr>
        <w:spacing w:after="0" w:line="27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certify that</w:t>
      </w:r>
    </w:p>
    <w:p>
      <w:pPr>
        <w:spacing w:after="0" w:line="252"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308" w:lineRule="auto"/>
        <w:tabs>
          <w:tab w:leader="none" w:pos="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L. Miller</w:t>
            </w:r>
          </w:p>
        </w:tc>
        <w:tc>
          <w:tcPr>
            <w:tcW w:w="2420" w:type="dxa"/>
            <w:vAlign w:val="bottom"/>
          </w:tcPr>
          <w:p>
            <w:pPr>
              <w:ind w:left="1260"/>
              <w:spacing w:after="0"/>
              <w:rPr>
                <w:sz w:val="20"/>
                <w:szCs w:val="20"/>
                <w:color w:val="auto"/>
              </w:rPr>
            </w:pPr>
            <w:r>
              <w:rPr>
                <w:rFonts w:ascii="Arial" w:cs="Arial" w:eastAsia="Arial" w:hAnsi="Arial"/>
                <w:sz w:val="18"/>
                <w:szCs w:val="18"/>
                <w:color w:val="auto"/>
                <w:w w:val="91"/>
              </w:rPr>
              <w:t>March 18, 2013</w:t>
            </w:r>
          </w:p>
        </w:tc>
      </w:tr>
      <w:tr>
        <w:trPr>
          <w:trHeight w:val="222"/>
        </w:trPr>
        <w:tc>
          <w:tcPr>
            <w:tcW w:w="2540" w:type="dxa"/>
            <w:vAlign w:val="bottom"/>
          </w:tcPr>
          <w:p>
            <w:pPr>
              <w:ind w:left="280"/>
              <w:spacing w:after="0"/>
              <w:rPr>
                <w:sz w:val="20"/>
                <w:szCs w:val="20"/>
                <w:color w:val="auto"/>
              </w:rPr>
            </w:pPr>
            <w:r>
              <w:rPr>
                <w:rFonts w:ascii="Arial" w:cs="Arial" w:eastAsia="Arial" w:hAnsi="Arial"/>
                <w:sz w:val="18"/>
                <w:szCs w:val="18"/>
                <w:color w:val="auto"/>
              </w:rPr>
              <w:t>Alan L. Miller</w:t>
            </w:r>
          </w:p>
        </w:tc>
        <w:tc>
          <w:tcPr>
            <w:tcW w:w="2420" w:type="dxa"/>
            <w:vAlign w:val="bottom"/>
          </w:tcPr>
          <w:p>
            <w:pPr>
              <w:spacing w:after="0"/>
              <w:rPr>
                <w:sz w:val="19"/>
                <w:szCs w:val="19"/>
                <w:color w:val="auto"/>
              </w:rPr>
            </w:pPr>
          </w:p>
        </w:tc>
      </w:tr>
      <w:tr>
        <w:trPr>
          <w:trHeight w:val="230"/>
        </w:trPr>
        <w:tc>
          <w:tcPr>
            <w:tcW w:w="2540" w:type="dxa"/>
            <w:vAlign w:val="bottom"/>
          </w:tcPr>
          <w:p>
            <w:pPr>
              <w:ind w:left="280"/>
              <w:spacing w:after="0"/>
              <w:rPr>
                <w:sz w:val="20"/>
                <w:szCs w:val="20"/>
                <w:color w:val="auto"/>
              </w:rPr>
            </w:pPr>
            <w:r>
              <w:rPr>
                <w:rFonts w:ascii="Arial" w:cs="Arial" w:eastAsia="Arial" w:hAnsi="Arial"/>
                <w:sz w:val="18"/>
                <w:szCs w:val="18"/>
                <w:color w:val="auto"/>
              </w:rPr>
              <w:t>Chief Financial Officer</w:t>
            </w:r>
          </w:p>
        </w:tc>
        <w:tc>
          <w:tcPr>
            <w:tcW w:w="2420" w:type="dxa"/>
            <w:vAlign w:val="bottom"/>
          </w:tcPr>
          <w:p>
            <w:pPr>
              <w:spacing w:after="0"/>
              <w:rPr>
                <w:sz w:val="20"/>
                <w:szCs w:val="20"/>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January 31, 2013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193" w:lineRule="exact"/>
        <w:rPr>
          <w:sz w:val="20"/>
          <w:szCs w:val="20"/>
          <w:color w:val="auto"/>
        </w:rPr>
      </w:pPr>
    </w:p>
    <w:p>
      <w:pPr>
        <w:ind w:left="960" w:hanging="30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60" w:hanging="304"/>
        <w:spacing w:after="0"/>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Martin B. Bloch</w:t>
            </w:r>
          </w:p>
        </w:tc>
        <w:tc>
          <w:tcPr>
            <w:tcW w:w="3960" w:type="dxa"/>
            <w:vAlign w:val="bottom"/>
          </w:tcPr>
          <w:p>
            <w:pPr>
              <w:jc w:val="right"/>
              <w:ind w:right="1150"/>
              <w:spacing w:after="0"/>
              <w:rPr>
                <w:sz w:val="20"/>
                <w:szCs w:val="20"/>
                <w:color w:val="auto"/>
              </w:rPr>
            </w:pPr>
            <w:r>
              <w:rPr>
                <w:rFonts w:ascii="Arial" w:cs="Arial" w:eastAsia="Arial" w:hAnsi="Arial"/>
                <w:sz w:val="18"/>
                <w:szCs w:val="18"/>
                <w:color w:val="auto"/>
              </w:rPr>
              <w:t>March 18, 2013</w:t>
            </w:r>
          </w:p>
        </w:tc>
      </w:tr>
      <w:tr>
        <w:trPr>
          <w:trHeight w:val="222"/>
        </w:trPr>
        <w:tc>
          <w:tcPr>
            <w:tcW w:w="2500" w:type="dxa"/>
            <w:vAlign w:val="bottom"/>
          </w:tcPr>
          <w:p>
            <w:pPr>
              <w:ind w:left="280"/>
              <w:spacing w:after="0"/>
              <w:rPr>
                <w:sz w:val="20"/>
                <w:szCs w:val="20"/>
                <w:color w:val="auto"/>
              </w:rPr>
            </w:pPr>
            <w:r>
              <w:rPr>
                <w:rFonts w:ascii="Arial" w:cs="Arial" w:eastAsia="Arial" w:hAnsi="Arial"/>
                <w:sz w:val="18"/>
                <w:szCs w:val="18"/>
                <w:color w:val="auto"/>
              </w:rPr>
              <w:t>Martin B. Bloch</w:t>
            </w:r>
          </w:p>
        </w:tc>
        <w:tc>
          <w:tcPr>
            <w:tcW w:w="3960" w:type="dxa"/>
            <w:vAlign w:val="bottom"/>
          </w:tcPr>
          <w:p>
            <w:pPr>
              <w:spacing w:after="0"/>
              <w:rPr>
                <w:sz w:val="19"/>
                <w:szCs w:val="19"/>
                <w:color w:val="auto"/>
              </w:rPr>
            </w:pPr>
          </w:p>
        </w:tc>
      </w:tr>
      <w:tr>
        <w:trPr>
          <w:trHeight w:val="230"/>
        </w:trPr>
        <w:tc>
          <w:tcPr>
            <w:tcW w:w="2500" w:type="dxa"/>
            <w:vAlign w:val="bottom"/>
          </w:tcPr>
          <w:p>
            <w:pPr>
              <w:ind w:left="280"/>
              <w:spacing w:after="0"/>
              <w:rPr>
                <w:sz w:val="20"/>
                <w:szCs w:val="20"/>
                <w:color w:val="auto"/>
              </w:rPr>
            </w:pPr>
            <w:r>
              <w:rPr>
                <w:rFonts w:ascii="Arial" w:cs="Arial" w:eastAsia="Arial" w:hAnsi="Arial"/>
                <w:sz w:val="18"/>
                <w:szCs w:val="18"/>
                <w:color w:val="auto"/>
              </w:rPr>
              <w:t>Chief Executive Officer</w:t>
            </w:r>
          </w:p>
        </w:tc>
        <w:tc>
          <w:tcPr>
            <w:tcW w:w="3960" w:type="dxa"/>
            <w:vAlign w:val="bottom"/>
          </w:tcPr>
          <w:p>
            <w:pPr>
              <w:spacing w:after="0"/>
              <w:rPr>
                <w:sz w:val="20"/>
                <w:szCs w:val="20"/>
                <w:color w:val="auto"/>
              </w:rPr>
            </w:pPr>
          </w:p>
        </w:tc>
      </w:tr>
      <w:tr>
        <w:trPr>
          <w:trHeight w:val="459"/>
        </w:trPr>
        <w:tc>
          <w:tcPr>
            <w:tcW w:w="2500" w:type="dxa"/>
            <w:vAlign w:val="bottom"/>
          </w:tcPr>
          <w:p>
            <w:pPr>
              <w:spacing w:after="0"/>
              <w:rPr>
                <w:sz w:val="24"/>
                <w:szCs w:val="24"/>
                <w:color w:val="auto"/>
              </w:rPr>
            </w:pP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January 31, 2013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960" w:hanging="30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60" w:hanging="304"/>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L. Miller</w:t>
            </w:r>
          </w:p>
        </w:tc>
        <w:tc>
          <w:tcPr>
            <w:tcW w:w="2760" w:type="dxa"/>
            <w:vAlign w:val="bottom"/>
          </w:tcPr>
          <w:p>
            <w:pPr>
              <w:ind w:left="1620"/>
              <w:spacing w:after="0"/>
              <w:rPr>
                <w:sz w:val="20"/>
                <w:szCs w:val="20"/>
                <w:color w:val="auto"/>
              </w:rPr>
            </w:pPr>
            <w:r>
              <w:rPr>
                <w:rFonts w:ascii="Arial" w:cs="Arial" w:eastAsia="Arial" w:hAnsi="Arial"/>
                <w:sz w:val="18"/>
                <w:szCs w:val="18"/>
                <w:color w:val="auto"/>
                <w:w w:val="89"/>
              </w:rPr>
              <w:t>March 18, 2013</w:t>
            </w:r>
          </w:p>
        </w:tc>
      </w:tr>
      <w:tr>
        <w:trPr>
          <w:trHeight w:val="222"/>
        </w:trPr>
        <w:tc>
          <w:tcPr>
            <w:tcW w:w="2500" w:type="dxa"/>
            <w:vAlign w:val="bottom"/>
          </w:tcPr>
          <w:p>
            <w:pPr>
              <w:ind w:left="280"/>
              <w:spacing w:after="0"/>
              <w:rPr>
                <w:sz w:val="20"/>
                <w:szCs w:val="20"/>
                <w:color w:val="auto"/>
              </w:rPr>
            </w:pPr>
            <w:r>
              <w:rPr>
                <w:rFonts w:ascii="Arial" w:cs="Arial" w:eastAsia="Arial" w:hAnsi="Arial"/>
                <w:sz w:val="18"/>
                <w:szCs w:val="18"/>
                <w:color w:val="auto"/>
              </w:rPr>
              <w:t>Alan L. Miller</w:t>
            </w:r>
          </w:p>
        </w:tc>
        <w:tc>
          <w:tcPr>
            <w:tcW w:w="2760" w:type="dxa"/>
            <w:vAlign w:val="bottom"/>
          </w:tcPr>
          <w:p>
            <w:pPr>
              <w:spacing w:after="0"/>
              <w:rPr>
                <w:sz w:val="19"/>
                <w:szCs w:val="19"/>
                <w:color w:val="auto"/>
              </w:rPr>
            </w:pPr>
          </w:p>
        </w:tc>
      </w:tr>
      <w:tr>
        <w:trPr>
          <w:trHeight w:val="230"/>
        </w:trPr>
        <w:tc>
          <w:tcPr>
            <w:tcW w:w="2500" w:type="dxa"/>
            <w:vAlign w:val="bottom"/>
          </w:tcPr>
          <w:p>
            <w:pPr>
              <w:ind w:left="280"/>
              <w:spacing w:after="0"/>
              <w:rPr>
                <w:sz w:val="20"/>
                <w:szCs w:val="20"/>
                <w:color w:val="auto"/>
              </w:rPr>
            </w:pPr>
            <w:r>
              <w:rPr>
                <w:rFonts w:ascii="Arial" w:cs="Arial" w:eastAsia="Arial" w:hAnsi="Arial"/>
                <w:sz w:val="18"/>
                <w:szCs w:val="18"/>
                <w:color w:val="auto"/>
              </w:rPr>
              <w:t>Chief Financial Officer</w:t>
            </w:r>
          </w:p>
        </w:tc>
        <w:tc>
          <w:tcPr>
            <w:tcW w:w="2760" w:type="dxa"/>
            <w:vAlign w:val="bottom"/>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32"/>
    </w:lvl>
  </w:abstractNum>
  <w:abstractNum w:abstractNumId="5">
    <w:nsid w:val="7545E146"/>
    <w:multiLevelType w:val="hybridMultilevel"/>
    <w:lvl w:ilvl="0">
      <w:lvlJc w:val="left"/>
      <w:lvlText w:val="%1"/>
      <w:numFmt w:val="decimal"/>
      <w:start w:val="906"/>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2019-12-05T10:04:37Z</dcterms:created>
  <dcterms:modified xsi:type="dcterms:W3CDTF">2019-12-05T10:04:37Z</dcterms:modified>
</cp:coreProperties>
</file>