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w:t>
      </w:r>
    </w:p>
    <w:p>
      <w:pPr>
        <w:spacing w:after="0" w:line="36"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SECURITIES AND EXCHANGE COMMISSION</w:t>
      </w:r>
    </w:p>
    <w:p>
      <w:pPr>
        <w:spacing w:after="0" w:line="6"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3186430</wp:posOffset>
            </wp:positionH>
            <wp:positionV relativeFrom="paragraph">
              <wp:posOffset>210820</wp:posOffset>
            </wp:positionV>
            <wp:extent cx="88328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8328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44"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3186430</wp:posOffset>
            </wp:positionH>
            <wp:positionV relativeFrom="paragraph">
              <wp:posOffset>245745</wp:posOffset>
            </wp:positionV>
            <wp:extent cx="88328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8328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14"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56" w:lineRule="exact"/>
        <w:rPr>
          <w:sz w:val="24"/>
          <w:szCs w:val="24"/>
          <w:color w:val="auto"/>
        </w:rPr>
      </w:pPr>
    </w:p>
    <w:p>
      <w:pPr>
        <w:ind w:left="3920" w:right="2360" w:hanging="3682"/>
        <w:spacing w:after="0" w:line="530" w:lineRule="auto"/>
        <w:tabs>
          <w:tab w:leader="none" w:pos="441" w:val="left"/>
        </w:tabs>
        <w:numPr>
          <w:ilvl w:val="0"/>
          <w:numId w:val="1"/>
        </w:numPr>
        <w:rPr>
          <w:rFonts w:ascii="Arial" w:cs="Arial" w:eastAsia="Arial" w:hAnsi="Arial"/>
          <w:sz w:val="18"/>
          <w:szCs w:val="18"/>
          <w:color w:val="auto"/>
        </w:rPr>
      </w:pPr>
      <w:r>
        <w:rPr>
          <w:rFonts w:ascii="Arial" w:cs="Arial" w:eastAsia="Arial" w:hAnsi="Arial"/>
          <w:sz w:val="18"/>
          <w:szCs w:val="18"/>
          <w:color w:val="auto"/>
        </w:rPr>
        <w:t xml:space="preserve">QUARTERLY REPORT PURSUANT TO SECTION 13 or 15 (d) OF THE SECURITIES EXCHANGE ACT OF 1934 For the Quarterly Period ended </w:t>
      </w:r>
      <w:r>
        <w:rPr>
          <w:rFonts w:ascii="Arial" w:cs="Arial" w:eastAsia="Arial" w:hAnsi="Arial"/>
          <w:sz w:val="18"/>
          <w:szCs w:val="18"/>
          <w:b w:val="1"/>
          <w:bCs w:val="1"/>
          <w:u w:val="single" w:color="auto"/>
          <w:color w:val="auto"/>
        </w:rPr>
        <w:t>October 31, 2013</w:t>
      </w: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27" w:lineRule="exact"/>
        <w:rPr>
          <w:sz w:val="24"/>
          <w:szCs w:val="24"/>
          <w:color w:val="auto"/>
        </w:rPr>
      </w:pPr>
    </w:p>
    <w:p>
      <w:pPr>
        <w:ind w:left="3600" w:right="2340" w:hanging="3362"/>
        <w:spacing w:after="0" w:line="524" w:lineRule="auto"/>
        <w:tabs>
          <w:tab w:leader="none" w:pos="433" w:val="left"/>
        </w:tabs>
        <w:numPr>
          <w:ilvl w:val="0"/>
          <w:numId w:val="2"/>
        </w:numPr>
        <w:rPr>
          <w:rFonts w:ascii="Arial" w:cs="Arial" w:eastAsia="Arial" w:hAnsi="Arial"/>
          <w:sz w:val="18"/>
          <w:szCs w:val="18"/>
          <w:color w:val="auto"/>
        </w:rPr>
      </w:pPr>
      <w:r>
        <w:rPr>
          <w:rFonts w:ascii="Arial" w:cs="Arial" w:eastAsia="Arial" w:hAnsi="Arial"/>
          <w:sz w:val="18"/>
          <w:szCs w:val="18"/>
          <w:color w:val="auto"/>
        </w:rPr>
        <w:t>TRANSITION REPORT PURSUANT TO SECTION 13 or 15 (d) OF THE SECURITIES EXCHANGE ACT OF 1934 For the transition period from __________ to __________</w:t>
      </w:r>
    </w:p>
    <w:p>
      <w:pPr>
        <w:ind w:left="4660"/>
        <w:spacing w:after="0"/>
        <w:rPr>
          <w:rFonts w:ascii="Arial" w:cs="Arial" w:eastAsia="Arial" w:hAnsi="Arial"/>
          <w:sz w:val="18"/>
          <w:szCs w:val="18"/>
          <w:color w:val="auto"/>
        </w:rPr>
      </w:pPr>
      <w:r>
        <w:rPr>
          <w:rFonts w:ascii="Arial" w:cs="Arial" w:eastAsia="Arial" w:hAnsi="Arial"/>
          <w:sz w:val="18"/>
          <w:szCs w:val="18"/>
          <w:color w:val="auto"/>
        </w:rPr>
        <w:t>Commission File No. 1-8061</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u w:val="single" w:color="auto"/>
          <w:color w:val="auto"/>
        </w:rPr>
        <w:t>FREQUENCY ELECTRONICS, INC.</w:t>
      </w:r>
    </w:p>
    <w:p>
      <w:pPr>
        <w:spacing w:after="0" w:line="4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219"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46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3760" w:type="dxa"/>
            <w:vAlign w:val="bottom"/>
            <w:gridSpan w:val="3"/>
          </w:tcPr>
          <w:p>
            <w:pPr>
              <w:jc w:val="center"/>
              <w:ind w:right="3040"/>
              <w:spacing w:after="0"/>
              <w:rPr>
                <w:sz w:val="20"/>
                <w:szCs w:val="20"/>
                <w:color w:val="auto"/>
              </w:rPr>
            </w:pPr>
            <w:r>
              <w:rPr>
                <w:rFonts w:ascii="Arial" w:cs="Arial" w:eastAsia="Arial" w:hAnsi="Arial"/>
                <w:sz w:val="18"/>
                <w:szCs w:val="18"/>
                <w:b w:val="1"/>
                <w:bCs w:val="1"/>
                <w:color w:val="auto"/>
                <w:w w:val="91"/>
              </w:rPr>
              <w:t>Delaware</w:t>
            </w:r>
          </w:p>
        </w:tc>
        <w:tc>
          <w:tcPr>
            <w:tcW w:w="1880" w:type="dxa"/>
            <w:vAlign w:val="bottom"/>
            <w:vMerge w:val="restart"/>
          </w:tcPr>
          <w:p>
            <w:pPr>
              <w:spacing w:after="0"/>
              <w:rPr>
                <w:sz w:val="18"/>
                <w:szCs w:val="18"/>
                <w:color w:val="auto"/>
              </w:rPr>
            </w:pPr>
          </w:p>
        </w:tc>
        <w:tc>
          <w:tcPr>
            <w:tcW w:w="860" w:type="dxa"/>
            <w:vAlign w:val="bottom"/>
            <w:gridSpan w:val="3"/>
            <w:vMerge w:val="restart"/>
          </w:tcPr>
          <w:p>
            <w:pPr>
              <w:jc w:val="right"/>
              <w:spacing w:after="0"/>
              <w:rPr>
                <w:sz w:val="20"/>
                <w:szCs w:val="20"/>
                <w:color w:val="auto"/>
              </w:rPr>
            </w:pPr>
            <w:r>
              <w:rPr>
                <w:rFonts w:ascii="Arial" w:cs="Arial" w:eastAsia="Arial" w:hAnsi="Arial"/>
                <w:sz w:val="18"/>
                <w:szCs w:val="18"/>
                <w:b w:val="1"/>
                <w:bCs w:val="1"/>
                <w:color w:val="auto"/>
                <w:w w:val="87"/>
              </w:rPr>
              <w:t>11-1986657</w:t>
            </w: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880" w:type="dxa"/>
            <w:vAlign w:val="bottom"/>
            <w:vMerge w:val="continue"/>
          </w:tcPr>
          <w:p>
            <w:pPr>
              <w:spacing w:after="0" w:line="20" w:lineRule="exact"/>
              <w:rPr>
                <w:sz w:val="1"/>
                <w:szCs w:val="1"/>
                <w:color w:val="auto"/>
              </w:rPr>
            </w:pPr>
          </w:p>
        </w:tc>
        <w:tc>
          <w:tcPr>
            <w:tcW w:w="860" w:type="dxa"/>
            <w:vAlign w:val="bottom"/>
            <w:gridSpan w:val="3"/>
            <w:vMerge w:val="continue"/>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460" w:type="dxa"/>
            <w:vAlign w:val="bottom"/>
          </w:tcPr>
          <w:p>
            <w:pPr>
              <w:spacing w:after="0"/>
              <w:rPr>
                <w:sz w:val="17"/>
                <w:szCs w:val="17"/>
                <w:color w:val="auto"/>
              </w:rPr>
            </w:pPr>
          </w:p>
        </w:tc>
        <w:tc>
          <w:tcPr>
            <w:tcW w:w="5800" w:type="dxa"/>
            <w:vAlign w:val="bottom"/>
            <w:gridSpan w:val="4"/>
          </w:tcPr>
          <w:p>
            <w:pPr>
              <w:jc w:val="center"/>
              <w:ind w:right="1040"/>
              <w:spacing w:after="0" w:line="196" w:lineRule="exact"/>
              <w:rPr>
                <w:sz w:val="20"/>
                <w:szCs w:val="20"/>
                <w:color w:val="auto"/>
              </w:rPr>
            </w:pPr>
            <w:r>
              <w:rPr>
                <w:rFonts w:ascii="Arial" w:cs="Arial" w:eastAsia="Arial" w:hAnsi="Arial"/>
                <w:sz w:val="18"/>
                <w:szCs w:val="18"/>
                <w:color w:val="auto"/>
                <w:w w:val="92"/>
              </w:rPr>
              <w:t>(State or other jurisdiction of</w:t>
            </w:r>
          </w:p>
        </w:tc>
        <w:tc>
          <w:tcPr>
            <w:tcW w:w="1880" w:type="dxa"/>
            <w:vAlign w:val="bottom"/>
            <w:vMerge w:val="continue"/>
          </w:tcPr>
          <w:p>
            <w:pPr>
              <w:spacing w:after="0"/>
              <w:rPr>
                <w:sz w:val="17"/>
                <w:szCs w:val="17"/>
                <w:color w:val="auto"/>
              </w:rPr>
            </w:pPr>
          </w:p>
        </w:tc>
        <w:tc>
          <w:tcPr>
            <w:tcW w:w="860" w:type="dxa"/>
            <w:vAlign w:val="bottom"/>
            <w:tcBorders>
              <w:bottom w:val="single" w:sz="8" w:color="auto"/>
            </w:tcBorders>
            <w:gridSpan w:val="3"/>
            <w:vMerge w:val="continue"/>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460" w:type="dxa"/>
            <w:vAlign w:val="bottom"/>
          </w:tcPr>
          <w:p>
            <w:pPr>
              <w:spacing w:after="0"/>
              <w:rPr>
                <w:sz w:val="20"/>
                <w:szCs w:val="20"/>
                <w:color w:val="auto"/>
              </w:rPr>
            </w:pPr>
          </w:p>
        </w:tc>
        <w:tc>
          <w:tcPr>
            <w:tcW w:w="5800" w:type="dxa"/>
            <w:vAlign w:val="bottom"/>
            <w:gridSpan w:val="4"/>
          </w:tcPr>
          <w:p>
            <w:pPr>
              <w:jc w:val="center"/>
              <w:ind w:right="1000"/>
              <w:spacing w:after="0"/>
              <w:rPr>
                <w:sz w:val="20"/>
                <w:szCs w:val="20"/>
                <w:color w:val="auto"/>
              </w:rPr>
            </w:pPr>
            <w:r>
              <w:rPr>
                <w:rFonts w:ascii="Arial" w:cs="Arial" w:eastAsia="Arial" w:hAnsi="Arial"/>
                <w:sz w:val="18"/>
                <w:szCs w:val="18"/>
                <w:color w:val="auto"/>
                <w:w w:val="92"/>
              </w:rPr>
              <w:t>incorporation or organization)</w:t>
            </w:r>
          </w:p>
        </w:tc>
        <w:tc>
          <w:tcPr>
            <w:tcW w:w="3620" w:type="dxa"/>
            <w:vAlign w:val="bottom"/>
            <w:gridSpan w:val="5"/>
          </w:tcPr>
          <w:p>
            <w:pPr>
              <w:jc w:val="center"/>
              <w:ind w:left="910"/>
              <w:spacing w:after="0"/>
              <w:rPr>
                <w:sz w:val="20"/>
                <w:szCs w:val="20"/>
                <w:color w:val="auto"/>
              </w:rPr>
            </w:pPr>
            <w:r>
              <w:rPr>
                <w:rFonts w:ascii="Arial" w:cs="Arial" w:eastAsia="Arial" w:hAnsi="Arial"/>
                <w:sz w:val="18"/>
                <w:szCs w:val="18"/>
                <w:color w:val="auto"/>
                <w:w w:val="94"/>
              </w:rPr>
              <w:t>(I.R.S. Employer Identification No.)</w:t>
            </w:r>
          </w:p>
        </w:tc>
        <w:tc>
          <w:tcPr>
            <w:tcW w:w="0" w:type="dxa"/>
            <w:vAlign w:val="bottom"/>
          </w:tcPr>
          <w:p>
            <w:pPr>
              <w:spacing w:after="0"/>
              <w:rPr>
                <w:sz w:val="1"/>
                <w:szCs w:val="1"/>
                <w:color w:val="auto"/>
              </w:rPr>
            </w:pPr>
          </w:p>
        </w:tc>
      </w:tr>
      <w:tr>
        <w:trPr>
          <w:trHeight w:val="392"/>
        </w:trPr>
        <w:tc>
          <w:tcPr>
            <w:tcW w:w="460" w:type="dxa"/>
            <w:vAlign w:val="bottom"/>
          </w:tcPr>
          <w:p>
            <w:pPr>
              <w:spacing w:after="0"/>
              <w:rPr>
                <w:sz w:val="24"/>
                <w:szCs w:val="24"/>
                <w:color w:val="auto"/>
              </w:rPr>
            </w:pPr>
          </w:p>
        </w:tc>
        <w:tc>
          <w:tcPr>
            <w:tcW w:w="5800" w:type="dxa"/>
            <w:vAlign w:val="bottom"/>
            <w:gridSpan w:val="4"/>
          </w:tcPr>
          <w:p>
            <w:pPr>
              <w:jc w:val="center"/>
              <w:ind w:right="1000"/>
              <w:spacing w:after="0"/>
              <w:rPr>
                <w:sz w:val="20"/>
                <w:szCs w:val="20"/>
                <w:color w:val="auto"/>
              </w:rPr>
            </w:pPr>
            <w:r>
              <w:rPr>
                <w:rFonts w:ascii="Arial" w:cs="Arial" w:eastAsia="Arial" w:hAnsi="Arial"/>
                <w:sz w:val="18"/>
                <w:szCs w:val="18"/>
                <w:b w:val="1"/>
                <w:bCs w:val="1"/>
                <w:color w:val="auto"/>
              </w:rPr>
              <w:t>55 CHARLES LINDBERGH BLVD., MITCHEL FIELD, N.Y.</w:t>
            </w:r>
          </w:p>
        </w:tc>
        <w:tc>
          <w:tcPr>
            <w:tcW w:w="2740" w:type="dxa"/>
            <w:vAlign w:val="bottom"/>
            <w:gridSpan w:val="4"/>
          </w:tcPr>
          <w:p>
            <w:pPr>
              <w:jc w:val="right"/>
              <w:ind w:right="200"/>
              <w:spacing w:after="0"/>
              <w:rPr>
                <w:sz w:val="20"/>
                <w:szCs w:val="20"/>
                <w:color w:val="auto"/>
              </w:rPr>
            </w:pPr>
            <w:r>
              <w:rPr>
                <w:rFonts w:ascii="Arial" w:cs="Arial" w:eastAsia="Arial" w:hAnsi="Arial"/>
                <w:sz w:val="18"/>
                <w:szCs w:val="18"/>
                <w:b w:val="1"/>
                <w:bCs w:val="1"/>
                <w:color w:val="auto"/>
              </w:rPr>
              <w:t>11553</w:t>
            </w: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4800" w:type="dxa"/>
            <w:vAlign w:val="bottom"/>
            <w:gridSpan w:val="3"/>
            <w:shd w:val="clear" w:color="auto" w:fill="000000"/>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60" w:type="dxa"/>
            <w:vAlign w:val="bottom"/>
          </w:tcPr>
          <w:p>
            <w:pPr>
              <w:spacing w:after="0"/>
              <w:rPr>
                <w:sz w:val="20"/>
                <w:szCs w:val="20"/>
                <w:color w:val="auto"/>
              </w:rPr>
            </w:pPr>
          </w:p>
        </w:tc>
        <w:tc>
          <w:tcPr>
            <w:tcW w:w="4800" w:type="dxa"/>
            <w:vAlign w:val="bottom"/>
            <w:gridSpan w:val="3"/>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100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1740" w:type="dxa"/>
            <w:vAlign w:val="bottom"/>
            <w:gridSpan w:val="4"/>
          </w:tcPr>
          <w:p>
            <w:pPr>
              <w:jc w:val="center"/>
              <w:ind w:right="880"/>
              <w:spacing w:after="0"/>
              <w:rPr>
                <w:sz w:val="20"/>
                <w:szCs w:val="20"/>
                <w:color w:val="auto"/>
              </w:rPr>
            </w:pPr>
            <w:r>
              <w:rPr>
                <w:rFonts w:ascii="Arial" w:cs="Arial" w:eastAsia="Arial" w:hAnsi="Arial"/>
                <w:sz w:val="18"/>
                <w:szCs w:val="18"/>
                <w:color w:val="auto"/>
                <w:w w:val="91"/>
              </w:rPr>
              <w:t>(Zip Code)</w:t>
            </w:r>
          </w:p>
        </w:tc>
        <w:tc>
          <w:tcPr>
            <w:tcW w:w="0" w:type="dxa"/>
            <w:vAlign w:val="bottom"/>
          </w:tcPr>
          <w:p>
            <w:pPr>
              <w:spacing w:after="0"/>
              <w:rPr>
                <w:sz w:val="1"/>
                <w:szCs w:val="1"/>
                <w:color w:val="auto"/>
              </w:rPr>
            </w:pPr>
          </w:p>
        </w:tc>
      </w:tr>
      <w:tr>
        <w:trPr>
          <w:trHeight w:val="432"/>
        </w:trPr>
        <w:tc>
          <w:tcPr>
            <w:tcW w:w="6260" w:type="dxa"/>
            <w:vAlign w:val="bottom"/>
            <w:gridSpan w:val="5"/>
          </w:tcPr>
          <w:p>
            <w:pP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516-794-4500</w:t>
            </w:r>
          </w:p>
        </w:tc>
        <w:tc>
          <w:tcPr>
            <w:tcW w:w="1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29"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 (d) of the Securities Exchange Act of 1934 during the preceding 12 months (or for such shorter period that the Registrant was required to file such reports), and (2) has been subject to such filing requirements for the past 90 days. Yes x No o</w:t>
      </w:r>
    </w:p>
    <w:p>
      <w:pPr>
        <w:spacing w:after="0" w:line="208"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x No o</w:t>
      </w:r>
    </w:p>
    <w:p>
      <w:pPr>
        <w:spacing w:after="0" w:line="208" w:lineRule="exact"/>
        <w:rPr>
          <w:sz w:val="24"/>
          <w:szCs w:val="24"/>
          <w:color w:val="auto"/>
        </w:rPr>
      </w:pPr>
    </w:p>
    <w:p>
      <w:pPr>
        <w:jc w:val="both"/>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1420"/>
          </w:cols>
          <w:pgMar w:left="240" w:top="297" w:right="239" w:bottom="1440" w:gutter="0" w:footer="0" w:header="0"/>
        </w:sectPr>
      </w:pPr>
    </w:p>
    <w:p>
      <w:pPr>
        <w:spacing w:after="0" w:line="174" w:lineRule="exact"/>
        <w:rPr>
          <w:sz w:val="24"/>
          <w:szCs w:val="24"/>
          <w:color w:val="auto"/>
        </w:rPr>
      </w:pPr>
    </w:p>
    <w:p>
      <w:pPr>
        <w:spacing w:after="0"/>
        <w:rPr>
          <w:sz w:val="20"/>
          <w:szCs w:val="20"/>
          <w:color w:val="auto"/>
        </w:rPr>
      </w:pPr>
      <w:r>
        <w:rPr>
          <w:rFonts w:ascii="Arial" w:cs="Arial" w:eastAsia="Arial" w:hAnsi="Arial"/>
          <w:sz w:val="16"/>
          <w:szCs w:val="16"/>
          <w:color w:val="auto"/>
        </w:rPr>
        <w:t>Large accelerated filer o</w:t>
      </w:r>
    </w:p>
    <w:p>
      <w:pPr>
        <w:spacing w:after="0" w:line="20" w:lineRule="exact"/>
        <w:rPr>
          <w:sz w:val="24"/>
          <w:szCs w:val="24"/>
          <w:color w:val="auto"/>
        </w:rPr>
      </w:pPr>
      <w:r>
        <w:rPr>
          <w:sz w:val="24"/>
          <w:szCs w:val="24"/>
          <w:color w:val="auto"/>
        </w:rPr>
        <w:br w:type="column"/>
      </w:r>
    </w:p>
    <w:p>
      <w:pPr>
        <w:spacing w:after="0" w:line="154"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 o</w:t>
      </w:r>
    </w:p>
    <w:p>
      <w:pPr>
        <w:spacing w:after="0" w:line="20" w:lineRule="exact"/>
        <w:rPr>
          <w:sz w:val="24"/>
          <w:szCs w:val="24"/>
          <w:color w:val="auto"/>
        </w:rPr>
      </w:pPr>
      <w:r>
        <w:rPr>
          <w:sz w:val="24"/>
          <w:szCs w:val="24"/>
          <w:color w:val="auto"/>
        </w:rPr>
        <w:br w:type="column"/>
      </w:r>
    </w:p>
    <w:p>
      <w:pPr>
        <w:spacing w:after="0" w:line="154" w:lineRule="exact"/>
        <w:rPr>
          <w:sz w:val="24"/>
          <w:szCs w:val="24"/>
          <w:color w:val="auto"/>
        </w:rPr>
      </w:pPr>
    </w:p>
    <w:p>
      <w:pPr>
        <w:spacing w:after="0"/>
        <w:rPr>
          <w:sz w:val="20"/>
          <w:szCs w:val="20"/>
          <w:color w:val="auto"/>
        </w:rPr>
      </w:pPr>
      <w:r>
        <w:rPr>
          <w:rFonts w:ascii="Arial" w:cs="Arial" w:eastAsia="Arial" w:hAnsi="Arial"/>
          <w:sz w:val="18"/>
          <w:szCs w:val="18"/>
          <w:color w:val="auto"/>
        </w:rPr>
        <w:t>Non-accelerated filer o</w:t>
      </w:r>
    </w:p>
    <w:p>
      <w:pPr>
        <w:spacing w:after="0" w:line="23" w:lineRule="exact"/>
        <w:rPr>
          <w:sz w:val="24"/>
          <w:szCs w:val="24"/>
          <w:color w:val="auto"/>
        </w:rPr>
      </w:pPr>
    </w:p>
    <w:p>
      <w:pPr>
        <w:spacing w:after="0"/>
        <w:rPr>
          <w:sz w:val="20"/>
          <w:szCs w:val="20"/>
          <w:color w:val="auto"/>
        </w:rPr>
      </w:pPr>
      <w:r>
        <w:rPr>
          <w:rFonts w:ascii="Arial" w:cs="Arial" w:eastAsia="Arial" w:hAnsi="Arial"/>
          <w:sz w:val="16"/>
          <w:szCs w:val="16"/>
          <w:color w:val="auto"/>
        </w:rPr>
        <w:t>(do not check if a smaller reporting</w:t>
      </w:r>
    </w:p>
    <w:p>
      <w:pPr>
        <w:spacing w:after="0" w:line="32" w:lineRule="exact"/>
        <w:rPr>
          <w:sz w:val="24"/>
          <w:szCs w:val="24"/>
          <w:color w:val="auto"/>
        </w:rPr>
      </w:pPr>
    </w:p>
    <w:p>
      <w:pPr>
        <w:spacing w:after="0"/>
        <w:rPr>
          <w:sz w:val="20"/>
          <w:szCs w:val="20"/>
          <w:color w:val="auto"/>
        </w:rPr>
      </w:pPr>
      <w:r>
        <w:rPr>
          <w:rFonts w:ascii="Arial" w:cs="Arial" w:eastAsia="Arial" w:hAnsi="Arial"/>
          <w:sz w:val="18"/>
          <w:szCs w:val="18"/>
          <w:color w:val="auto"/>
        </w:rPr>
        <w:t>company)</w:t>
      </w:r>
    </w:p>
    <w:p>
      <w:pPr>
        <w:spacing w:after="0" w:line="20" w:lineRule="exact"/>
        <w:rPr>
          <w:sz w:val="24"/>
          <w:szCs w:val="24"/>
          <w:color w:val="auto"/>
        </w:rPr>
      </w:pPr>
      <w:r>
        <w:rPr>
          <w:sz w:val="24"/>
          <w:szCs w:val="24"/>
          <w:color w:val="auto"/>
        </w:rPr>
        <w:br w:type="column"/>
      </w:r>
    </w:p>
    <w:p>
      <w:pPr>
        <w:spacing w:after="0" w:line="154"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 x</w:t>
      </w:r>
    </w:p>
    <w:p>
      <w:pPr>
        <w:spacing w:after="0" w:line="669" w:lineRule="exact"/>
        <w:rPr>
          <w:sz w:val="24"/>
          <w:szCs w:val="24"/>
          <w:color w:val="auto"/>
        </w:rPr>
      </w:pPr>
    </w:p>
    <w:p>
      <w:pPr>
        <w:sectPr>
          <w:pgSz w:w="11900" w:h="16838" w:orient="portrait"/>
          <w:cols w:equalWidth="0" w:num="4">
            <w:col w:w="2160" w:space="720"/>
            <w:col w:w="2120" w:space="720"/>
            <w:col w:w="2540" w:space="320"/>
            <w:col w:w="2840"/>
          </w:cols>
          <w:pgMar w:left="240" w:top="297" w:right="239" w:bottom="1440" w:gutter="0" w:footer="0" w:header="0"/>
          <w:type w:val="continuous"/>
        </w:sectPr>
      </w:pPr>
    </w:p>
    <w:p>
      <w:pPr>
        <w:spacing w:after="0" w:line="38"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Exchange Act). Yes o No x</w:t>
      </w:r>
    </w:p>
    <w:p>
      <w:pPr>
        <w:spacing w:after="0" w:line="27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APPLICABLE ONLY TO CORPORATE ISSUERS:</w:t>
      </w:r>
    </w:p>
    <w:p>
      <w:pPr>
        <w:spacing w:after="0" w:line="252" w:lineRule="exact"/>
        <w:rPr>
          <w:sz w:val="24"/>
          <w:szCs w:val="24"/>
          <w:color w:val="auto"/>
        </w:rPr>
      </w:pPr>
    </w:p>
    <w:p>
      <w:pPr>
        <w:spacing w:after="0"/>
        <w:rPr>
          <w:sz w:val="20"/>
          <w:szCs w:val="20"/>
          <w:color w:val="auto"/>
        </w:rPr>
      </w:pPr>
      <w:r>
        <w:rPr>
          <w:rFonts w:ascii="Arial" w:cs="Arial" w:eastAsia="Arial" w:hAnsi="Arial"/>
          <w:sz w:val="17"/>
          <w:szCs w:val="17"/>
          <w:color w:val="auto"/>
        </w:rPr>
        <w:t>The number of shares outstanding of Registrant's Common Stock, par value $1.00 as of December 9, 2013 – 8,531,017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474345</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97" w:right="2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40" w:type="dxa"/>
            <w:vAlign w:val="bottom"/>
            <w:gridSpan w:val="8"/>
          </w:tcPr>
          <w:p>
            <w:pPr>
              <w:jc w:val="center"/>
              <w:ind w:right="1980"/>
              <w:spacing w:after="0"/>
              <w:rPr>
                <w:sz w:val="20"/>
                <w:szCs w:val="20"/>
                <w:color w:val="auto"/>
              </w:rPr>
            </w:pPr>
            <w:r>
              <w:rPr>
                <w:rFonts w:ascii="Arial" w:cs="Arial" w:eastAsia="Arial" w:hAnsi="Arial"/>
                <w:sz w:val="18"/>
                <w:szCs w:val="18"/>
                <w:b w:val="1"/>
                <w:bCs w:val="1"/>
                <w:color w:val="auto"/>
                <w:w w:val="99"/>
              </w:rPr>
              <w:t>FREQUENCY ELECTRONICS, INC. and SUBSIDIARIES</w:t>
            </w:r>
          </w:p>
        </w:tc>
        <w:tc>
          <w:tcPr>
            <w:tcW w:w="66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459"/>
        </w:trPr>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6240" w:type="dxa"/>
            <w:vAlign w:val="bottom"/>
            <w:gridSpan w:val="7"/>
          </w:tcPr>
          <w:p>
            <w:pPr>
              <w:jc w:val="center"/>
              <w:ind w:right="3780"/>
              <w:spacing w:after="0"/>
              <w:rPr>
                <w:sz w:val="20"/>
                <w:szCs w:val="20"/>
                <w:color w:val="auto"/>
              </w:rPr>
            </w:pPr>
            <w:r>
              <w:rPr>
                <w:rFonts w:ascii="Arial" w:cs="Arial" w:eastAsia="Arial" w:hAnsi="Arial"/>
                <w:sz w:val="18"/>
                <w:szCs w:val="18"/>
                <w:color w:val="auto"/>
                <w:w w:val="95"/>
              </w:rPr>
              <w:t>TABLE OF CONTENTS</w:t>
            </w: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19"/>
        </w:trPr>
        <w:tc>
          <w:tcPr>
            <w:tcW w:w="10720" w:type="dxa"/>
            <w:vAlign w:val="bottom"/>
            <w:gridSpan w:val="15"/>
          </w:tcPr>
          <w:p>
            <w:pPr>
              <w:spacing w:after="0"/>
              <w:rPr>
                <w:sz w:val="20"/>
                <w:szCs w:val="20"/>
                <w:color w:val="auto"/>
              </w:rPr>
            </w:pPr>
            <w:r>
              <w:rPr>
                <w:rFonts w:ascii="Arial" w:cs="Arial" w:eastAsia="Arial" w:hAnsi="Arial"/>
                <w:sz w:val="18"/>
                <w:szCs w:val="18"/>
                <w:b w:val="1"/>
                <w:bCs w:val="1"/>
                <w:color w:val="auto"/>
              </w:rPr>
              <w:t>Part I. Financial Information:</w:t>
            </w:r>
          </w:p>
        </w:tc>
        <w:tc>
          <w:tcPr>
            <w:tcW w:w="700" w:type="dxa"/>
            <w:vAlign w:val="bottom"/>
            <w:gridSpan w:val="2"/>
          </w:tcPr>
          <w:p>
            <w:pPr>
              <w:spacing w:after="0"/>
              <w:rPr>
                <w:sz w:val="20"/>
                <w:szCs w:val="20"/>
                <w:color w:val="auto"/>
              </w:rPr>
            </w:pPr>
            <w:r>
              <w:rPr>
                <w:rFonts w:ascii="Arial" w:cs="Arial" w:eastAsia="Arial" w:hAnsi="Arial"/>
                <w:sz w:val="18"/>
                <w:szCs w:val="18"/>
                <w:color w:val="auto"/>
                <w:w w:val="90"/>
              </w:rPr>
              <w:t>Page No.</w:t>
            </w:r>
          </w:p>
        </w:tc>
      </w:tr>
      <w:tr>
        <w:trPr>
          <w:trHeight w:val="412"/>
        </w:trPr>
        <w:tc>
          <w:tcPr>
            <w:tcW w:w="340" w:type="dxa"/>
            <w:vAlign w:val="bottom"/>
          </w:tcPr>
          <w:p>
            <w:pPr>
              <w:spacing w:after="0"/>
              <w:rPr>
                <w:sz w:val="24"/>
                <w:szCs w:val="24"/>
                <w:color w:val="auto"/>
              </w:rPr>
            </w:pPr>
          </w:p>
        </w:tc>
        <w:tc>
          <w:tcPr>
            <w:tcW w:w="480" w:type="dxa"/>
            <w:vAlign w:val="bottom"/>
            <w:gridSpan w:val="2"/>
          </w:tcPr>
          <w:p>
            <w:pPr>
              <w:spacing w:after="0"/>
              <w:rPr>
                <w:rFonts w:ascii="Arial" w:cs="Arial" w:eastAsia="Arial" w:hAnsi="Arial"/>
                <w:sz w:val="18"/>
                <w:szCs w:val="18"/>
                <w:color w:val="0000EE"/>
                <w:w w:val="91"/>
              </w:rPr>
            </w:pPr>
            <w:hyperlink w:anchor="page3">
              <w:r>
                <w:rPr>
                  <w:rFonts w:ascii="Arial" w:cs="Arial" w:eastAsia="Arial" w:hAnsi="Arial"/>
                  <w:sz w:val="18"/>
                  <w:szCs w:val="18"/>
                  <w:color w:val="0000EE"/>
                  <w:w w:val="91"/>
                </w:rPr>
                <w:t>Item 1</w:t>
              </w:r>
            </w:hyperlink>
          </w:p>
        </w:tc>
        <w:tc>
          <w:tcPr>
            <w:tcW w:w="9900" w:type="dxa"/>
            <w:vAlign w:val="bottom"/>
            <w:gridSpan w:val="12"/>
          </w:tcPr>
          <w:p>
            <w:pPr>
              <w:ind w:left="20"/>
              <w:spacing w:after="0"/>
              <w:rPr>
                <w:rFonts w:ascii="Arial" w:cs="Arial" w:eastAsia="Arial" w:hAnsi="Arial"/>
                <w:sz w:val="18"/>
                <w:szCs w:val="18"/>
                <w:color w:val="0000EE"/>
              </w:rPr>
            </w:pPr>
            <w:hyperlink w:anchor="page3">
              <w:r>
                <w:rPr>
                  <w:rFonts w:ascii="Arial" w:cs="Arial" w:eastAsia="Arial" w:hAnsi="Arial"/>
                  <w:sz w:val="18"/>
                  <w:szCs w:val="18"/>
                  <w:color w:val="0000EE"/>
                </w:rPr>
                <w:t>- Financial Statements:</w:t>
              </w:r>
            </w:hyperlink>
          </w:p>
        </w:tc>
        <w:tc>
          <w:tcPr>
            <w:tcW w:w="6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3</w:t>
            </w:r>
          </w:p>
        </w:tc>
        <w:tc>
          <w:tcPr>
            <w:tcW w:w="40" w:type="dxa"/>
            <w:vAlign w:val="bottom"/>
          </w:tcPr>
          <w:p>
            <w:pPr>
              <w:spacing w:after="0"/>
              <w:rPr>
                <w:sz w:val="24"/>
                <w:szCs w:val="24"/>
                <w:color w:val="auto"/>
              </w:rPr>
            </w:pPr>
          </w:p>
        </w:tc>
      </w:tr>
      <w:tr>
        <w:trPr>
          <w:trHeight w:val="20"/>
        </w:trPr>
        <w:tc>
          <w:tcPr>
            <w:tcW w:w="34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12"/>
        </w:trPr>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20" w:type="dxa"/>
            <w:vAlign w:val="bottom"/>
            <w:tcBorders>
              <w:bottom w:val="single" w:sz="8" w:color="0000EE"/>
            </w:tcBorders>
            <w:gridSpan w:val="8"/>
          </w:tcPr>
          <w:p>
            <w:pPr>
              <w:spacing w:after="0"/>
              <w:rPr>
                <w:rFonts w:ascii="Arial" w:cs="Arial" w:eastAsia="Arial" w:hAnsi="Arial"/>
                <w:sz w:val="18"/>
                <w:szCs w:val="18"/>
                <w:color w:val="0000EE"/>
                <w:w w:val="89"/>
              </w:rPr>
            </w:pPr>
            <w:hyperlink w:anchor="page3">
              <w:r>
                <w:rPr>
                  <w:rFonts w:ascii="Arial" w:cs="Arial" w:eastAsia="Arial" w:hAnsi="Arial"/>
                  <w:sz w:val="18"/>
                  <w:szCs w:val="18"/>
                  <w:color w:val="0000EE"/>
                  <w:w w:val="89"/>
                </w:rPr>
                <w:t>Condensed Consolidated Balance Sheets - October 31, 2013 (unaudited) and April 30, 2013</w:t>
              </w:r>
            </w:hyperlink>
          </w:p>
        </w:tc>
        <w:tc>
          <w:tcPr>
            <w:tcW w:w="3600" w:type="dxa"/>
            <w:vAlign w:val="bottom"/>
            <w:gridSpan w:val="5"/>
          </w:tcPr>
          <w:p>
            <w:pPr>
              <w:spacing w:after="0"/>
              <w:rPr>
                <w:sz w:val="24"/>
                <w:szCs w:val="24"/>
                <w:color w:val="auto"/>
              </w:rPr>
            </w:pPr>
          </w:p>
        </w:tc>
        <w:tc>
          <w:tcPr>
            <w:tcW w:w="660" w:type="dxa"/>
            <w:vAlign w:val="bottom"/>
          </w:tcPr>
          <w:p>
            <w:pPr>
              <w:jc w:val="center"/>
              <w:spacing w:after="0"/>
              <w:rPr>
                <w:sz w:val="20"/>
                <w:szCs w:val="20"/>
                <w:color w:val="auto"/>
              </w:rPr>
            </w:pPr>
            <w:r>
              <w:rPr>
                <w:rFonts w:ascii="Arial" w:cs="Arial" w:eastAsia="Arial" w:hAnsi="Arial"/>
                <w:sz w:val="18"/>
                <w:szCs w:val="18"/>
                <w:color w:val="auto"/>
                <w:w w:val="99"/>
              </w:rPr>
              <w:t>3</w:t>
            </w:r>
          </w:p>
        </w:tc>
        <w:tc>
          <w:tcPr>
            <w:tcW w:w="40" w:type="dxa"/>
            <w:vAlign w:val="bottom"/>
          </w:tcPr>
          <w:p>
            <w:pPr>
              <w:spacing w:after="0"/>
              <w:rPr>
                <w:sz w:val="24"/>
                <w:szCs w:val="24"/>
                <w:color w:val="auto"/>
              </w:rPr>
            </w:pPr>
          </w:p>
        </w:tc>
      </w:tr>
      <w:tr>
        <w:trPr>
          <w:trHeight w:val="412"/>
        </w:trPr>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740" w:type="dxa"/>
            <w:vAlign w:val="bottom"/>
            <w:tcBorders>
              <w:bottom w:val="single" w:sz="8" w:color="0000EE"/>
            </w:tcBorders>
            <w:gridSpan w:val="11"/>
          </w:tcPr>
          <w:p>
            <w:pPr>
              <w:spacing w:after="0"/>
              <w:rPr>
                <w:rFonts w:ascii="Arial" w:cs="Arial" w:eastAsia="Arial" w:hAnsi="Arial"/>
                <w:sz w:val="18"/>
                <w:szCs w:val="18"/>
                <w:color w:val="0000EE"/>
                <w:w w:val="89"/>
              </w:rPr>
            </w:pPr>
            <w:hyperlink w:anchor="page4">
              <w:r>
                <w:rPr>
                  <w:rFonts w:ascii="Arial" w:cs="Arial" w:eastAsia="Arial" w:hAnsi="Arial"/>
                  <w:sz w:val="18"/>
                  <w:szCs w:val="18"/>
                  <w:color w:val="0000EE"/>
                  <w:w w:val="89"/>
                </w:rPr>
                <w:t>Condensed Consolidated Statements of Income and Comprehensive Income (unaudited) Six Months Ended October 31, 2013 and 2012</w:t>
              </w:r>
            </w:hyperlink>
          </w:p>
        </w:tc>
        <w:tc>
          <w:tcPr>
            <w:tcW w:w="480" w:type="dxa"/>
            <w:vAlign w:val="bottom"/>
            <w:gridSpan w:val="2"/>
          </w:tcPr>
          <w:p>
            <w:pPr>
              <w:spacing w:after="0"/>
              <w:rPr>
                <w:sz w:val="24"/>
                <w:szCs w:val="24"/>
                <w:color w:val="auto"/>
              </w:rPr>
            </w:pPr>
          </w:p>
        </w:tc>
        <w:tc>
          <w:tcPr>
            <w:tcW w:w="660" w:type="dxa"/>
            <w:vAlign w:val="bottom"/>
          </w:tcPr>
          <w:p>
            <w:pPr>
              <w:jc w:val="center"/>
              <w:spacing w:after="0"/>
              <w:rPr>
                <w:sz w:val="20"/>
                <w:szCs w:val="20"/>
                <w:color w:val="auto"/>
              </w:rPr>
            </w:pPr>
            <w:r>
              <w:rPr>
                <w:rFonts w:ascii="Arial" w:cs="Arial" w:eastAsia="Arial" w:hAnsi="Arial"/>
                <w:sz w:val="18"/>
                <w:szCs w:val="18"/>
                <w:color w:val="auto"/>
                <w:w w:val="99"/>
              </w:rPr>
              <w:t>4</w:t>
            </w:r>
          </w:p>
        </w:tc>
        <w:tc>
          <w:tcPr>
            <w:tcW w:w="40" w:type="dxa"/>
            <w:vAlign w:val="bottom"/>
          </w:tcPr>
          <w:p>
            <w:pPr>
              <w:spacing w:after="0"/>
              <w:rPr>
                <w:sz w:val="24"/>
                <w:szCs w:val="24"/>
                <w:color w:val="auto"/>
              </w:rPr>
            </w:pPr>
          </w:p>
        </w:tc>
      </w:tr>
      <w:tr>
        <w:trPr>
          <w:trHeight w:val="412"/>
        </w:trPr>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920" w:type="dxa"/>
            <w:vAlign w:val="bottom"/>
            <w:tcBorders>
              <w:bottom w:val="single" w:sz="8" w:color="0000EE"/>
            </w:tcBorders>
            <w:gridSpan w:val="12"/>
          </w:tcPr>
          <w:p>
            <w:pPr>
              <w:spacing w:after="0"/>
              <w:rPr>
                <w:rFonts w:ascii="Arial" w:cs="Arial" w:eastAsia="Arial" w:hAnsi="Arial"/>
                <w:sz w:val="18"/>
                <w:szCs w:val="18"/>
                <w:color w:val="0000EE"/>
                <w:w w:val="89"/>
              </w:rPr>
            </w:pPr>
            <w:hyperlink w:anchor="page5">
              <w:r>
                <w:rPr>
                  <w:rFonts w:ascii="Arial" w:cs="Arial" w:eastAsia="Arial" w:hAnsi="Arial"/>
                  <w:sz w:val="18"/>
                  <w:szCs w:val="18"/>
                  <w:color w:val="0000EE"/>
                  <w:w w:val="89"/>
                </w:rPr>
                <w:t>Condensed Consolidated Statements of Income and Comprehensive Income (unaudited) Three Months Ended October 31, 2013 and 2012</w:t>
              </w:r>
            </w:hyperlink>
          </w:p>
        </w:tc>
        <w:tc>
          <w:tcPr>
            <w:tcW w:w="300" w:type="dxa"/>
            <w:vAlign w:val="bottom"/>
          </w:tcPr>
          <w:p>
            <w:pPr>
              <w:spacing w:after="0"/>
              <w:rPr>
                <w:sz w:val="24"/>
                <w:szCs w:val="24"/>
                <w:color w:val="auto"/>
              </w:rPr>
            </w:pPr>
          </w:p>
        </w:tc>
        <w:tc>
          <w:tcPr>
            <w:tcW w:w="660" w:type="dxa"/>
            <w:vAlign w:val="bottom"/>
          </w:tcPr>
          <w:p>
            <w:pPr>
              <w:jc w:val="center"/>
              <w:spacing w:after="0"/>
              <w:rPr>
                <w:sz w:val="20"/>
                <w:szCs w:val="20"/>
                <w:color w:val="auto"/>
              </w:rPr>
            </w:pPr>
            <w:r>
              <w:rPr>
                <w:rFonts w:ascii="Arial" w:cs="Arial" w:eastAsia="Arial" w:hAnsi="Arial"/>
                <w:sz w:val="18"/>
                <w:szCs w:val="18"/>
                <w:color w:val="auto"/>
                <w:w w:val="99"/>
              </w:rPr>
              <w:t>5</w:t>
            </w:r>
          </w:p>
        </w:tc>
        <w:tc>
          <w:tcPr>
            <w:tcW w:w="40" w:type="dxa"/>
            <w:vAlign w:val="bottom"/>
          </w:tcPr>
          <w:p>
            <w:pPr>
              <w:spacing w:after="0"/>
              <w:rPr>
                <w:sz w:val="24"/>
                <w:szCs w:val="24"/>
                <w:color w:val="auto"/>
              </w:rPr>
            </w:pPr>
          </w:p>
        </w:tc>
      </w:tr>
      <w:tr>
        <w:trPr>
          <w:trHeight w:val="412"/>
        </w:trPr>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20" w:type="dxa"/>
            <w:vAlign w:val="bottom"/>
            <w:gridSpan w:val="13"/>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Condensed Consolidated Statements of Cash Flows Six Months Ended October 31, 2013 and 2012</w:t>
              </w:r>
            </w:hyperlink>
          </w:p>
        </w:tc>
        <w:tc>
          <w:tcPr>
            <w:tcW w:w="660" w:type="dxa"/>
            <w:vAlign w:val="bottom"/>
          </w:tcPr>
          <w:p>
            <w:pPr>
              <w:jc w:val="center"/>
              <w:spacing w:after="0"/>
              <w:rPr>
                <w:sz w:val="20"/>
                <w:szCs w:val="20"/>
                <w:color w:val="auto"/>
              </w:rPr>
            </w:pPr>
            <w:r>
              <w:rPr>
                <w:rFonts w:ascii="Arial" w:cs="Arial" w:eastAsia="Arial" w:hAnsi="Arial"/>
                <w:sz w:val="18"/>
                <w:szCs w:val="18"/>
                <w:color w:val="auto"/>
                <w:w w:val="99"/>
              </w:rPr>
              <w:t>6</w:t>
            </w:r>
          </w:p>
        </w:tc>
        <w:tc>
          <w:tcPr>
            <w:tcW w:w="40" w:type="dxa"/>
            <w:vAlign w:val="bottom"/>
          </w:tcPr>
          <w:p>
            <w:pPr>
              <w:spacing w:after="0"/>
              <w:rPr>
                <w:sz w:val="24"/>
                <w:szCs w:val="24"/>
                <w:color w:val="auto"/>
              </w:rPr>
            </w:pPr>
          </w:p>
        </w:tc>
      </w:tr>
      <w:tr>
        <w:trPr>
          <w:trHeight w:val="412"/>
        </w:trPr>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100" w:type="dxa"/>
            <w:vAlign w:val="bottom"/>
            <w:tcBorders>
              <w:top w:val="single" w:sz="8" w:color="0000EE"/>
            </w:tcBorders>
            <w:gridSpan w:val="10"/>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Notes to Condensed Consolidated Financial Statements</w:t>
              </w:r>
            </w:hyperlink>
          </w:p>
        </w:tc>
        <w:tc>
          <w:tcPr>
            <w:tcW w:w="3120" w:type="dxa"/>
            <w:vAlign w:val="bottom"/>
            <w:gridSpan w:val="3"/>
          </w:tcPr>
          <w:p>
            <w:pPr>
              <w:spacing w:after="0"/>
              <w:rPr>
                <w:sz w:val="24"/>
                <w:szCs w:val="24"/>
                <w:color w:val="auto"/>
              </w:rPr>
            </w:pPr>
          </w:p>
        </w:tc>
        <w:tc>
          <w:tcPr>
            <w:tcW w:w="660" w:type="dxa"/>
            <w:vAlign w:val="bottom"/>
          </w:tcPr>
          <w:p>
            <w:pPr>
              <w:jc w:val="center"/>
              <w:spacing w:after="0"/>
              <w:rPr>
                <w:sz w:val="20"/>
                <w:szCs w:val="20"/>
                <w:color w:val="auto"/>
              </w:rPr>
            </w:pPr>
            <w:r>
              <w:rPr>
                <w:rFonts w:ascii="Arial" w:cs="Arial" w:eastAsia="Arial" w:hAnsi="Arial"/>
                <w:sz w:val="18"/>
                <w:szCs w:val="18"/>
                <w:color w:val="auto"/>
                <w:w w:val="94"/>
              </w:rPr>
              <w:t>7-13</w:t>
            </w:r>
          </w:p>
        </w:tc>
        <w:tc>
          <w:tcPr>
            <w:tcW w:w="40" w:type="dxa"/>
            <w:vAlign w:val="bottom"/>
          </w:tcPr>
          <w:p>
            <w:pPr>
              <w:spacing w:after="0"/>
              <w:rPr>
                <w:sz w:val="24"/>
                <w:szCs w:val="24"/>
                <w:color w:val="auto"/>
              </w:rPr>
            </w:pPr>
          </w:p>
        </w:tc>
      </w:tr>
      <w:tr>
        <w:trPr>
          <w:trHeight w:val="20"/>
        </w:trPr>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140" w:type="dxa"/>
            <w:vAlign w:val="bottom"/>
            <w:gridSpan w:val="2"/>
            <w:shd w:val="clear" w:color="auto" w:fill="0000EE"/>
          </w:tcPr>
          <w:p>
            <w:pPr>
              <w:spacing w:after="0" w:line="20" w:lineRule="exact"/>
              <w:rPr>
                <w:sz w:val="1"/>
                <w:szCs w:val="1"/>
                <w:color w:val="auto"/>
              </w:rPr>
            </w:pPr>
          </w:p>
        </w:tc>
        <w:tc>
          <w:tcPr>
            <w:tcW w:w="1800" w:type="dxa"/>
            <w:vAlign w:val="bottom"/>
            <w:shd w:val="clear" w:color="auto" w:fill="0000EE"/>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3340" w:type="dxa"/>
            <w:vAlign w:val="bottom"/>
            <w:gridSpan w:val="4"/>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12"/>
        </w:trPr>
        <w:tc>
          <w:tcPr>
            <w:tcW w:w="340" w:type="dxa"/>
            <w:vAlign w:val="bottom"/>
          </w:tcPr>
          <w:p>
            <w:pPr>
              <w:spacing w:after="0"/>
              <w:rPr>
                <w:sz w:val="24"/>
                <w:szCs w:val="24"/>
                <w:color w:val="auto"/>
              </w:rPr>
            </w:pPr>
          </w:p>
        </w:tc>
        <w:tc>
          <w:tcPr>
            <w:tcW w:w="480" w:type="dxa"/>
            <w:vAlign w:val="bottom"/>
            <w:gridSpan w:val="2"/>
          </w:tcPr>
          <w:p>
            <w:pPr>
              <w:spacing w:after="0"/>
              <w:rPr>
                <w:rFonts w:ascii="Arial" w:cs="Arial" w:eastAsia="Arial" w:hAnsi="Arial"/>
                <w:sz w:val="18"/>
                <w:szCs w:val="18"/>
                <w:color w:val="0000EE"/>
                <w:w w:val="91"/>
              </w:rPr>
            </w:pPr>
            <w:hyperlink w:anchor="page14">
              <w:r>
                <w:rPr>
                  <w:rFonts w:ascii="Arial" w:cs="Arial" w:eastAsia="Arial" w:hAnsi="Arial"/>
                  <w:sz w:val="18"/>
                  <w:szCs w:val="18"/>
                  <w:color w:val="0000EE"/>
                  <w:w w:val="91"/>
                </w:rPr>
                <w:t>Item 2</w:t>
              </w:r>
            </w:hyperlink>
          </w:p>
        </w:tc>
        <w:tc>
          <w:tcPr>
            <w:tcW w:w="9900" w:type="dxa"/>
            <w:vAlign w:val="bottom"/>
            <w:gridSpan w:val="12"/>
          </w:tcPr>
          <w:p>
            <w:pPr>
              <w:ind w:left="20"/>
              <w:spacing w:after="0"/>
              <w:rPr>
                <w:rFonts w:ascii="Arial" w:cs="Arial" w:eastAsia="Arial" w:hAnsi="Arial"/>
                <w:sz w:val="18"/>
                <w:szCs w:val="18"/>
                <w:color w:val="0000EE"/>
              </w:rPr>
            </w:pPr>
            <w:hyperlink w:anchor="page14">
              <w:r>
                <w:rPr>
                  <w:rFonts w:ascii="Arial" w:cs="Arial" w:eastAsia="Arial" w:hAnsi="Arial"/>
                  <w:sz w:val="18"/>
                  <w:szCs w:val="18"/>
                  <w:color w:val="0000EE"/>
                </w:rPr>
                <w:t>- Management's Discussion and Analysis of Financial Condition and Results of Operations</w:t>
              </w:r>
            </w:hyperlink>
          </w:p>
        </w:tc>
        <w:tc>
          <w:tcPr>
            <w:tcW w:w="660" w:type="dxa"/>
            <w:vAlign w:val="bottom"/>
          </w:tcPr>
          <w:p>
            <w:pPr>
              <w:jc w:val="center"/>
              <w:spacing w:after="0"/>
              <w:rPr>
                <w:sz w:val="20"/>
                <w:szCs w:val="20"/>
                <w:color w:val="auto"/>
              </w:rPr>
            </w:pPr>
            <w:r>
              <w:rPr>
                <w:rFonts w:ascii="Arial" w:cs="Arial" w:eastAsia="Arial" w:hAnsi="Arial"/>
                <w:sz w:val="18"/>
                <w:szCs w:val="18"/>
                <w:color w:val="auto"/>
                <w:w w:val="91"/>
              </w:rPr>
              <w:t>14-21</w:t>
            </w:r>
          </w:p>
        </w:tc>
        <w:tc>
          <w:tcPr>
            <w:tcW w:w="40" w:type="dxa"/>
            <w:vAlign w:val="bottom"/>
          </w:tcPr>
          <w:p>
            <w:pPr>
              <w:spacing w:after="0"/>
              <w:rPr>
                <w:sz w:val="24"/>
                <w:szCs w:val="24"/>
                <w:color w:val="auto"/>
              </w:rPr>
            </w:pPr>
          </w:p>
        </w:tc>
      </w:tr>
      <w:tr>
        <w:trPr>
          <w:trHeight w:val="412"/>
        </w:trPr>
        <w:tc>
          <w:tcPr>
            <w:tcW w:w="340" w:type="dxa"/>
            <w:vAlign w:val="bottom"/>
          </w:tcPr>
          <w:p>
            <w:pPr>
              <w:spacing w:after="0"/>
              <w:rPr>
                <w:sz w:val="24"/>
                <w:szCs w:val="24"/>
                <w:color w:val="auto"/>
              </w:rPr>
            </w:pPr>
          </w:p>
        </w:tc>
        <w:tc>
          <w:tcPr>
            <w:tcW w:w="480" w:type="dxa"/>
            <w:vAlign w:val="bottom"/>
            <w:tcBorders>
              <w:top w:val="single" w:sz="8" w:color="0000EE"/>
            </w:tcBorders>
            <w:gridSpan w:val="2"/>
          </w:tcPr>
          <w:p>
            <w:pPr>
              <w:spacing w:after="0"/>
              <w:rPr>
                <w:rFonts w:ascii="Arial" w:cs="Arial" w:eastAsia="Arial" w:hAnsi="Arial"/>
                <w:sz w:val="18"/>
                <w:szCs w:val="18"/>
                <w:color w:val="0000EE"/>
                <w:w w:val="91"/>
              </w:rPr>
            </w:pPr>
            <w:hyperlink w:anchor="page21">
              <w:r>
                <w:rPr>
                  <w:rFonts w:ascii="Arial" w:cs="Arial" w:eastAsia="Arial" w:hAnsi="Arial"/>
                  <w:sz w:val="18"/>
                  <w:szCs w:val="18"/>
                  <w:color w:val="0000EE"/>
                  <w:w w:val="91"/>
                </w:rPr>
                <w:t>Item 3</w:t>
              </w:r>
            </w:hyperlink>
          </w:p>
        </w:tc>
        <w:tc>
          <w:tcPr>
            <w:tcW w:w="6560" w:type="dxa"/>
            <w:vAlign w:val="bottom"/>
            <w:tcBorders>
              <w:top w:val="single" w:sz="8" w:color="0000EE"/>
            </w:tcBorders>
            <w:gridSpan w:val="8"/>
          </w:tcPr>
          <w:p>
            <w:pPr>
              <w:ind w:left="20"/>
              <w:spacing w:after="0"/>
              <w:rPr>
                <w:rFonts w:ascii="Arial" w:cs="Arial" w:eastAsia="Arial" w:hAnsi="Arial"/>
                <w:sz w:val="18"/>
                <w:szCs w:val="18"/>
                <w:color w:val="0000EE"/>
              </w:rPr>
            </w:pPr>
            <w:hyperlink w:anchor="page21">
              <w:r>
                <w:rPr>
                  <w:rFonts w:ascii="Arial" w:cs="Arial" w:eastAsia="Arial" w:hAnsi="Arial"/>
                  <w:sz w:val="18"/>
                  <w:szCs w:val="18"/>
                  <w:color w:val="0000EE"/>
                </w:rPr>
                <w:t>– Quantitative and Qualitative Disclosures about Market Risk</w:t>
              </w:r>
            </w:hyperlink>
          </w:p>
        </w:tc>
        <w:tc>
          <w:tcPr>
            <w:tcW w:w="3340" w:type="dxa"/>
            <w:vAlign w:val="bottom"/>
            <w:gridSpan w:val="4"/>
          </w:tcPr>
          <w:p>
            <w:pPr>
              <w:spacing w:after="0"/>
              <w:rPr>
                <w:sz w:val="24"/>
                <w:szCs w:val="24"/>
                <w:color w:val="auto"/>
              </w:rPr>
            </w:pPr>
          </w:p>
        </w:tc>
        <w:tc>
          <w:tcPr>
            <w:tcW w:w="660" w:type="dxa"/>
            <w:vAlign w:val="bottom"/>
          </w:tcPr>
          <w:p>
            <w:pPr>
              <w:jc w:val="center"/>
              <w:spacing w:after="0"/>
              <w:rPr>
                <w:sz w:val="20"/>
                <w:szCs w:val="20"/>
                <w:color w:val="auto"/>
              </w:rPr>
            </w:pPr>
            <w:r>
              <w:rPr>
                <w:rFonts w:ascii="Arial" w:cs="Arial" w:eastAsia="Arial" w:hAnsi="Arial"/>
                <w:sz w:val="18"/>
                <w:szCs w:val="18"/>
                <w:color w:val="auto"/>
                <w:w w:val="89"/>
              </w:rPr>
              <w:t>21</w:t>
            </w:r>
          </w:p>
        </w:tc>
        <w:tc>
          <w:tcPr>
            <w:tcW w:w="40" w:type="dxa"/>
            <w:vAlign w:val="bottom"/>
          </w:tcPr>
          <w:p>
            <w:pPr>
              <w:spacing w:after="0"/>
              <w:rPr>
                <w:sz w:val="24"/>
                <w:szCs w:val="24"/>
                <w:color w:val="auto"/>
              </w:rPr>
            </w:pPr>
          </w:p>
        </w:tc>
      </w:tr>
      <w:tr>
        <w:trPr>
          <w:trHeight w:val="412"/>
        </w:trPr>
        <w:tc>
          <w:tcPr>
            <w:tcW w:w="340" w:type="dxa"/>
            <w:vAlign w:val="bottom"/>
          </w:tcPr>
          <w:p>
            <w:pPr>
              <w:spacing w:after="0"/>
              <w:rPr>
                <w:sz w:val="24"/>
                <w:szCs w:val="24"/>
                <w:color w:val="auto"/>
              </w:rPr>
            </w:pPr>
          </w:p>
        </w:tc>
        <w:tc>
          <w:tcPr>
            <w:tcW w:w="2340" w:type="dxa"/>
            <w:vAlign w:val="bottom"/>
            <w:tcBorders>
              <w:top w:val="single" w:sz="8" w:color="0000EE"/>
              <w:bottom w:val="single" w:sz="8" w:color="0000EE"/>
            </w:tcBorders>
            <w:gridSpan w:val="6"/>
          </w:tcPr>
          <w:p>
            <w:pPr>
              <w:spacing w:after="0"/>
              <w:rPr>
                <w:rFonts w:ascii="Arial" w:cs="Arial" w:eastAsia="Arial" w:hAnsi="Arial"/>
                <w:sz w:val="18"/>
                <w:szCs w:val="18"/>
                <w:color w:val="0000EE"/>
                <w:w w:val="89"/>
              </w:rPr>
            </w:pPr>
            <w:hyperlink w:anchor="page22">
              <w:r>
                <w:rPr>
                  <w:rFonts w:ascii="Arial" w:cs="Arial" w:eastAsia="Arial" w:hAnsi="Arial"/>
                  <w:sz w:val="18"/>
                  <w:szCs w:val="18"/>
                  <w:color w:val="0000EE"/>
                  <w:w w:val="89"/>
                </w:rPr>
                <w:t>Item 4- Controls and Procedures</w:t>
              </w:r>
            </w:hyperlink>
          </w:p>
        </w:tc>
        <w:tc>
          <w:tcPr>
            <w:tcW w:w="2600" w:type="dxa"/>
            <w:vAlign w:val="bottom"/>
            <w:tcBorders>
              <w:top w:val="single" w:sz="8" w:color="0000EE"/>
            </w:tcBorders>
            <w:gridSpan w:val="2"/>
          </w:tcPr>
          <w:p>
            <w:pPr>
              <w:spacing w:after="0"/>
              <w:rPr>
                <w:sz w:val="24"/>
                <w:szCs w:val="24"/>
                <w:color w:val="auto"/>
              </w:rPr>
            </w:pPr>
          </w:p>
        </w:tc>
        <w:tc>
          <w:tcPr>
            <w:tcW w:w="5440" w:type="dxa"/>
            <w:vAlign w:val="bottom"/>
            <w:gridSpan w:val="6"/>
          </w:tcPr>
          <w:p>
            <w:pPr>
              <w:spacing w:after="0"/>
              <w:rPr>
                <w:sz w:val="24"/>
                <w:szCs w:val="24"/>
                <w:color w:val="auto"/>
              </w:rPr>
            </w:pPr>
          </w:p>
        </w:tc>
        <w:tc>
          <w:tcPr>
            <w:tcW w:w="660" w:type="dxa"/>
            <w:vAlign w:val="bottom"/>
          </w:tcPr>
          <w:p>
            <w:pPr>
              <w:jc w:val="center"/>
              <w:spacing w:after="0"/>
              <w:rPr>
                <w:sz w:val="20"/>
                <w:szCs w:val="20"/>
                <w:color w:val="auto"/>
              </w:rPr>
            </w:pPr>
            <w:r>
              <w:rPr>
                <w:rFonts w:ascii="Arial" w:cs="Arial" w:eastAsia="Arial" w:hAnsi="Arial"/>
                <w:sz w:val="18"/>
                <w:szCs w:val="18"/>
                <w:color w:val="auto"/>
                <w:w w:val="89"/>
              </w:rPr>
              <w:t>22</w:t>
            </w:r>
          </w:p>
        </w:tc>
        <w:tc>
          <w:tcPr>
            <w:tcW w:w="40" w:type="dxa"/>
            <w:vAlign w:val="bottom"/>
          </w:tcPr>
          <w:p>
            <w:pPr>
              <w:spacing w:after="0"/>
              <w:rPr>
                <w:sz w:val="24"/>
                <w:szCs w:val="24"/>
                <w:color w:val="auto"/>
              </w:rPr>
            </w:pPr>
          </w:p>
        </w:tc>
      </w:tr>
      <w:tr>
        <w:trPr>
          <w:trHeight w:val="453"/>
        </w:trPr>
        <w:tc>
          <w:tcPr>
            <w:tcW w:w="10720" w:type="dxa"/>
            <w:vAlign w:val="bottom"/>
            <w:gridSpan w:val="15"/>
          </w:tcPr>
          <w:p>
            <w:pPr>
              <w:spacing w:after="0"/>
              <w:rPr>
                <w:sz w:val="20"/>
                <w:szCs w:val="20"/>
                <w:color w:val="auto"/>
              </w:rPr>
            </w:pPr>
            <w:r>
              <w:rPr>
                <w:rFonts w:ascii="Arial" w:cs="Arial" w:eastAsia="Arial" w:hAnsi="Arial"/>
                <w:sz w:val="18"/>
                <w:szCs w:val="18"/>
                <w:b w:val="1"/>
                <w:bCs w:val="1"/>
                <w:color w:val="auto"/>
              </w:rPr>
              <w:t>Part II. Other Information:</w:t>
            </w: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92"/>
        </w:trPr>
        <w:tc>
          <w:tcPr>
            <w:tcW w:w="340" w:type="dxa"/>
            <w:vAlign w:val="bottom"/>
          </w:tcPr>
          <w:p>
            <w:pPr>
              <w:spacing w:after="0"/>
              <w:rPr>
                <w:sz w:val="24"/>
                <w:szCs w:val="24"/>
                <w:color w:val="auto"/>
              </w:rPr>
            </w:pPr>
          </w:p>
        </w:tc>
        <w:tc>
          <w:tcPr>
            <w:tcW w:w="480" w:type="dxa"/>
            <w:vAlign w:val="bottom"/>
            <w:gridSpan w:val="2"/>
          </w:tcPr>
          <w:p>
            <w:pPr>
              <w:spacing w:after="0"/>
              <w:rPr>
                <w:rFonts w:ascii="Arial" w:cs="Arial" w:eastAsia="Arial" w:hAnsi="Arial"/>
                <w:sz w:val="18"/>
                <w:szCs w:val="18"/>
                <w:color w:val="0000EE"/>
                <w:w w:val="91"/>
              </w:rPr>
            </w:pPr>
            <w:hyperlink w:anchor="page23">
              <w:r>
                <w:rPr>
                  <w:rFonts w:ascii="Arial" w:cs="Arial" w:eastAsia="Arial" w:hAnsi="Arial"/>
                  <w:sz w:val="18"/>
                  <w:szCs w:val="18"/>
                  <w:color w:val="0000EE"/>
                  <w:w w:val="91"/>
                </w:rPr>
                <w:t>Item 6</w:t>
              </w:r>
            </w:hyperlink>
          </w:p>
        </w:tc>
        <w:tc>
          <w:tcPr>
            <w:tcW w:w="9900" w:type="dxa"/>
            <w:vAlign w:val="bottom"/>
            <w:gridSpan w:val="12"/>
          </w:tcPr>
          <w:p>
            <w:pPr>
              <w:ind w:left="20"/>
              <w:spacing w:after="0"/>
              <w:rPr>
                <w:rFonts w:ascii="Arial" w:cs="Arial" w:eastAsia="Arial" w:hAnsi="Arial"/>
                <w:sz w:val="18"/>
                <w:szCs w:val="18"/>
                <w:color w:val="0000EE"/>
              </w:rPr>
            </w:pPr>
            <w:hyperlink w:anchor="page23">
              <w:r>
                <w:rPr>
                  <w:rFonts w:ascii="Arial" w:cs="Arial" w:eastAsia="Arial" w:hAnsi="Arial"/>
                  <w:sz w:val="18"/>
                  <w:szCs w:val="18"/>
                  <w:color w:val="0000EE"/>
                </w:rPr>
                <w:t>- Exhibits</w:t>
              </w:r>
            </w:hyperlink>
          </w:p>
        </w:tc>
        <w:tc>
          <w:tcPr>
            <w:tcW w:w="660" w:type="dxa"/>
            <w:vAlign w:val="bottom"/>
          </w:tcPr>
          <w:p>
            <w:pPr>
              <w:jc w:val="center"/>
              <w:spacing w:after="0"/>
              <w:rPr>
                <w:sz w:val="20"/>
                <w:szCs w:val="20"/>
                <w:color w:val="auto"/>
              </w:rPr>
            </w:pPr>
            <w:r>
              <w:rPr>
                <w:rFonts w:ascii="Arial" w:cs="Arial" w:eastAsia="Arial" w:hAnsi="Arial"/>
                <w:sz w:val="18"/>
                <w:szCs w:val="18"/>
                <w:color w:val="auto"/>
                <w:w w:val="89"/>
              </w:rPr>
              <w:t>23</w:t>
            </w:r>
          </w:p>
        </w:tc>
        <w:tc>
          <w:tcPr>
            <w:tcW w:w="40" w:type="dxa"/>
            <w:vAlign w:val="bottom"/>
          </w:tcPr>
          <w:p>
            <w:pPr>
              <w:spacing w:after="0"/>
              <w:rPr>
                <w:sz w:val="24"/>
                <w:szCs w:val="24"/>
                <w:color w:val="auto"/>
              </w:rPr>
            </w:pPr>
          </w:p>
        </w:tc>
      </w:tr>
      <w:tr>
        <w:trPr>
          <w:trHeight w:val="412"/>
        </w:trPr>
        <w:tc>
          <w:tcPr>
            <w:tcW w:w="340" w:type="dxa"/>
            <w:vAlign w:val="bottom"/>
          </w:tcPr>
          <w:p>
            <w:pPr>
              <w:spacing w:after="0"/>
              <w:rPr>
                <w:sz w:val="24"/>
                <w:szCs w:val="24"/>
                <w:color w:val="auto"/>
              </w:rPr>
            </w:pPr>
          </w:p>
        </w:tc>
        <w:tc>
          <w:tcPr>
            <w:tcW w:w="1200" w:type="dxa"/>
            <w:vAlign w:val="bottom"/>
            <w:tcBorders>
              <w:top w:val="single" w:sz="8" w:color="0000EE"/>
            </w:tcBorders>
            <w:gridSpan w:val="4"/>
          </w:tcPr>
          <w:p>
            <w:pPr>
              <w:spacing w:after="0"/>
              <w:rPr>
                <w:rFonts w:ascii="Arial" w:cs="Arial" w:eastAsia="Arial" w:hAnsi="Arial"/>
                <w:sz w:val="18"/>
                <w:szCs w:val="18"/>
                <w:color w:val="0000EE"/>
              </w:rPr>
            </w:pPr>
            <w:hyperlink w:anchor="page24">
              <w:r>
                <w:rPr>
                  <w:rFonts w:ascii="Arial" w:cs="Arial" w:eastAsia="Arial" w:hAnsi="Arial"/>
                  <w:sz w:val="18"/>
                  <w:szCs w:val="18"/>
                  <w:color w:val="0000EE"/>
                </w:rPr>
                <w:t>Signatures</w:t>
              </w:r>
            </w:hyperlink>
          </w:p>
        </w:tc>
        <w:tc>
          <w:tcPr>
            <w:tcW w:w="9180" w:type="dxa"/>
            <w:vAlign w:val="bottom"/>
            <w:gridSpan w:val="10"/>
          </w:tcPr>
          <w:p>
            <w:pPr>
              <w:spacing w:after="0"/>
              <w:rPr>
                <w:sz w:val="24"/>
                <w:szCs w:val="24"/>
                <w:color w:val="auto"/>
              </w:rPr>
            </w:pPr>
          </w:p>
        </w:tc>
        <w:tc>
          <w:tcPr>
            <w:tcW w:w="660" w:type="dxa"/>
            <w:vAlign w:val="bottom"/>
          </w:tcPr>
          <w:p>
            <w:pPr>
              <w:jc w:val="center"/>
              <w:spacing w:after="0"/>
              <w:rPr>
                <w:sz w:val="20"/>
                <w:szCs w:val="20"/>
                <w:color w:val="auto"/>
              </w:rPr>
            </w:pPr>
            <w:r>
              <w:rPr>
                <w:rFonts w:ascii="Arial" w:cs="Arial" w:eastAsia="Arial" w:hAnsi="Arial"/>
                <w:sz w:val="18"/>
                <w:szCs w:val="18"/>
                <w:color w:val="auto"/>
                <w:w w:val="89"/>
              </w:rPr>
              <w:t>24</w:t>
            </w:r>
          </w:p>
        </w:tc>
        <w:tc>
          <w:tcPr>
            <w:tcW w:w="40" w:type="dxa"/>
            <w:vAlign w:val="bottom"/>
          </w:tcPr>
          <w:p>
            <w:pPr>
              <w:spacing w:after="0"/>
              <w:rPr>
                <w:sz w:val="24"/>
                <w:szCs w:val="24"/>
                <w:color w:val="auto"/>
              </w:rPr>
            </w:pPr>
          </w:p>
        </w:tc>
      </w:tr>
      <w:tr>
        <w:trPr>
          <w:trHeight w:val="774"/>
        </w:trPr>
        <w:tc>
          <w:tcPr>
            <w:tcW w:w="340" w:type="dxa"/>
            <w:vAlign w:val="bottom"/>
            <w:tcBorders>
              <w:bottom w:val="single" w:sz="8" w:color="808080"/>
            </w:tcBorders>
          </w:tcPr>
          <w:p>
            <w:pPr>
              <w:spacing w:after="0"/>
              <w:rPr>
                <w:sz w:val="24"/>
                <w:szCs w:val="24"/>
                <w:color w:val="auto"/>
              </w:rPr>
            </w:pPr>
          </w:p>
        </w:tc>
        <w:tc>
          <w:tcPr>
            <w:tcW w:w="160" w:type="dxa"/>
            <w:vAlign w:val="bottom"/>
            <w:tcBorders>
              <w:top w:val="single" w:sz="8" w:color="0000EE"/>
              <w:bottom w:val="single" w:sz="8" w:color="808080"/>
            </w:tcBorders>
          </w:tcPr>
          <w:p>
            <w:pPr>
              <w:spacing w:after="0"/>
              <w:rPr>
                <w:sz w:val="24"/>
                <w:szCs w:val="24"/>
                <w:color w:val="auto"/>
              </w:rPr>
            </w:pPr>
          </w:p>
        </w:tc>
        <w:tc>
          <w:tcPr>
            <w:tcW w:w="320" w:type="dxa"/>
            <w:vAlign w:val="bottom"/>
            <w:tcBorders>
              <w:top w:val="single" w:sz="8" w:color="0000EE"/>
              <w:bottom w:val="single" w:sz="8" w:color="808080"/>
            </w:tcBorders>
          </w:tcPr>
          <w:p>
            <w:pPr>
              <w:spacing w:after="0"/>
              <w:rPr>
                <w:sz w:val="24"/>
                <w:szCs w:val="24"/>
                <w:color w:val="auto"/>
              </w:rPr>
            </w:pPr>
          </w:p>
        </w:tc>
        <w:tc>
          <w:tcPr>
            <w:tcW w:w="280" w:type="dxa"/>
            <w:vAlign w:val="bottom"/>
            <w:tcBorders>
              <w:top w:val="single" w:sz="8" w:color="0000EE"/>
              <w:bottom w:val="single" w:sz="8" w:color="808080"/>
            </w:tcBorders>
          </w:tcPr>
          <w:p>
            <w:pPr>
              <w:spacing w:after="0"/>
              <w:rPr>
                <w:sz w:val="24"/>
                <w:szCs w:val="24"/>
                <w:color w:val="auto"/>
              </w:rPr>
            </w:pPr>
          </w:p>
        </w:tc>
        <w:tc>
          <w:tcPr>
            <w:tcW w:w="440" w:type="dxa"/>
            <w:vAlign w:val="bottom"/>
            <w:tcBorders>
              <w:bottom w:val="single" w:sz="8" w:color="808080"/>
            </w:tcBorders>
          </w:tcPr>
          <w:p>
            <w:pPr>
              <w:spacing w:after="0"/>
              <w:rPr>
                <w:sz w:val="24"/>
                <w:szCs w:val="24"/>
                <w:color w:val="auto"/>
              </w:rPr>
            </w:pPr>
          </w:p>
        </w:tc>
        <w:tc>
          <w:tcPr>
            <w:tcW w:w="96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180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1840" w:type="dxa"/>
            <w:vAlign w:val="bottom"/>
            <w:tcBorders>
              <w:bottom w:val="single" w:sz="8" w:color="808080"/>
            </w:tcBorders>
          </w:tcPr>
          <w:p>
            <w:pPr>
              <w:spacing w:after="0"/>
              <w:rPr>
                <w:sz w:val="24"/>
                <w:szCs w:val="24"/>
                <w:color w:val="auto"/>
              </w:rPr>
            </w:pPr>
          </w:p>
        </w:tc>
        <w:tc>
          <w:tcPr>
            <w:tcW w:w="26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264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300" w:type="dxa"/>
            <w:vAlign w:val="bottom"/>
            <w:tcBorders>
              <w:bottom w:val="single" w:sz="8" w:color="808080"/>
            </w:tcBorders>
          </w:tcPr>
          <w:p>
            <w:pPr>
              <w:spacing w:after="0"/>
              <w:rPr>
                <w:sz w:val="24"/>
                <w:szCs w:val="24"/>
                <w:color w:val="auto"/>
              </w:rPr>
            </w:pPr>
          </w:p>
        </w:tc>
        <w:tc>
          <w:tcPr>
            <w:tcW w:w="66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607" w:right="2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5520" w:type="dxa"/>
            <w:vAlign w:val="bottom"/>
          </w:tcPr>
          <w:p>
            <w:pPr>
              <w:ind w:left="3160"/>
              <w:spacing w:after="0"/>
              <w:rPr>
                <w:sz w:val="20"/>
                <w:szCs w:val="20"/>
                <w:color w:val="auto"/>
              </w:rPr>
            </w:pPr>
            <w:r>
              <w:rPr>
                <w:rFonts w:ascii="Arial" w:cs="Arial" w:eastAsia="Arial" w:hAnsi="Arial"/>
                <w:sz w:val="18"/>
                <w:szCs w:val="18"/>
                <w:b w:val="1"/>
                <w:bCs w:val="1"/>
                <w:color w:val="auto"/>
              </w:rPr>
              <w:t>PART I</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9"/>
        </w:trPr>
        <w:tc>
          <w:tcPr>
            <w:tcW w:w="7780" w:type="dxa"/>
            <w:vAlign w:val="bottom"/>
            <w:gridSpan w:val="4"/>
          </w:tcPr>
          <w:p>
            <w:pPr>
              <w:spacing w:after="0"/>
              <w:rPr>
                <w:sz w:val="20"/>
                <w:szCs w:val="20"/>
                <w:color w:val="auto"/>
              </w:rPr>
            </w:pPr>
            <w:r>
              <w:rPr>
                <w:rFonts w:ascii="Arial" w:cs="Arial" w:eastAsia="Arial" w:hAnsi="Arial"/>
                <w:sz w:val="18"/>
                <w:szCs w:val="18"/>
                <w:b w:val="1"/>
                <w:bCs w:val="1"/>
                <w:color w:val="auto"/>
              </w:rPr>
              <w:t>Item 1. Financial Statements</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1"/>
        </w:trPr>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20" w:type="dxa"/>
            <w:vAlign w:val="bottom"/>
            <w:tcBorders>
              <w:top w:val="single" w:sz="8" w:color="auto"/>
            </w:tcBorders>
          </w:tcPr>
          <w:p>
            <w:pPr>
              <w:spacing w:after="0"/>
              <w:rPr>
                <w:sz w:val="24"/>
                <w:szCs w:val="24"/>
                <w:color w:val="auto"/>
              </w:rPr>
            </w:pPr>
          </w:p>
        </w:tc>
        <w:tc>
          <w:tcPr>
            <w:tcW w:w="5520" w:type="dxa"/>
            <w:vAlign w:val="bottom"/>
          </w:tcPr>
          <w:p>
            <w:pPr>
              <w:jc w:val="center"/>
              <w:ind w:left="650"/>
              <w:spacing w:after="0"/>
              <w:rPr>
                <w:sz w:val="20"/>
                <w:szCs w:val="20"/>
                <w:color w:val="auto"/>
              </w:rPr>
            </w:pPr>
            <w:r>
              <w:rPr>
                <w:rFonts w:ascii="Arial" w:cs="Arial" w:eastAsia="Arial" w:hAnsi="Arial"/>
                <w:sz w:val="18"/>
                <w:szCs w:val="18"/>
                <w:b w:val="1"/>
                <w:bCs w:val="1"/>
                <w:color w:val="auto"/>
                <w:w w:val="99"/>
              </w:rPr>
              <w:t>FREQUENCY ELECTRONICS, INC. and SUBSIDIARIES</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5520" w:type="dxa"/>
            <w:vAlign w:val="bottom"/>
          </w:tcPr>
          <w:p>
            <w:pPr>
              <w:jc w:val="center"/>
              <w:ind w:left="650"/>
              <w:spacing w:after="0"/>
              <w:rPr>
                <w:sz w:val="20"/>
                <w:szCs w:val="20"/>
                <w:color w:val="auto"/>
              </w:rPr>
            </w:pPr>
            <w:r>
              <w:rPr>
                <w:rFonts w:ascii="Arial" w:cs="Arial" w:eastAsia="Arial" w:hAnsi="Arial"/>
                <w:sz w:val="18"/>
                <w:szCs w:val="18"/>
                <w:b w:val="1"/>
                <w:bCs w:val="1"/>
                <w:color w:val="auto"/>
                <w:w w:val="87"/>
              </w:rPr>
              <w:t>Condensed Consolidated Balance Sheets</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5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0"/>
              </w:rPr>
              <w:t>October 31,</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April 30,</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5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9"/>
              </w:rPr>
              <w:t>2013</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5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00" w:type="dxa"/>
            <w:vAlign w:val="bottom"/>
            <w:gridSpan w:val="2"/>
          </w:tcPr>
          <w:p>
            <w:pPr>
              <w:jc w:val="center"/>
              <w:spacing w:after="0"/>
              <w:rPr>
                <w:sz w:val="20"/>
                <w:szCs w:val="20"/>
                <w:color w:val="auto"/>
              </w:rPr>
            </w:pPr>
            <w:r>
              <w:rPr>
                <w:rFonts w:ascii="Arial" w:cs="Arial" w:eastAsia="Arial" w:hAnsi="Arial"/>
                <w:sz w:val="18"/>
                <w:szCs w:val="18"/>
                <w:color w:val="auto"/>
              </w:rPr>
              <w:t>(UNAUDITED)</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140" w:type="dxa"/>
            <w:vAlign w:val="bottom"/>
            <w:gridSpan w:val="2"/>
            <w:vMerge w:val="restart"/>
          </w:tcPr>
          <w:p>
            <w:pPr>
              <w:ind w:left="340"/>
              <w:spacing w:after="0"/>
              <w:rPr>
                <w:sz w:val="20"/>
                <w:szCs w:val="20"/>
                <w:color w:val="auto"/>
              </w:rPr>
            </w:pPr>
            <w:r>
              <w:rPr>
                <w:rFonts w:ascii="Arial" w:cs="Arial" w:eastAsia="Arial" w:hAnsi="Arial"/>
                <w:sz w:val="18"/>
                <w:szCs w:val="18"/>
                <w:b w:val="1"/>
                <w:bCs w:val="1"/>
                <w:color w:val="auto"/>
              </w:rPr>
              <w:t>ASSETS:</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760" w:type="dxa"/>
            <w:vAlign w:val="bottom"/>
            <w:gridSpan w:val="6"/>
          </w:tcPr>
          <w:p>
            <w:pPr>
              <w:jc w:val="right"/>
              <w:ind w:right="380"/>
              <w:spacing w:after="0"/>
              <w:rPr>
                <w:sz w:val="20"/>
                <w:szCs w:val="20"/>
                <w:color w:val="auto"/>
              </w:rPr>
            </w:pPr>
            <w:r>
              <w:rPr>
                <w:rFonts w:ascii="Arial" w:cs="Arial" w:eastAsia="Arial" w:hAnsi="Arial"/>
                <w:sz w:val="18"/>
                <w:szCs w:val="18"/>
                <w:color w:val="auto"/>
                <w:w w:val="93"/>
              </w:rPr>
              <w:t>(In thousands except par value)</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140" w:type="dxa"/>
            <w:vAlign w:val="bottom"/>
            <w:gridSpan w:val="2"/>
            <w:vMerge w:val="continue"/>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780" w:type="dxa"/>
            <w:vAlign w:val="bottom"/>
            <w:gridSpan w:val="4"/>
          </w:tcPr>
          <w:p>
            <w:pPr>
              <w:spacing w:after="0"/>
              <w:rPr>
                <w:sz w:val="20"/>
                <w:szCs w:val="20"/>
                <w:color w:val="auto"/>
              </w:rPr>
            </w:pPr>
            <w:r>
              <w:rPr>
                <w:rFonts w:ascii="Arial" w:cs="Arial" w:eastAsia="Arial" w:hAnsi="Arial"/>
                <w:sz w:val="18"/>
                <w:szCs w:val="18"/>
                <w:color w:val="auto"/>
              </w:rPr>
              <w:t>Current assets:</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Cash and cash equivalents</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5,062</w:t>
            </w: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gridSpan w:val="3"/>
          </w:tcPr>
          <w:p>
            <w:pPr>
              <w:ind w:left="160"/>
              <w:spacing w:after="0"/>
              <w:rPr>
                <w:sz w:val="20"/>
                <w:szCs w:val="20"/>
                <w:color w:val="auto"/>
              </w:rPr>
            </w:pPr>
            <w:r>
              <w:rPr>
                <w:rFonts w:ascii="Arial" w:cs="Arial" w:eastAsia="Arial" w:hAnsi="Arial"/>
                <w:sz w:val="18"/>
                <w:szCs w:val="18"/>
                <w:color w:val="auto"/>
              </w:rPr>
              <w:t>Marketable securities</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15,879</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18,270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760" w:type="dxa"/>
            <w:vAlign w:val="bottom"/>
            <w:gridSpan w:val="3"/>
            <w:shd w:val="clear" w:color="auto" w:fill="CCEEFF"/>
          </w:tcPr>
          <w:p>
            <w:pPr>
              <w:ind w:left="160"/>
              <w:spacing w:after="0" w:line="201" w:lineRule="exact"/>
              <w:rPr>
                <w:sz w:val="20"/>
                <w:szCs w:val="20"/>
                <w:color w:val="auto"/>
              </w:rPr>
            </w:pPr>
            <w:r>
              <w:rPr>
                <w:rFonts w:ascii="Arial" w:cs="Arial" w:eastAsia="Arial" w:hAnsi="Arial"/>
                <w:sz w:val="18"/>
                <w:szCs w:val="18"/>
                <w:color w:val="auto"/>
              </w:rPr>
              <w:t>Accounts receivable, net of allowance for doubtful accounts</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76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of $298 at October 31, 2013 and $288 at April 30, 2013</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11,318</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gridSpan w:val="3"/>
          </w:tcPr>
          <w:p>
            <w:pPr>
              <w:ind w:left="160"/>
              <w:spacing w:after="0"/>
              <w:rPr>
                <w:sz w:val="20"/>
                <w:szCs w:val="20"/>
                <w:color w:val="auto"/>
              </w:rPr>
            </w:pPr>
            <w:r>
              <w:rPr>
                <w:rFonts w:ascii="Arial" w:cs="Arial" w:eastAsia="Arial" w:hAnsi="Arial"/>
                <w:sz w:val="18"/>
                <w:szCs w:val="18"/>
                <w:color w:val="auto"/>
              </w:rPr>
              <w:t>Costs and estimated earnings in excess of billings, net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5,418</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8,617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Inventories</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40,667</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37,521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gridSpan w:val="3"/>
          </w:tcPr>
          <w:p>
            <w:pPr>
              <w:ind w:left="160"/>
              <w:spacing w:after="0"/>
              <w:rPr>
                <w:sz w:val="20"/>
                <w:szCs w:val="20"/>
                <w:color w:val="auto"/>
              </w:rPr>
            </w:pPr>
            <w:r>
              <w:rPr>
                <w:rFonts w:ascii="Arial" w:cs="Arial" w:eastAsia="Arial" w:hAnsi="Arial"/>
                <w:sz w:val="18"/>
                <w:szCs w:val="18"/>
                <w:color w:val="auto"/>
              </w:rPr>
              <w:t>Deferred income taxes</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3,450</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3,170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Prepaid expenses and other</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2,202</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2,197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1620" w:type="dxa"/>
            <w:vAlign w:val="bottom"/>
            <w:shd w:val="clear" w:color="auto" w:fill="CCEEFF"/>
          </w:tcPr>
          <w:p>
            <w:pPr>
              <w:spacing w:after="0"/>
              <w:rPr>
                <w:sz w:val="2"/>
                <w:szCs w:val="2"/>
                <w:color w:val="auto"/>
              </w:rPr>
            </w:pPr>
          </w:p>
        </w:tc>
        <w:tc>
          <w:tcPr>
            <w:tcW w:w="55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140" w:type="dxa"/>
            <w:vAlign w:val="bottom"/>
            <w:gridSpan w:val="2"/>
          </w:tcPr>
          <w:p>
            <w:pPr>
              <w:ind w:left="180"/>
              <w:spacing w:after="0"/>
              <w:rPr>
                <w:sz w:val="20"/>
                <w:szCs w:val="20"/>
                <w:color w:val="auto"/>
              </w:rPr>
            </w:pPr>
            <w:r>
              <w:rPr>
                <w:rFonts w:ascii="Arial" w:cs="Arial" w:eastAsia="Arial" w:hAnsi="Arial"/>
                <w:sz w:val="18"/>
                <w:szCs w:val="18"/>
                <w:color w:val="auto"/>
              </w:rPr>
              <w:t>Total current assets</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83,996</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81,016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76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rPr>
              <w:t>Property, plant and equipment, at cost,</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76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less accumulated depreciation and amortization</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9,998</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gridSpan w:val="3"/>
          </w:tcPr>
          <w:p>
            <w:pPr>
              <w:spacing w:after="0"/>
              <w:rPr>
                <w:sz w:val="20"/>
                <w:szCs w:val="20"/>
                <w:color w:val="auto"/>
              </w:rPr>
            </w:pPr>
            <w:r>
              <w:rPr>
                <w:rFonts w:ascii="Arial" w:cs="Arial" w:eastAsia="Arial" w:hAnsi="Arial"/>
                <w:sz w:val="18"/>
                <w:szCs w:val="18"/>
                <w:color w:val="auto"/>
              </w:rPr>
              <w:t>Deferred income taxes</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6,479</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6,320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Goodwill and other intangible assets</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735</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gridSpan w:val="3"/>
          </w:tcPr>
          <w:p>
            <w:pPr>
              <w:spacing w:after="0"/>
              <w:rPr>
                <w:sz w:val="20"/>
                <w:szCs w:val="20"/>
                <w:color w:val="auto"/>
              </w:rPr>
            </w:pPr>
            <w:r>
              <w:rPr>
                <w:rFonts w:ascii="Arial" w:cs="Arial" w:eastAsia="Arial" w:hAnsi="Arial"/>
                <w:sz w:val="18"/>
                <w:szCs w:val="18"/>
                <w:color w:val="auto"/>
              </w:rPr>
              <w:t>Cash surrender value of life insurance and cash held in trust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11,063</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10,763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Other assets</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1,737</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1,713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1620" w:type="dxa"/>
            <w:vAlign w:val="bottom"/>
            <w:shd w:val="clear" w:color="auto" w:fill="CCEEFF"/>
          </w:tcPr>
          <w:p>
            <w:pPr>
              <w:spacing w:after="0"/>
              <w:rPr>
                <w:sz w:val="2"/>
                <w:szCs w:val="2"/>
                <w:color w:val="auto"/>
              </w:rPr>
            </w:pPr>
          </w:p>
        </w:tc>
        <w:tc>
          <w:tcPr>
            <w:tcW w:w="55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gridSpan w:val="3"/>
          </w:tcPr>
          <w:p>
            <w:pPr>
              <w:ind w:left="480"/>
              <w:spacing w:after="0"/>
              <w:rPr>
                <w:sz w:val="20"/>
                <w:szCs w:val="20"/>
                <w:color w:val="auto"/>
              </w:rPr>
            </w:pPr>
            <w:r>
              <w:rPr>
                <w:rFonts w:ascii="Arial" w:cs="Arial" w:eastAsia="Arial" w:hAnsi="Arial"/>
                <w:sz w:val="18"/>
                <w:szCs w:val="18"/>
                <w:b w:val="1"/>
                <w:bCs w:val="1"/>
                <w:color w:val="auto"/>
              </w:rPr>
              <w:t>Total assets</w:t>
            </w:r>
          </w:p>
        </w:tc>
        <w:tc>
          <w:tcPr>
            <w:tcW w:w="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28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114,008</w:t>
            </w:r>
          </w:p>
        </w:tc>
        <w:tc>
          <w:tcPr>
            <w:tcW w:w="2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108,909</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7140" w:type="dxa"/>
            <w:vAlign w:val="bottom"/>
            <w:gridSpan w:val="2"/>
            <w:shd w:val="clear" w:color="auto" w:fill="CCEEFF"/>
          </w:tcPr>
          <w:p>
            <w:pPr>
              <w:ind w:left="340"/>
              <w:spacing w:after="0"/>
              <w:rPr>
                <w:sz w:val="20"/>
                <w:szCs w:val="20"/>
                <w:color w:val="auto"/>
              </w:rPr>
            </w:pPr>
            <w:r>
              <w:rPr>
                <w:rFonts w:ascii="Arial" w:cs="Arial" w:eastAsia="Arial" w:hAnsi="Arial"/>
                <w:sz w:val="18"/>
                <w:szCs w:val="18"/>
                <w:b w:val="1"/>
                <w:bCs w:val="1"/>
                <w:color w:val="auto"/>
              </w:rPr>
              <w:t>LIABILITIES AND STOCKHOLDERS' EQUITY</w:t>
            </w: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gridSpan w:val="3"/>
          </w:tcPr>
          <w:p>
            <w:pPr>
              <w:spacing w:after="0"/>
              <w:rPr>
                <w:sz w:val="20"/>
                <w:szCs w:val="20"/>
                <w:color w:val="auto"/>
              </w:rPr>
            </w:pPr>
            <w:r>
              <w:rPr>
                <w:rFonts w:ascii="Arial" w:cs="Arial" w:eastAsia="Arial" w:hAnsi="Arial"/>
                <w:sz w:val="18"/>
                <w:szCs w:val="18"/>
                <w:color w:val="auto"/>
              </w:rPr>
              <w:t>Current liabilities:</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Short-term credit obligations</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gridSpan w:val="3"/>
          </w:tcPr>
          <w:p>
            <w:pPr>
              <w:ind w:left="160"/>
              <w:spacing w:after="0"/>
              <w:rPr>
                <w:sz w:val="20"/>
                <w:szCs w:val="20"/>
                <w:color w:val="auto"/>
              </w:rPr>
            </w:pPr>
            <w:r>
              <w:rPr>
                <w:rFonts w:ascii="Arial" w:cs="Arial" w:eastAsia="Arial" w:hAnsi="Arial"/>
                <w:sz w:val="18"/>
                <w:szCs w:val="18"/>
                <w:color w:val="auto"/>
              </w:rPr>
              <w:t>Accounts payable - trade</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1,406</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1,205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Accrued liabilities</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5,399</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7,964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1620" w:type="dxa"/>
            <w:vAlign w:val="bottom"/>
            <w:shd w:val="clear" w:color="auto" w:fill="CCEEFF"/>
          </w:tcPr>
          <w:p>
            <w:pPr>
              <w:spacing w:after="0"/>
              <w:rPr>
                <w:sz w:val="2"/>
                <w:szCs w:val="2"/>
                <w:color w:val="auto"/>
              </w:rPr>
            </w:pPr>
          </w:p>
        </w:tc>
        <w:tc>
          <w:tcPr>
            <w:tcW w:w="55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140" w:type="dxa"/>
            <w:vAlign w:val="bottom"/>
            <w:gridSpan w:val="2"/>
          </w:tcPr>
          <w:p>
            <w:pPr>
              <w:ind w:left="180"/>
              <w:spacing w:after="0"/>
              <w:rPr>
                <w:sz w:val="20"/>
                <w:szCs w:val="20"/>
                <w:color w:val="auto"/>
              </w:rPr>
            </w:pPr>
            <w:r>
              <w:rPr>
                <w:rFonts w:ascii="Arial" w:cs="Arial" w:eastAsia="Arial" w:hAnsi="Arial"/>
                <w:sz w:val="18"/>
                <w:szCs w:val="18"/>
                <w:color w:val="auto"/>
              </w:rPr>
              <w:t>Total current liabilities</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6,805</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9,327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Long term debt- noncurrent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10,100</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gridSpan w:val="3"/>
          </w:tcPr>
          <w:p>
            <w:pPr>
              <w:spacing w:after="0"/>
              <w:rPr>
                <w:sz w:val="20"/>
                <w:szCs w:val="20"/>
                <w:color w:val="auto"/>
              </w:rPr>
            </w:pPr>
            <w:r>
              <w:rPr>
                <w:rFonts w:ascii="Arial" w:cs="Arial" w:eastAsia="Arial" w:hAnsi="Arial"/>
                <w:sz w:val="18"/>
                <w:szCs w:val="18"/>
                <w:color w:val="auto"/>
              </w:rPr>
              <w:t>Deferred compensation</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10,520</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10,374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Deferred rent and other liabilities</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727</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1620" w:type="dxa"/>
            <w:vAlign w:val="bottom"/>
            <w:shd w:val="clear" w:color="auto" w:fill="CCEEFF"/>
          </w:tcPr>
          <w:p>
            <w:pPr>
              <w:spacing w:after="0"/>
              <w:rPr>
                <w:sz w:val="2"/>
                <w:szCs w:val="2"/>
                <w:color w:val="auto"/>
              </w:rPr>
            </w:pPr>
          </w:p>
        </w:tc>
        <w:tc>
          <w:tcPr>
            <w:tcW w:w="55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140" w:type="dxa"/>
            <w:vAlign w:val="bottom"/>
            <w:gridSpan w:val="2"/>
          </w:tcPr>
          <w:p>
            <w:pPr>
              <w:ind w:left="180"/>
              <w:spacing w:after="0"/>
              <w:rPr>
                <w:sz w:val="20"/>
                <w:szCs w:val="20"/>
                <w:color w:val="auto"/>
              </w:rPr>
            </w:pPr>
            <w:r>
              <w:rPr>
                <w:rFonts w:ascii="Arial" w:cs="Arial" w:eastAsia="Arial" w:hAnsi="Arial"/>
                <w:sz w:val="18"/>
                <w:szCs w:val="18"/>
                <w:color w:val="auto"/>
              </w:rPr>
              <w:t>Total liabilities</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28,152</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26,457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gridSpan w:val="3"/>
          </w:tcPr>
          <w:p>
            <w:pPr>
              <w:spacing w:after="0"/>
              <w:rPr>
                <w:sz w:val="20"/>
                <w:szCs w:val="20"/>
                <w:color w:val="auto"/>
              </w:rPr>
            </w:pPr>
            <w:r>
              <w:rPr>
                <w:rFonts w:ascii="Arial" w:cs="Arial" w:eastAsia="Arial" w:hAnsi="Arial"/>
                <w:sz w:val="18"/>
                <w:szCs w:val="18"/>
                <w:color w:val="auto"/>
              </w:rPr>
              <w:t>Stockholders' equity:</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Preferred stock - $1.00 par value</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gridSpan w:val="3"/>
          </w:tcPr>
          <w:p>
            <w:pPr>
              <w:ind w:left="160"/>
              <w:spacing w:after="0"/>
              <w:rPr>
                <w:sz w:val="20"/>
                <w:szCs w:val="20"/>
                <w:color w:val="auto"/>
              </w:rPr>
            </w:pPr>
            <w:r>
              <w:rPr>
                <w:rFonts w:ascii="Arial" w:cs="Arial" w:eastAsia="Arial" w:hAnsi="Arial"/>
                <w:sz w:val="18"/>
                <w:szCs w:val="18"/>
                <w:color w:val="auto"/>
              </w:rPr>
              <w:t>Common stock - $1.00 par value, issued 9,164 shares</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9,164</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9,164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Additional paid-in capital</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52,585</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51,913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gridSpan w:val="3"/>
          </w:tcPr>
          <w:p>
            <w:pPr>
              <w:ind w:left="160"/>
              <w:spacing w:after="0"/>
              <w:rPr>
                <w:sz w:val="20"/>
                <w:szCs w:val="20"/>
                <w:color w:val="auto"/>
              </w:rPr>
            </w:pPr>
            <w:r>
              <w:rPr>
                <w:rFonts w:ascii="Arial" w:cs="Arial" w:eastAsia="Arial" w:hAnsi="Arial"/>
                <w:sz w:val="18"/>
                <w:szCs w:val="18"/>
                <w:color w:val="auto"/>
              </w:rPr>
              <w:t>Retained earnings</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22,729</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20,662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55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5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84,478</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81,739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760" w:type="dxa"/>
            <w:vAlign w:val="bottom"/>
            <w:gridSpan w:val="3"/>
          </w:tcPr>
          <w:p>
            <w:pPr>
              <w:spacing w:after="0" w:line="201" w:lineRule="exact"/>
              <w:rPr>
                <w:sz w:val="20"/>
                <w:szCs w:val="20"/>
                <w:color w:val="auto"/>
              </w:rPr>
            </w:pPr>
            <w:r>
              <w:rPr>
                <w:rFonts w:ascii="Arial" w:cs="Arial" w:eastAsia="Arial" w:hAnsi="Arial"/>
                <w:sz w:val="18"/>
                <w:szCs w:val="18"/>
                <w:color w:val="auto"/>
              </w:rPr>
              <w:t>Common stock reacquired and held in treasury -</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gridSpan w:val="3"/>
          </w:tcPr>
          <w:p>
            <w:pPr>
              <w:ind w:left="160"/>
              <w:spacing w:after="0"/>
              <w:rPr>
                <w:sz w:val="20"/>
                <w:szCs w:val="20"/>
                <w:color w:val="auto"/>
              </w:rPr>
            </w:pPr>
            <w:r>
              <w:rPr>
                <w:rFonts w:ascii="Arial" w:cs="Arial" w:eastAsia="Arial" w:hAnsi="Arial"/>
                <w:sz w:val="18"/>
                <w:szCs w:val="18"/>
                <w:color w:val="auto"/>
              </w:rPr>
              <w:t>at cost (635 shares at October 31, 2013 and</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760" w:type="dxa"/>
            <w:vAlign w:val="bottom"/>
            <w:gridSpan w:val="3"/>
          </w:tcPr>
          <w:p>
            <w:pPr>
              <w:ind w:left="160"/>
              <w:spacing w:after="0"/>
              <w:rPr>
                <w:sz w:val="20"/>
                <w:szCs w:val="20"/>
                <w:color w:val="auto"/>
              </w:rPr>
            </w:pPr>
            <w:r>
              <w:rPr>
                <w:rFonts w:ascii="Arial" w:cs="Arial" w:eastAsia="Arial" w:hAnsi="Arial"/>
                <w:sz w:val="18"/>
                <w:szCs w:val="18"/>
                <w:color w:val="auto"/>
              </w:rPr>
              <w:t>701 shares at April 30, 2013)</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(2,903)</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(3,200)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Accumulated other comprehensive income</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4,281</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3,913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1620" w:type="dxa"/>
            <w:vAlign w:val="bottom"/>
            <w:shd w:val="clear" w:color="auto" w:fill="CCEEFF"/>
          </w:tcPr>
          <w:p>
            <w:pPr>
              <w:spacing w:after="0"/>
              <w:rPr>
                <w:sz w:val="2"/>
                <w:szCs w:val="2"/>
                <w:color w:val="auto"/>
              </w:rPr>
            </w:pPr>
          </w:p>
        </w:tc>
        <w:tc>
          <w:tcPr>
            <w:tcW w:w="55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140" w:type="dxa"/>
            <w:vAlign w:val="bottom"/>
            <w:gridSpan w:val="2"/>
          </w:tcPr>
          <w:p>
            <w:pPr>
              <w:ind w:left="180"/>
              <w:spacing w:after="0"/>
              <w:rPr>
                <w:sz w:val="20"/>
                <w:szCs w:val="20"/>
                <w:color w:val="auto"/>
              </w:rPr>
            </w:pPr>
            <w:r>
              <w:rPr>
                <w:rFonts w:ascii="Arial" w:cs="Arial" w:eastAsia="Arial" w:hAnsi="Arial"/>
                <w:sz w:val="18"/>
                <w:szCs w:val="18"/>
                <w:color w:val="auto"/>
              </w:rPr>
              <w:t>Total stockholders' equity</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85,856</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82,452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55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7760" w:type="dxa"/>
            <w:vAlign w:val="bottom"/>
            <w:gridSpan w:val="3"/>
            <w:shd w:val="clear" w:color="auto" w:fill="CCEEFF"/>
          </w:tcPr>
          <w:p>
            <w:pPr>
              <w:ind w:left="480"/>
              <w:spacing w:after="0"/>
              <w:rPr>
                <w:sz w:val="20"/>
                <w:szCs w:val="20"/>
                <w:color w:val="auto"/>
              </w:rPr>
            </w:pPr>
            <w:r>
              <w:rPr>
                <w:rFonts w:ascii="Arial" w:cs="Arial" w:eastAsia="Arial" w:hAnsi="Arial"/>
                <w:sz w:val="18"/>
                <w:szCs w:val="18"/>
                <w:b w:val="1"/>
                <w:bCs w:val="1"/>
                <w:color w:val="auto"/>
              </w:rPr>
              <w:t>Total liabilities and stockholders' equity</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114,008</w:t>
            </w: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108,909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1620" w:type="dxa"/>
            <w:vAlign w:val="bottom"/>
            <w:tcBorders>
              <w:top w:val="single" w:sz="8" w:color="CCEEFF"/>
            </w:tcBorders>
            <w:shd w:val="clear" w:color="auto" w:fill="CCEEFF"/>
          </w:tcPr>
          <w:p>
            <w:pPr>
              <w:spacing w:after="0" w:line="20" w:lineRule="exact"/>
              <w:rPr>
                <w:sz w:val="1"/>
                <w:szCs w:val="1"/>
                <w:color w:val="auto"/>
              </w:rPr>
            </w:pPr>
          </w:p>
        </w:tc>
        <w:tc>
          <w:tcPr>
            <w:tcW w:w="55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2440"/>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374"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3 of 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780"/>
          </w:cols>
          <w:pgMar w:left="240" w:top="607" w:right="87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FREQUENCY ELECTRONICS,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Income and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Six Months Ended October 31,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2013</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36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3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20" w:type="dxa"/>
            <w:vAlign w:val="bottom"/>
            <w:gridSpan w:val="6"/>
          </w:tcPr>
          <w:p>
            <w:pPr>
              <w:jc w:val="right"/>
              <w:ind w:right="220"/>
              <w:spacing w:after="0"/>
              <w:rPr>
                <w:sz w:val="20"/>
                <w:szCs w:val="20"/>
                <w:color w:val="auto"/>
              </w:rPr>
            </w:pPr>
            <w:r>
              <w:rPr>
                <w:rFonts w:ascii="Arial" w:cs="Arial" w:eastAsia="Arial" w:hAnsi="Arial"/>
                <w:sz w:val="18"/>
                <w:szCs w:val="18"/>
                <w:color w:val="auto"/>
                <w:w w:val="87"/>
              </w:rPr>
              <w:t>(In thousands except per share data)</w:t>
            </w:r>
          </w:p>
        </w:tc>
        <w:tc>
          <w:tcPr>
            <w:tcW w:w="0" w:type="dxa"/>
            <w:vAlign w:val="bottom"/>
          </w:tcPr>
          <w:p>
            <w:pPr>
              <w:spacing w:after="0"/>
              <w:rPr>
                <w:sz w:val="1"/>
                <w:szCs w:val="1"/>
                <w:color w:val="auto"/>
              </w:rPr>
            </w:pPr>
          </w:p>
        </w:tc>
      </w:tr>
      <w:tr>
        <w:trPr>
          <w:trHeight w:val="194"/>
        </w:trPr>
        <w:tc>
          <w:tcPr>
            <w:tcW w:w="7860" w:type="dxa"/>
            <w:vAlign w:val="bottom"/>
            <w:gridSpan w:val="4"/>
          </w:tcPr>
          <w:p>
            <w:pPr>
              <w:spacing w:after="0" w:line="194" w:lineRule="exact"/>
              <w:rPr>
                <w:sz w:val="20"/>
                <w:szCs w:val="20"/>
                <w:color w:val="auto"/>
              </w:rPr>
            </w:pPr>
            <w:r>
              <w:rPr>
                <w:rFonts w:ascii="Arial" w:cs="Arial" w:eastAsia="Arial" w:hAnsi="Arial"/>
                <w:sz w:val="18"/>
                <w:szCs w:val="18"/>
                <w:b w:val="1"/>
                <w:bCs w:val="1"/>
                <w:color w:val="auto"/>
              </w:rPr>
              <w:t>Condensed Consolidated Statements of Income</w:t>
            </w: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3600" w:type="dxa"/>
            <w:vAlign w:val="bottom"/>
            <w:tcBorders>
              <w:top w:val="single" w:sz="8" w:color="auto"/>
            </w:tcBorders>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Revenues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33,834</w:t>
            </w:r>
          </w:p>
        </w:tc>
        <w:tc>
          <w:tcPr>
            <w:tcW w:w="36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34,254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gridSpan w:val="3"/>
          </w:tcPr>
          <w:p>
            <w:pPr>
              <w:spacing w:after="0"/>
              <w:rPr>
                <w:sz w:val="20"/>
                <w:szCs w:val="20"/>
                <w:color w:val="auto"/>
              </w:rPr>
            </w:pPr>
            <w:r>
              <w:rPr>
                <w:rFonts w:ascii="Arial" w:cs="Arial" w:eastAsia="Arial" w:hAnsi="Arial"/>
                <w:sz w:val="18"/>
                <w:szCs w:val="18"/>
                <w:color w:val="auto"/>
              </w:rPr>
              <w:t>Cost of revenues</w:t>
            </w:r>
          </w:p>
        </w:tc>
        <w:tc>
          <w:tcPr>
            <w:tcW w:w="100" w:type="dxa"/>
            <w:vAlign w:val="bottom"/>
          </w:tcPr>
          <w:p>
            <w:pPr>
              <w:spacing w:after="0"/>
              <w:rPr>
                <w:sz w:val="18"/>
                <w:szCs w:val="18"/>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21,336</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21,541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6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0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Gross margin</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12,498</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12,713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gridSpan w:val="3"/>
          </w:tcPr>
          <w:p>
            <w:pPr>
              <w:spacing w:after="0"/>
              <w:rPr>
                <w:sz w:val="20"/>
                <w:szCs w:val="20"/>
                <w:color w:val="auto"/>
              </w:rPr>
            </w:pPr>
            <w:r>
              <w:rPr>
                <w:rFonts w:ascii="Arial" w:cs="Arial" w:eastAsia="Arial" w:hAnsi="Arial"/>
                <w:sz w:val="18"/>
                <w:szCs w:val="18"/>
                <w:color w:val="auto"/>
              </w:rPr>
              <w:t>Selling and administrative expenses</w:t>
            </w: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7,045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6,996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4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Research and development expense</w:t>
            </w:r>
          </w:p>
        </w:tc>
        <w:tc>
          <w:tcPr>
            <w:tcW w:w="1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3,226</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2,618</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gridSpan w:val="3"/>
          </w:tcPr>
          <w:p>
            <w:pPr>
              <w:ind w:left="320"/>
              <w:spacing w:after="0"/>
              <w:rPr>
                <w:sz w:val="20"/>
                <w:szCs w:val="20"/>
                <w:color w:val="auto"/>
              </w:rPr>
            </w:pPr>
            <w:r>
              <w:rPr>
                <w:rFonts w:ascii="Arial" w:cs="Arial" w:eastAsia="Arial" w:hAnsi="Arial"/>
                <w:sz w:val="18"/>
                <w:szCs w:val="18"/>
                <w:color w:val="auto"/>
              </w:rPr>
              <w:t>Operating profit</w:t>
            </w: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2,227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3,099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3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40" w:type="dxa"/>
            <w:vAlign w:val="bottom"/>
            <w:gridSpan w:val="3"/>
          </w:tcPr>
          <w:p>
            <w:pPr>
              <w:spacing w:after="0"/>
              <w:rPr>
                <w:sz w:val="20"/>
                <w:szCs w:val="20"/>
                <w:color w:val="auto"/>
              </w:rPr>
            </w:pPr>
            <w:r>
              <w:rPr>
                <w:rFonts w:ascii="Arial" w:cs="Arial" w:eastAsia="Arial" w:hAnsi="Arial"/>
                <w:sz w:val="18"/>
                <w:szCs w:val="18"/>
                <w:color w:val="auto"/>
              </w:rPr>
              <w:t>Other income (expense):</w:t>
            </w: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Investment income</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351</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gridSpan w:val="3"/>
          </w:tcPr>
          <w:p>
            <w:pPr>
              <w:ind w:left="160"/>
              <w:spacing w:after="0"/>
              <w:rPr>
                <w:sz w:val="20"/>
                <w:szCs w:val="20"/>
                <w:color w:val="auto"/>
              </w:rPr>
            </w:pPr>
            <w:r>
              <w:rPr>
                <w:rFonts w:ascii="Arial" w:cs="Arial" w:eastAsia="Arial" w:hAnsi="Arial"/>
                <w:sz w:val="18"/>
                <w:szCs w:val="18"/>
                <w:color w:val="auto"/>
              </w:rPr>
              <w:t>Interest expense</w:t>
            </w:r>
          </w:p>
        </w:tc>
        <w:tc>
          <w:tcPr>
            <w:tcW w:w="100" w:type="dxa"/>
            <w:vAlign w:val="bottom"/>
          </w:tcPr>
          <w:p>
            <w:pPr>
              <w:spacing w:after="0"/>
              <w:rPr>
                <w:sz w:val="18"/>
                <w:szCs w:val="18"/>
                <w:color w:val="auto"/>
              </w:rPr>
            </w:pPr>
          </w:p>
        </w:tc>
        <w:tc>
          <w:tcPr>
            <w:tcW w:w="1340" w:type="dxa"/>
            <w:vAlign w:val="bottom"/>
            <w:gridSpan w:val="2"/>
          </w:tcPr>
          <w:p>
            <w:pPr>
              <w:jc w:val="right"/>
              <w:ind w:right="80"/>
              <w:spacing w:after="0"/>
              <w:rPr>
                <w:sz w:val="20"/>
                <w:szCs w:val="20"/>
                <w:color w:val="auto"/>
              </w:rPr>
            </w:pPr>
            <w:r>
              <w:rPr>
                <w:rFonts w:ascii="Arial" w:cs="Arial" w:eastAsia="Arial" w:hAnsi="Arial"/>
                <w:sz w:val="18"/>
                <w:szCs w:val="18"/>
                <w:color w:val="auto"/>
              </w:rPr>
              <w:t>(95)</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4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Other income (expense), net</w:t>
            </w:r>
          </w:p>
        </w:tc>
        <w:tc>
          <w:tcPr>
            <w:tcW w:w="10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734</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Borders>
              <w:top w:val="single" w:sz="8" w:color="CCEEFF"/>
            </w:tcBorders>
            <w:gridSpan w:val="3"/>
          </w:tcPr>
          <w:p>
            <w:pPr>
              <w:spacing w:after="0"/>
              <w:rPr>
                <w:sz w:val="20"/>
                <w:szCs w:val="20"/>
                <w:color w:val="auto"/>
              </w:rPr>
            </w:pPr>
            <w:r>
              <w:rPr>
                <w:rFonts w:ascii="Arial" w:cs="Arial" w:eastAsia="Arial" w:hAnsi="Arial"/>
                <w:sz w:val="18"/>
                <w:szCs w:val="18"/>
                <w:color w:val="auto"/>
              </w:rPr>
              <w:t>Income before provision for income taxes</w:t>
            </w:r>
          </w:p>
        </w:tc>
        <w:tc>
          <w:tcPr>
            <w:tcW w:w="10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3,217</w:t>
            </w: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3,309</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4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1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1,150</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1,100</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gridSpan w:val="3"/>
          </w:tcPr>
          <w:p>
            <w:pPr>
              <w:ind w:left="320"/>
              <w:spacing w:after="0"/>
              <w:rPr>
                <w:sz w:val="20"/>
                <w:szCs w:val="20"/>
                <w:color w:val="auto"/>
              </w:rPr>
            </w:pPr>
            <w:r>
              <w:rPr>
                <w:rFonts w:ascii="Arial" w:cs="Arial" w:eastAsia="Arial" w:hAnsi="Arial"/>
                <w:sz w:val="18"/>
                <w:szCs w:val="18"/>
                <w:color w:val="auto"/>
              </w:rPr>
              <w:t>Net income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2,067</w:t>
            </w:r>
          </w:p>
        </w:tc>
        <w:tc>
          <w:tcPr>
            <w:tcW w:w="140" w:type="dxa"/>
            <w:vAlign w:val="bottom"/>
          </w:tcPr>
          <w:p>
            <w:pPr>
              <w:spacing w:after="0"/>
              <w:rPr>
                <w:sz w:val="18"/>
                <w:szCs w:val="18"/>
                <w:color w:val="auto"/>
              </w:rPr>
            </w:pPr>
          </w:p>
        </w:tc>
        <w:tc>
          <w:tcPr>
            <w:tcW w:w="36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2,209</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6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3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40" w:type="dxa"/>
            <w:vAlign w:val="bottom"/>
            <w:gridSpan w:val="3"/>
          </w:tcPr>
          <w:p>
            <w:pPr>
              <w:spacing w:after="0"/>
              <w:rPr>
                <w:sz w:val="20"/>
                <w:szCs w:val="20"/>
                <w:color w:val="auto"/>
              </w:rPr>
            </w:pPr>
            <w:r>
              <w:rPr>
                <w:rFonts w:ascii="Arial" w:cs="Arial" w:eastAsia="Arial" w:hAnsi="Arial"/>
                <w:sz w:val="18"/>
                <w:szCs w:val="18"/>
                <w:color w:val="auto"/>
              </w:rPr>
              <w:t>Net income per common share</w:t>
            </w: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84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Basic</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0.24</w:t>
            </w:r>
          </w:p>
        </w:tc>
        <w:tc>
          <w:tcPr>
            <w:tcW w:w="36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30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840" w:type="dxa"/>
            <w:vAlign w:val="bottom"/>
            <w:gridSpan w:val="3"/>
          </w:tcPr>
          <w:p>
            <w:pPr>
              <w:ind w:left="320"/>
              <w:spacing w:after="0"/>
              <w:rPr>
                <w:sz w:val="20"/>
                <w:szCs w:val="20"/>
                <w:color w:val="auto"/>
              </w:rPr>
            </w:pPr>
            <w:r>
              <w:rPr>
                <w:rFonts w:ascii="Arial" w:cs="Arial" w:eastAsia="Arial" w:hAnsi="Arial"/>
                <w:sz w:val="18"/>
                <w:szCs w:val="18"/>
                <w:color w:val="auto"/>
              </w:rPr>
              <w:t>Diluted</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0.24</w:t>
            </w:r>
          </w:p>
        </w:tc>
        <w:tc>
          <w:tcPr>
            <w:tcW w:w="36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0.26</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6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3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40" w:type="dxa"/>
            <w:vAlign w:val="bottom"/>
            <w:gridSpan w:val="3"/>
          </w:tcPr>
          <w:p>
            <w:pPr>
              <w:spacing w:after="0"/>
              <w:rPr>
                <w:sz w:val="20"/>
                <w:szCs w:val="20"/>
                <w:color w:val="auto"/>
              </w:rPr>
            </w:pPr>
            <w:r>
              <w:rPr>
                <w:rFonts w:ascii="Arial" w:cs="Arial" w:eastAsia="Arial" w:hAnsi="Arial"/>
                <w:sz w:val="18"/>
                <w:szCs w:val="18"/>
                <w:color w:val="auto"/>
              </w:rPr>
              <w:t>Weighted average shares outstanding</w:t>
            </w: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7840" w:type="dxa"/>
            <w:vAlign w:val="bottom"/>
            <w:tcBorders>
              <w:bottom w:val="single" w:sz="8" w:color="CCEEFF"/>
            </w:tcBorders>
            <w:gridSpan w:val="3"/>
            <w:shd w:val="clear" w:color="auto" w:fill="CCEEFF"/>
          </w:tcPr>
          <w:p>
            <w:pPr>
              <w:ind w:left="320"/>
              <w:spacing w:after="0"/>
              <w:rPr>
                <w:sz w:val="20"/>
                <w:szCs w:val="20"/>
                <w:color w:val="auto"/>
              </w:rPr>
            </w:pPr>
            <w:r>
              <w:rPr>
                <w:rFonts w:ascii="Arial" w:cs="Arial" w:eastAsia="Arial" w:hAnsi="Arial"/>
                <w:sz w:val="18"/>
                <w:szCs w:val="18"/>
                <w:color w:val="auto"/>
              </w:rPr>
              <w:t>Basic</w:t>
            </w:r>
          </w:p>
        </w:tc>
        <w:tc>
          <w:tcPr>
            <w:tcW w:w="10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8,505</w:t>
            </w: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8,390</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40" w:type="dxa"/>
            <w:vAlign w:val="bottom"/>
            <w:gridSpan w:val="3"/>
          </w:tcPr>
          <w:p>
            <w:pPr>
              <w:ind w:left="320"/>
              <w:spacing w:after="0"/>
              <w:rPr>
                <w:sz w:val="20"/>
                <w:szCs w:val="20"/>
                <w:color w:val="auto"/>
              </w:rPr>
            </w:pPr>
            <w:r>
              <w:rPr>
                <w:rFonts w:ascii="Arial" w:cs="Arial" w:eastAsia="Arial" w:hAnsi="Arial"/>
                <w:sz w:val="18"/>
                <w:szCs w:val="18"/>
                <w:color w:val="auto"/>
              </w:rPr>
              <w:t>Diluted</w:t>
            </w: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8,780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8,574</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3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4840" w:type="dxa"/>
            <w:vAlign w:val="bottom"/>
            <w:tcBorders>
              <w:bottom w:val="single" w:sz="8" w:color="auto"/>
            </w:tcBorders>
            <w:gridSpan w:val="2"/>
            <w:shd w:val="clear" w:color="auto" w:fill="CCEEFF"/>
          </w:tcPr>
          <w:p>
            <w:pPr>
              <w:spacing w:after="0" w:line="176" w:lineRule="exact"/>
              <w:rPr>
                <w:sz w:val="20"/>
                <w:szCs w:val="20"/>
                <w:color w:val="auto"/>
              </w:rPr>
            </w:pPr>
            <w:r>
              <w:rPr>
                <w:rFonts w:ascii="Arial" w:cs="Arial" w:eastAsia="Arial" w:hAnsi="Arial"/>
                <w:sz w:val="18"/>
                <w:szCs w:val="18"/>
                <w:b w:val="1"/>
                <w:bCs w:val="1"/>
                <w:color w:val="auto"/>
                <w:w w:val="87"/>
              </w:rPr>
              <w:t>Condensed Consolidated Statements of Comprehensive Income</w:t>
            </w:r>
          </w:p>
        </w:tc>
        <w:tc>
          <w:tcPr>
            <w:tcW w:w="30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40" w:type="dxa"/>
            <w:vAlign w:val="bottom"/>
            <w:gridSpan w:val="3"/>
          </w:tcPr>
          <w:p>
            <w:pPr>
              <w:ind w:left="160"/>
              <w:spacing w:after="0"/>
              <w:rPr>
                <w:sz w:val="20"/>
                <w:szCs w:val="20"/>
                <w:color w:val="auto"/>
              </w:rPr>
            </w:pPr>
            <w:r>
              <w:rPr>
                <w:rFonts w:ascii="Arial" w:cs="Arial" w:eastAsia="Arial" w:hAnsi="Arial"/>
                <w:sz w:val="18"/>
                <w:szCs w:val="18"/>
                <w:color w:val="auto"/>
              </w:rPr>
              <w:t>Net income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2,067</w:t>
            </w:r>
          </w:p>
        </w:tc>
        <w:tc>
          <w:tcPr>
            <w:tcW w:w="140" w:type="dxa"/>
            <w:vAlign w:val="bottom"/>
          </w:tcPr>
          <w:p>
            <w:pPr>
              <w:spacing w:after="0"/>
              <w:rPr>
                <w:sz w:val="19"/>
                <w:szCs w:val="19"/>
                <w:color w:val="auto"/>
              </w:rPr>
            </w:pPr>
          </w:p>
        </w:tc>
        <w:tc>
          <w:tcPr>
            <w:tcW w:w="36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2,209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Other comprehensive income :</w:t>
            </w:r>
          </w:p>
        </w:tc>
        <w:tc>
          <w:tcPr>
            <w:tcW w:w="10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gridSpan w:val="3"/>
          </w:tcPr>
          <w:p>
            <w:pPr>
              <w:ind w:left="320"/>
              <w:spacing w:after="0"/>
              <w:rPr>
                <w:sz w:val="20"/>
                <w:szCs w:val="20"/>
                <w:color w:val="auto"/>
              </w:rPr>
            </w:pPr>
            <w:r>
              <w:rPr>
                <w:rFonts w:ascii="Arial" w:cs="Arial" w:eastAsia="Arial" w:hAnsi="Arial"/>
                <w:sz w:val="18"/>
                <w:szCs w:val="18"/>
                <w:color w:val="auto"/>
              </w:rPr>
              <w:t>Foreign currency translation adjustment</w:t>
            </w:r>
          </w:p>
        </w:tc>
        <w:tc>
          <w:tcPr>
            <w:tcW w:w="100" w:type="dxa"/>
            <w:vAlign w:val="bottom"/>
          </w:tcPr>
          <w:p>
            <w:pPr>
              <w:spacing w:after="0"/>
              <w:rPr>
                <w:sz w:val="18"/>
                <w:szCs w:val="18"/>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818</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Change in market value of marketable securities</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(730)</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gridSpan w:val="3"/>
          </w:tcPr>
          <w:p>
            <w:pPr>
              <w:ind w:left="320"/>
              <w:spacing w:after="0"/>
              <w:rPr>
                <w:sz w:val="20"/>
                <w:szCs w:val="20"/>
                <w:color w:val="auto"/>
              </w:rPr>
            </w:pPr>
            <w:r>
              <w:rPr>
                <w:rFonts w:ascii="Arial" w:cs="Arial" w:eastAsia="Arial" w:hAnsi="Arial"/>
                <w:sz w:val="18"/>
                <w:szCs w:val="18"/>
                <w:color w:val="auto"/>
              </w:rPr>
              <w:t>Deferred tax effect of change in marketable securities</w:t>
            </w:r>
          </w:p>
        </w:tc>
        <w:tc>
          <w:tcPr>
            <w:tcW w:w="100" w:type="dxa"/>
            <w:vAlign w:val="bottom"/>
          </w:tcPr>
          <w:p>
            <w:pPr>
              <w:spacing w:after="0"/>
              <w:rPr>
                <w:sz w:val="18"/>
                <w:szCs w:val="18"/>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280</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6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0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784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Total other comprehensive income</w:t>
            </w:r>
          </w:p>
        </w:tc>
        <w:tc>
          <w:tcPr>
            <w:tcW w:w="10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368</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Borders>
              <w:top w:val="single" w:sz="8" w:color="CCEEFF"/>
            </w:tcBorders>
            <w:gridSpan w:val="3"/>
          </w:tcPr>
          <w:p>
            <w:pPr>
              <w:ind w:left="160"/>
              <w:spacing w:after="0"/>
              <w:rPr>
                <w:sz w:val="20"/>
                <w:szCs w:val="20"/>
                <w:color w:val="auto"/>
              </w:rPr>
            </w:pPr>
            <w:r>
              <w:rPr>
                <w:rFonts w:ascii="Arial" w:cs="Arial" w:eastAsia="Arial" w:hAnsi="Arial"/>
                <w:sz w:val="18"/>
                <w:szCs w:val="18"/>
                <w:color w:val="auto"/>
              </w:rPr>
              <w:t>Comprehensive income</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2,435</w:t>
            </w: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2,299</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374"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4 of 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780"/>
          </w:cols>
          <w:pgMar w:left="240" w:top="607" w:right="87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FREQUENCY ELECTRONICS,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Income and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Three Months Ended October 31,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2013</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860" w:type="dxa"/>
            <w:vAlign w:val="bottom"/>
            <w:gridSpan w:val="4"/>
            <w:vMerge w:val="restart"/>
          </w:tcPr>
          <w:p>
            <w:pPr>
              <w:spacing w:after="0"/>
              <w:rPr>
                <w:sz w:val="20"/>
                <w:szCs w:val="20"/>
                <w:color w:val="auto"/>
              </w:rPr>
            </w:pPr>
            <w:r>
              <w:rPr>
                <w:rFonts w:ascii="Arial" w:cs="Arial" w:eastAsia="Arial" w:hAnsi="Arial"/>
                <w:sz w:val="18"/>
                <w:szCs w:val="18"/>
                <w:b w:val="1"/>
                <w:bCs w:val="1"/>
                <w:color w:val="auto"/>
              </w:rPr>
              <w:t>Condensed Consolidated Statements of Income</w:t>
            </w:r>
          </w:p>
        </w:tc>
        <w:tc>
          <w:tcPr>
            <w:tcW w:w="100" w:type="dxa"/>
            <w:vAlign w:val="bottom"/>
          </w:tcPr>
          <w:p>
            <w:pPr>
              <w:spacing w:after="0"/>
              <w:rPr>
                <w:sz w:val="20"/>
                <w:szCs w:val="20"/>
                <w:color w:val="auto"/>
              </w:rPr>
            </w:pPr>
          </w:p>
        </w:tc>
        <w:tc>
          <w:tcPr>
            <w:tcW w:w="2820" w:type="dxa"/>
            <w:vAlign w:val="bottom"/>
            <w:gridSpan w:val="6"/>
          </w:tcPr>
          <w:p>
            <w:pPr>
              <w:jc w:val="right"/>
              <w:ind w:right="220"/>
              <w:spacing w:after="0"/>
              <w:rPr>
                <w:sz w:val="20"/>
                <w:szCs w:val="20"/>
                <w:color w:val="auto"/>
              </w:rPr>
            </w:pPr>
            <w:r>
              <w:rPr>
                <w:rFonts w:ascii="Arial" w:cs="Arial" w:eastAsia="Arial" w:hAnsi="Arial"/>
                <w:sz w:val="18"/>
                <w:szCs w:val="18"/>
                <w:color w:val="auto"/>
                <w:w w:val="87"/>
              </w:rPr>
              <w:t>(In thousands except per share data)</w:t>
            </w:r>
          </w:p>
        </w:tc>
        <w:tc>
          <w:tcPr>
            <w:tcW w:w="0" w:type="dxa"/>
            <w:vAlign w:val="bottom"/>
          </w:tcPr>
          <w:p>
            <w:pPr>
              <w:spacing w:after="0"/>
              <w:rPr>
                <w:sz w:val="1"/>
                <w:szCs w:val="1"/>
                <w:color w:val="auto"/>
              </w:rPr>
            </w:pPr>
          </w:p>
        </w:tc>
      </w:tr>
      <w:tr>
        <w:trPr>
          <w:trHeight w:val="161"/>
        </w:trPr>
        <w:tc>
          <w:tcPr>
            <w:tcW w:w="7860" w:type="dxa"/>
            <w:vAlign w:val="bottom"/>
            <w:gridSpan w:val="4"/>
            <w:vMerge w:val="continue"/>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3600" w:type="dxa"/>
            <w:vAlign w:val="bottom"/>
            <w:tcBorders>
              <w:top w:val="single" w:sz="8" w:color="auto"/>
            </w:tcBorders>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Revenues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17,007</w:t>
            </w:r>
          </w:p>
        </w:tc>
        <w:tc>
          <w:tcPr>
            <w:tcW w:w="36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17,569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40" w:type="dxa"/>
            <w:vAlign w:val="bottom"/>
            <w:gridSpan w:val="3"/>
          </w:tcPr>
          <w:p>
            <w:pPr>
              <w:spacing w:after="0"/>
              <w:rPr>
                <w:sz w:val="20"/>
                <w:szCs w:val="20"/>
                <w:color w:val="auto"/>
              </w:rPr>
            </w:pPr>
            <w:r>
              <w:rPr>
                <w:rFonts w:ascii="Arial" w:cs="Arial" w:eastAsia="Arial" w:hAnsi="Arial"/>
                <w:sz w:val="18"/>
                <w:szCs w:val="18"/>
                <w:color w:val="auto"/>
              </w:rPr>
              <w:t>Cost of revenues</w:t>
            </w:r>
          </w:p>
        </w:tc>
        <w:tc>
          <w:tcPr>
            <w:tcW w:w="100" w:type="dxa"/>
            <w:vAlign w:val="bottom"/>
          </w:tcPr>
          <w:p>
            <w:pPr>
              <w:spacing w:after="0"/>
              <w:rPr>
                <w:sz w:val="19"/>
                <w:szCs w:val="19"/>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10,775</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10,837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Gross margin</w:t>
            </w:r>
          </w:p>
        </w:tc>
        <w:tc>
          <w:tcPr>
            <w:tcW w:w="10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6,232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6,732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Selling and administrative expenses</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3,511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40" w:type="dxa"/>
            <w:vAlign w:val="bottom"/>
            <w:gridSpan w:val="3"/>
          </w:tcPr>
          <w:p>
            <w:pPr>
              <w:spacing w:after="0"/>
              <w:rPr>
                <w:sz w:val="20"/>
                <w:szCs w:val="20"/>
                <w:color w:val="auto"/>
              </w:rPr>
            </w:pPr>
            <w:r>
              <w:rPr>
                <w:rFonts w:ascii="Arial" w:cs="Arial" w:eastAsia="Arial" w:hAnsi="Arial"/>
                <w:sz w:val="18"/>
                <w:szCs w:val="18"/>
                <w:color w:val="auto"/>
              </w:rPr>
              <w:t>Research and development expense</w:t>
            </w:r>
          </w:p>
        </w:tc>
        <w:tc>
          <w:tcPr>
            <w:tcW w:w="1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Operating profit</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gridSpan w:val="3"/>
          </w:tcPr>
          <w:p>
            <w:pPr>
              <w:spacing w:after="0"/>
              <w:rPr>
                <w:sz w:val="20"/>
                <w:szCs w:val="20"/>
                <w:color w:val="auto"/>
              </w:rPr>
            </w:pPr>
            <w:r>
              <w:rPr>
                <w:rFonts w:ascii="Arial" w:cs="Arial" w:eastAsia="Arial" w:hAnsi="Arial"/>
                <w:sz w:val="18"/>
                <w:szCs w:val="18"/>
                <w:color w:val="auto"/>
              </w:rPr>
              <w:t>Other income (expense):</w:t>
            </w: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Investment income</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208</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gridSpan w:val="3"/>
          </w:tcPr>
          <w:p>
            <w:pPr>
              <w:ind w:left="160"/>
              <w:spacing w:after="0"/>
              <w:rPr>
                <w:sz w:val="20"/>
                <w:szCs w:val="20"/>
                <w:color w:val="auto"/>
              </w:rPr>
            </w:pPr>
            <w:r>
              <w:rPr>
                <w:rFonts w:ascii="Arial" w:cs="Arial" w:eastAsia="Arial" w:hAnsi="Arial"/>
                <w:sz w:val="18"/>
                <w:szCs w:val="18"/>
                <w:color w:val="auto"/>
              </w:rPr>
              <w:t>Interest expense</w:t>
            </w:r>
          </w:p>
        </w:tc>
        <w:tc>
          <w:tcPr>
            <w:tcW w:w="100" w:type="dxa"/>
            <w:vAlign w:val="bottom"/>
          </w:tcPr>
          <w:p>
            <w:pPr>
              <w:spacing w:after="0"/>
              <w:rPr>
                <w:sz w:val="18"/>
                <w:szCs w:val="18"/>
                <w:color w:val="auto"/>
              </w:rPr>
            </w:pPr>
          </w:p>
        </w:tc>
        <w:tc>
          <w:tcPr>
            <w:tcW w:w="1340" w:type="dxa"/>
            <w:vAlign w:val="bottom"/>
            <w:gridSpan w:val="2"/>
          </w:tcPr>
          <w:p>
            <w:pPr>
              <w:jc w:val="right"/>
              <w:ind w:right="80"/>
              <w:spacing w:after="0"/>
              <w:rPr>
                <w:sz w:val="20"/>
                <w:szCs w:val="20"/>
                <w:color w:val="auto"/>
              </w:rPr>
            </w:pPr>
            <w:r>
              <w:rPr>
                <w:rFonts w:ascii="Arial" w:cs="Arial" w:eastAsia="Arial" w:hAnsi="Arial"/>
                <w:sz w:val="18"/>
                <w:szCs w:val="18"/>
                <w:color w:val="auto"/>
              </w:rPr>
              <w:t>(36)</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4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Other income (expense), net</w:t>
            </w:r>
          </w:p>
        </w:tc>
        <w:tc>
          <w:tcPr>
            <w:tcW w:w="10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725</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Borders>
              <w:top w:val="single" w:sz="8" w:color="CCEEFF"/>
            </w:tcBorders>
            <w:gridSpan w:val="3"/>
          </w:tcPr>
          <w:p>
            <w:pPr>
              <w:spacing w:after="0"/>
              <w:rPr>
                <w:sz w:val="20"/>
                <w:szCs w:val="20"/>
                <w:color w:val="auto"/>
              </w:rPr>
            </w:pPr>
            <w:r>
              <w:rPr>
                <w:rFonts w:ascii="Arial" w:cs="Arial" w:eastAsia="Arial" w:hAnsi="Arial"/>
                <w:sz w:val="18"/>
                <w:szCs w:val="18"/>
                <w:color w:val="auto"/>
              </w:rPr>
              <w:t>Income before provision for income taxes</w:t>
            </w:r>
          </w:p>
        </w:tc>
        <w:tc>
          <w:tcPr>
            <w:tcW w:w="10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2,161</w:t>
            </w: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2,111</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10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770</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Borders>
              <w:top w:val="single" w:sz="8" w:color="CCEEFF"/>
            </w:tcBorders>
            <w:gridSpan w:val="3"/>
          </w:tcPr>
          <w:p>
            <w:pPr>
              <w:ind w:left="320"/>
              <w:spacing w:after="0"/>
              <w:rPr>
                <w:sz w:val="20"/>
                <w:szCs w:val="20"/>
                <w:color w:val="auto"/>
              </w:rPr>
            </w:pPr>
            <w:r>
              <w:rPr>
                <w:rFonts w:ascii="Arial" w:cs="Arial" w:eastAsia="Arial" w:hAnsi="Arial"/>
                <w:sz w:val="18"/>
                <w:szCs w:val="18"/>
                <w:color w:val="auto"/>
              </w:rPr>
              <w:t>Net income</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1,391</w:t>
            </w: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1,441</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3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income per common share</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gridSpan w:val="3"/>
          </w:tcPr>
          <w:p>
            <w:pPr>
              <w:ind w:left="320"/>
              <w:spacing w:after="0"/>
              <w:rPr>
                <w:sz w:val="20"/>
                <w:szCs w:val="20"/>
                <w:color w:val="auto"/>
              </w:rPr>
            </w:pPr>
            <w:r>
              <w:rPr>
                <w:rFonts w:ascii="Arial" w:cs="Arial" w:eastAsia="Arial" w:hAnsi="Arial"/>
                <w:sz w:val="18"/>
                <w:szCs w:val="18"/>
                <w:color w:val="auto"/>
              </w:rPr>
              <w:t>Basic</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0.16</w:t>
            </w:r>
          </w:p>
        </w:tc>
        <w:tc>
          <w:tcPr>
            <w:tcW w:w="36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0.17</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84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Diluted</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0.16</w:t>
            </w:r>
          </w:p>
        </w:tc>
        <w:tc>
          <w:tcPr>
            <w:tcW w:w="36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0.17</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60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300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Weighted average shares outstanding</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gridSpan w:val="3"/>
          </w:tcPr>
          <w:p>
            <w:pPr>
              <w:ind w:left="320"/>
              <w:spacing w:after="0"/>
              <w:rPr>
                <w:sz w:val="20"/>
                <w:szCs w:val="20"/>
                <w:color w:val="auto"/>
              </w:rPr>
            </w:pPr>
            <w:r>
              <w:rPr>
                <w:rFonts w:ascii="Arial" w:cs="Arial" w:eastAsia="Arial" w:hAnsi="Arial"/>
                <w:sz w:val="18"/>
                <w:szCs w:val="18"/>
                <w:color w:val="auto"/>
              </w:rPr>
              <w:t>Basic</w:t>
            </w: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8,520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8,402</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840" w:type="dxa"/>
            <w:vAlign w:val="bottom"/>
            <w:tcBorders>
              <w:bottom w:val="single" w:sz="8" w:color="CCEEFF"/>
            </w:tcBorders>
            <w:gridSpan w:val="3"/>
            <w:shd w:val="clear" w:color="auto" w:fill="CCEEFF"/>
          </w:tcPr>
          <w:p>
            <w:pPr>
              <w:ind w:left="320"/>
              <w:spacing w:after="0"/>
              <w:rPr>
                <w:sz w:val="20"/>
                <w:szCs w:val="20"/>
                <w:color w:val="auto"/>
              </w:rPr>
            </w:pPr>
            <w:r>
              <w:rPr>
                <w:rFonts w:ascii="Arial" w:cs="Arial" w:eastAsia="Arial" w:hAnsi="Arial"/>
                <w:sz w:val="18"/>
                <w:szCs w:val="18"/>
                <w:color w:val="auto"/>
              </w:rPr>
              <w:t>Diluted</w:t>
            </w:r>
          </w:p>
        </w:tc>
        <w:tc>
          <w:tcPr>
            <w:tcW w:w="10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8,822</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8,603</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3620" w:type="dxa"/>
            <w:vAlign w:val="bottom"/>
            <w:gridSpan w:val="2"/>
          </w:tcPr>
          <w:p>
            <w:pPr>
              <w:spacing w:after="0"/>
              <w:rPr>
                <w:sz w:val="18"/>
                <w:szCs w:val="18"/>
                <w:color w:val="auto"/>
              </w:rPr>
            </w:pPr>
          </w:p>
        </w:tc>
        <w:tc>
          <w:tcPr>
            <w:tcW w:w="124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3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4840" w:type="dxa"/>
            <w:vAlign w:val="bottom"/>
            <w:tcBorders>
              <w:bottom w:val="single" w:sz="8" w:color="auto"/>
            </w:tcBorders>
            <w:gridSpan w:val="2"/>
            <w:shd w:val="clear" w:color="auto" w:fill="CCEEFF"/>
          </w:tcPr>
          <w:p>
            <w:pPr>
              <w:spacing w:after="0" w:line="176" w:lineRule="exact"/>
              <w:rPr>
                <w:sz w:val="20"/>
                <w:szCs w:val="20"/>
                <w:color w:val="auto"/>
              </w:rPr>
            </w:pPr>
            <w:r>
              <w:rPr>
                <w:rFonts w:ascii="Arial" w:cs="Arial" w:eastAsia="Arial" w:hAnsi="Arial"/>
                <w:sz w:val="18"/>
                <w:szCs w:val="18"/>
                <w:b w:val="1"/>
                <w:bCs w:val="1"/>
                <w:color w:val="auto"/>
                <w:w w:val="87"/>
              </w:rPr>
              <w:t>Condensed Consolidated Statements of Comprehensive Income</w:t>
            </w:r>
          </w:p>
        </w:tc>
        <w:tc>
          <w:tcPr>
            <w:tcW w:w="30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40" w:type="dxa"/>
            <w:vAlign w:val="bottom"/>
            <w:gridSpan w:val="3"/>
          </w:tcPr>
          <w:p>
            <w:pPr>
              <w:ind w:left="160"/>
              <w:spacing w:after="0"/>
              <w:rPr>
                <w:sz w:val="20"/>
                <w:szCs w:val="20"/>
                <w:color w:val="auto"/>
              </w:rPr>
            </w:pPr>
            <w:r>
              <w:rPr>
                <w:rFonts w:ascii="Arial" w:cs="Arial" w:eastAsia="Arial" w:hAnsi="Arial"/>
                <w:sz w:val="18"/>
                <w:szCs w:val="18"/>
                <w:color w:val="auto"/>
              </w:rPr>
              <w:t>Net income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1,391</w:t>
            </w:r>
          </w:p>
        </w:tc>
        <w:tc>
          <w:tcPr>
            <w:tcW w:w="140" w:type="dxa"/>
            <w:vAlign w:val="bottom"/>
          </w:tcPr>
          <w:p>
            <w:pPr>
              <w:spacing w:after="0"/>
              <w:rPr>
                <w:sz w:val="19"/>
                <w:szCs w:val="19"/>
                <w:color w:val="auto"/>
              </w:rPr>
            </w:pPr>
          </w:p>
        </w:tc>
        <w:tc>
          <w:tcPr>
            <w:tcW w:w="36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1,441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Other comprehensive income:</w:t>
            </w:r>
          </w:p>
        </w:tc>
        <w:tc>
          <w:tcPr>
            <w:tcW w:w="10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gridSpan w:val="3"/>
          </w:tcPr>
          <w:p>
            <w:pPr>
              <w:ind w:left="320"/>
              <w:spacing w:after="0"/>
              <w:rPr>
                <w:sz w:val="20"/>
                <w:szCs w:val="20"/>
                <w:color w:val="auto"/>
              </w:rPr>
            </w:pPr>
            <w:r>
              <w:rPr>
                <w:rFonts w:ascii="Arial" w:cs="Arial" w:eastAsia="Arial" w:hAnsi="Arial"/>
                <w:sz w:val="18"/>
                <w:szCs w:val="18"/>
                <w:color w:val="auto"/>
              </w:rPr>
              <w:t>Foreign currency translation adjustment</w:t>
            </w:r>
          </w:p>
        </w:tc>
        <w:tc>
          <w:tcPr>
            <w:tcW w:w="100" w:type="dxa"/>
            <w:vAlign w:val="bottom"/>
          </w:tcPr>
          <w:p>
            <w:pPr>
              <w:spacing w:after="0"/>
              <w:rPr>
                <w:sz w:val="18"/>
                <w:szCs w:val="18"/>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976</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449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Change in market value of marketable securities</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(266)</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gridSpan w:val="3"/>
          </w:tcPr>
          <w:p>
            <w:pPr>
              <w:ind w:left="320"/>
              <w:spacing w:after="0"/>
              <w:rPr>
                <w:sz w:val="20"/>
                <w:szCs w:val="20"/>
                <w:color w:val="auto"/>
              </w:rPr>
            </w:pPr>
            <w:r>
              <w:rPr>
                <w:rFonts w:ascii="Arial" w:cs="Arial" w:eastAsia="Arial" w:hAnsi="Arial"/>
                <w:sz w:val="18"/>
                <w:szCs w:val="18"/>
                <w:color w:val="auto"/>
              </w:rPr>
              <w:t>Deferred tax effect of change in marketable securities</w:t>
            </w: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6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0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784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Total other comprehensive income</w:t>
            </w:r>
          </w:p>
        </w:tc>
        <w:tc>
          <w:tcPr>
            <w:tcW w:w="10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801</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Borders>
              <w:top w:val="single" w:sz="8" w:color="CCEEFF"/>
            </w:tcBorders>
            <w:gridSpan w:val="3"/>
          </w:tcPr>
          <w:p>
            <w:pPr>
              <w:ind w:left="160"/>
              <w:spacing w:after="0"/>
              <w:rPr>
                <w:sz w:val="20"/>
                <w:szCs w:val="20"/>
                <w:color w:val="auto"/>
              </w:rPr>
            </w:pPr>
            <w:r>
              <w:rPr>
                <w:rFonts w:ascii="Arial" w:cs="Arial" w:eastAsia="Arial" w:hAnsi="Arial"/>
                <w:sz w:val="18"/>
                <w:szCs w:val="18"/>
                <w:color w:val="auto"/>
              </w:rPr>
              <w:t>Comprehensive income</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2,192</w:t>
            </w: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1,917</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374"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5 of 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780"/>
          </w:cols>
          <w:pgMar w:left="240" w:top="607" w:right="87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FREQUENCY ELECTRONICS,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Six Months Ended October 31,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7840" w:type="dxa"/>
            <w:vAlign w:val="bottom"/>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2013</w:t>
            </w:r>
          </w:p>
        </w:tc>
        <w:tc>
          <w:tcPr>
            <w:tcW w:w="46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w w:val="89"/>
              </w:rPr>
              <w:t>2012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8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60" w:type="dxa"/>
            <w:vAlign w:val="bottom"/>
          </w:tcPr>
          <w:p>
            <w:pPr>
              <w:jc w:val="right"/>
              <w:ind w:right="110"/>
              <w:spacing w:after="0"/>
              <w:rPr>
                <w:sz w:val="20"/>
                <w:szCs w:val="20"/>
                <w:color w:val="auto"/>
              </w:rPr>
            </w:pPr>
            <w:r>
              <w:rPr>
                <w:rFonts w:ascii="Arial" w:cs="Arial" w:eastAsia="Arial" w:hAnsi="Arial"/>
                <w:sz w:val="18"/>
                <w:szCs w:val="18"/>
                <w:color w:val="auto"/>
              </w:rPr>
              <w:t>(In</w:t>
            </w:r>
          </w:p>
        </w:tc>
        <w:tc>
          <w:tcPr>
            <w:tcW w:w="660" w:type="dxa"/>
            <w:vAlign w:val="bottom"/>
            <w:gridSpan w:val="3"/>
          </w:tcPr>
          <w:p>
            <w:pPr>
              <w:jc w:val="right"/>
              <w:spacing w:after="0"/>
              <w:rPr>
                <w:sz w:val="20"/>
                <w:szCs w:val="20"/>
                <w:color w:val="auto"/>
              </w:rPr>
            </w:pPr>
            <w:r>
              <w:rPr>
                <w:rFonts w:ascii="Arial" w:cs="Arial" w:eastAsia="Arial" w:hAnsi="Arial"/>
                <w:sz w:val="17"/>
                <w:szCs w:val="17"/>
                <w:color w:val="auto"/>
                <w:w w:val="73"/>
              </w:rPr>
              <w:t>thousands)</w:t>
            </w: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7860" w:type="dxa"/>
            <w:vAlign w:val="bottom"/>
            <w:gridSpan w:val="2"/>
          </w:tcPr>
          <w:p>
            <w:pPr>
              <w:spacing w:after="0"/>
              <w:rPr>
                <w:sz w:val="20"/>
                <w:szCs w:val="20"/>
                <w:color w:val="auto"/>
              </w:rPr>
            </w:pPr>
            <w:r>
              <w:rPr>
                <w:rFonts w:ascii="Arial" w:cs="Arial" w:eastAsia="Arial" w:hAnsi="Arial"/>
                <w:sz w:val="18"/>
                <w:szCs w:val="18"/>
                <w:color w:val="auto"/>
              </w:rPr>
              <w:t>Cash flows from operating activities:</w:t>
            </w:r>
          </w:p>
        </w:tc>
        <w:tc>
          <w:tcPr>
            <w:tcW w:w="8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Net income</w:t>
            </w:r>
          </w:p>
        </w:tc>
        <w:tc>
          <w:tcPr>
            <w:tcW w:w="840" w:type="dxa"/>
            <w:vAlign w:val="bottom"/>
            <w:shd w:val="clear" w:color="auto" w:fill="CCEEFF"/>
          </w:tcPr>
          <w:p>
            <w:pPr>
              <w:jc w:val="right"/>
              <w:ind w:right="650"/>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2,067</w:t>
            </w:r>
          </w:p>
        </w:tc>
        <w:tc>
          <w:tcPr>
            <w:tcW w:w="1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ind w:left="120"/>
              <w:spacing w:after="0"/>
              <w:rPr>
                <w:sz w:val="20"/>
                <w:szCs w:val="20"/>
                <w:color w:val="auto"/>
              </w:rPr>
            </w:pPr>
            <w:r>
              <w:rPr>
                <w:rFonts w:ascii="Arial" w:cs="Arial" w:eastAsia="Arial" w:hAnsi="Arial"/>
                <w:sz w:val="18"/>
                <w:szCs w:val="18"/>
                <w:color w:val="auto"/>
              </w:rPr>
              <w:t>Non-cash charges to earnings</w:t>
            </w:r>
          </w:p>
        </w:tc>
        <w:tc>
          <w:tcPr>
            <w:tcW w:w="8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2,800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2,611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Gain on sale of equipment</w:t>
            </w:r>
          </w:p>
        </w:tc>
        <w:tc>
          <w:tcPr>
            <w:tcW w:w="8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(736)</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ind w:left="120"/>
              <w:spacing w:after="0"/>
              <w:rPr>
                <w:sz w:val="20"/>
                <w:szCs w:val="20"/>
                <w:color w:val="auto"/>
              </w:rPr>
            </w:pPr>
            <w:r>
              <w:rPr>
                <w:rFonts w:ascii="Arial" w:cs="Arial" w:eastAsia="Arial" w:hAnsi="Arial"/>
                <w:sz w:val="18"/>
                <w:szCs w:val="18"/>
                <w:color w:val="auto"/>
              </w:rPr>
              <w:t>Net changes in operating assets and liabilities</w:t>
            </w:r>
          </w:p>
        </w:tc>
        <w:tc>
          <w:tcPr>
            <w:tcW w:w="84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w w:val="87"/>
              </w:rPr>
              <w:t>(6,634)</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(5,801)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84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operating activities</w:t>
            </w:r>
          </w:p>
        </w:tc>
        <w:tc>
          <w:tcPr>
            <w:tcW w:w="84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(2,503)</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(981)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840" w:type="dxa"/>
            <w:vAlign w:val="bottom"/>
            <w:tcBorders>
              <w:top w:val="single" w:sz="8" w:color="CCEEFF"/>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8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ind w:left="120"/>
              <w:spacing w:after="0"/>
              <w:rPr>
                <w:sz w:val="20"/>
                <w:szCs w:val="20"/>
                <w:color w:val="auto"/>
              </w:rPr>
            </w:pPr>
            <w:r>
              <w:rPr>
                <w:rFonts w:ascii="Arial" w:cs="Arial" w:eastAsia="Arial" w:hAnsi="Arial"/>
                <w:sz w:val="18"/>
                <w:szCs w:val="18"/>
                <w:color w:val="auto"/>
              </w:rPr>
              <w:t>Proceeds on redemption of marketable securities</w:t>
            </w:r>
          </w:p>
        </w:tc>
        <w:tc>
          <w:tcPr>
            <w:tcW w:w="8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1,767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2,006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Purchase of marketable securities</w:t>
            </w:r>
          </w:p>
        </w:tc>
        <w:tc>
          <w:tcPr>
            <w:tcW w:w="8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ind w:left="120"/>
              <w:spacing w:after="0"/>
              <w:rPr>
                <w:sz w:val="20"/>
                <w:szCs w:val="20"/>
                <w:color w:val="auto"/>
              </w:rPr>
            </w:pPr>
            <w:r>
              <w:rPr>
                <w:rFonts w:ascii="Arial" w:cs="Arial" w:eastAsia="Arial" w:hAnsi="Arial"/>
                <w:sz w:val="18"/>
                <w:szCs w:val="18"/>
                <w:color w:val="auto"/>
              </w:rPr>
              <w:t>Purchase of fixed assets and other assets</w:t>
            </w:r>
          </w:p>
        </w:tc>
        <w:tc>
          <w:tcPr>
            <w:tcW w:w="84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w w:val="87"/>
              </w:rPr>
              <w:t>(2,786)</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(612)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84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provided by investing activities</w:t>
            </w:r>
          </w:p>
        </w:tc>
        <w:tc>
          <w:tcPr>
            <w:tcW w:w="84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(1,086)</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840" w:type="dxa"/>
            <w:vAlign w:val="bottom"/>
            <w:tcBorders>
              <w:top w:val="single" w:sz="8" w:color="CCEEFF"/>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8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ind w:left="120"/>
              <w:spacing w:after="0"/>
              <w:rPr>
                <w:sz w:val="20"/>
                <w:szCs w:val="20"/>
                <w:color w:val="auto"/>
              </w:rPr>
            </w:pPr>
            <w:r>
              <w:rPr>
                <w:rFonts w:ascii="Arial" w:cs="Arial" w:eastAsia="Arial" w:hAnsi="Arial"/>
                <w:sz w:val="18"/>
                <w:szCs w:val="18"/>
                <w:color w:val="auto"/>
              </w:rPr>
              <w:t>Proceeds from credit line borrowings</w:t>
            </w:r>
          </w:p>
        </w:tc>
        <w:tc>
          <w:tcPr>
            <w:tcW w:w="8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4,100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4,000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Payment of short-term credit obligations</w:t>
            </w:r>
          </w:p>
        </w:tc>
        <w:tc>
          <w:tcPr>
            <w:tcW w:w="8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ind w:left="120"/>
              <w:spacing w:after="0"/>
              <w:rPr>
                <w:sz w:val="20"/>
                <w:szCs w:val="20"/>
                <w:color w:val="auto"/>
              </w:rPr>
            </w:pPr>
            <w:r>
              <w:rPr>
                <w:rFonts w:ascii="Arial" w:cs="Arial" w:eastAsia="Arial" w:hAnsi="Arial"/>
                <w:sz w:val="18"/>
                <w:szCs w:val="18"/>
                <w:color w:val="auto"/>
              </w:rPr>
              <w:t>Tax benefit from exercise of stock-based compensation</w:t>
            </w:r>
          </w:p>
        </w:tc>
        <w:tc>
          <w:tcPr>
            <w:tcW w:w="840" w:type="dxa"/>
            <w:vAlign w:val="bottom"/>
          </w:tcPr>
          <w:p>
            <w:pPr>
              <w:spacing w:after="0"/>
              <w:rPr>
                <w:sz w:val="18"/>
                <w:szCs w:val="18"/>
                <w:color w:val="auto"/>
              </w:rPr>
            </w:pPr>
          </w:p>
        </w:tc>
        <w:tc>
          <w:tcPr>
            <w:tcW w:w="600" w:type="dxa"/>
            <w:vAlign w:val="bottom"/>
            <w:gridSpan w:val="2"/>
          </w:tcPr>
          <w:p>
            <w:pPr>
              <w:jc w:val="right"/>
              <w:ind w:right="55"/>
              <w:spacing w:after="0"/>
              <w:rPr>
                <w:sz w:val="20"/>
                <w:szCs w:val="20"/>
                <w:color w:val="auto"/>
              </w:rPr>
            </w:pPr>
            <w:r>
              <w:rPr>
                <w:rFonts w:ascii="Arial" w:cs="Arial" w:eastAsia="Arial" w:hAnsi="Arial"/>
                <w:sz w:val="18"/>
                <w:szCs w:val="18"/>
                <w:color w:val="auto"/>
              </w:rPr>
              <w:t>157</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Proceeds from exercise of stock options</w:t>
            </w:r>
          </w:p>
        </w:tc>
        <w:tc>
          <w:tcPr>
            <w:tcW w:w="8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40" w:type="dxa"/>
            <w:vAlign w:val="bottom"/>
          </w:tcPr>
          <w:p>
            <w:pPr>
              <w:ind w:left="120"/>
              <w:spacing w:after="0"/>
              <w:rPr>
                <w:sz w:val="20"/>
                <w:szCs w:val="20"/>
                <w:color w:val="auto"/>
              </w:rPr>
            </w:pPr>
            <w:r>
              <w:rPr>
                <w:rFonts w:ascii="Arial" w:cs="Arial" w:eastAsia="Arial" w:hAnsi="Arial"/>
                <w:sz w:val="18"/>
                <w:szCs w:val="18"/>
                <w:color w:val="auto"/>
              </w:rPr>
              <w:t>Payment of lease obligations</w:t>
            </w:r>
          </w:p>
        </w:tc>
        <w:tc>
          <w:tcPr>
            <w:tcW w:w="840" w:type="dxa"/>
            <w:vAlign w:val="bottom"/>
          </w:tcPr>
          <w:p>
            <w:pPr>
              <w:spacing w:after="0"/>
              <w:rPr>
                <w:sz w:val="19"/>
                <w:szCs w:val="19"/>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(15)</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(231)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840" w:type="dxa"/>
            <w:vAlign w:val="bottom"/>
            <w:tcBorders>
              <w:top w:val="single" w:sz="8" w:color="auto"/>
              <w:bottom w:val="single" w:sz="8" w:color="auto"/>
            </w:tcBorders>
            <w:shd w:val="clear" w:color="auto" w:fill="CCEEFF"/>
          </w:tcPr>
          <w:p>
            <w:pPr>
              <w:spacing w:after="0"/>
              <w:rPr>
                <w:sz w:val="19"/>
                <w:szCs w:val="19"/>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4,242</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top w:val="single" w:sz="8" w:color="auto"/>
              <w:bottom w:val="single" w:sz="8" w:color="auto"/>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2,289</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8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78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Net increase in cash and cash equivalents</w:t>
            </w:r>
          </w:p>
        </w:tc>
        <w:tc>
          <w:tcPr>
            <w:tcW w:w="8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8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before effect of exchange rate changes</w:t>
            </w:r>
          </w:p>
        </w:tc>
        <w:tc>
          <w:tcPr>
            <w:tcW w:w="840" w:type="dxa"/>
            <w:vAlign w:val="bottom"/>
            <w:shd w:val="clear" w:color="auto" w:fill="CCEEFF"/>
          </w:tcPr>
          <w:p>
            <w:pPr>
              <w:spacing w:after="0"/>
              <w:rPr>
                <w:sz w:val="20"/>
                <w:szCs w:val="20"/>
                <w:color w:val="auto"/>
              </w:rPr>
            </w:pPr>
          </w:p>
        </w:tc>
        <w:tc>
          <w:tcPr>
            <w:tcW w:w="600" w:type="dxa"/>
            <w:vAlign w:val="bottom"/>
            <w:gridSpan w:val="2"/>
            <w:shd w:val="clear" w:color="auto" w:fill="CCEEFF"/>
          </w:tcPr>
          <w:p>
            <w:pPr>
              <w:jc w:val="right"/>
              <w:ind w:right="55"/>
              <w:spacing w:after="0"/>
              <w:rPr>
                <w:sz w:val="20"/>
                <w:szCs w:val="20"/>
                <w:color w:val="auto"/>
              </w:rPr>
            </w:pPr>
            <w:r>
              <w:rPr>
                <w:rFonts w:ascii="Arial" w:cs="Arial" w:eastAsia="Arial" w:hAnsi="Arial"/>
                <w:sz w:val="18"/>
                <w:szCs w:val="18"/>
                <w:color w:val="auto"/>
              </w:rPr>
              <w:t>653</w:t>
            </w:r>
          </w:p>
        </w:tc>
        <w:tc>
          <w:tcPr>
            <w:tcW w:w="8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1,755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8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84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55"/>
              <w:spacing w:after="0"/>
              <w:rPr>
                <w:sz w:val="20"/>
                <w:szCs w:val="20"/>
                <w:color w:val="auto"/>
              </w:rPr>
            </w:pPr>
            <w:r>
              <w:rPr>
                <w:rFonts w:ascii="Arial" w:cs="Arial" w:eastAsia="Arial" w:hAnsi="Arial"/>
                <w:sz w:val="18"/>
                <w:szCs w:val="18"/>
                <w:color w:val="auto"/>
              </w:rPr>
              <w:t>949</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840" w:type="dxa"/>
            <w:vAlign w:val="bottom"/>
            <w:tcBorders>
              <w:top w:val="single" w:sz="8" w:color="CCEEFF"/>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Net increase in cash and cash equivalents</w:t>
            </w:r>
          </w:p>
        </w:tc>
        <w:tc>
          <w:tcPr>
            <w:tcW w:w="8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1,602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2,196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8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beginning of period</w:t>
            </w:r>
          </w:p>
        </w:tc>
        <w:tc>
          <w:tcPr>
            <w:tcW w:w="84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3,460</w:t>
            </w: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4,782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840" w:type="dxa"/>
            <w:vAlign w:val="bottom"/>
            <w:tcBorders>
              <w:top w:val="single" w:sz="8" w:color="CCEEFF"/>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78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cash equivalents at end of period</w:t>
            </w:r>
          </w:p>
        </w:tc>
        <w:tc>
          <w:tcPr>
            <w:tcW w:w="840" w:type="dxa"/>
            <w:vAlign w:val="bottom"/>
            <w:tcBorders>
              <w:bottom w:val="single" w:sz="8" w:color="auto"/>
            </w:tcBorders>
            <w:shd w:val="clear" w:color="auto" w:fill="CCEEFF"/>
          </w:tcPr>
          <w:p>
            <w:pPr>
              <w:jc w:val="right"/>
              <w:ind w:right="650"/>
              <w:spacing w:after="0"/>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5,062</w:t>
            </w: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6,978</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681"/>
        </w:trPr>
        <w:tc>
          <w:tcPr>
            <w:tcW w:w="7860" w:type="dxa"/>
            <w:vAlign w:val="bottom"/>
            <w:gridSpan w:val="2"/>
          </w:tcPr>
          <w:p>
            <w:pPr>
              <w:spacing w:after="0"/>
              <w:rPr>
                <w:sz w:val="20"/>
                <w:szCs w:val="20"/>
                <w:color w:val="auto"/>
              </w:rPr>
            </w:pPr>
            <w:r>
              <w:rPr>
                <w:rFonts w:ascii="Arial" w:cs="Arial" w:eastAsia="Arial" w:hAnsi="Arial"/>
                <w:sz w:val="18"/>
                <w:szCs w:val="18"/>
                <w:color w:val="auto"/>
              </w:rPr>
              <w:t>Supplemental disclosures of cash flow information:</w:t>
            </w:r>
          </w:p>
        </w:tc>
        <w:tc>
          <w:tcPr>
            <w:tcW w:w="8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840" w:type="dxa"/>
            <w:vAlign w:val="bottom"/>
          </w:tcPr>
          <w:p>
            <w:pPr>
              <w:ind w:left="320"/>
              <w:spacing w:after="0"/>
              <w:rPr>
                <w:sz w:val="20"/>
                <w:szCs w:val="20"/>
                <w:color w:val="auto"/>
              </w:rPr>
            </w:pPr>
            <w:r>
              <w:rPr>
                <w:rFonts w:ascii="Arial" w:cs="Arial" w:eastAsia="Arial" w:hAnsi="Arial"/>
                <w:sz w:val="18"/>
                <w:szCs w:val="18"/>
                <w:color w:val="auto"/>
              </w:rPr>
              <w:t>Cash paid during the period for:</w:t>
            </w:r>
          </w:p>
        </w:tc>
        <w:tc>
          <w:tcPr>
            <w:tcW w:w="8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784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8"/>
                <w:szCs w:val="18"/>
                <w:color w:val="auto"/>
              </w:rPr>
              <w:t>Interest</w:t>
            </w:r>
          </w:p>
        </w:tc>
        <w:tc>
          <w:tcPr>
            <w:tcW w:w="840" w:type="dxa"/>
            <w:vAlign w:val="bottom"/>
            <w:tcBorders>
              <w:bottom w:val="single" w:sz="8" w:color="auto"/>
            </w:tcBorders>
            <w:shd w:val="clear" w:color="auto" w:fill="CCEEFF"/>
          </w:tcPr>
          <w:p>
            <w:pPr>
              <w:jc w:val="right"/>
              <w:ind w:right="650"/>
              <w:spacing w:after="0"/>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40" w:type="dxa"/>
            <w:vAlign w:val="bottom"/>
          </w:tcPr>
          <w:p>
            <w:pPr>
              <w:ind w:left="640"/>
              <w:spacing w:after="0"/>
              <w:rPr>
                <w:sz w:val="20"/>
                <w:szCs w:val="20"/>
                <w:color w:val="auto"/>
              </w:rPr>
            </w:pPr>
            <w:r>
              <w:rPr>
                <w:rFonts w:ascii="Arial" w:cs="Arial" w:eastAsia="Arial" w:hAnsi="Arial"/>
                <w:sz w:val="18"/>
                <w:szCs w:val="18"/>
                <w:color w:val="auto"/>
              </w:rPr>
              <w:t>Income Taxes</w:t>
            </w:r>
          </w:p>
        </w:tc>
        <w:tc>
          <w:tcPr>
            <w:tcW w:w="840" w:type="dxa"/>
            <w:vAlign w:val="bottom"/>
          </w:tcPr>
          <w:p>
            <w:pPr>
              <w:jc w:val="right"/>
              <w:ind w:right="650"/>
              <w:spacing w:after="0"/>
              <w:rPr>
                <w:sz w:val="20"/>
                <w:szCs w:val="20"/>
                <w:color w:val="auto"/>
              </w:rPr>
            </w:pPr>
            <w:r>
              <w:rPr>
                <w:rFonts w:ascii="Arial" w:cs="Arial" w:eastAsia="Arial" w:hAnsi="Arial"/>
                <w:sz w:val="18"/>
                <w:szCs w:val="18"/>
                <w:color w:val="auto"/>
                <w:w w:val="79"/>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1,260</w:t>
            </w:r>
          </w:p>
        </w:tc>
        <w:tc>
          <w:tcPr>
            <w:tcW w:w="140" w:type="dxa"/>
            <w:vAlign w:val="bottom"/>
          </w:tcPr>
          <w:p>
            <w:pPr>
              <w:spacing w:after="0"/>
              <w:rPr>
                <w:sz w:val="18"/>
                <w:szCs w:val="18"/>
                <w:color w:val="auto"/>
              </w:rPr>
            </w:pPr>
          </w:p>
        </w:tc>
        <w:tc>
          <w:tcPr>
            <w:tcW w:w="52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1,275</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8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1"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6 of 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780"/>
          </w:cols>
          <w:pgMar w:left="240" w:top="580" w:right="87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FREQUENCY ELECTRONICS, INC. and SUBSIDIARIES</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Condensed Consolidated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A - CONSOLIDATED FINANCIAL STATEMENTS</w:t>
      </w:r>
    </w:p>
    <w:p>
      <w:pPr>
        <w:spacing w:after="0" w:line="256" w:lineRule="exact"/>
        <w:rPr>
          <w:sz w:val="20"/>
          <w:szCs w:val="20"/>
          <w:color w:val="auto"/>
        </w:rPr>
      </w:pPr>
    </w:p>
    <w:p>
      <w:pPr>
        <w:jc w:val="both"/>
        <w:ind w:firstLine="486"/>
        <w:spacing w:after="0" w:line="271" w:lineRule="auto"/>
        <w:rPr>
          <w:sz w:val="20"/>
          <w:szCs w:val="20"/>
          <w:color w:val="auto"/>
        </w:rPr>
      </w:pPr>
      <w:r>
        <w:rPr>
          <w:rFonts w:ascii="Arial" w:cs="Arial" w:eastAsia="Arial" w:hAnsi="Arial"/>
          <w:sz w:val="17"/>
          <w:szCs w:val="17"/>
          <w:color w:val="auto"/>
        </w:rPr>
        <w:t>In the opinion of management of Frequency Electronics, Inc. (“the Company”), the accompanying unaudited condensed consolidated interim financial statements reflect all adjustments (which include only normal recurring adjustments) necessary to present fairly, in all material respects, the consolidated financial position of the Company as of October 31, 2013 and the results of its operations and cash flows for the six and three months ended October 31, 2013 and 2012. The April 30, 2013 condensed consolidated balance sheet was derived from audited financial statements. Certain information and footnote disclosures normally included in financial statements prepared in accordance with generally accepted accounting principles have been condensed or omitted. It is suggested that these condensed consolidated financial statements be read in conjunction with the financial statements and notes thereto included in the Company's Annual Report on Form 10-K for the year ended April 30, 2013. The results of operations for such interim periods are not necessarily indicative of the operating results for the full fiscal year.</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B - EARNINGS PER SHARE</w:t>
      </w:r>
    </w:p>
    <w:p>
      <w:pPr>
        <w:spacing w:after="0" w:line="25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Reconciliation of the weighted average shares outstanding for basic and diluted Earnings Per Share are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860" w:type="dxa"/>
            <w:vAlign w:val="bottom"/>
          </w:tcPr>
          <w:p>
            <w:pPr>
              <w:spacing w:after="0"/>
              <w:rPr>
                <w:sz w:val="20"/>
                <w:szCs w:val="20"/>
                <w:color w:val="auto"/>
              </w:rPr>
            </w:pPr>
          </w:p>
        </w:tc>
        <w:tc>
          <w:tcPr>
            <w:tcW w:w="1860" w:type="dxa"/>
            <w:vAlign w:val="bottom"/>
            <w:tcBorders>
              <w:bottom w:val="single" w:sz="8" w:color="auto"/>
            </w:tcBorders>
            <w:gridSpan w:val="3"/>
          </w:tcPr>
          <w:p>
            <w:pPr>
              <w:ind w:left="980"/>
              <w:spacing w:after="0"/>
              <w:rPr>
                <w:sz w:val="20"/>
                <w:szCs w:val="20"/>
                <w:color w:val="auto"/>
              </w:rPr>
            </w:pPr>
            <w:r>
              <w:rPr>
                <w:rFonts w:ascii="Arial" w:cs="Arial" w:eastAsia="Arial" w:hAnsi="Arial"/>
                <w:sz w:val="18"/>
                <w:szCs w:val="18"/>
                <w:b w:val="1"/>
                <w:bCs w:val="1"/>
                <w:color w:val="auto"/>
                <w:w w:val="88"/>
              </w:rPr>
              <w:t>Six months</w:t>
            </w:r>
          </w:p>
        </w:tc>
        <w:tc>
          <w:tcPr>
            <w:tcW w:w="94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960" w:type="dxa"/>
            <w:vAlign w:val="bottom"/>
            <w:tcBorders>
              <w:bottom w:val="single" w:sz="8" w:color="auto"/>
            </w:tcBorders>
            <w:gridSpan w:val="3"/>
          </w:tcPr>
          <w:p>
            <w:pPr>
              <w:ind w:left="860"/>
              <w:spacing w:after="0"/>
              <w:rPr>
                <w:sz w:val="20"/>
                <w:szCs w:val="20"/>
                <w:color w:val="auto"/>
              </w:rPr>
            </w:pPr>
            <w:r>
              <w:rPr>
                <w:rFonts w:ascii="Arial" w:cs="Arial" w:eastAsia="Arial" w:hAnsi="Arial"/>
                <w:sz w:val="18"/>
                <w:szCs w:val="18"/>
                <w:b w:val="1"/>
                <w:bCs w:val="1"/>
                <w:color w:val="auto"/>
                <w:w w:val="90"/>
              </w:rPr>
              <w:t>Three months</w:t>
            </w:r>
          </w:p>
        </w:tc>
        <w:tc>
          <w:tcPr>
            <w:tcW w:w="8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8"/>
        </w:trPr>
        <w:tc>
          <w:tcPr>
            <w:tcW w:w="48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120" w:type="dxa"/>
            <w:vAlign w:val="bottom"/>
            <w:gridSpan w:val="5"/>
          </w:tcPr>
          <w:p>
            <w:pPr>
              <w:ind w:left="40"/>
              <w:spacing w:after="0" w:line="198" w:lineRule="exact"/>
              <w:rPr>
                <w:sz w:val="20"/>
                <w:szCs w:val="20"/>
                <w:color w:val="auto"/>
              </w:rPr>
            </w:pPr>
            <w:r>
              <w:rPr>
                <w:rFonts w:ascii="Arial" w:cs="Arial" w:eastAsia="Arial" w:hAnsi="Arial"/>
                <w:sz w:val="18"/>
                <w:szCs w:val="18"/>
                <w:b w:val="1"/>
                <w:bCs w:val="1"/>
                <w:color w:val="auto"/>
              </w:rPr>
              <w:t>Periods ended October 31,</w:t>
            </w: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1"/>
        </w:trPr>
        <w:tc>
          <w:tcPr>
            <w:tcW w:w="4860" w:type="dxa"/>
            <w:vAlign w:val="bottom"/>
          </w:tcPr>
          <w:p>
            <w:pPr>
              <w:spacing w:after="0"/>
              <w:rPr>
                <w:sz w:val="20"/>
                <w:szCs w:val="20"/>
                <w:color w:val="auto"/>
              </w:rPr>
            </w:pPr>
          </w:p>
        </w:tc>
        <w:tc>
          <w:tcPr>
            <w:tcW w:w="13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2013</w:t>
            </w:r>
          </w:p>
        </w:tc>
        <w:tc>
          <w:tcPr>
            <w:tcW w:w="2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2012</w:t>
            </w:r>
          </w:p>
        </w:tc>
        <w:tc>
          <w:tcPr>
            <w:tcW w:w="220" w:type="dxa"/>
            <w:vAlign w:val="bottom"/>
          </w:tcPr>
          <w:p>
            <w:pPr>
              <w:spacing w:after="0"/>
              <w:rPr>
                <w:sz w:val="20"/>
                <w:szCs w:val="20"/>
                <w:color w:val="auto"/>
              </w:rPr>
            </w:pPr>
          </w:p>
        </w:tc>
        <w:tc>
          <w:tcPr>
            <w:tcW w:w="13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2013</w:t>
            </w:r>
          </w:p>
        </w:tc>
        <w:tc>
          <w:tcPr>
            <w:tcW w:w="22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w w:val="89"/>
              </w:rPr>
              <w:t>2012</w:t>
            </w:r>
          </w:p>
        </w:tc>
        <w:tc>
          <w:tcPr>
            <w:tcW w:w="100" w:type="dxa"/>
            <w:vAlign w:val="bottom"/>
          </w:tcPr>
          <w:p>
            <w:pPr>
              <w:spacing w:after="0"/>
              <w:rPr>
                <w:sz w:val="20"/>
                <w:szCs w:val="20"/>
                <w:color w:val="auto"/>
              </w:rPr>
            </w:pPr>
          </w:p>
        </w:tc>
      </w:tr>
      <w:tr>
        <w:trPr>
          <w:trHeight w:val="216"/>
        </w:trPr>
        <w:tc>
          <w:tcPr>
            <w:tcW w:w="4860" w:type="dxa"/>
            <w:vAlign w:val="bottom"/>
          </w:tcPr>
          <w:p>
            <w:pPr>
              <w:spacing w:after="0"/>
              <w:rPr>
                <w:sz w:val="20"/>
                <w:szCs w:val="20"/>
                <w:color w:val="auto"/>
              </w:rPr>
            </w:pPr>
            <w:r>
              <w:rPr>
                <w:rFonts w:ascii="Arial" w:cs="Arial" w:eastAsia="Arial" w:hAnsi="Arial"/>
                <w:sz w:val="18"/>
                <w:szCs w:val="18"/>
                <w:color w:val="auto"/>
              </w:rPr>
              <w:t>Weighted average shares outstanding:</w:t>
            </w:r>
          </w:p>
        </w:tc>
        <w:tc>
          <w:tcPr>
            <w:tcW w:w="1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Basic</w:t>
            </w:r>
          </w:p>
        </w:tc>
        <w:tc>
          <w:tcPr>
            <w:tcW w:w="15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8,504,810</w:t>
            </w:r>
          </w:p>
        </w:tc>
        <w:tc>
          <w:tcPr>
            <w:tcW w:w="3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8,389,942</w:t>
            </w:r>
          </w:p>
        </w:tc>
        <w:tc>
          <w:tcPr>
            <w:tcW w:w="15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8,519,718</w:t>
            </w:r>
          </w:p>
        </w:tc>
        <w:tc>
          <w:tcPr>
            <w:tcW w:w="4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8,401,636</w:t>
            </w:r>
          </w:p>
        </w:tc>
      </w:tr>
      <w:tr>
        <w:trPr>
          <w:trHeight w:val="216"/>
        </w:trPr>
        <w:tc>
          <w:tcPr>
            <w:tcW w:w="4860" w:type="dxa"/>
            <w:vAlign w:val="bottom"/>
          </w:tcPr>
          <w:p>
            <w:pPr>
              <w:ind w:left="180"/>
              <w:spacing w:after="0"/>
              <w:rPr>
                <w:sz w:val="20"/>
                <w:szCs w:val="20"/>
                <w:color w:val="auto"/>
              </w:rPr>
            </w:pPr>
            <w:r>
              <w:rPr>
                <w:rFonts w:ascii="Arial" w:cs="Arial" w:eastAsia="Arial" w:hAnsi="Arial"/>
                <w:sz w:val="18"/>
                <w:szCs w:val="18"/>
                <w:color w:val="auto"/>
              </w:rPr>
              <w:t>Effect of dilutive securities</w:t>
            </w:r>
          </w:p>
        </w:tc>
        <w:tc>
          <w:tcPr>
            <w:tcW w:w="1300" w:type="dxa"/>
            <w:vAlign w:val="bottom"/>
          </w:tcPr>
          <w:p>
            <w:pPr>
              <w:jc w:val="right"/>
              <w:spacing w:after="0"/>
              <w:rPr>
                <w:sz w:val="20"/>
                <w:szCs w:val="20"/>
                <w:color w:val="auto"/>
              </w:rPr>
            </w:pPr>
            <w:r>
              <w:rPr>
                <w:rFonts w:ascii="Arial" w:cs="Arial" w:eastAsia="Arial" w:hAnsi="Arial"/>
                <w:sz w:val="18"/>
                <w:szCs w:val="18"/>
                <w:color w:val="auto"/>
              </w:rPr>
              <w:t>275,578</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183,594</w:t>
            </w: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302,061</w:t>
            </w:r>
          </w:p>
        </w:tc>
        <w:tc>
          <w:tcPr>
            <w:tcW w:w="44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201,385</w:t>
            </w:r>
          </w:p>
        </w:tc>
      </w:tr>
      <w:tr>
        <w:trPr>
          <w:trHeight w:val="27"/>
        </w:trPr>
        <w:tc>
          <w:tcPr>
            <w:tcW w:w="4860" w:type="dxa"/>
            <w:vAlign w:val="bottom"/>
          </w:tcPr>
          <w:p>
            <w:pPr>
              <w:spacing w:after="0"/>
              <w:rPr>
                <w:sz w:val="2"/>
                <w:szCs w:val="2"/>
                <w:color w:val="auto"/>
              </w:rPr>
            </w:pPr>
          </w:p>
        </w:tc>
        <w:tc>
          <w:tcPr>
            <w:tcW w:w="13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37"/>
        </w:trPr>
        <w:tc>
          <w:tcPr>
            <w:tcW w:w="4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Diluted</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8,780,388</w:t>
            </w:r>
          </w:p>
        </w:tc>
        <w:tc>
          <w:tcPr>
            <w:tcW w:w="2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8,573,536</w:t>
            </w:r>
          </w:p>
        </w:tc>
        <w:tc>
          <w:tcPr>
            <w:tcW w:w="15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8,821,779</w:t>
            </w:r>
          </w:p>
        </w:tc>
        <w:tc>
          <w:tcPr>
            <w:tcW w:w="44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8,603,021</w:t>
            </w:r>
          </w:p>
        </w:tc>
      </w:tr>
      <w:tr>
        <w:trPr>
          <w:trHeight w:val="20"/>
        </w:trPr>
        <w:tc>
          <w:tcPr>
            <w:tcW w:w="4860" w:type="dxa"/>
            <w:vAlign w:val="bottom"/>
            <w:tcBorders>
              <w:top w:val="single" w:sz="8" w:color="CCEEFF"/>
            </w:tcBorders>
            <w:shd w:val="clear" w:color="auto" w:fill="CCEEFF"/>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The computation of diluted earnings per share excludes those options and stock appreciation rights (“SARS”) with an exercise price in excess of the average market price of the Company’s common shares during the periods presented. The inclusion of such options and SARS in the computation of earnings per share would have been antidilutive. The number of excluded options and SARS were</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5140" w:type="dxa"/>
            <w:vAlign w:val="bottom"/>
          </w:tcPr>
          <w:p>
            <w:pPr>
              <w:spacing w:after="0"/>
              <w:rPr>
                <w:sz w:val="20"/>
                <w:szCs w:val="20"/>
                <w:color w:val="auto"/>
              </w:rPr>
            </w:pPr>
          </w:p>
        </w:tc>
        <w:tc>
          <w:tcPr>
            <w:tcW w:w="1980" w:type="dxa"/>
            <w:vAlign w:val="bottom"/>
            <w:tcBorders>
              <w:bottom w:val="single" w:sz="8" w:color="auto"/>
            </w:tcBorders>
            <w:gridSpan w:val="3"/>
          </w:tcPr>
          <w:p>
            <w:pPr>
              <w:ind w:left="1060"/>
              <w:spacing w:after="0"/>
              <w:rPr>
                <w:sz w:val="20"/>
                <w:szCs w:val="20"/>
                <w:color w:val="auto"/>
              </w:rPr>
            </w:pPr>
            <w:r>
              <w:rPr>
                <w:rFonts w:ascii="Arial" w:cs="Arial" w:eastAsia="Arial" w:hAnsi="Arial"/>
                <w:sz w:val="18"/>
                <w:szCs w:val="18"/>
                <w:b w:val="1"/>
                <w:bCs w:val="1"/>
                <w:color w:val="auto"/>
                <w:w w:val="92"/>
              </w:rPr>
              <w:t>Six months</w:t>
            </w:r>
          </w:p>
        </w:tc>
        <w:tc>
          <w:tcPr>
            <w:tcW w:w="102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2020" w:type="dxa"/>
            <w:vAlign w:val="bottom"/>
            <w:tcBorders>
              <w:bottom w:val="single" w:sz="8" w:color="auto"/>
            </w:tcBorders>
            <w:gridSpan w:val="3"/>
          </w:tcPr>
          <w:p>
            <w:pPr>
              <w:ind w:left="920"/>
              <w:spacing w:after="0"/>
              <w:rPr>
                <w:sz w:val="20"/>
                <w:szCs w:val="20"/>
                <w:color w:val="auto"/>
              </w:rPr>
            </w:pPr>
            <w:r>
              <w:rPr>
                <w:rFonts w:ascii="Arial" w:cs="Arial" w:eastAsia="Arial" w:hAnsi="Arial"/>
                <w:sz w:val="18"/>
                <w:szCs w:val="18"/>
                <w:b w:val="1"/>
                <w:bCs w:val="1"/>
                <w:color w:val="auto"/>
                <w:w w:val="90"/>
              </w:rPr>
              <w:t>Three months</w:t>
            </w:r>
          </w:p>
        </w:tc>
        <w:tc>
          <w:tcPr>
            <w:tcW w:w="9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8"/>
        </w:trPr>
        <w:tc>
          <w:tcPr>
            <w:tcW w:w="20" w:type="dxa"/>
            <w:vAlign w:val="bottom"/>
          </w:tcPr>
          <w:p>
            <w:pPr>
              <w:spacing w:after="0"/>
              <w:rPr>
                <w:sz w:val="17"/>
                <w:szCs w:val="17"/>
                <w:color w:val="auto"/>
              </w:rPr>
            </w:pPr>
          </w:p>
        </w:tc>
        <w:tc>
          <w:tcPr>
            <w:tcW w:w="51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280" w:type="dxa"/>
            <w:vAlign w:val="bottom"/>
            <w:gridSpan w:val="5"/>
          </w:tcPr>
          <w:p>
            <w:pPr>
              <w:jc w:val="right"/>
              <w:ind w:right="1180"/>
              <w:spacing w:after="0" w:line="198" w:lineRule="exact"/>
              <w:rPr>
                <w:sz w:val="20"/>
                <w:szCs w:val="20"/>
                <w:color w:val="auto"/>
              </w:rPr>
            </w:pPr>
            <w:r>
              <w:rPr>
                <w:rFonts w:ascii="Arial" w:cs="Arial" w:eastAsia="Arial" w:hAnsi="Arial"/>
                <w:sz w:val="18"/>
                <w:szCs w:val="18"/>
                <w:b w:val="1"/>
                <w:bCs w:val="1"/>
                <w:color w:val="auto"/>
                <w:w w:val="91"/>
              </w:rPr>
              <w:t>Periods ended October 31,</w:t>
            </w: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1"/>
        </w:trPr>
        <w:tc>
          <w:tcPr>
            <w:tcW w:w="20" w:type="dxa"/>
            <w:vAlign w:val="bottom"/>
          </w:tcPr>
          <w:p>
            <w:pPr>
              <w:spacing w:after="0"/>
              <w:rPr>
                <w:sz w:val="20"/>
                <w:szCs w:val="20"/>
                <w:color w:val="auto"/>
              </w:rPr>
            </w:pPr>
          </w:p>
        </w:tc>
        <w:tc>
          <w:tcPr>
            <w:tcW w:w="5140" w:type="dxa"/>
            <w:vAlign w:val="bottom"/>
          </w:tcPr>
          <w:p>
            <w:pPr>
              <w:spacing w:after="0"/>
              <w:rPr>
                <w:sz w:val="20"/>
                <w:szCs w:val="20"/>
                <w:color w:val="auto"/>
              </w:rPr>
            </w:pPr>
          </w:p>
        </w:tc>
        <w:tc>
          <w:tcPr>
            <w:tcW w:w="13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2013</w:t>
            </w:r>
          </w:p>
        </w:tc>
        <w:tc>
          <w:tcPr>
            <w:tcW w:w="24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2012</w:t>
            </w:r>
          </w:p>
        </w:tc>
        <w:tc>
          <w:tcPr>
            <w:tcW w:w="240" w:type="dxa"/>
            <w:vAlign w:val="bottom"/>
          </w:tcPr>
          <w:p>
            <w:pPr>
              <w:spacing w:after="0"/>
              <w:rPr>
                <w:sz w:val="20"/>
                <w:szCs w:val="20"/>
                <w:color w:val="auto"/>
              </w:rPr>
            </w:pPr>
          </w:p>
        </w:tc>
        <w:tc>
          <w:tcPr>
            <w:tcW w:w="13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2013</w:t>
            </w:r>
          </w:p>
        </w:tc>
        <w:tc>
          <w:tcPr>
            <w:tcW w:w="22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w w:val="94"/>
              </w:rPr>
              <w:t>2012</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Outstanding options and SARS excluded</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290,375</w:t>
            </w:r>
          </w:p>
        </w:tc>
        <w:tc>
          <w:tcPr>
            <w:tcW w:w="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733,375</w:t>
            </w:r>
          </w:p>
        </w:tc>
        <w:tc>
          <w:tcPr>
            <w:tcW w:w="24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272,375</w:t>
            </w:r>
          </w:p>
        </w:tc>
        <w:tc>
          <w:tcPr>
            <w:tcW w:w="4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733,375</w:t>
            </w:r>
          </w:p>
        </w:tc>
      </w:tr>
      <w:tr>
        <w:trPr>
          <w:trHeight w:val="27"/>
        </w:trPr>
        <w:tc>
          <w:tcPr>
            <w:tcW w:w="20" w:type="dxa"/>
            <w:vAlign w:val="bottom"/>
          </w:tcPr>
          <w:p>
            <w:pPr>
              <w:spacing w:after="0"/>
              <w:rPr>
                <w:sz w:val="2"/>
                <w:szCs w:val="2"/>
                <w:color w:val="auto"/>
              </w:rPr>
            </w:pPr>
          </w:p>
        </w:tc>
        <w:tc>
          <w:tcPr>
            <w:tcW w:w="5140" w:type="dxa"/>
            <w:vAlign w:val="bottom"/>
            <w:shd w:val="clear" w:color="auto" w:fill="CCEEFF"/>
          </w:tcPr>
          <w:p>
            <w:pPr>
              <w:spacing w:after="0"/>
              <w:rPr>
                <w:sz w:val="2"/>
                <w:szCs w:val="2"/>
                <w:color w:val="auto"/>
              </w:rPr>
            </w:pPr>
          </w:p>
        </w:tc>
        <w:tc>
          <w:tcPr>
            <w:tcW w:w="138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3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C – COSTS AND ESTIMATED EARNINGS IN EXCESS OF BILLINGS, NET</w:t>
      </w:r>
    </w:p>
    <w:p>
      <w:pPr>
        <w:spacing w:after="0" w:line="25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At October 31, 2013 and April 30, 2013, costs and estimated earnings in excess of billings, net, consist of the following:</w:t>
      </w:r>
    </w:p>
    <w:p>
      <w:pPr>
        <w:spacing w:after="0" w:line="248" w:lineRule="exact"/>
        <w:rPr>
          <w:sz w:val="20"/>
          <w:szCs w:val="20"/>
          <w:color w:val="auto"/>
        </w:rPr>
      </w:pPr>
    </w:p>
    <w:tbl>
      <w:tblPr>
        <w:tblLayout w:type="fixed"/>
        <w:tblInd w:w="1440" w:type="dxa"/>
        <w:tblCellMar>
          <w:top w:w="0" w:type="dxa"/>
          <w:left w:w="0" w:type="dxa"/>
          <w:bottom w:w="0" w:type="dxa"/>
          <w:right w:w="0" w:type="dxa"/>
        </w:tblCellMar>
      </w:tblPr>
      <w:tr>
        <w:trPr>
          <w:trHeight w:val="241"/>
        </w:trPr>
        <w:tc>
          <w:tcPr>
            <w:tcW w:w="45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3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1"/>
              </w:rPr>
              <w:t>October 31, 2013</w:t>
            </w:r>
          </w:p>
        </w:tc>
        <w:tc>
          <w:tcPr>
            <w:tcW w:w="2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April 30, 2013</w:t>
            </w:r>
          </w:p>
        </w:tc>
        <w:tc>
          <w:tcPr>
            <w:tcW w:w="120" w:type="dxa"/>
            <w:vAlign w:val="bottom"/>
          </w:tcPr>
          <w:p>
            <w:pPr>
              <w:spacing w:after="0"/>
              <w:rPr>
                <w:sz w:val="20"/>
                <w:szCs w:val="20"/>
                <w:color w:val="auto"/>
              </w:rPr>
            </w:pPr>
          </w:p>
        </w:tc>
      </w:tr>
      <w:tr>
        <w:trPr>
          <w:trHeight w:val="216"/>
        </w:trPr>
        <w:tc>
          <w:tcPr>
            <w:tcW w:w="45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80" w:type="dxa"/>
            <w:vAlign w:val="bottom"/>
          </w:tcPr>
          <w:p>
            <w:pPr>
              <w:jc w:val="right"/>
              <w:ind w:right="110"/>
              <w:spacing w:after="0"/>
              <w:rPr>
                <w:sz w:val="20"/>
                <w:szCs w:val="20"/>
                <w:color w:val="auto"/>
              </w:rPr>
            </w:pPr>
            <w:r>
              <w:rPr>
                <w:rFonts w:ascii="Arial" w:cs="Arial" w:eastAsia="Arial" w:hAnsi="Arial"/>
                <w:sz w:val="18"/>
                <w:szCs w:val="18"/>
                <w:color w:val="auto"/>
              </w:rPr>
              <w:t>(In</w:t>
            </w:r>
          </w:p>
        </w:tc>
        <w:tc>
          <w:tcPr>
            <w:tcW w:w="1580" w:type="dxa"/>
            <w:vAlign w:val="bottom"/>
            <w:gridSpan w:val="3"/>
          </w:tcPr>
          <w:p>
            <w:pPr>
              <w:spacing w:after="0"/>
              <w:rPr>
                <w:sz w:val="20"/>
                <w:szCs w:val="20"/>
                <w:color w:val="auto"/>
              </w:rPr>
            </w:pPr>
            <w:r>
              <w:rPr>
                <w:rFonts w:ascii="Arial" w:cs="Arial" w:eastAsia="Arial" w:hAnsi="Arial"/>
                <w:sz w:val="18"/>
                <w:szCs w:val="18"/>
                <w:color w:val="auto"/>
              </w:rPr>
              <w:t>thousands)</w:t>
            </w:r>
          </w:p>
        </w:tc>
        <w:tc>
          <w:tcPr>
            <w:tcW w:w="120" w:type="dxa"/>
            <w:vAlign w:val="bottom"/>
          </w:tcPr>
          <w:p>
            <w:pPr>
              <w:spacing w:after="0"/>
              <w:rPr>
                <w:sz w:val="18"/>
                <w:szCs w:val="18"/>
                <w:color w:val="auto"/>
              </w:rPr>
            </w:pPr>
          </w:p>
        </w:tc>
      </w:tr>
      <w:tr>
        <w:trPr>
          <w:trHeight w:val="216"/>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Costs and estimated earnings in excess of billings</w:t>
            </w:r>
          </w:p>
        </w:tc>
        <w:tc>
          <w:tcPr>
            <w:tcW w:w="1440" w:type="dxa"/>
            <w:vAlign w:val="bottom"/>
            <w:gridSpan w:val="2"/>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9,331</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10,228</w:t>
            </w: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Billings in excess of costs and estimated earnings</w:t>
            </w:r>
          </w:p>
        </w:tc>
        <w:tc>
          <w:tcPr>
            <w:tcW w:w="9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80" w:type="dxa"/>
            <w:vAlign w:val="bottom"/>
            <w:gridSpan w:val="2"/>
          </w:tcPr>
          <w:p>
            <w:pPr>
              <w:jc w:val="right"/>
              <w:ind w:right="50"/>
              <w:spacing w:after="0"/>
              <w:rPr>
                <w:sz w:val="20"/>
                <w:szCs w:val="20"/>
                <w:color w:val="auto"/>
              </w:rPr>
            </w:pPr>
            <w:r>
              <w:rPr>
                <w:rFonts w:ascii="Arial" w:cs="Arial" w:eastAsia="Arial" w:hAnsi="Arial"/>
                <w:sz w:val="18"/>
                <w:szCs w:val="18"/>
                <w:color w:val="auto"/>
              </w:rPr>
              <w:t>(3,913)</w:t>
            </w:r>
          </w:p>
        </w:tc>
        <w:tc>
          <w:tcPr>
            <w:tcW w:w="120" w:type="dxa"/>
            <w:vAlign w:val="bottom"/>
          </w:tcPr>
          <w:p>
            <w:pPr>
              <w:spacing w:after="0"/>
              <w:rPr>
                <w:sz w:val="18"/>
                <w:szCs w:val="18"/>
                <w:color w:val="auto"/>
              </w:rPr>
            </w:pPr>
          </w:p>
        </w:tc>
        <w:tc>
          <w:tcPr>
            <w:tcW w:w="1380" w:type="dxa"/>
            <w:vAlign w:val="bottom"/>
            <w:gridSpan w:val="2"/>
          </w:tcPr>
          <w:p>
            <w:pPr>
              <w:jc w:val="right"/>
              <w:ind w:right="60"/>
              <w:spacing w:after="0"/>
              <w:rPr>
                <w:sz w:val="20"/>
                <w:szCs w:val="20"/>
                <w:color w:val="auto"/>
              </w:rPr>
            </w:pPr>
            <w:r>
              <w:rPr>
                <w:rFonts w:ascii="Arial" w:cs="Arial" w:eastAsia="Arial" w:hAnsi="Arial"/>
                <w:sz w:val="18"/>
                <w:szCs w:val="18"/>
                <w:color w:val="auto"/>
              </w:rPr>
              <w:t>(1,611)</w:t>
            </w:r>
          </w:p>
        </w:tc>
      </w:tr>
      <w:tr>
        <w:trPr>
          <w:trHeight w:val="27"/>
        </w:trPr>
        <w:tc>
          <w:tcPr>
            <w:tcW w:w="4520" w:type="dxa"/>
            <w:vAlign w:val="bottom"/>
          </w:tcPr>
          <w:p>
            <w:pPr>
              <w:spacing w:after="0"/>
              <w:rPr>
                <w:sz w:val="2"/>
                <w:szCs w:val="2"/>
                <w:color w:val="auto"/>
              </w:rPr>
            </w:pPr>
          </w:p>
        </w:tc>
        <w:tc>
          <w:tcPr>
            <w:tcW w:w="94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37"/>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Net asset</w:t>
            </w:r>
          </w:p>
        </w:tc>
        <w:tc>
          <w:tcPr>
            <w:tcW w:w="940" w:type="dxa"/>
            <w:vAlign w:val="bottom"/>
            <w:shd w:val="clear" w:color="auto" w:fill="CCEEFF"/>
          </w:tcPr>
          <w:p>
            <w:pPr>
              <w:spacing w:after="0"/>
              <w:rPr>
                <w:sz w:val="20"/>
                <w:szCs w:val="20"/>
                <w:color w:val="auto"/>
              </w:rPr>
            </w:pPr>
          </w:p>
        </w:tc>
        <w:tc>
          <w:tcPr>
            <w:tcW w:w="5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5,418</w:t>
            </w: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8,617</w:t>
            </w:r>
          </w:p>
        </w:tc>
      </w:tr>
      <w:tr>
        <w:trPr>
          <w:trHeight w:val="20"/>
        </w:trPr>
        <w:tc>
          <w:tcPr>
            <w:tcW w:w="452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r>
    </w:tbl>
    <w:p>
      <w:pPr>
        <w:spacing w:after="0" w:line="229" w:lineRule="exact"/>
        <w:rPr>
          <w:sz w:val="20"/>
          <w:szCs w:val="20"/>
          <w:color w:val="auto"/>
        </w:rPr>
      </w:pPr>
    </w:p>
    <w:p>
      <w:pPr>
        <w:jc w:val="both"/>
        <w:ind w:firstLine="486"/>
        <w:spacing w:after="0" w:line="293" w:lineRule="auto"/>
        <w:rPr>
          <w:sz w:val="20"/>
          <w:szCs w:val="20"/>
          <w:color w:val="auto"/>
        </w:rPr>
      </w:pPr>
      <w:r>
        <w:rPr>
          <w:rFonts w:ascii="Arial" w:cs="Arial" w:eastAsia="Arial" w:hAnsi="Arial"/>
          <w:sz w:val="16"/>
          <w:szCs w:val="16"/>
          <w:color w:val="auto"/>
        </w:rPr>
        <w:t>Such amounts represent revenue recognized on long-term contracts that had not been billed at the balance sheet dates or represent a liability for amounts billed in excess of the revenue recognized. Amounts are billed to customers pursuant to contract terms, whereas the related revenue is recognized on the percentage of completion basis at the measurement date. In general, the recorded amounts will be billed and collected or revenue recognized within twelve months of the balance sheet date. Revenue on these long-term contracts is accounted for on the percentage of completion basis. During the six and three months ended October 31, 2013, revenue recognized under percentage of completion contracts was approximately $19.5 million and $9.8 million, respectively. During the six and three months ended October 31, 2012, such revenue was approximately $17.0 million and $8.4 million, respectively.</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 of 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607"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FREQUENCY ELECTRONICS, INC. and SUBSIDIARIES</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Condensed Consolidated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D – TREASURY STOCK TRANSACTIONS</w:t>
      </w:r>
    </w:p>
    <w:p>
      <w:pPr>
        <w:spacing w:after="0" w:line="256"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During the six month period ended October 31, 2013, the Company made a contribution of 22,291 shares of its common stock held in treasury to the Company’s profit sharing plan and trust under section 401(k) of the Internal Revenue Code. Such contributions are in accordance with the Company’s discretionary match of employee voluntary contributions to this plan. During the same period, the Company issued 43,572 shares from treasury upon the exercise of stock options and SARs by certain officers and employees of the Company.</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900" w:type="dxa"/>
            <w:vAlign w:val="bottom"/>
            <w:gridSpan w:val="2"/>
          </w:tcPr>
          <w:p>
            <w:pPr>
              <w:spacing w:after="0"/>
              <w:rPr>
                <w:sz w:val="20"/>
                <w:szCs w:val="20"/>
                <w:color w:val="auto"/>
              </w:rPr>
            </w:pPr>
            <w:r>
              <w:rPr>
                <w:rFonts w:ascii="Arial" w:cs="Arial" w:eastAsia="Arial" w:hAnsi="Arial"/>
                <w:sz w:val="18"/>
                <w:szCs w:val="18"/>
                <w:b w:val="1"/>
                <w:bCs w:val="1"/>
                <w:color w:val="auto"/>
              </w:rPr>
              <w:t>NOTE E - INVENTORIES</w:t>
            </w:r>
          </w:p>
        </w:tc>
        <w:tc>
          <w:tcPr>
            <w:tcW w:w="4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459"/>
        </w:trPr>
        <w:tc>
          <w:tcPr>
            <w:tcW w:w="6900" w:type="dxa"/>
            <w:vAlign w:val="bottom"/>
            <w:gridSpan w:val="2"/>
          </w:tcPr>
          <w:p>
            <w:pPr>
              <w:ind w:left="500"/>
              <w:spacing w:after="0"/>
              <w:rPr>
                <w:sz w:val="20"/>
                <w:szCs w:val="20"/>
                <w:color w:val="auto"/>
              </w:rPr>
            </w:pPr>
            <w:r>
              <w:rPr>
                <w:rFonts w:ascii="Arial" w:cs="Arial" w:eastAsia="Arial" w:hAnsi="Arial"/>
                <w:sz w:val="18"/>
                <w:szCs w:val="18"/>
                <w:color w:val="auto"/>
                <w:w w:val="93"/>
              </w:rPr>
              <w:t>Inventories, which are reported at the lower of cost or market, consist of the following:</w:t>
            </w:r>
          </w:p>
        </w:tc>
        <w:tc>
          <w:tcPr>
            <w:tcW w:w="4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466"/>
        </w:trPr>
        <w:tc>
          <w:tcPr>
            <w:tcW w:w="1440" w:type="dxa"/>
            <w:vAlign w:val="bottom"/>
          </w:tcPr>
          <w:p>
            <w:pPr>
              <w:spacing w:after="0"/>
              <w:rPr>
                <w:sz w:val="24"/>
                <w:szCs w:val="24"/>
                <w:color w:val="auto"/>
              </w:rPr>
            </w:pPr>
          </w:p>
        </w:tc>
        <w:tc>
          <w:tcPr>
            <w:tcW w:w="5460" w:type="dxa"/>
            <w:vAlign w:val="bottom"/>
          </w:tcPr>
          <w:p>
            <w:pPr>
              <w:spacing w:after="0"/>
              <w:rPr>
                <w:sz w:val="24"/>
                <w:szCs w:val="24"/>
                <w:color w:val="auto"/>
              </w:rPr>
            </w:pPr>
          </w:p>
        </w:tc>
        <w:tc>
          <w:tcPr>
            <w:tcW w:w="13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1"/>
              </w:rPr>
              <w:t>October 31, 2013</w:t>
            </w:r>
          </w:p>
        </w:tc>
        <w:tc>
          <w:tcPr>
            <w:tcW w:w="2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April 30, 2013</w:t>
            </w:r>
          </w:p>
        </w:tc>
        <w:tc>
          <w:tcPr>
            <w:tcW w:w="120" w:type="dxa"/>
            <w:vAlign w:val="bottom"/>
          </w:tcPr>
          <w:p>
            <w:pPr>
              <w:spacing w:after="0"/>
              <w:rPr>
                <w:sz w:val="24"/>
                <w:szCs w:val="24"/>
                <w:color w:val="auto"/>
              </w:rPr>
            </w:pPr>
          </w:p>
        </w:tc>
      </w:tr>
      <w:tr>
        <w:trPr>
          <w:trHeight w:val="230"/>
        </w:trPr>
        <w:tc>
          <w:tcPr>
            <w:tcW w:w="1440" w:type="dxa"/>
            <w:vAlign w:val="bottom"/>
          </w:tcPr>
          <w:p>
            <w:pPr>
              <w:spacing w:after="0"/>
              <w:rPr>
                <w:sz w:val="20"/>
                <w:szCs w:val="20"/>
                <w:color w:val="auto"/>
              </w:rPr>
            </w:pPr>
          </w:p>
        </w:tc>
        <w:tc>
          <w:tcPr>
            <w:tcW w:w="54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00" w:type="dxa"/>
            <w:vAlign w:val="bottom"/>
          </w:tcPr>
          <w:p>
            <w:pPr>
              <w:jc w:val="right"/>
              <w:ind w:right="110"/>
              <w:spacing w:after="0"/>
              <w:rPr>
                <w:sz w:val="20"/>
                <w:szCs w:val="20"/>
                <w:color w:val="auto"/>
              </w:rPr>
            </w:pPr>
            <w:r>
              <w:rPr>
                <w:rFonts w:ascii="Arial" w:cs="Arial" w:eastAsia="Arial" w:hAnsi="Arial"/>
                <w:sz w:val="18"/>
                <w:szCs w:val="18"/>
                <w:color w:val="auto"/>
              </w:rPr>
              <w:t>(In</w:t>
            </w:r>
          </w:p>
        </w:tc>
        <w:tc>
          <w:tcPr>
            <w:tcW w:w="1580" w:type="dxa"/>
            <w:vAlign w:val="bottom"/>
            <w:gridSpan w:val="3"/>
          </w:tcPr>
          <w:p>
            <w:pPr>
              <w:spacing w:after="0"/>
              <w:rPr>
                <w:sz w:val="20"/>
                <w:szCs w:val="20"/>
                <w:color w:val="auto"/>
              </w:rPr>
            </w:pPr>
            <w:r>
              <w:rPr>
                <w:rFonts w:ascii="Arial" w:cs="Arial" w:eastAsia="Arial" w:hAnsi="Arial"/>
                <w:sz w:val="18"/>
                <w:szCs w:val="18"/>
                <w:color w:val="auto"/>
              </w:rPr>
              <w:t>thousands)</w:t>
            </w:r>
          </w:p>
        </w:tc>
        <w:tc>
          <w:tcPr>
            <w:tcW w:w="120" w:type="dxa"/>
            <w:vAlign w:val="bottom"/>
          </w:tcPr>
          <w:p>
            <w:pPr>
              <w:spacing w:after="0"/>
              <w:rPr>
                <w:sz w:val="20"/>
                <w:szCs w:val="20"/>
                <w:color w:val="auto"/>
              </w:rPr>
            </w:pPr>
          </w:p>
        </w:tc>
      </w:tr>
      <w:tr>
        <w:trPr>
          <w:trHeight w:val="202"/>
        </w:trPr>
        <w:tc>
          <w:tcPr>
            <w:tcW w:w="1440" w:type="dxa"/>
            <w:vAlign w:val="bottom"/>
          </w:tcPr>
          <w:p>
            <w:pPr>
              <w:spacing w:after="0"/>
              <w:rPr>
                <w:sz w:val="17"/>
                <w:szCs w:val="17"/>
                <w:color w:val="auto"/>
              </w:rPr>
            </w:pPr>
          </w:p>
        </w:tc>
        <w:tc>
          <w:tcPr>
            <w:tcW w:w="54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16"/>
        </w:trPr>
        <w:tc>
          <w:tcPr>
            <w:tcW w:w="1440" w:type="dxa"/>
            <w:vAlign w:val="bottom"/>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Raw Materials and Component Parts</w:t>
            </w: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23,617</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21,066</w:t>
            </w:r>
          </w:p>
        </w:tc>
      </w:tr>
      <w:tr>
        <w:trPr>
          <w:trHeight w:val="216"/>
        </w:trPr>
        <w:tc>
          <w:tcPr>
            <w:tcW w:w="144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Work in Progress</w:t>
            </w:r>
          </w:p>
        </w:tc>
        <w:tc>
          <w:tcPr>
            <w:tcW w:w="4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13,805</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13,665</w:t>
            </w:r>
          </w:p>
        </w:tc>
      </w:tr>
      <w:tr>
        <w:trPr>
          <w:trHeight w:val="216"/>
        </w:trPr>
        <w:tc>
          <w:tcPr>
            <w:tcW w:w="1440" w:type="dxa"/>
            <w:vAlign w:val="bottom"/>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4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3,245</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2,790</w:t>
            </w:r>
          </w:p>
        </w:tc>
      </w:tr>
      <w:tr>
        <w:trPr>
          <w:trHeight w:val="27"/>
        </w:trPr>
        <w:tc>
          <w:tcPr>
            <w:tcW w:w="1440" w:type="dxa"/>
            <w:vAlign w:val="bottom"/>
          </w:tcPr>
          <w:p>
            <w:pPr>
              <w:spacing w:after="0"/>
              <w:rPr>
                <w:sz w:val="2"/>
                <w:szCs w:val="2"/>
                <w:color w:val="auto"/>
              </w:rPr>
            </w:pPr>
          </w:p>
        </w:tc>
        <w:tc>
          <w:tcPr>
            <w:tcW w:w="5460" w:type="dxa"/>
            <w:vAlign w:val="bottom"/>
            <w:shd w:val="clear" w:color="auto" w:fill="CCEEFF"/>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r>
      <w:tr>
        <w:trPr>
          <w:trHeight w:val="216"/>
        </w:trPr>
        <w:tc>
          <w:tcPr>
            <w:tcW w:w="1440" w:type="dxa"/>
            <w:vAlign w:val="bottom"/>
          </w:tcPr>
          <w:p>
            <w:pPr>
              <w:spacing w:after="0"/>
              <w:rPr>
                <w:sz w:val="18"/>
                <w:szCs w:val="18"/>
                <w:color w:val="auto"/>
              </w:rPr>
            </w:pPr>
          </w:p>
        </w:tc>
        <w:tc>
          <w:tcPr>
            <w:tcW w:w="5460" w:type="dxa"/>
            <w:vAlign w:val="bottom"/>
          </w:tcPr>
          <w:p>
            <w:pPr>
              <w:spacing w:after="0"/>
              <w:rPr>
                <w:sz w:val="18"/>
                <w:szCs w:val="18"/>
                <w:color w:val="auto"/>
              </w:rPr>
            </w:pP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40,667</w:t>
            </w:r>
          </w:p>
        </w:tc>
        <w:tc>
          <w:tcPr>
            <w:tcW w:w="2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37,521</w:t>
            </w:r>
          </w:p>
        </w:tc>
      </w:tr>
      <w:tr>
        <w:trPr>
          <w:trHeight w:val="21"/>
        </w:trPr>
        <w:tc>
          <w:tcPr>
            <w:tcW w:w="1440" w:type="dxa"/>
            <w:vAlign w:val="bottom"/>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ind w:firstLine="486"/>
        <w:spacing w:after="0" w:line="342" w:lineRule="auto"/>
        <w:rPr>
          <w:sz w:val="20"/>
          <w:szCs w:val="20"/>
          <w:color w:val="auto"/>
        </w:rPr>
      </w:pPr>
      <w:r>
        <w:rPr>
          <w:rFonts w:ascii="Arial" w:cs="Arial" w:eastAsia="Arial" w:hAnsi="Arial"/>
          <w:sz w:val="16"/>
          <w:szCs w:val="16"/>
          <w:color w:val="auto"/>
        </w:rPr>
        <w:t>As of October 31, 2013 and April 30, 2013, approximately $32.1 million and $29.9 million, respectively, of total inventory is located in the United States, approximately $7.8 million and $6.9 million, respectively, is located in Belgium and $0.7 million and $0.7 million, respectively, is located in China.</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F – SEGMENT INFORMATION</w:t>
      </w:r>
    </w:p>
    <w:p>
      <w:pPr>
        <w:spacing w:after="0" w:line="25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Company operates under three reportable segments based on the geographic locations of its subsidiaries:</w:t>
      </w:r>
    </w:p>
    <w:p>
      <w:pPr>
        <w:spacing w:after="0" w:line="252" w:lineRule="exact"/>
        <w:rPr>
          <w:sz w:val="20"/>
          <w:szCs w:val="20"/>
          <w:color w:val="auto"/>
        </w:rPr>
      </w:pPr>
    </w:p>
    <w:p>
      <w:pPr>
        <w:jc w:val="both"/>
        <w:ind w:left="1140" w:hanging="297"/>
        <w:spacing w:after="0" w:line="256" w:lineRule="auto"/>
        <w:tabs>
          <w:tab w:leader="none" w:pos="1140" w:val="left"/>
        </w:tabs>
        <w:numPr>
          <w:ilvl w:val="0"/>
          <w:numId w:val="3"/>
        </w:numPr>
        <w:rPr>
          <w:rFonts w:ascii="Arial" w:cs="Arial" w:eastAsia="Arial" w:hAnsi="Arial"/>
          <w:sz w:val="18"/>
          <w:szCs w:val="18"/>
          <w:color w:val="auto"/>
        </w:rPr>
      </w:pPr>
      <w:r>
        <w:rPr>
          <w:rFonts w:ascii="Arial" w:cs="Arial" w:eastAsia="Arial" w:hAnsi="Arial"/>
          <w:sz w:val="18"/>
          <w:szCs w:val="18"/>
          <w:color w:val="auto"/>
        </w:rPr>
        <w:t>FEI-NY – operates out of New York and its operations consist principally of precision time and frequency control products used in three principal markets- communication satellites (both commercial and U.S. Government-funded); terrestrial cellular telephone or other ground-based telecommunication stations and other components and systems for the U.S. military.</w:t>
      </w:r>
    </w:p>
    <w:p>
      <w:pPr>
        <w:ind w:left="1140" w:hanging="297"/>
        <w:spacing w:after="0" w:line="250" w:lineRule="auto"/>
        <w:tabs>
          <w:tab w:leader="none" w:pos="1140" w:val="left"/>
        </w:tabs>
        <w:numPr>
          <w:ilvl w:val="0"/>
          <w:numId w:val="3"/>
        </w:numPr>
        <w:rPr>
          <w:rFonts w:ascii="Arial" w:cs="Arial" w:eastAsia="Arial" w:hAnsi="Arial"/>
          <w:sz w:val="18"/>
          <w:szCs w:val="18"/>
          <w:color w:val="auto"/>
        </w:rPr>
      </w:pPr>
      <w:r>
        <w:rPr>
          <w:rFonts w:ascii="Arial" w:cs="Arial" w:eastAsia="Arial" w:hAnsi="Arial"/>
          <w:sz w:val="18"/>
          <w:szCs w:val="18"/>
          <w:color w:val="auto"/>
        </w:rPr>
        <w:t>Gillam-FEI - operates out of Belgium and France and primarily sells wireline synchronization and network management systems in non-U.S. markets. All sales from Gillam-FEI to the United States are to other segments of the Company.</w:t>
      </w:r>
    </w:p>
    <w:p>
      <w:pPr>
        <w:jc w:val="both"/>
        <w:ind w:left="1140" w:hanging="297"/>
        <w:spacing w:after="0" w:line="302" w:lineRule="auto"/>
        <w:tabs>
          <w:tab w:leader="none" w:pos="1140" w:val="left"/>
        </w:tabs>
        <w:numPr>
          <w:ilvl w:val="0"/>
          <w:numId w:val="3"/>
        </w:numPr>
        <w:rPr>
          <w:rFonts w:ascii="Arial" w:cs="Arial" w:eastAsia="Arial" w:hAnsi="Arial"/>
          <w:sz w:val="16"/>
          <w:szCs w:val="16"/>
          <w:color w:val="auto"/>
        </w:rPr>
      </w:pPr>
      <w:r>
        <w:rPr>
          <w:rFonts w:ascii="Arial" w:cs="Arial" w:eastAsia="Arial" w:hAnsi="Arial"/>
          <w:sz w:val="16"/>
          <w:szCs w:val="16"/>
          <w:color w:val="auto"/>
        </w:rPr>
        <w:t>FEI-Zyfer – operates out of California and its products incorporate Global Positioning System (GPS) technologies into systems and subsystems for secure communications, both government and commercial, and other locator applications. This segment also provides sales and support for the Company’s wireline telecommunications family of products, including US5G, which are sold in the United States market.</w:t>
      </w:r>
    </w:p>
    <w:p>
      <w:pPr>
        <w:spacing w:after="0" w:line="182"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The FEI-NY segment also includes the operations of the Company’s wholly-owned subsidiaries, FEI-Elcom Tech (“FEI-Elcom”) and FEI-Asia. FEI-Asia functions primarily as a manufacturing facility for the Company’s commercial product subsidiaries with minimal sales to outside customers. FEI-Elcom, in addition to its own product line, provides design and technical support for the FEI-NY segment’s satellite business.</w:t>
      </w:r>
    </w:p>
    <w:p>
      <w:pPr>
        <w:spacing w:after="0" w:line="208"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The Company’s chief executive officer measures segment performance based on total revenues and profits generated by each geographic location rather than on the specific types of customers or end- users. Consequently, the Company determined that the segments indicated above most appropriately reflect the way the Company’s management views the business.</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 of 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FREQUENCY ELECTRONICS, INC. and SUBSIDIARIES</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Condensed Consolidated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11"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The tables below present information about reported segments with reconciliation of segment amounts to consolidated amounts as reported in the statement of income or the balance sheet for each of the periods (in thousands):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1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Six months</w:t>
            </w:r>
          </w:p>
        </w:tc>
        <w:tc>
          <w:tcPr>
            <w:tcW w:w="102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w w:val="92"/>
              </w:rPr>
              <w:t>Three months</w:t>
            </w:r>
          </w:p>
        </w:tc>
        <w:tc>
          <w:tcPr>
            <w:tcW w:w="9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8"/>
        </w:trPr>
        <w:tc>
          <w:tcPr>
            <w:tcW w:w="5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120" w:type="dxa"/>
            <w:vAlign w:val="bottom"/>
            <w:gridSpan w:val="3"/>
          </w:tcPr>
          <w:p>
            <w:pPr>
              <w:jc w:val="right"/>
              <w:spacing w:after="0" w:line="198" w:lineRule="exact"/>
              <w:rPr>
                <w:sz w:val="20"/>
                <w:szCs w:val="20"/>
                <w:color w:val="auto"/>
              </w:rPr>
            </w:pPr>
            <w:r>
              <w:rPr>
                <w:rFonts w:ascii="Arial" w:cs="Arial" w:eastAsia="Arial" w:hAnsi="Arial"/>
                <w:sz w:val="18"/>
                <w:szCs w:val="18"/>
                <w:b w:val="1"/>
                <w:bCs w:val="1"/>
                <w:color w:val="auto"/>
                <w:w w:val="91"/>
              </w:rPr>
              <w:t>Periods ended October 31,</w:t>
            </w: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1"/>
        </w:trPr>
        <w:tc>
          <w:tcPr>
            <w:tcW w:w="51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2013</w:t>
            </w:r>
          </w:p>
        </w:tc>
        <w:tc>
          <w:tcPr>
            <w:tcW w:w="24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2012</w:t>
            </w:r>
          </w:p>
        </w:tc>
        <w:tc>
          <w:tcPr>
            <w:tcW w:w="240" w:type="dxa"/>
            <w:vAlign w:val="bottom"/>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2013</w:t>
            </w:r>
          </w:p>
        </w:tc>
        <w:tc>
          <w:tcPr>
            <w:tcW w:w="4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w w:val="94"/>
              </w:rPr>
              <w:t>2012</w:t>
            </w:r>
          </w:p>
        </w:tc>
        <w:tc>
          <w:tcPr>
            <w:tcW w:w="100" w:type="dxa"/>
            <w:vAlign w:val="bottom"/>
          </w:tcPr>
          <w:p>
            <w:pPr>
              <w:spacing w:after="0"/>
              <w:rPr>
                <w:sz w:val="20"/>
                <w:szCs w:val="20"/>
                <w:color w:val="auto"/>
              </w:rPr>
            </w:pP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Revenues:</w:t>
            </w: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FEI-NY</w:t>
            </w: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3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26,039</w:t>
            </w:r>
          </w:p>
        </w:tc>
        <w:tc>
          <w:tcPr>
            <w:tcW w:w="360" w:type="dxa"/>
            <w:vAlign w:val="bottom"/>
            <w:shd w:val="clear" w:color="auto" w:fill="CCEEFF"/>
          </w:tcPr>
          <w:p>
            <w:pPr>
              <w:jc w:val="right"/>
              <w:ind w:right="205"/>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24,135</w:t>
            </w:r>
          </w:p>
        </w:tc>
        <w:tc>
          <w:tcPr>
            <w:tcW w:w="860" w:type="dxa"/>
            <w:vAlign w:val="bottom"/>
            <w:shd w:val="clear" w:color="auto" w:fill="CCEEFF"/>
          </w:tcPr>
          <w:p>
            <w:pPr>
              <w:jc w:val="right"/>
              <w:ind w:right="700"/>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3"/>
              </w:rPr>
              <w:t>12,865</w:t>
            </w: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12,287</w:t>
            </w:r>
          </w:p>
        </w:tc>
      </w:tr>
      <w:tr>
        <w:trPr>
          <w:trHeight w:val="216"/>
        </w:trPr>
        <w:tc>
          <w:tcPr>
            <w:tcW w:w="5160" w:type="dxa"/>
            <w:vAlign w:val="bottom"/>
          </w:tcPr>
          <w:p>
            <w:pPr>
              <w:ind w:left="180"/>
              <w:spacing w:after="0"/>
              <w:rPr>
                <w:sz w:val="20"/>
                <w:szCs w:val="20"/>
                <w:color w:val="auto"/>
              </w:rPr>
            </w:pPr>
            <w:r>
              <w:rPr>
                <w:rFonts w:ascii="Arial" w:cs="Arial" w:eastAsia="Arial" w:hAnsi="Arial"/>
                <w:sz w:val="18"/>
                <w:szCs w:val="18"/>
                <w:color w:val="auto"/>
              </w:rPr>
              <w:t>Gillam-FEI</w:t>
            </w:r>
          </w:p>
        </w:tc>
        <w:tc>
          <w:tcPr>
            <w:tcW w:w="300" w:type="dxa"/>
            <w:vAlign w:val="bottom"/>
          </w:tcPr>
          <w:p>
            <w:pPr>
              <w:spacing w:after="0"/>
              <w:rPr>
                <w:sz w:val="18"/>
                <w:szCs w:val="18"/>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8"/>
                <w:szCs w:val="18"/>
                <w:color w:val="auto"/>
              </w:rPr>
              <w:t>4,568</w:t>
            </w:r>
          </w:p>
        </w:tc>
        <w:tc>
          <w:tcPr>
            <w:tcW w:w="36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4,518</w:t>
            </w:r>
          </w:p>
        </w:tc>
        <w:tc>
          <w:tcPr>
            <w:tcW w:w="860" w:type="dxa"/>
            <w:vAlign w:val="bottom"/>
          </w:tcPr>
          <w:p>
            <w:pPr>
              <w:spacing w:after="0"/>
              <w:rPr>
                <w:sz w:val="18"/>
                <w:szCs w:val="18"/>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1,873</w:t>
            </w:r>
          </w:p>
        </w:tc>
        <w:tc>
          <w:tcPr>
            <w:tcW w:w="46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2,610</w:t>
            </w:r>
          </w:p>
        </w:tc>
      </w:tr>
      <w:tr>
        <w:trPr>
          <w:trHeight w:val="216"/>
        </w:trPr>
        <w:tc>
          <w:tcPr>
            <w:tcW w:w="5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FEI-Zyfer</w:t>
            </w:r>
          </w:p>
        </w:tc>
        <w:tc>
          <w:tcPr>
            <w:tcW w:w="3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4,352</w:t>
            </w:r>
          </w:p>
        </w:tc>
        <w:tc>
          <w:tcPr>
            <w:tcW w:w="3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6,688</w:t>
            </w:r>
          </w:p>
        </w:tc>
        <w:tc>
          <w:tcPr>
            <w:tcW w:w="8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2,363</w:t>
            </w:r>
          </w:p>
        </w:tc>
        <w:tc>
          <w:tcPr>
            <w:tcW w:w="4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3,331</w:t>
            </w:r>
          </w:p>
        </w:tc>
      </w:tr>
      <w:tr>
        <w:trPr>
          <w:trHeight w:val="216"/>
        </w:trPr>
        <w:tc>
          <w:tcPr>
            <w:tcW w:w="5160" w:type="dxa"/>
            <w:vAlign w:val="bottom"/>
          </w:tcPr>
          <w:p>
            <w:pPr>
              <w:ind w:left="180"/>
              <w:spacing w:after="0"/>
              <w:rPr>
                <w:sz w:val="20"/>
                <w:szCs w:val="20"/>
                <w:color w:val="auto"/>
              </w:rPr>
            </w:pPr>
            <w:r>
              <w:rPr>
                <w:rFonts w:ascii="Arial" w:cs="Arial" w:eastAsia="Arial" w:hAnsi="Arial"/>
                <w:sz w:val="18"/>
                <w:szCs w:val="18"/>
                <w:color w:val="auto"/>
              </w:rPr>
              <w:t>less intersegment revenues</w:t>
            </w:r>
          </w:p>
        </w:tc>
        <w:tc>
          <w:tcPr>
            <w:tcW w:w="300" w:type="dxa"/>
            <w:vAlign w:val="bottom"/>
          </w:tcPr>
          <w:p>
            <w:pPr>
              <w:spacing w:after="0"/>
              <w:rPr>
                <w:sz w:val="18"/>
                <w:szCs w:val="18"/>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(1,125)</w:t>
            </w:r>
          </w:p>
        </w:tc>
        <w:tc>
          <w:tcPr>
            <w:tcW w:w="36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(1,087)</w:t>
            </w:r>
          </w:p>
        </w:tc>
        <w:tc>
          <w:tcPr>
            <w:tcW w:w="86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(94)</w:t>
            </w:r>
          </w:p>
        </w:tc>
        <w:tc>
          <w:tcPr>
            <w:tcW w:w="46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(659)</w:t>
            </w:r>
          </w:p>
        </w:tc>
      </w:tr>
      <w:tr>
        <w:trPr>
          <w:trHeight w:val="27"/>
        </w:trPr>
        <w:tc>
          <w:tcPr>
            <w:tcW w:w="516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37"/>
        </w:trPr>
        <w:tc>
          <w:tcPr>
            <w:tcW w:w="51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Consolidated revenues</w:t>
            </w: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33,834</w:t>
            </w:r>
          </w:p>
        </w:tc>
        <w:tc>
          <w:tcPr>
            <w:tcW w:w="24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205"/>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34,254</w:t>
            </w:r>
          </w:p>
        </w:tc>
        <w:tc>
          <w:tcPr>
            <w:tcW w:w="240" w:type="dxa"/>
            <w:vAlign w:val="bottom"/>
            <w:shd w:val="clear" w:color="auto" w:fill="CCEEFF"/>
          </w:tcPr>
          <w:p>
            <w:pPr>
              <w:spacing w:after="0"/>
              <w:rPr>
                <w:sz w:val="20"/>
                <w:szCs w:val="20"/>
                <w:color w:val="auto"/>
              </w:rPr>
            </w:pPr>
          </w:p>
        </w:tc>
        <w:tc>
          <w:tcPr>
            <w:tcW w:w="860" w:type="dxa"/>
            <w:vAlign w:val="bottom"/>
            <w:shd w:val="clear" w:color="auto" w:fill="CCEEFF"/>
          </w:tcPr>
          <w:p>
            <w:pPr>
              <w:jc w:val="right"/>
              <w:ind w:right="700"/>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3"/>
              </w:rPr>
              <w:t>17,007</w:t>
            </w: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17,569</w:t>
            </w:r>
          </w:p>
        </w:tc>
      </w:tr>
      <w:tr>
        <w:trPr>
          <w:trHeight w:val="20"/>
        </w:trPr>
        <w:tc>
          <w:tcPr>
            <w:tcW w:w="51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1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Six months</w:t>
            </w:r>
          </w:p>
        </w:tc>
        <w:tc>
          <w:tcPr>
            <w:tcW w:w="102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gridSpan w:val="3"/>
          </w:tcPr>
          <w:p>
            <w:pPr>
              <w:jc w:val="right"/>
              <w:ind w:right="170"/>
              <w:spacing w:after="0"/>
              <w:rPr>
                <w:sz w:val="20"/>
                <w:szCs w:val="20"/>
                <w:color w:val="auto"/>
              </w:rPr>
            </w:pPr>
            <w:r>
              <w:rPr>
                <w:rFonts w:ascii="Arial" w:cs="Arial" w:eastAsia="Arial" w:hAnsi="Arial"/>
                <w:sz w:val="18"/>
                <w:szCs w:val="18"/>
                <w:b w:val="1"/>
                <w:bCs w:val="1"/>
                <w:color w:val="auto"/>
              </w:rPr>
              <w:t>Three months</w:t>
            </w:r>
          </w:p>
        </w:tc>
        <w:tc>
          <w:tcPr>
            <w:tcW w:w="6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8"/>
        </w:trPr>
        <w:tc>
          <w:tcPr>
            <w:tcW w:w="5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820" w:type="dxa"/>
            <w:vAlign w:val="bottom"/>
            <w:gridSpan w:val="5"/>
          </w:tcPr>
          <w:p>
            <w:pPr>
              <w:jc w:val="right"/>
              <w:ind w:right="720"/>
              <w:spacing w:after="0" w:line="198" w:lineRule="exact"/>
              <w:rPr>
                <w:sz w:val="20"/>
                <w:szCs w:val="20"/>
                <w:color w:val="auto"/>
              </w:rPr>
            </w:pPr>
            <w:r>
              <w:rPr>
                <w:rFonts w:ascii="Arial" w:cs="Arial" w:eastAsia="Arial" w:hAnsi="Arial"/>
                <w:sz w:val="18"/>
                <w:szCs w:val="18"/>
                <w:b w:val="1"/>
                <w:bCs w:val="1"/>
                <w:color w:val="auto"/>
                <w:w w:val="91"/>
              </w:rPr>
              <w:t>Periods ended October 31,</w:t>
            </w:r>
          </w:p>
        </w:tc>
        <w:tc>
          <w:tcPr>
            <w:tcW w:w="6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1"/>
        </w:trPr>
        <w:tc>
          <w:tcPr>
            <w:tcW w:w="5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ind w:right="370"/>
              <w:spacing w:after="0"/>
              <w:rPr>
                <w:sz w:val="20"/>
                <w:szCs w:val="20"/>
                <w:color w:val="auto"/>
              </w:rPr>
            </w:pPr>
            <w:r>
              <w:rPr>
                <w:rFonts w:ascii="Arial" w:cs="Arial" w:eastAsia="Arial" w:hAnsi="Arial"/>
                <w:sz w:val="18"/>
                <w:szCs w:val="18"/>
                <w:b w:val="1"/>
                <w:bCs w:val="1"/>
                <w:color w:val="auto"/>
              </w:rPr>
              <w:t>2013</w:t>
            </w: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20" w:type="dxa"/>
            <w:vAlign w:val="bottom"/>
          </w:tcPr>
          <w:p>
            <w:pPr>
              <w:jc w:val="right"/>
              <w:ind w:right="370"/>
              <w:spacing w:after="0"/>
              <w:rPr>
                <w:sz w:val="20"/>
                <w:szCs w:val="20"/>
                <w:color w:val="auto"/>
              </w:rPr>
            </w:pPr>
            <w:r>
              <w:rPr>
                <w:rFonts w:ascii="Arial" w:cs="Arial" w:eastAsia="Arial" w:hAnsi="Arial"/>
                <w:sz w:val="18"/>
                <w:szCs w:val="18"/>
                <w:b w:val="1"/>
                <w:bCs w:val="1"/>
                <w:color w:val="auto"/>
              </w:rPr>
              <w:t>2012</w:t>
            </w: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ind w:right="350"/>
              <w:spacing w:after="0"/>
              <w:rPr>
                <w:sz w:val="20"/>
                <w:szCs w:val="20"/>
                <w:color w:val="auto"/>
              </w:rPr>
            </w:pPr>
            <w:r>
              <w:rPr>
                <w:rFonts w:ascii="Arial" w:cs="Arial" w:eastAsia="Arial" w:hAnsi="Arial"/>
                <w:sz w:val="18"/>
                <w:szCs w:val="18"/>
                <w:b w:val="1"/>
                <w:bCs w:val="1"/>
                <w:color w:val="auto"/>
              </w:rPr>
              <w:t>2013</w:t>
            </w:r>
          </w:p>
        </w:tc>
        <w:tc>
          <w:tcPr>
            <w:tcW w:w="2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2012</w:t>
            </w: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Operating profit (loss):</w:t>
            </w: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FEI-NY</w:t>
            </w: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2,740</w:t>
            </w:r>
          </w:p>
        </w:tc>
        <w:tc>
          <w:tcPr>
            <w:tcW w:w="360" w:type="dxa"/>
            <w:vAlign w:val="bottom"/>
            <w:shd w:val="clear" w:color="auto" w:fill="CCEEFF"/>
          </w:tcPr>
          <w:p>
            <w:pPr>
              <w:jc w:val="right"/>
              <w:ind w:right="205"/>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2,973</w:t>
            </w: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1,564</w:t>
            </w:r>
          </w:p>
        </w:tc>
        <w:tc>
          <w:tcPr>
            <w:tcW w:w="68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1,851</w:t>
            </w:r>
          </w:p>
        </w:tc>
      </w:tr>
      <w:tr>
        <w:trPr>
          <w:trHeight w:val="216"/>
        </w:trPr>
        <w:tc>
          <w:tcPr>
            <w:tcW w:w="5160" w:type="dxa"/>
            <w:vAlign w:val="bottom"/>
          </w:tcPr>
          <w:p>
            <w:pPr>
              <w:ind w:left="180"/>
              <w:spacing w:after="0"/>
              <w:rPr>
                <w:sz w:val="20"/>
                <w:szCs w:val="20"/>
                <w:color w:val="auto"/>
              </w:rPr>
            </w:pPr>
            <w:r>
              <w:rPr>
                <w:rFonts w:ascii="Arial" w:cs="Arial" w:eastAsia="Arial" w:hAnsi="Arial"/>
                <w:sz w:val="18"/>
                <w:szCs w:val="18"/>
                <w:color w:val="auto"/>
              </w:rPr>
              <w:t>Gillam-FEI</w:t>
            </w:r>
          </w:p>
        </w:tc>
        <w:tc>
          <w:tcPr>
            <w:tcW w:w="32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(36)</w:t>
            </w:r>
          </w:p>
        </w:tc>
        <w:tc>
          <w:tcPr>
            <w:tcW w:w="36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24</w:t>
            </w:r>
          </w:p>
        </w:tc>
        <w:tc>
          <w:tcPr>
            <w:tcW w:w="32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(92)</w:t>
            </w:r>
          </w:p>
        </w:tc>
        <w:tc>
          <w:tcPr>
            <w:tcW w:w="68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140</w:t>
            </w:r>
          </w:p>
        </w:tc>
      </w:tr>
      <w:tr>
        <w:trPr>
          <w:trHeight w:val="216"/>
        </w:trPr>
        <w:tc>
          <w:tcPr>
            <w:tcW w:w="5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FEI-Zyfer</w:t>
            </w:r>
          </w:p>
        </w:tc>
        <w:tc>
          <w:tcPr>
            <w:tcW w:w="3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(275)</w:t>
            </w:r>
          </w:p>
        </w:tc>
        <w:tc>
          <w:tcPr>
            <w:tcW w:w="3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297</w:t>
            </w: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(76)</w:t>
            </w:r>
          </w:p>
        </w:tc>
        <w:tc>
          <w:tcPr>
            <w:tcW w:w="6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157</w:t>
            </w:r>
          </w:p>
        </w:tc>
      </w:tr>
      <w:tr>
        <w:trPr>
          <w:trHeight w:val="216"/>
        </w:trPr>
        <w:tc>
          <w:tcPr>
            <w:tcW w:w="5160" w:type="dxa"/>
            <w:vAlign w:val="bottom"/>
          </w:tcPr>
          <w:p>
            <w:pPr>
              <w:ind w:left="180"/>
              <w:spacing w:after="0"/>
              <w:rPr>
                <w:sz w:val="20"/>
                <w:szCs w:val="20"/>
                <w:color w:val="auto"/>
              </w:rPr>
            </w:pPr>
            <w:r>
              <w:rPr>
                <w:rFonts w:ascii="Arial" w:cs="Arial" w:eastAsia="Arial" w:hAnsi="Arial"/>
                <w:sz w:val="18"/>
                <w:szCs w:val="18"/>
                <w:color w:val="auto"/>
              </w:rPr>
              <w:t>Corporate</w:t>
            </w:r>
          </w:p>
        </w:tc>
        <w:tc>
          <w:tcPr>
            <w:tcW w:w="32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(202)</w:t>
            </w:r>
          </w:p>
        </w:tc>
        <w:tc>
          <w:tcPr>
            <w:tcW w:w="36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(195)</w:t>
            </w:r>
          </w:p>
        </w:tc>
        <w:tc>
          <w:tcPr>
            <w:tcW w:w="32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(132)</w:t>
            </w:r>
          </w:p>
        </w:tc>
        <w:tc>
          <w:tcPr>
            <w:tcW w:w="68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(130)</w:t>
            </w:r>
          </w:p>
        </w:tc>
      </w:tr>
      <w:tr>
        <w:trPr>
          <w:trHeight w:val="27"/>
        </w:trPr>
        <w:tc>
          <w:tcPr>
            <w:tcW w:w="516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37"/>
        </w:trPr>
        <w:tc>
          <w:tcPr>
            <w:tcW w:w="51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Consolidated operating profit</w:t>
            </w: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2,227</w:t>
            </w:r>
          </w:p>
        </w:tc>
        <w:tc>
          <w:tcPr>
            <w:tcW w:w="24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205"/>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3,099</w:t>
            </w:r>
          </w:p>
        </w:tc>
        <w:tc>
          <w:tcPr>
            <w:tcW w:w="24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1,264</w:t>
            </w:r>
          </w:p>
        </w:tc>
        <w:tc>
          <w:tcPr>
            <w:tcW w:w="68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2,018</w:t>
            </w:r>
          </w:p>
        </w:tc>
      </w:tr>
      <w:tr>
        <w:trPr>
          <w:trHeight w:val="20"/>
        </w:trPr>
        <w:tc>
          <w:tcPr>
            <w:tcW w:w="51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8360" w:type="dxa"/>
            <w:vAlign w:val="bottom"/>
          </w:tcPr>
          <w:p>
            <w:pPr>
              <w:spacing w:after="0"/>
              <w:rPr>
                <w:sz w:val="20"/>
                <w:szCs w:val="20"/>
                <w:color w:val="auto"/>
              </w:rPr>
            </w:pPr>
          </w:p>
        </w:tc>
        <w:tc>
          <w:tcPr>
            <w:tcW w:w="1600" w:type="dxa"/>
            <w:vAlign w:val="bottom"/>
            <w:gridSpan w:val="3"/>
          </w:tcPr>
          <w:p>
            <w:pPr>
              <w:jc w:val="right"/>
              <w:ind w:right="260"/>
              <w:spacing w:after="0"/>
              <w:rPr>
                <w:sz w:val="20"/>
                <w:szCs w:val="20"/>
                <w:color w:val="auto"/>
              </w:rPr>
            </w:pPr>
            <w:r>
              <w:rPr>
                <w:rFonts w:ascii="Arial" w:cs="Arial" w:eastAsia="Arial" w:hAnsi="Arial"/>
                <w:sz w:val="18"/>
                <w:szCs w:val="18"/>
                <w:b w:val="1"/>
                <w:bCs w:val="1"/>
                <w:color w:val="auto"/>
                <w:w w:val="91"/>
              </w:rPr>
              <w:t>October 31, 2013</w:t>
            </w:r>
          </w:p>
        </w:tc>
        <w:tc>
          <w:tcPr>
            <w:tcW w:w="120" w:type="dxa"/>
            <w:vAlign w:val="bottom"/>
          </w:tcPr>
          <w:p>
            <w:pPr>
              <w:spacing w:after="0"/>
              <w:rPr>
                <w:sz w:val="20"/>
                <w:szCs w:val="20"/>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93"/>
              </w:rPr>
              <w:t>April 30, 2013</w:t>
            </w:r>
          </w:p>
        </w:tc>
      </w:tr>
      <w:tr>
        <w:trPr>
          <w:trHeight w:val="216"/>
        </w:trPr>
        <w:tc>
          <w:tcPr>
            <w:tcW w:w="8360" w:type="dxa"/>
            <w:vAlign w:val="bottom"/>
          </w:tcPr>
          <w:p>
            <w:pPr>
              <w:spacing w:after="0"/>
              <w:rPr>
                <w:sz w:val="20"/>
                <w:szCs w:val="20"/>
                <w:color w:val="auto"/>
              </w:rPr>
            </w:pPr>
            <w:r>
              <w:rPr>
                <w:rFonts w:ascii="Arial" w:cs="Arial" w:eastAsia="Arial" w:hAnsi="Arial"/>
                <w:sz w:val="18"/>
                <w:szCs w:val="18"/>
                <w:color w:val="auto"/>
              </w:rPr>
              <w:t>Identifiable assets:</w:t>
            </w:r>
          </w:p>
        </w:tc>
        <w:tc>
          <w:tcPr>
            <w:tcW w:w="4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3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FEI-NY (approximately $3 million in China)</w:t>
            </w:r>
          </w:p>
        </w:tc>
        <w:tc>
          <w:tcPr>
            <w:tcW w:w="440" w:type="dxa"/>
            <w:vAlign w:val="bottom"/>
            <w:shd w:val="clear" w:color="auto" w:fill="CCEEFF"/>
          </w:tcPr>
          <w:p>
            <w:pPr>
              <w:jc w:val="right"/>
              <w:ind w:right="280"/>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58,972</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55,508</w:t>
            </w:r>
          </w:p>
        </w:tc>
      </w:tr>
      <w:tr>
        <w:trPr>
          <w:trHeight w:val="216"/>
        </w:trPr>
        <w:tc>
          <w:tcPr>
            <w:tcW w:w="8360" w:type="dxa"/>
            <w:vAlign w:val="bottom"/>
          </w:tcPr>
          <w:p>
            <w:pPr>
              <w:ind w:left="180"/>
              <w:spacing w:after="0"/>
              <w:rPr>
                <w:sz w:val="20"/>
                <w:szCs w:val="20"/>
                <w:color w:val="auto"/>
              </w:rPr>
            </w:pPr>
            <w:r>
              <w:rPr>
                <w:rFonts w:ascii="Arial" w:cs="Arial" w:eastAsia="Arial" w:hAnsi="Arial"/>
                <w:sz w:val="18"/>
                <w:szCs w:val="18"/>
                <w:color w:val="auto"/>
              </w:rPr>
              <w:t>Gillam-FEI (all in Belgium or France)</w:t>
            </w:r>
          </w:p>
        </w:tc>
        <w:tc>
          <w:tcPr>
            <w:tcW w:w="4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18,874</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18,071</w:t>
            </w:r>
          </w:p>
        </w:tc>
      </w:tr>
      <w:tr>
        <w:trPr>
          <w:trHeight w:val="216"/>
        </w:trPr>
        <w:tc>
          <w:tcPr>
            <w:tcW w:w="83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FEI-Zyfer</w:t>
            </w:r>
          </w:p>
        </w:tc>
        <w:tc>
          <w:tcPr>
            <w:tcW w:w="4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10,934</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10,418</w:t>
            </w:r>
          </w:p>
        </w:tc>
      </w:tr>
      <w:tr>
        <w:trPr>
          <w:trHeight w:val="216"/>
        </w:trPr>
        <w:tc>
          <w:tcPr>
            <w:tcW w:w="8360" w:type="dxa"/>
            <w:vAlign w:val="bottom"/>
          </w:tcPr>
          <w:p>
            <w:pPr>
              <w:ind w:left="180"/>
              <w:spacing w:after="0"/>
              <w:rPr>
                <w:sz w:val="20"/>
                <w:szCs w:val="20"/>
                <w:color w:val="auto"/>
              </w:rPr>
            </w:pPr>
            <w:r>
              <w:rPr>
                <w:rFonts w:ascii="Arial" w:cs="Arial" w:eastAsia="Arial" w:hAnsi="Arial"/>
                <w:sz w:val="18"/>
                <w:szCs w:val="18"/>
                <w:color w:val="auto"/>
              </w:rPr>
              <w:t>less intersegment balances</w:t>
            </w:r>
          </w:p>
        </w:tc>
        <w:tc>
          <w:tcPr>
            <w:tcW w:w="44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(19,016)</w:t>
            </w:r>
          </w:p>
        </w:tc>
        <w:tc>
          <w:tcPr>
            <w:tcW w:w="120" w:type="dxa"/>
            <w:vAlign w:val="bottom"/>
          </w:tcPr>
          <w:p>
            <w:pPr>
              <w:spacing w:after="0"/>
              <w:rPr>
                <w:sz w:val="18"/>
                <w:szCs w:val="18"/>
                <w:color w:val="auto"/>
              </w:rPr>
            </w:pP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(18,903)</w:t>
            </w:r>
          </w:p>
        </w:tc>
      </w:tr>
      <w:tr>
        <w:trPr>
          <w:trHeight w:val="223"/>
        </w:trPr>
        <w:tc>
          <w:tcPr>
            <w:tcW w:w="8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Corporate</w:t>
            </w:r>
          </w:p>
        </w:tc>
        <w:tc>
          <w:tcPr>
            <w:tcW w:w="4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44,244</w:t>
            </w:r>
          </w:p>
        </w:tc>
        <w:tc>
          <w:tcPr>
            <w:tcW w:w="2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43,815</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8360" w:type="dxa"/>
            <w:vAlign w:val="bottom"/>
          </w:tcPr>
          <w:p>
            <w:pPr>
              <w:ind w:left="340"/>
              <w:spacing w:after="0"/>
              <w:rPr>
                <w:sz w:val="20"/>
                <w:szCs w:val="20"/>
                <w:color w:val="auto"/>
              </w:rPr>
            </w:pPr>
            <w:r>
              <w:rPr>
                <w:rFonts w:ascii="Arial" w:cs="Arial" w:eastAsia="Arial" w:hAnsi="Arial"/>
                <w:sz w:val="18"/>
                <w:szCs w:val="18"/>
                <w:color w:val="auto"/>
              </w:rPr>
              <w:t>Consolidated identifiable assets</w:t>
            </w:r>
          </w:p>
        </w:tc>
        <w:tc>
          <w:tcPr>
            <w:tcW w:w="440" w:type="dxa"/>
            <w:vAlign w:val="bottom"/>
          </w:tcPr>
          <w:p>
            <w:pPr>
              <w:jc w:val="right"/>
              <w:ind w:right="280"/>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114,008</w:t>
            </w:r>
          </w:p>
        </w:tc>
        <w:tc>
          <w:tcPr>
            <w:tcW w:w="2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108,909</w:t>
            </w:r>
          </w:p>
        </w:tc>
      </w:tr>
      <w:tr>
        <w:trPr>
          <w:trHeight w:val="21"/>
        </w:trPr>
        <w:tc>
          <w:tcPr>
            <w:tcW w:w="83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G – INVESTMENT IN MORION, INC.</w:t>
      </w:r>
    </w:p>
    <w:p>
      <w:pPr>
        <w:spacing w:after="0" w:line="256"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The Company has an investment in Morion, Inc., (“Morion”) a privately-held Russian company, which manufactures high precision quartz resonators and crystal oscillators. The Company’s investment consists of 4.6% of Morion’s outstanding shares, accordingly, the Company accounts for its investment in Morion on the cost basis. This investment is included in other assets in the accompanying balance sheets.</w:t>
      </w:r>
    </w:p>
    <w:p>
      <w:pPr>
        <w:spacing w:after="0" w:line="208" w:lineRule="exact"/>
        <w:rPr>
          <w:sz w:val="20"/>
          <w:szCs w:val="20"/>
          <w:color w:val="auto"/>
        </w:rPr>
      </w:pPr>
    </w:p>
    <w:p>
      <w:pPr>
        <w:jc w:val="both"/>
        <w:ind w:firstLine="486"/>
        <w:spacing w:after="0" w:line="272" w:lineRule="auto"/>
        <w:rPr>
          <w:sz w:val="20"/>
          <w:szCs w:val="20"/>
          <w:color w:val="auto"/>
        </w:rPr>
      </w:pPr>
      <w:r>
        <w:rPr>
          <w:rFonts w:ascii="Arial" w:cs="Arial" w:eastAsia="Arial" w:hAnsi="Arial"/>
          <w:sz w:val="17"/>
          <w:szCs w:val="17"/>
          <w:color w:val="auto"/>
        </w:rPr>
        <w:t>During the six months ended October 31, 2013 and 2012, the Company acquired product from Morion in the aggregate amount of approximately $98,000 and $18,000, respectively, and the Company sold product and training services to Morion in the aggregate amount of approximately $652,000 and $96,000, respectively. (See discussion of revenues recognized under the license agreement in the paragraph below.) During the three months ended October 31, 2013 and 2012, the Company acquired product from Morion in the aggregate amount of approximately $68,000 and $6,000, respectively, and the Company sold product and training services to Morion in the aggregate amount of approximately $510,000 and $66,000, respectively. At October 31, 2013, approximately $11,000 was payable to Morion and accounts receivable from Morion was approximately $343,000, including $225,000 for the equipment, component parts and training activities under the license agreement described below.</w:t>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 of 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FREQUENCY ELECTRONICS, INC. and SUBSIDIARIES</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Condensed Consolidated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38" w:lineRule="exact"/>
        <w:rPr>
          <w:sz w:val="20"/>
          <w:szCs w:val="20"/>
          <w:color w:val="auto"/>
        </w:rPr>
      </w:pPr>
    </w:p>
    <w:p>
      <w:pPr>
        <w:jc w:val="both"/>
        <w:ind w:firstLine="486"/>
        <w:spacing w:after="0" w:line="268" w:lineRule="auto"/>
        <w:rPr>
          <w:sz w:val="20"/>
          <w:szCs w:val="20"/>
          <w:color w:val="auto"/>
        </w:rPr>
      </w:pPr>
      <w:r>
        <w:rPr>
          <w:rFonts w:ascii="Arial" w:cs="Arial" w:eastAsia="Arial" w:hAnsi="Arial"/>
          <w:sz w:val="17"/>
          <w:szCs w:val="17"/>
          <w:color w:val="auto"/>
        </w:rPr>
        <w:t>On October 22, 2012, the Company entered into an agreement with respect to its licensing of rubidium oscillator production technology to Morion. The agreement requires the Company to supply production equipment and parts and to provide training to Morion employees to enable Morion to achieve certain levels of volume production of rubidium oscillators. Morion will pay the Company approximately $2.7 million for the license, the equipment, parts and training, plus 5% royalties on third party sales. For a 5-year period following an initial production run, the Company commits to purchase from Morion a minimum of approximately $400,000 worth of rubidium oscillators per year although Morion is not obligated to sell that amount to the Company. In November 2012, Morion paid the Company a $925,000 deposit under the agreement which amount had been recorded on the Company’s balance sheet as deferred revenue. In October 2013, after amending the original document to clarify certain billing events, the Company invoiced Morion for the equipment, certain component parts for the production of rubidium oscillators, training of certain Morion employees and transfer of the production technology and license to Morion. Accordingly, during the six and three-month periods ended October 31, 2013, the Company recorded revenues of $400,000 for the technology transfer, training and sale of parts and recognized a gain of approximately $736,000 upon the sale of fully-depreciated equipment. The $925,000 deposit previously recorded as deferred revenue is included in these revenues and gain. Additional revenues under the agreement will be recorded after the Company provides further on-site training for Morion personnel, delivers more component parts and obtains relief from certain U.S. Government limitations relating to the sales of items to be manufactured under the license. The United States Department of State has approved the technology transfer called for under the agreement.</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H – FAIR VALUE OF FINANCIAL INSTRUMENTS</w:t>
      </w:r>
    </w:p>
    <w:p>
      <w:pPr>
        <w:spacing w:after="0" w:line="229"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The cost, gross unrealized gains, gross unrealized losses and fair market value of available-for-sale securities at October 31, 2013 and April 30, 2013 are as follows (in thousands):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5140" w:type="dxa"/>
            <w:vAlign w:val="bottom"/>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3000" w:type="dxa"/>
            <w:vAlign w:val="bottom"/>
            <w:tcBorders>
              <w:bottom w:val="single" w:sz="8" w:color="auto"/>
            </w:tcBorders>
            <w:gridSpan w:val="5"/>
          </w:tcPr>
          <w:p>
            <w:pPr>
              <w:jc w:val="right"/>
              <w:ind w:right="1080"/>
              <w:spacing w:after="0"/>
              <w:rPr>
                <w:sz w:val="20"/>
                <w:szCs w:val="20"/>
                <w:color w:val="auto"/>
              </w:rPr>
            </w:pPr>
            <w:r>
              <w:rPr>
                <w:rFonts w:ascii="Arial" w:cs="Arial" w:eastAsia="Arial" w:hAnsi="Arial"/>
                <w:sz w:val="18"/>
                <w:szCs w:val="18"/>
                <w:b w:val="1"/>
                <w:bCs w:val="1"/>
                <w:color w:val="auto"/>
              </w:rPr>
              <w:t>October 31, 2013</w:t>
            </w:r>
          </w:p>
        </w:tc>
        <w:tc>
          <w:tcPr>
            <w:tcW w:w="2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8"/>
        </w:trPr>
        <w:tc>
          <w:tcPr>
            <w:tcW w:w="20" w:type="dxa"/>
            <w:vAlign w:val="bottom"/>
          </w:tcPr>
          <w:p>
            <w:pPr>
              <w:spacing w:after="0"/>
              <w:rPr>
                <w:sz w:val="17"/>
                <w:szCs w:val="17"/>
                <w:color w:val="auto"/>
              </w:rPr>
            </w:pPr>
          </w:p>
        </w:tc>
        <w:tc>
          <w:tcPr>
            <w:tcW w:w="5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40" w:type="dxa"/>
            <w:vAlign w:val="bottom"/>
            <w:gridSpan w:val="2"/>
          </w:tcPr>
          <w:p>
            <w:pPr>
              <w:jc w:val="center"/>
              <w:ind w:right="440"/>
              <w:spacing w:after="0" w:line="198" w:lineRule="exact"/>
              <w:rPr>
                <w:sz w:val="20"/>
                <w:szCs w:val="20"/>
                <w:color w:val="auto"/>
              </w:rPr>
            </w:pPr>
            <w:r>
              <w:rPr>
                <w:rFonts w:ascii="Arial" w:cs="Arial" w:eastAsia="Arial" w:hAnsi="Arial"/>
                <w:sz w:val="18"/>
                <w:szCs w:val="18"/>
                <w:b w:val="1"/>
                <w:bCs w:val="1"/>
                <w:color w:val="auto"/>
                <w:w w:val="84"/>
              </w:rPr>
              <w:t>Gross</w:t>
            </w:r>
          </w:p>
        </w:tc>
        <w:tc>
          <w:tcPr>
            <w:tcW w:w="160" w:type="dxa"/>
            <w:vAlign w:val="bottom"/>
          </w:tcPr>
          <w:p>
            <w:pPr>
              <w:spacing w:after="0"/>
              <w:rPr>
                <w:sz w:val="17"/>
                <w:szCs w:val="17"/>
                <w:color w:val="auto"/>
              </w:rPr>
            </w:pPr>
          </w:p>
        </w:tc>
        <w:tc>
          <w:tcPr>
            <w:tcW w:w="1400" w:type="dxa"/>
            <w:vAlign w:val="bottom"/>
            <w:gridSpan w:val="2"/>
          </w:tcPr>
          <w:p>
            <w:pPr>
              <w:jc w:val="center"/>
              <w:ind w:right="380"/>
              <w:spacing w:after="0" w:line="198" w:lineRule="exact"/>
              <w:rPr>
                <w:sz w:val="20"/>
                <w:szCs w:val="20"/>
                <w:color w:val="auto"/>
              </w:rPr>
            </w:pPr>
            <w:r>
              <w:rPr>
                <w:rFonts w:ascii="Arial" w:cs="Arial" w:eastAsia="Arial" w:hAnsi="Arial"/>
                <w:sz w:val="18"/>
                <w:szCs w:val="18"/>
                <w:b w:val="1"/>
                <w:bCs w:val="1"/>
                <w:color w:val="auto"/>
                <w:w w:val="88"/>
              </w:rPr>
              <w:t>Gross</w:t>
            </w:r>
          </w:p>
        </w:tc>
        <w:tc>
          <w:tcPr>
            <w:tcW w:w="240" w:type="dxa"/>
            <w:vAlign w:val="bottom"/>
          </w:tcPr>
          <w:p>
            <w:pPr>
              <w:spacing w:after="0"/>
              <w:rPr>
                <w:sz w:val="17"/>
                <w:szCs w:val="17"/>
                <w:color w:val="auto"/>
              </w:rPr>
            </w:pPr>
          </w:p>
        </w:tc>
        <w:tc>
          <w:tcPr>
            <w:tcW w:w="1120" w:type="dxa"/>
            <w:vAlign w:val="bottom"/>
          </w:tcPr>
          <w:p>
            <w:pPr>
              <w:jc w:val="center"/>
              <w:ind w:right="150"/>
              <w:spacing w:after="0" w:line="198" w:lineRule="exact"/>
              <w:rPr>
                <w:sz w:val="20"/>
                <w:szCs w:val="20"/>
                <w:color w:val="auto"/>
              </w:rPr>
            </w:pPr>
            <w:r>
              <w:rPr>
                <w:rFonts w:ascii="Arial" w:cs="Arial" w:eastAsia="Arial" w:hAnsi="Arial"/>
                <w:sz w:val="18"/>
                <w:szCs w:val="18"/>
                <w:b w:val="1"/>
                <w:bCs w:val="1"/>
                <w:color w:val="auto"/>
                <w:w w:val="96"/>
              </w:rPr>
              <w:t>Fair</w:t>
            </w:r>
          </w:p>
        </w:tc>
        <w:tc>
          <w:tcPr>
            <w:tcW w:w="10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2"/>
              </w:rPr>
              <w:t>Unrealized</w:t>
            </w:r>
          </w:p>
        </w:tc>
        <w:tc>
          <w:tcPr>
            <w:tcW w:w="160" w:type="dxa"/>
            <w:vAlign w:val="bottom"/>
          </w:tcPr>
          <w:p>
            <w:pPr>
              <w:spacing w:after="0"/>
              <w:rPr>
                <w:sz w:val="18"/>
                <w:szCs w:val="18"/>
                <w:color w:val="auto"/>
              </w:rPr>
            </w:pPr>
          </w:p>
        </w:tc>
        <w:tc>
          <w:tcPr>
            <w:tcW w:w="140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0"/>
              </w:rPr>
              <w:t>Unrealized</w:t>
            </w:r>
          </w:p>
        </w:tc>
        <w:tc>
          <w:tcPr>
            <w:tcW w:w="240" w:type="dxa"/>
            <w:vAlign w:val="bottom"/>
          </w:tcPr>
          <w:p>
            <w:pPr>
              <w:spacing w:after="0"/>
              <w:rPr>
                <w:sz w:val="18"/>
                <w:szCs w:val="18"/>
                <w:color w:val="auto"/>
              </w:rPr>
            </w:pPr>
          </w:p>
        </w:tc>
        <w:tc>
          <w:tcPr>
            <w:tcW w:w="12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9"/>
              </w:rPr>
              <w:t>Market</w:t>
            </w:r>
          </w:p>
        </w:tc>
      </w:tr>
      <w:tr>
        <w:trPr>
          <w:trHeight w:val="241"/>
        </w:trPr>
        <w:tc>
          <w:tcPr>
            <w:tcW w:w="20" w:type="dxa"/>
            <w:vAlign w:val="bottom"/>
          </w:tcPr>
          <w:p>
            <w:pPr>
              <w:spacing w:after="0"/>
              <w:rPr>
                <w:sz w:val="20"/>
                <w:szCs w:val="20"/>
                <w:color w:val="auto"/>
              </w:rPr>
            </w:pPr>
          </w:p>
        </w:tc>
        <w:tc>
          <w:tcPr>
            <w:tcW w:w="5140" w:type="dxa"/>
            <w:vAlign w:val="bottom"/>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Cost</w:t>
            </w:r>
          </w:p>
        </w:tc>
        <w:tc>
          <w:tcPr>
            <w:tcW w:w="52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87"/>
              </w:rPr>
              <w:t>Gains</w:t>
            </w:r>
          </w:p>
        </w:tc>
        <w:tc>
          <w:tcPr>
            <w:tcW w:w="2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0"/>
              </w:rPr>
              <w:t>Losses</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91"/>
              </w:rPr>
              <w:t>Value</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Fixed income securities</w:t>
            </w:r>
          </w:p>
        </w:tc>
        <w:tc>
          <w:tcPr>
            <w:tcW w:w="860" w:type="dxa"/>
            <w:vAlign w:val="bottom"/>
            <w:shd w:val="clear" w:color="auto" w:fill="CCEEFF"/>
          </w:tcPr>
          <w:p>
            <w:pPr>
              <w:jc w:val="right"/>
              <w:ind w:right="699"/>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8,935</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4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161</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(36)</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9,060</w:t>
            </w: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Equity securities</w:t>
            </w:r>
          </w:p>
        </w:tc>
        <w:tc>
          <w:tcPr>
            <w:tcW w:w="8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6,179</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949</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(309)</w:t>
            </w:r>
          </w:p>
        </w:tc>
        <w:tc>
          <w:tcPr>
            <w:tcW w:w="24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6,819</w:t>
            </w:r>
          </w:p>
        </w:tc>
      </w:tr>
      <w:tr>
        <w:trPr>
          <w:trHeight w:val="27"/>
        </w:trPr>
        <w:tc>
          <w:tcPr>
            <w:tcW w:w="20" w:type="dxa"/>
            <w:vAlign w:val="bottom"/>
          </w:tcPr>
          <w:p>
            <w:pPr>
              <w:spacing w:after="0"/>
              <w:rPr>
                <w:sz w:val="2"/>
                <w:szCs w:val="2"/>
                <w:color w:val="auto"/>
              </w:rPr>
            </w:pPr>
          </w:p>
        </w:tc>
        <w:tc>
          <w:tcPr>
            <w:tcW w:w="514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37"/>
        </w:trPr>
        <w:tc>
          <w:tcPr>
            <w:tcW w:w="20" w:type="dxa"/>
            <w:vAlign w:val="bottom"/>
          </w:tcPr>
          <w:p>
            <w:pPr>
              <w:spacing w:after="0"/>
              <w:rPr>
                <w:sz w:val="20"/>
                <w:szCs w:val="20"/>
                <w:color w:val="auto"/>
              </w:rPr>
            </w:pPr>
          </w:p>
        </w:tc>
        <w:tc>
          <w:tcPr>
            <w:tcW w:w="5140" w:type="dxa"/>
            <w:vAlign w:val="bottom"/>
            <w:shd w:val="clear" w:color="auto" w:fill="CCEEFF"/>
          </w:tcPr>
          <w:p>
            <w:pPr>
              <w:spacing w:after="0"/>
              <w:rPr>
                <w:sz w:val="20"/>
                <w:szCs w:val="20"/>
                <w:color w:val="auto"/>
              </w:rPr>
            </w:pPr>
          </w:p>
        </w:tc>
        <w:tc>
          <w:tcPr>
            <w:tcW w:w="860" w:type="dxa"/>
            <w:vAlign w:val="bottom"/>
            <w:shd w:val="clear" w:color="auto" w:fill="CCEEFF"/>
          </w:tcPr>
          <w:p>
            <w:pPr>
              <w:jc w:val="right"/>
              <w:ind w:right="699"/>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15,114</w:t>
            </w:r>
          </w:p>
        </w:tc>
        <w:tc>
          <w:tcPr>
            <w:tcW w:w="240" w:type="dxa"/>
            <w:vAlign w:val="bottom"/>
            <w:shd w:val="clear" w:color="auto" w:fill="CCEEFF"/>
          </w:tcPr>
          <w:p>
            <w:pPr>
              <w:spacing w:after="0"/>
              <w:rPr>
                <w:sz w:val="20"/>
                <w:szCs w:val="20"/>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1,110</w:t>
            </w:r>
          </w:p>
        </w:tc>
        <w:tc>
          <w:tcPr>
            <w:tcW w:w="240" w:type="dxa"/>
            <w:vAlign w:val="bottom"/>
            <w:shd w:val="clear" w:color="auto" w:fill="CCEEFF"/>
          </w:tcPr>
          <w:p>
            <w:pPr>
              <w:spacing w:after="0"/>
              <w:rPr>
                <w:sz w:val="20"/>
                <w:szCs w:val="20"/>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(345)</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15,879</w:t>
            </w:r>
          </w:p>
        </w:tc>
      </w:tr>
      <w:tr>
        <w:trPr>
          <w:trHeight w:val="20"/>
        </w:trPr>
        <w:tc>
          <w:tcPr>
            <w:tcW w:w="20" w:type="dxa"/>
            <w:vAlign w:val="bottom"/>
          </w:tcPr>
          <w:p>
            <w:pPr>
              <w:spacing w:after="0" w:line="20" w:lineRule="exact"/>
              <w:rPr>
                <w:sz w:val="1"/>
                <w:szCs w:val="1"/>
                <w:color w:val="auto"/>
              </w:rPr>
            </w:pPr>
          </w:p>
        </w:tc>
        <w:tc>
          <w:tcPr>
            <w:tcW w:w="514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460"/>
        </w:trPr>
        <w:tc>
          <w:tcPr>
            <w:tcW w:w="20" w:type="dxa"/>
            <w:vAlign w:val="bottom"/>
          </w:tcPr>
          <w:p>
            <w:pPr>
              <w:spacing w:after="0"/>
              <w:rPr>
                <w:sz w:val="24"/>
                <w:szCs w:val="24"/>
                <w:color w:val="auto"/>
              </w:rPr>
            </w:pPr>
          </w:p>
        </w:tc>
        <w:tc>
          <w:tcPr>
            <w:tcW w:w="5140" w:type="dxa"/>
            <w:vAlign w:val="bottom"/>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000" w:type="dxa"/>
            <w:vAlign w:val="bottom"/>
            <w:tcBorders>
              <w:bottom w:val="single" w:sz="8" w:color="auto"/>
            </w:tcBorders>
            <w:gridSpan w:val="5"/>
          </w:tcPr>
          <w:p>
            <w:pPr>
              <w:jc w:val="right"/>
              <w:ind w:right="1180"/>
              <w:spacing w:after="0"/>
              <w:rPr>
                <w:sz w:val="20"/>
                <w:szCs w:val="20"/>
                <w:color w:val="auto"/>
              </w:rPr>
            </w:pPr>
            <w:r>
              <w:rPr>
                <w:rFonts w:ascii="Arial" w:cs="Arial" w:eastAsia="Arial" w:hAnsi="Arial"/>
                <w:sz w:val="18"/>
                <w:szCs w:val="18"/>
                <w:b w:val="1"/>
                <w:bCs w:val="1"/>
                <w:color w:val="auto"/>
              </w:rPr>
              <w:t>April 30, 2013</w:t>
            </w:r>
          </w:p>
        </w:tc>
        <w:tc>
          <w:tcPr>
            <w:tcW w:w="2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98"/>
        </w:trPr>
        <w:tc>
          <w:tcPr>
            <w:tcW w:w="20" w:type="dxa"/>
            <w:vAlign w:val="bottom"/>
          </w:tcPr>
          <w:p>
            <w:pPr>
              <w:spacing w:after="0"/>
              <w:rPr>
                <w:sz w:val="17"/>
                <w:szCs w:val="17"/>
                <w:color w:val="auto"/>
              </w:rPr>
            </w:pPr>
          </w:p>
        </w:tc>
        <w:tc>
          <w:tcPr>
            <w:tcW w:w="5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40" w:type="dxa"/>
            <w:vAlign w:val="bottom"/>
            <w:gridSpan w:val="2"/>
          </w:tcPr>
          <w:p>
            <w:pPr>
              <w:jc w:val="center"/>
              <w:ind w:right="440"/>
              <w:spacing w:after="0" w:line="198" w:lineRule="exact"/>
              <w:rPr>
                <w:sz w:val="20"/>
                <w:szCs w:val="20"/>
                <w:color w:val="auto"/>
              </w:rPr>
            </w:pPr>
            <w:r>
              <w:rPr>
                <w:rFonts w:ascii="Arial" w:cs="Arial" w:eastAsia="Arial" w:hAnsi="Arial"/>
                <w:sz w:val="18"/>
                <w:szCs w:val="18"/>
                <w:b w:val="1"/>
                <w:bCs w:val="1"/>
                <w:color w:val="auto"/>
                <w:w w:val="84"/>
              </w:rPr>
              <w:t>Gross</w:t>
            </w:r>
          </w:p>
        </w:tc>
        <w:tc>
          <w:tcPr>
            <w:tcW w:w="160" w:type="dxa"/>
            <w:vAlign w:val="bottom"/>
          </w:tcPr>
          <w:p>
            <w:pPr>
              <w:spacing w:after="0"/>
              <w:rPr>
                <w:sz w:val="17"/>
                <w:szCs w:val="17"/>
                <w:color w:val="auto"/>
              </w:rPr>
            </w:pPr>
          </w:p>
        </w:tc>
        <w:tc>
          <w:tcPr>
            <w:tcW w:w="1400" w:type="dxa"/>
            <w:vAlign w:val="bottom"/>
            <w:gridSpan w:val="2"/>
          </w:tcPr>
          <w:p>
            <w:pPr>
              <w:jc w:val="center"/>
              <w:ind w:right="380"/>
              <w:spacing w:after="0" w:line="198" w:lineRule="exact"/>
              <w:rPr>
                <w:sz w:val="20"/>
                <w:szCs w:val="20"/>
                <w:color w:val="auto"/>
              </w:rPr>
            </w:pPr>
            <w:r>
              <w:rPr>
                <w:rFonts w:ascii="Arial" w:cs="Arial" w:eastAsia="Arial" w:hAnsi="Arial"/>
                <w:sz w:val="18"/>
                <w:szCs w:val="18"/>
                <w:b w:val="1"/>
                <w:bCs w:val="1"/>
                <w:color w:val="auto"/>
                <w:w w:val="88"/>
              </w:rPr>
              <w:t>Gross</w:t>
            </w:r>
          </w:p>
        </w:tc>
        <w:tc>
          <w:tcPr>
            <w:tcW w:w="240" w:type="dxa"/>
            <w:vAlign w:val="bottom"/>
          </w:tcPr>
          <w:p>
            <w:pPr>
              <w:spacing w:after="0"/>
              <w:rPr>
                <w:sz w:val="17"/>
                <w:szCs w:val="17"/>
                <w:color w:val="auto"/>
              </w:rPr>
            </w:pPr>
          </w:p>
        </w:tc>
        <w:tc>
          <w:tcPr>
            <w:tcW w:w="1120" w:type="dxa"/>
            <w:vAlign w:val="bottom"/>
          </w:tcPr>
          <w:p>
            <w:pPr>
              <w:jc w:val="center"/>
              <w:ind w:right="150"/>
              <w:spacing w:after="0" w:line="198" w:lineRule="exact"/>
              <w:rPr>
                <w:sz w:val="20"/>
                <w:szCs w:val="20"/>
                <w:color w:val="auto"/>
              </w:rPr>
            </w:pPr>
            <w:r>
              <w:rPr>
                <w:rFonts w:ascii="Arial" w:cs="Arial" w:eastAsia="Arial" w:hAnsi="Arial"/>
                <w:sz w:val="18"/>
                <w:szCs w:val="18"/>
                <w:b w:val="1"/>
                <w:bCs w:val="1"/>
                <w:color w:val="auto"/>
                <w:w w:val="96"/>
              </w:rPr>
              <w:t>Fair</w:t>
            </w:r>
          </w:p>
        </w:tc>
        <w:tc>
          <w:tcPr>
            <w:tcW w:w="10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2"/>
              </w:rPr>
              <w:t>Unrealized</w:t>
            </w:r>
          </w:p>
        </w:tc>
        <w:tc>
          <w:tcPr>
            <w:tcW w:w="160" w:type="dxa"/>
            <w:vAlign w:val="bottom"/>
          </w:tcPr>
          <w:p>
            <w:pPr>
              <w:spacing w:after="0"/>
              <w:rPr>
                <w:sz w:val="18"/>
                <w:szCs w:val="18"/>
                <w:color w:val="auto"/>
              </w:rPr>
            </w:pPr>
          </w:p>
        </w:tc>
        <w:tc>
          <w:tcPr>
            <w:tcW w:w="140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0"/>
              </w:rPr>
              <w:t>Unrealized</w:t>
            </w:r>
          </w:p>
        </w:tc>
        <w:tc>
          <w:tcPr>
            <w:tcW w:w="240" w:type="dxa"/>
            <w:vAlign w:val="bottom"/>
          </w:tcPr>
          <w:p>
            <w:pPr>
              <w:spacing w:after="0"/>
              <w:rPr>
                <w:sz w:val="18"/>
                <w:szCs w:val="18"/>
                <w:color w:val="auto"/>
              </w:rPr>
            </w:pPr>
          </w:p>
        </w:tc>
        <w:tc>
          <w:tcPr>
            <w:tcW w:w="12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9"/>
              </w:rPr>
              <w:t>Market</w:t>
            </w:r>
          </w:p>
        </w:tc>
      </w:tr>
      <w:tr>
        <w:trPr>
          <w:trHeight w:val="241"/>
        </w:trPr>
        <w:tc>
          <w:tcPr>
            <w:tcW w:w="20" w:type="dxa"/>
            <w:vAlign w:val="bottom"/>
          </w:tcPr>
          <w:p>
            <w:pPr>
              <w:spacing w:after="0"/>
              <w:rPr>
                <w:sz w:val="20"/>
                <w:szCs w:val="20"/>
                <w:color w:val="auto"/>
              </w:rPr>
            </w:pPr>
          </w:p>
        </w:tc>
        <w:tc>
          <w:tcPr>
            <w:tcW w:w="5140" w:type="dxa"/>
            <w:vAlign w:val="bottom"/>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Cost</w:t>
            </w:r>
          </w:p>
        </w:tc>
        <w:tc>
          <w:tcPr>
            <w:tcW w:w="52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87"/>
              </w:rPr>
              <w:t>Gains</w:t>
            </w:r>
          </w:p>
        </w:tc>
        <w:tc>
          <w:tcPr>
            <w:tcW w:w="2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0"/>
              </w:rPr>
              <w:t>Losses</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91"/>
              </w:rPr>
              <w:t>Value</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Fixed income securities</w:t>
            </w:r>
          </w:p>
        </w:tc>
        <w:tc>
          <w:tcPr>
            <w:tcW w:w="860" w:type="dxa"/>
            <w:vAlign w:val="bottom"/>
            <w:shd w:val="clear" w:color="auto" w:fill="CCEEFF"/>
          </w:tcPr>
          <w:p>
            <w:pPr>
              <w:jc w:val="right"/>
              <w:ind w:right="699"/>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0"/>
              </w:rPr>
              <w:t>10,285</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4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297</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10,582</w:t>
            </w: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Equity securities</w:t>
            </w:r>
          </w:p>
        </w:tc>
        <w:tc>
          <w:tcPr>
            <w:tcW w:w="8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6,490</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1,266</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(68)</w:t>
            </w:r>
          </w:p>
        </w:tc>
        <w:tc>
          <w:tcPr>
            <w:tcW w:w="24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7,688</w:t>
            </w:r>
          </w:p>
        </w:tc>
      </w:tr>
      <w:tr>
        <w:trPr>
          <w:trHeight w:val="27"/>
        </w:trPr>
        <w:tc>
          <w:tcPr>
            <w:tcW w:w="20" w:type="dxa"/>
            <w:vAlign w:val="bottom"/>
          </w:tcPr>
          <w:p>
            <w:pPr>
              <w:spacing w:after="0"/>
              <w:rPr>
                <w:sz w:val="2"/>
                <w:szCs w:val="2"/>
                <w:color w:val="auto"/>
              </w:rPr>
            </w:pPr>
          </w:p>
        </w:tc>
        <w:tc>
          <w:tcPr>
            <w:tcW w:w="514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57"/>
        </w:trPr>
        <w:tc>
          <w:tcPr>
            <w:tcW w:w="20" w:type="dxa"/>
            <w:vAlign w:val="bottom"/>
          </w:tcPr>
          <w:p>
            <w:pPr>
              <w:spacing w:after="0"/>
              <w:rPr>
                <w:sz w:val="22"/>
                <w:szCs w:val="22"/>
                <w:color w:val="auto"/>
              </w:rPr>
            </w:pPr>
          </w:p>
        </w:tc>
        <w:tc>
          <w:tcPr>
            <w:tcW w:w="5140" w:type="dxa"/>
            <w:vAlign w:val="bottom"/>
            <w:shd w:val="clear" w:color="auto" w:fill="CCEEFF"/>
          </w:tcPr>
          <w:p>
            <w:pPr>
              <w:spacing w:after="0"/>
              <w:rPr>
                <w:sz w:val="22"/>
                <w:szCs w:val="22"/>
                <w:color w:val="auto"/>
              </w:rPr>
            </w:pPr>
          </w:p>
        </w:tc>
        <w:tc>
          <w:tcPr>
            <w:tcW w:w="860" w:type="dxa"/>
            <w:vAlign w:val="bottom"/>
            <w:shd w:val="clear" w:color="auto" w:fill="CCEEFF"/>
          </w:tcPr>
          <w:p>
            <w:pPr>
              <w:jc w:val="right"/>
              <w:ind w:right="699"/>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16,775</w:t>
            </w:r>
          </w:p>
        </w:tc>
        <w:tc>
          <w:tcPr>
            <w:tcW w:w="240" w:type="dxa"/>
            <w:vAlign w:val="bottom"/>
            <w:shd w:val="clear" w:color="auto" w:fill="CCEEFF"/>
          </w:tcPr>
          <w:p>
            <w:pPr>
              <w:spacing w:after="0"/>
              <w:rPr>
                <w:sz w:val="22"/>
                <w:szCs w:val="22"/>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1,563</w:t>
            </w:r>
          </w:p>
        </w:tc>
        <w:tc>
          <w:tcPr>
            <w:tcW w:w="240" w:type="dxa"/>
            <w:vAlign w:val="bottom"/>
            <w:shd w:val="clear" w:color="auto" w:fill="CCEEFF"/>
          </w:tcPr>
          <w:p>
            <w:pPr>
              <w:spacing w:after="0"/>
              <w:rPr>
                <w:sz w:val="22"/>
                <w:szCs w:val="22"/>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(68)</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18,270</w:t>
            </w:r>
          </w:p>
        </w:tc>
      </w:tr>
      <w:tr>
        <w:trPr>
          <w:trHeight w:val="601"/>
        </w:trPr>
        <w:tc>
          <w:tcPr>
            <w:tcW w:w="20" w:type="dxa"/>
            <w:vAlign w:val="bottom"/>
          </w:tcPr>
          <w:p>
            <w:pPr>
              <w:spacing w:after="0"/>
              <w:rPr>
                <w:sz w:val="24"/>
                <w:szCs w:val="24"/>
                <w:color w:val="auto"/>
              </w:rPr>
            </w:pPr>
          </w:p>
        </w:tc>
        <w:tc>
          <w:tcPr>
            <w:tcW w:w="5140" w:type="dxa"/>
            <w:vAlign w:val="bottom"/>
            <w:tcBorders>
              <w:top w:val="single" w:sz="8" w:color="CCEEFF"/>
            </w:tcBorders>
          </w:tcPr>
          <w:p>
            <w:pPr>
              <w:spacing w:after="0"/>
              <w:rPr>
                <w:sz w:val="24"/>
                <w:szCs w:val="24"/>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 of 24</w:t>
            </w:r>
          </w:p>
        </w:tc>
        <w:tc>
          <w:tcPr>
            <w:tcW w:w="520" w:type="dxa"/>
            <w:vAlign w:val="bottom"/>
            <w:tcBorders>
              <w:top w:val="single" w:sz="8" w:color="auto"/>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r>
        <w:trPr>
          <w:trHeight w:val="118"/>
        </w:trPr>
        <w:tc>
          <w:tcPr>
            <w:tcW w:w="20" w:type="dxa"/>
            <w:vAlign w:val="bottom"/>
          </w:tcPr>
          <w:p>
            <w:pPr>
              <w:spacing w:after="0"/>
              <w:rPr>
                <w:sz w:val="10"/>
                <w:szCs w:val="10"/>
                <w:color w:val="auto"/>
              </w:rPr>
            </w:pPr>
          </w:p>
        </w:tc>
        <w:tc>
          <w:tcPr>
            <w:tcW w:w="514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52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20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18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12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FREQUENCY ELECTRONICS, INC. and SUBSIDIARIES</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Condensed Consolidated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1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following table presents the fair value and unrealized losses, aggregated by investment type and length of time that individual securities have been in a continuous unrealized loss position (in thousands):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020" w:type="dxa"/>
            <w:vAlign w:val="bottom"/>
            <w:gridSpan w:val="6"/>
          </w:tcPr>
          <w:p>
            <w:pPr>
              <w:jc w:val="right"/>
              <w:ind w:right="840"/>
              <w:spacing w:after="0"/>
              <w:rPr>
                <w:sz w:val="20"/>
                <w:szCs w:val="20"/>
                <w:color w:val="auto"/>
              </w:rPr>
            </w:pPr>
            <w:r>
              <w:rPr>
                <w:rFonts w:ascii="Arial" w:cs="Arial" w:eastAsia="Arial" w:hAnsi="Arial"/>
                <w:sz w:val="18"/>
                <w:szCs w:val="18"/>
                <w:b w:val="1"/>
                <w:bCs w:val="1"/>
                <w:color w:val="auto"/>
              </w:rPr>
              <w:t>Less than 12 months</w:t>
            </w:r>
          </w:p>
        </w:tc>
        <w:tc>
          <w:tcPr>
            <w:tcW w:w="260" w:type="dxa"/>
            <w:vAlign w:val="bottom"/>
          </w:tcPr>
          <w:p>
            <w:pPr>
              <w:spacing w:after="0"/>
              <w:rPr>
                <w:sz w:val="20"/>
                <w:szCs w:val="20"/>
                <w:color w:val="auto"/>
              </w:rPr>
            </w:pPr>
          </w:p>
        </w:tc>
        <w:tc>
          <w:tcPr>
            <w:tcW w:w="2620" w:type="dxa"/>
            <w:vAlign w:val="bottom"/>
            <w:gridSpan w:val="5"/>
          </w:tcPr>
          <w:p>
            <w:pPr>
              <w:jc w:val="right"/>
              <w:ind w:right="780"/>
              <w:spacing w:after="0"/>
              <w:rPr>
                <w:sz w:val="20"/>
                <w:szCs w:val="20"/>
                <w:color w:val="auto"/>
              </w:rPr>
            </w:pPr>
            <w:r>
              <w:rPr>
                <w:rFonts w:ascii="Arial" w:cs="Arial" w:eastAsia="Arial" w:hAnsi="Arial"/>
                <w:sz w:val="18"/>
                <w:szCs w:val="18"/>
                <w:b w:val="1"/>
                <w:bCs w:val="1"/>
                <w:color w:val="auto"/>
              </w:rPr>
              <w:t>12 Months or more</w:t>
            </w:r>
          </w:p>
        </w:tc>
        <w:tc>
          <w:tcPr>
            <w:tcW w:w="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780" w:type="dxa"/>
            <w:vAlign w:val="bottom"/>
            <w:gridSpan w:val="4"/>
          </w:tcPr>
          <w:p>
            <w:pPr>
              <w:jc w:val="right"/>
              <w:ind w:right="60"/>
              <w:spacing w:after="0"/>
              <w:rPr>
                <w:sz w:val="20"/>
                <w:szCs w:val="20"/>
                <w:color w:val="auto"/>
              </w:rPr>
            </w:pPr>
            <w:r>
              <w:rPr>
                <w:rFonts w:ascii="Arial" w:cs="Arial" w:eastAsia="Arial" w:hAnsi="Arial"/>
                <w:sz w:val="18"/>
                <w:szCs w:val="18"/>
                <w:b w:val="1"/>
                <w:bCs w:val="1"/>
                <w:color w:val="auto"/>
              </w:rPr>
              <w:t>Total</w:t>
            </w: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60" w:type="dxa"/>
            <w:vAlign w:val="bottom"/>
            <w:tcBorders>
              <w:top w:val="single" w:sz="8" w:color="auto"/>
            </w:tcBorders>
          </w:tcPr>
          <w:p>
            <w:pPr>
              <w:jc w:val="right"/>
              <w:spacing w:after="0" w:line="198" w:lineRule="exact"/>
              <w:rPr>
                <w:sz w:val="20"/>
                <w:szCs w:val="20"/>
                <w:color w:val="auto"/>
              </w:rPr>
            </w:pPr>
            <w:r>
              <w:rPr>
                <w:rFonts w:ascii="Arial" w:cs="Arial" w:eastAsia="Arial" w:hAnsi="Arial"/>
                <w:sz w:val="18"/>
                <w:szCs w:val="18"/>
                <w:b w:val="1"/>
                <w:bCs w:val="1"/>
                <w:color w:val="auto"/>
              </w:rPr>
              <w:t>Fair</w:t>
            </w:r>
          </w:p>
        </w:tc>
        <w:tc>
          <w:tcPr>
            <w:tcW w:w="42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jc w:val="right"/>
              <w:ind w:right="130"/>
              <w:spacing w:after="0" w:line="198" w:lineRule="exact"/>
              <w:rPr>
                <w:sz w:val="20"/>
                <w:szCs w:val="20"/>
                <w:color w:val="auto"/>
              </w:rPr>
            </w:pPr>
            <w:r>
              <w:rPr>
                <w:rFonts w:ascii="Arial" w:cs="Arial" w:eastAsia="Arial" w:hAnsi="Arial"/>
                <w:sz w:val="18"/>
                <w:szCs w:val="18"/>
                <w:b w:val="1"/>
                <w:bCs w:val="1"/>
                <w:color w:val="auto"/>
                <w:w w:val="96"/>
              </w:rPr>
              <w:t>Unrealized</w:t>
            </w:r>
          </w:p>
        </w:tc>
        <w:tc>
          <w:tcPr>
            <w:tcW w:w="24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gridSpan w:val="2"/>
          </w:tcPr>
          <w:p>
            <w:pPr>
              <w:jc w:val="center"/>
              <w:ind w:right="480"/>
              <w:spacing w:after="0" w:line="198" w:lineRule="exact"/>
              <w:rPr>
                <w:sz w:val="20"/>
                <w:szCs w:val="20"/>
                <w:color w:val="auto"/>
              </w:rPr>
            </w:pPr>
            <w:r>
              <w:rPr>
                <w:rFonts w:ascii="Arial" w:cs="Arial" w:eastAsia="Arial" w:hAnsi="Arial"/>
                <w:sz w:val="18"/>
                <w:szCs w:val="18"/>
                <w:b w:val="1"/>
                <w:bCs w:val="1"/>
                <w:color w:val="auto"/>
                <w:w w:val="96"/>
              </w:rPr>
              <w:t>Fair</w:t>
            </w:r>
          </w:p>
        </w:tc>
        <w:tc>
          <w:tcPr>
            <w:tcW w:w="1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jc w:val="right"/>
              <w:ind w:right="110"/>
              <w:spacing w:after="0" w:line="198" w:lineRule="exact"/>
              <w:rPr>
                <w:sz w:val="20"/>
                <w:szCs w:val="20"/>
                <w:color w:val="auto"/>
              </w:rPr>
            </w:pPr>
            <w:r>
              <w:rPr>
                <w:rFonts w:ascii="Arial" w:cs="Arial" w:eastAsia="Arial" w:hAnsi="Arial"/>
                <w:sz w:val="18"/>
                <w:szCs w:val="18"/>
                <w:b w:val="1"/>
                <w:bCs w:val="1"/>
                <w:color w:val="auto"/>
                <w:w w:val="96"/>
              </w:rPr>
              <w:t>Unrealized</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Borders>
              <w:top w:val="single" w:sz="8" w:color="auto"/>
            </w:tcBorders>
          </w:tcPr>
          <w:p>
            <w:pPr>
              <w:jc w:val="right"/>
              <w:spacing w:after="0" w:line="198" w:lineRule="exact"/>
              <w:rPr>
                <w:sz w:val="20"/>
                <w:szCs w:val="20"/>
                <w:color w:val="auto"/>
              </w:rPr>
            </w:pPr>
            <w:r>
              <w:rPr>
                <w:rFonts w:ascii="Arial" w:cs="Arial" w:eastAsia="Arial" w:hAnsi="Arial"/>
                <w:sz w:val="18"/>
                <w:szCs w:val="18"/>
                <w:b w:val="1"/>
                <w:bCs w:val="1"/>
                <w:color w:val="auto"/>
              </w:rPr>
              <w:t>Fair</w:t>
            </w:r>
          </w:p>
        </w:tc>
        <w:tc>
          <w:tcPr>
            <w:tcW w:w="4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jc w:val="right"/>
              <w:ind w:right="130"/>
              <w:spacing w:after="0" w:line="198" w:lineRule="exact"/>
              <w:rPr>
                <w:sz w:val="20"/>
                <w:szCs w:val="20"/>
                <w:color w:val="auto"/>
              </w:rPr>
            </w:pPr>
            <w:r>
              <w:rPr>
                <w:rFonts w:ascii="Arial" w:cs="Arial" w:eastAsia="Arial" w:hAnsi="Arial"/>
                <w:sz w:val="18"/>
                <w:szCs w:val="18"/>
                <w:b w:val="1"/>
                <w:bCs w:val="1"/>
                <w:color w:val="auto"/>
                <w:w w:val="94"/>
              </w:rPr>
              <w:t>Unrealized</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Value</w:t>
            </w:r>
          </w:p>
        </w:tc>
        <w:tc>
          <w:tcPr>
            <w:tcW w:w="4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gridSpan w:val="2"/>
          </w:tcPr>
          <w:p>
            <w:pPr>
              <w:jc w:val="right"/>
              <w:ind w:right="620"/>
              <w:spacing w:after="0"/>
              <w:rPr>
                <w:sz w:val="20"/>
                <w:szCs w:val="20"/>
                <w:color w:val="auto"/>
              </w:rPr>
            </w:pPr>
            <w:r>
              <w:rPr>
                <w:rFonts w:ascii="Arial" w:cs="Arial" w:eastAsia="Arial" w:hAnsi="Arial"/>
                <w:sz w:val="18"/>
                <w:szCs w:val="18"/>
                <w:b w:val="1"/>
                <w:bCs w:val="1"/>
                <w:color w:val="auto"/>
              </w:rPr>
              <w:t>Losses</w:t>
            </w:r>
          </w:p>
        </w:tc>
        <w:tc>
          <w:tcPr>
            <w:tcW w:w="260" w:type="dxa"/>
            <w:vAlign w:val="bottom"/>
          </w:tcPr>
          <w:p>
            <w:pPr>
              <w:spacing w:after="0"/>
              <w:rPr>
                <w:sz w:val="20"/>
                <w:szCs w:val="20"/>
                <w:color w:val="auto"/>
              </w:rPr>
            </w:pPr>
          </w:p>
        </w:tc>
        <w:tc>
          <w:tcPr>
            <w:tcW w:w="124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91"/>
              </w:rPr>
              <w:t>Value</w:t>
            </w:r>
          </w:p>
        </w:tc>
        <w:tc>
          <w:tcPr>
            <w:tcW w:w="140" w:type="dxa"/>
            <w:vAlign w:val="bottom"/>
          </w:tcPr>
          <w:p>
            <w:pPr>
              <w:spacing w:after="0"/>
              <w:rPr>
                <w:sz w:val="20"/>
                <w:szCs w:val="20"/>
                <w:color w:val="auto"/>
              </w:rPr>
            </w:pPr>
          </w:p>
        </w:tc>
        <w:tc>
          <w:tcPr>
            <w:tcW w:w="124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Losses</w:t>
            </w:r>
          </w:p>
        </w:tc>
        <w:tc>
          <w:tcPr>
            <w:tcW w:w="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Value</w:t>
            </w: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Losses</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620" w:type="dxa"/>
            <w:vAlign w:val="bottom"/>
            <w:gridSpan w:val="5"/>
          </w:tcPr>
          <w:p>
            <w:pPr>
              <w:jc w:val="center"/>
              <w:ind w:right="780"/>
              <w:spacing w:after="0" w:line="202" w:lineRule="exact"/>
              <w:rPr>
                <w:sz w:val="20"/>
                <w:szCs w:val="20"/>
                <w:color w:val="auto"/>
              </w:rPr>
            </w:pPr>
            <w:r>
              <w:rPr>
                <w:rFonts w:ascii="Arial" w:cs="Arial" w:eastAsia="Arial" w:hAnsi="Arial"/>
                <w:sz w:val="18"/>
                <w:szCs w:val="18"/>
                <w:b w:val="1"/>
                <w:bCs w:val="1"/>
                <w:color w:val="auto"/>
                <w:w w:val="91"/>
              </w:rPr>
              <w:t>October 31, 2013</w:t>
            </w:r>
          </w:p>
        </w:tc>
        <w:tc>
          <w:tcPr>
            <w:tcW w:w="860" w:type="dxa"/>
            <w:vAlign w:val="bottom"/>
            <w:tcBorders>
              <w:top w:val="single" w:sz="8" w:color="auto"/>
            </w:tcBorders>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108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262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Fixed Income Securities</w:t>
            </w:r>
          </w:p>
        </w:tc>
        <w:tc>
          <w:tcPr>
            <w:tcW w:w="860" w:type="dxa"/>
            <w:vAlign w:val="bottom"/>
            <w:shd w:val="clear" w:color="auto" w:fill="CCEEFF"/>
          </w:tcPr>
          <w:p>
            <w:pPr>
              <w:jc w:val="right"/>
              <w:ind w:right="670"/>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446</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(36)</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650"/>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446</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20" w:type="dxa"/>
            <w:vAlign w:val="bottom"/>
            <w:gridSpan w:val="5"/>
          </w:tcPr>
          <w:p>
            <w:pPr>
              <w:spacing w:after="0"/>
              <w:rPr>
                <w:sz w:val="20"/>
                <w:szCs w:val="20"/>
                <w:color w:val="auto"/>
              </w:rPr>
            </w:pPr>
            <w:r>
              <w:rPr>
                <w:rFonts w:ascii="Arial" w:cs="Arial" w:eastAsia="Arial" w:hAnsi="Arial"/>
                <w:sz w:val="18"/>
                <w:szCs w:val="18"/>
                <w:color w:val="auto"/>
              </w:rPr>
              <w:t>Equity Securities</w:t>
            </w:r>
          </w:p>
        </w:tc>
        <w:tc>
          <w:tcPr>
            <w:tcW w:w="8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1,464</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(86)</w:t>
            </w:r>
          </w:p>
        </w:tc>
        <w:tc>
          <w:tcPr>
            <w:tcW w:w="26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357</w:t>
            </w:r>
          </w:p>
        </w:tc>
        <w:tc>
          <w:tcPr>
            <w:tcW w:w="140" w:type="dxa"/>
            <w:vAlign w:val="bottom"/>
          </w:tcPr>
          <w:p>
            <w:pPr>
              <w:spacing w:after="0"/>
              <w:rPr>
                <w:sz w:val="18"/>
                <w:szCs w:val="18"/>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(223)</w:t>
            </w: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1,821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(309)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860" w:type="dxa"/>
            <w:vAlign w:val="bottom"/>
            <w:shd w:val="clear" w:color="auto" w:fill="CCEEFF"/>
          </w:tcPr>
          <w:p>
            <w:pPr>
              <w:jc w:val="right"/>
              <w:ind w:right="670"/>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1,910</w:t>
            </w:r>
          </w:p>
        </w:tc>
        <w:tc>
          <w:tcPr>
            <w:tcW w:w="24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(122)</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357</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(223)</w:t>
            </w:r>
          </w:p>
        </w:tc>
        <w:tc>
          <w:tcPr>
            <w:tcW w:w="900" w:type="dxa"/>
            <w:vAlign w:val="bottom"/>
            <w:gridSpan w:val="2"/>
            <w:shd w:val="clear" w:color="auto" w:fill="CCEEFF"/>
          </w:tcPr>
          <w:p>
            <w:pPr>
              <w:jc w:val="right"/>
              <w:ind w:right="650"/>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2,267</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(345)</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60" w:type="dxa"/>
            <w:vAlign w:val="bottom"/>
            <w:tcBorders>
              <w:top w:val="single" w:sz="8" w:color="CCEEFF"/>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2240" w:type="dxa"/>
            <w:vAlign w:val="bottom"/>
            <w:tcBorders>
              <w:top w:val="single" w:sz="8" w:color="CCEEFF"/>
            </w:tcBorders>
            <w:gridSpan w:val="3"/>
          </w:tcPr>
          <w:p>
            <w:pPr>
              <w:jc w:val="center"/>
              <w:ind w:right="1160"/>
              <w:spacing w:after="0" w:line="170" w:lineRule="exact"/>
              <w:rPr>
                <w:sz w:val="20"/>
                <w:szCs w:val="20"/>
                <w:color w:val="auto"/>
              </w:rPr>
            </w:pPr>
            <w:r>
              <w:rPr>
                <w:rFonts w:ascii="Arial" w:cs="Arial" w:eastAsia="Arial" w:hAnsi="Arial"/>
                <w:sz w:val="18"/>
                <w:szCs w:val="18"/>
                <w:b w:val="1"/>
                <w:bCs w:val="1"/>
                <w:color w:val="auto"/>
                <w:w w:val="93"/>
              </w:rPr>
              <w:t>April 30, 2013</w:t>
            </w:r>
          </w:p>
        </w:tc>
        <w:tc>
          <w:tcPr>
            <w:tcW w:w="860" w:type="dxa"/>
            <w:vAlign w:val="bottom"/>
            <w:tcBorders>
              <w:top w:val="single" w:sz="8" w:color="auto"/>
            </w:tcBorders>
          </w:tcPr>
          <w:p>
            <w:pPr>
              <w:spacing w:after="0"/>
              <w:rPr>
                <w:sz w:val="14"/>
                <w:szCs w:val="14"/>
                <w:color w:val="auto"/>
              </w:rPr>
            </w:pPr>
          </w:p>
        </w:tc>
        <w:tc>
          <w:tcPr>
            <w:tcW w:w="420" w:type="dxa"/>
            <w:vAlign w:val="bottom"/>
            <w:tcBorders>
              <w:top w:val="single" w:sz="8" w:color="auto"/>
            </w:tcBorders>
          </w:tcPr>
          <w:p>
            <w:pPr>
              <w:spacing w:after="0"/>
              <w:rPr>
                <w:sz w:val="14"/>
                <w:szCs w:val="14"/>
                <w:color w:val="auto"/>
              </w:rPr>
            </w:pPr>
          </w:p>
        </w:tc>
        <w:tc>
          <w:tcPr>
            <w:tcW w:w="240" w:type="dxa"/>
            <w:vAlign w:val="bottom"/>
            <w:tcBorders>
              <w:top w:val="single" w:sz="8" w:color="CCEEFF"/>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tcPr>
          <w:p>
            <w:pPr>
              <w:spacing w:after="0"/>
              <w:rPr>
                <w:sz w:val="14"/>
                <w:szCs w:val="14"/>
                <w:color w:val="auto"/>
              </w:rPr>
            </w:pPr>
          </w:p>
        </w:tc>
        <w:tc>
          <w:tcPr>
            <w:tcW w:w="240" w:type="dxa"/>
            <w:vAlign w:val="bottom"/>
            <w:tcBorders>
              <w:top w:val="single" w:sz="8" w:color="CCEEFF"/>
            </w:tcBorders>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220" w:type="dxa"/>
            <w:vAlign w:val="bottom"/>
            <w:tcBorders>
              <w:top w:val="single" w:sz="8" w:color="CCEEFF"/>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spacing w:after="0"/>
              <w:rPr>
                <w:sz w:val="14"/>
                <w:szCs w:val="14"/>
                <w:color w:val="auto"/>
              </w:rPr>
            </w:pPr>
          </w:p>
        </w:tc>
        <w:tc>
          <w:tcPr>
            <w:tcW w:w="14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42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2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80" w:type="dxa"/>
            <w:vAlign w:val="bottom"/>
            <w:tcBorders>
              <w:top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860" w:type="dxa"/>
            <w:vAlign w:val="bottom"/>
          </w:tcPr>
          <w:p>
            <w:pPr>
              <w:spacing w:after="0"/>
              <w:rPr>
                <w:sz w:val="4"/>
                <w:szCs w:val="4"/>
                <w:color w:val="auto"/>
              </w:rPr>
            </w:pPr>
          </w:p>
        </w:tc>
        <w:tc>
          <w:tcPr>
            <w:tcW w:w="4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24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820" w:type="dxa"/>
            <w:vAlign w:val="bottom"/>
          </w:tcPr>
          <w:p>
            <w:pPr>
              <w:spacing w:after="0"/>
              <w:rPr>
                <w:sz w:val="4"/>
                <w:szCs w:val="4"/>
                <w:color w:val="auto"/>
              </w:rPr>
            </w:pPr>
          </w:p>
        </w:tc>
        <w:tc>
          <w:tcPr>
            <w:tcW w:w="4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62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Fixed Income Securities</w:t>
            </w:r>
          </w:p>
        </w:tc>
        <w:tc>
          <w:tcPr>
            <w:tcW w:w="860" w:type="dxa"/>
            <w:vAlign w:val="bottom"/>
            <w:shd w:val="clear" w:color="auto" w:fill="CCEEFF"/>
          </w:tcPr>
          <w:p>
            <w:pPr>
              <w:jc w:val="right"/>
              <w:ind w:right="670"/>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650"/>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20" w:type="dxa"/>
            <w:vAlign w:val="bottom"/>
            <w:gridSpan w:val="5"/>
          </w:tcPr>
          <w:p>
            <w:pPr>
              <w:spacing w:after="0"/>
              <w:rPr>
                <w:sz w:val="20"/>
                <w:szCs w:val="20"/>
                <w:color w:val="auto"/>
              </w:rPr>
            </w:pPr>
            <w:r>
              <w:rPr>
                <w:rFonts w:ascii="Arial" w:cs="Arial" w:eastAsia="Arial" w:hAnsi="Arial"/>
                <w:sz w:val="18"/>
                <w:szCs w:val="18"/>
                <w:color w:val="auto"/>
              </w:rPr>
              <w:t>Equity Securities</w:t>
            </w:r>
          </w:p>
        </w:tc>
        <w:tc>
          <w:tcPr>
            <w:tcW w:w="8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512</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(68)</w:t>
            </w: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512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860" w:type="dxa"/>
            <w:vAlign w:val="bottom"/>
            <w:shd w:val="clear" w:color="auto" w:fill="CCEEFF"/>
          </w:tcPr>
          <w:p>
            <w:pPr>
              <w:jc w:val="right"/>
              <w:ind w:right="670"/>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512</w:t>
            </w: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(68)</w:t>
            </w:r>
          </w:p>
        </w:tc>
        <w:tc>
          <w:tcPr>
            <w:tcW w:w="900" w:type="dxa"/>
            <w:vAlign w:val="bottom"/>
            <w:gridSpan w:val="2"/>
            <w:shd w:val="clear" w:color="auto" w:fill="CCEEFF"/>
          </w:tcPr>
          <w:p>
            <w:pPr>
              <w:jc w:val="right"/>
              <w:ind w:right="650"/>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512</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The Company regularly reviews its investment portfolio to identify and evaluate investments that have indications of possible impairment. The Company does not believe that its investments in marketable securities with unrealized losses at October 31, 2013 are other-than-temporary due to market volatility of the security’s fair value, analysts’ expectations and the Company’s ability to hold the securities for a period of time sufficient to allow for any anticipated recoveries in market value.</w:t>
      </w:r>
    </w:p>
    <w:p>
      <w:pPr>
        <w:spacing w:after="0" w:line="214" w:lineRule="exact"/>
        <w:rPr>
          <w:sz w:val="20"/>
          <w:szCs w:val="20"/>
          <w:color w:val="auto"/>
        </w:rPr>
      </w:pPr>
    </w:p>
    <w:p>
      <w:pPr>
        <w:jc w:val="both"/>
        <w:ind w:firstLine="486"/>
        <w:spacing w:after="0" w:line="308" w:lineRule="auto"/>
        <w:rPr>
          <w:sz w:val="20"/>
          <w:szCs w:val="20"/>
          <w:color w:val="auto"/>
        </w:rPr>
      </w:pPr>
      <w:r>
        <w:rPr>
          <w:rFonts w:ascii="Arial" w:cs="Arial" w:eastAsia="Arial" w:hAnsi="Arial"/>
          <w:sz w:val="17"/>
          <w:szCs w:val="17"/>
          <w:color w:val="auto"/>
        </w:rPr>
        <w:t>During the six months ended October 31, 2013 and 2012, the Company sold or redeemed available-for-sale securities in the amounts of $1.8 million and $2.0 million, respectively, realizing a gain of approximately $74,000 in the fiscal year 2014 period and no gain in the fiscal year 2013 period.</w:t>
      </w:r>
    </w:p>
    <w:p>
      <w:pPr>
        <w:spacing w:after="0" w:line="17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Maturities of fixed income securities classified as available-for-sale at October 31, 2013 are as follows, at cost (in thousands):</w:t>
      </w:r>
    </w:p>
    <w:p>
      <w:pPr>
        <w:spacing w:after="0" w:line="267" w:lineRule="exact"/>
        <w:rPr>
          <w:sz w:val="20"/>
          <w:szCs w:val="20"/>
          <w:color w:val="auto"/>
        </w:rPr>
      </w:pPr>
    </w:p>
    <w:tbl>
      <w:tblPr>
        <w:tblLayout w:type="fixed"/>
        <w:tblInd w:w="1440" w:type="dxa"/>
        <w:tblCellMar>
          <w:top w:w="0" w:type="dxa"/>
          <w:left w:w="0" w:type="dxa"/>
          <w:bottom w:w="0" w:type="dxa"/>
          <w:right w:w="0" w:type="dxa"/>
        </w:tblCellMar>
      </w:tblPr>
      <w:tr>
        <w:trPr>
          <w:trHeight w:val="216"/>
        </w:trPr>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Current</w:t>
            </w:r>
          </w:p>
        </w:tc>
        <w:tc>
          <w:tcPr>
            <w:tcW w:w="5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4,009</w:t>
            </w:r>
          </w:p>
        </w:tc>
        <w:tc>
          <w:tcPr>
            <w:tcW w:w="120" w:type="dxa"/>
            <w:vAlign w:val="bottom"/>
            <w:shd w:val="clear" w:color="auto" w:fill="CCEEFF"/>
          </w:tcPr>
          <w:p>
            <w:pPr>
              <w:spacing w:after="0"/>
              <w:rPr>
                <w:sz w:val="18"/>
                <w:szCs w:val="18"/>
                <w:color w:val="auto"/>
              </w:rPr>
            </w:pPr>
          </w:p>
        </w:tc>
      </w:tr>
      <w:tr>
        <w:trPr>
          <w:trHeight w:val="216"/>
        </w:trPr>
        <w:tc>
          <w:tcPr>
            <w:tcW w:w="7060" w:type="dxa"/>
            <w:vAlign w:val="bottom"/>
          </w:tcPr>
          <w:p>
            <w:pPr>
              <w:spacing w:after="0"/>
              <w:rPr>
                <w:sz w:val="20"/>
                <w:szCs w:val="20"/>
                <w:color w:val="auto"/>
              </w:rPr>
            </w:pPr>
            <w:r>
              <w:rPr>
                <w:rFonts w:ascii="Arial" w:cs="Arial" w:eastAsia="Arial" w:hAnsi="Arial"/>
                <w:sz w:val="18"/>
                <w:szCs w:val="18"/>
                <w:color w:val="auto"/>
              </w:rPr>
              <w:t>Due after one year through five years</w:t>
            </w:r>
          </w:p>
        </w:tc>
        <w:tc>
          <w:tcPr>
            <w:tcW w:w="5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4,124</w:t>
            </w:r>
          </w:p>
        </w:tc>
        <w:tc>
          <w:tcPr>
            <w:tcW w:w="120" w:type="dxa"/>
            <w:vAlign w:val="bottom"/>
          </w:tcPr>
          <w:p>
            <w:pPr>
              <w:spacing w:after="0"/>
              <w:rPr>
                <w:sz w:val="18"/>
                <w:szCs w:val="18"/>
                <w:color w:val="auto"/>
              </w:rPr>
            </w:pPr>
          </w:p>
        </w:tc>
      </w:tr>
      <w:tr>
        <w:trPr>
          <w:trHeight w:val="223"/>
        </w:trPr>
        <w:tc>
          <w:tcPr>
            <w:tcW w:w="7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Due after five years through ten years</w:t>
            </w:r>
          </w:p>
        </w:tc>
        <w:tc>
          <w:tcPr>
            <w:tcW w:w="5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802</w:t>
            </w:r>
          </w:p>
        </w:tc>
        <w:tc>
          <w:tcPr>
            <w:tcW w:w="120" w:type="dxa"/>
            <w:vAlign w:val="bottom"/>
            <w:tcBorders>
              <w:bottom w:val="single" w:sz="8" w:color="CCEEFF"/>
            </w:tcBorders>
            <w:shd w:val="clear" w:color="auto" w:fill="CCEEFF"/>
          </w:tcPr>
          <w:p>
            <w:pPr>
              <w:spacing w:after="0"/>
              <w:rPr>
                <w:sz w:val="19"/>
                <w:szCs w:val="19"/>
                <w:color w:val="auto"/>
              </w:rPr>
            </w:pPr>
          </w:p>
        </w:tc>
      </w:tr>
      <w:tr>
        <w:trPr>
          <w:trHeight w:val="216"/>
        </w:trPr>
        <w:tc>
          <w:tcPr>
            <w:tcW w:w="7060" w:type="dxa"/>
            <w:vAlign w:val="bottom"/>
          </w:tcPr>
          <w:p>
            <w:pPr>
              <w:spacing w:after="0"/>
              <w:rPr>
                <w:sz w:val="18"/>
                <w:szCs w:val="18"/>
                <w:color w:val="auto"/>
              </w:rPr>
            </w:pPr>
          </w:p>
        </w:tc>
        <w:tc>
          <w:tcPr>
            <w:tcW w:w="5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8,935</w:t>
            </w:r>
          </w:p>
        </w:tc>
        <w:tc>
          <w:tcPr>
            <w:tcW w:w="120" w:type="dxa"/>
            <w:vAlign w:val="bottom"/>
          </w:tcPr>
          <w:p>
            <w:pPr>
              <w:spacing w:after="0"/>
              <w:rPr>
                <w:sz w:val="18"/>
                <w:szCs w:val="18"/>
                <w:color w:val="auto"/>
              </w:rPr>
            </w:pPr>
          </w:p>
        </w:tc>
      </w:tr>
      <w:tr>
        <w:trPr>
          <w:trHeight w:val="21"/>
        </w:trPr>
        <w:tc>
          <w:tcPr>
            <w:tcW w:w="70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7"/>
          <w:szCs w:val="17"/>
          <w:color w:val="auto"/>
        </w:rPr>
        <w:t>The fair value accounting framework provides a fair value hierarchy that prioritizes the inputs to valuation techniques used to measure fair value. The hierarchy gives the highest priority to unadjusted quoted prices in active markets for identical assets or liabilities (level 1 measurements) and the lowest priority to unobservable inputs (level 3 measurements). The three levels of the fair value hierarchy are described below:</w:t>
      </w:r>
    </w:p>
    <w:p>
      <w:pPr>
        <w:spacing w:after="0" w:line="193" w:lineRule="exact"/>
        <w:rPr>
          <w:sz w:val="20"/>
          <w:szCs w:val="20"/>
          <w:color w:val="auto"/>
        </w:rPr>
      </w:pPr>
    </w:p>
    <w:p>
      <w:pPr>
        <w:ind w:left="1380" w:right="20" w:hanging="971"/>
        <w:spacing w:after="0" w:line="277" w:lineRule="auto"/>
        <w:tabs>
          <w:tab w:leader="none" w:pos="1360" w:val="left"/>
        </w:tabs>
        <w:rPr>
          <w:sz w:val="20"/>
          <w:szCs w:val="20"/>
          <w:color w:val="auto"/>
        </w:rPr>
      </w:pPr>
      <w:r>
        <w:rPr>
          <w:rFonts w:ascii="Arial" w:cs="Arial" w:eastAsia="Arial" w:hAnsi="Arial"/>
          <w:sz w:val="18"/>
          <w:szCs w:val="18"/>
          <w:color w:val="auto"/>
        </w:rPr>
        <w:t>Level 1</w:t>
      </w:r>
      <w:r>
        <w:rPr>
          <w:sz w:val="20"/>
          <w:szCs w:val="20"/>
          <w:color w:val="auto"/>
        </w:rPr>
        <w:tab/>
      </w:r>
      <w:r>
        <w:rPr>
          <w:rFonts w:ascii="Arial" w:cs="Arial" w:eastAsia="Arial" w:hAnsi="Arial"/>
          <w:sz w:val="18"/>
          <w:szCs w:val="18"/>
          <w:color w:val="auto"/>
        </w:rPr>
        <w:t>Inputs to the valuation methodology are unadjusted quoted prices for identical assets or liabilities in active markets that the Company has the ability to access.</w:t>
      </w:r>
    </w:p>
    <w:p>
      <w:pPr>
        <w:spacing w:after="0" w:line="197" w:lineRule="exact"/>
        <w:rPr>
          <w:sz w:val="20"/>
          <w:szCs w:val="20"/>
          <w:color w:val="auto"/>
        </w:rPr>
      </w:pPr>
    </w:p>
    <w:p>
      <w:pPr>
        <w:ind w:left="420"/>
        <w:spacing w:after="0"/>
        <w:tabs>
          <w:tab w:leader="none" w:pos="1360" w:val="left"/>
        </w:tabs>
        <w:rPr>
          <w:sz w:val="20"/>
          <w:szCs w:val="20"/>
          <w:color w:val="auto"/>
        </w:rPr>
      </w:pPr>
      <w:r>
        <w:rPr>
          <w:rFonts w:ascii="Arial" w:cs="Arial" w:eastAsia="Arial" w:hAnsi="Arial"/>
          <w:sz w:val="18"/>
          <w:szCs w:val="18"/>
          <w:color w:val="auto"/>
        </w:rPr>
        <w:t>Level 2</w:t>
      </w:r>
      <w:r>
        <w:rPr>
          <w:sz w:val="20"/>
          <w:szCs w:val="20"/>
          <w:color w:val="auto"/>
        </w:rPr>
        <w:tab/>
      </w:r>
      <w:r>
        <w:rPr>
          <w:rFonts w:ascii="Arial" w:cs="Arial" w:eastAsia="Arial" w:hAnsi="Arial"/>
          <w:sz w:val="16"/>
          <w:szCs w:val="16"/>
          <w:color w:val="auto"/>
        </w:rPr>
        <w:t>Inputs to the valuation methodology include:</w:t>
      </w:r>
    </w:p>
    <w:p>
      <w:pPr>
        <w:spacing w:after="0" w:line="23" w:lineRule="exact"/>
        <w:rPr>
          <w:sz w:val="20"/>
          <w:szCs w:val="20"/>
          <w:color w:val="auto"/>
        </w:rPr>
      </w:pPr>
    </w:p>
    <w:p>
      <w:pPr>
        <w:ind w:left="1740" w:hanging="111"/>
        <w:spacing w:after="0"/>
        <w:tabs>
          <w:tab w:leader="none" w:pos="1740" w:val="left"/>
        </w:tabs>
        <w:numPr>
          <w:ilvl w:val="0"/>
          <w:numId w:val="4"/>
        </w:numPr>
        <w:rPr>
          <w:rFonts w:ascii="Arial" w:cs="Arial" w:eastAsia="Arial" w:hAnsi="Arial"/>
          <w:sz w:val="18"/>
          <w:szCs w:val="18"/>
          <w:color w:val="auto"/>
        </w:rPr>
      </w:pPr>
      <w:r>
        <w:rPr>
          <w:rFonts w:ascii="Arial" w:cs="Arial" w:eastAsia="Arial" w:hAnsi="Arial"/>
          <w:sz w:val="18"/>
          <w:szCs w:val="18"/>
          <w:color w:val="auto"/>
        </w:rPr>
        <w:t>Quoted prices for similar assets or liabilities in active markets;</w:t>
      </w:r>
    </w:p>
    <w:p>
      <w:pPr>
        <w:spacing w:after="0" w:line="9" w:lineRule="exact"/>
        <w:rPr>
          <w:rFonts w:ascii="Arial" w:cs="Arial" w:eastAsia="Arial" w:hAnsi="Arial"/>
          <w:sz w:val="18"/>
          <w:szCs w:val="18"/>
          <w:color w:val="auto"/>
        </w:rPr>
      </w:pPr>
    </w:p>
    <w:p>
      <w:pPr>
        <w:ind w:left="1740" w:hanging="111"/>
        <w:spacing w:after="0"/>
        <w:tabs>
          <w:tab w:leader="none" w:pos="1740" w:val="left"/>
        </w:tabs>
        <w:numPr>
          <w:ilvl w:val="0"/>
          <w:numId w:val="4"/>
        </w:numPr>
        <w:rPr>
          <w:rFonts w:ascii="Arial" w:cs="Arial" w:eastAsia="Arial" w:hAnsi="Arial"/>
          <w:sz w:val="18"/>
          <w:szCs w:val="18"/>
          <w:color w:val="auto"/>
        </w:rPr>
      </w:pPr>
      <w:r>
        <w:rPr>
          <w:rFonts w:ascii="Arial" w:cs="Arial" w:eastAsia="Arial" w:hAnsi="Arial"/>
          <w:sz w:val="18"/>
          <w:szCs w:val="18"/>
          <w:color w:val="auto"/>
        </w:rPr>
        <w:t>Quoted prices for identical or similar assets or liabilities in inactive markets</w:t>
      </w:r>
    </w:p>
    <w:p>
      <w:pPr>
        <w:spacing w:after="0" w:line="9" w:lineRule="exact"/>
        <w:rPr>
          <w:rFonts w:ascii="Arial" w:cs="Arial" w:eastAsia="Arial" w:hAnsi="Arial"/>
          <w:sz w:val="18"/>
          <w:szCs w:val="18"/>
          <w:color w:val="auto"/>
        </w:rPr>
      </w:pPr>
    </w:p>
    <w:p>
      <w:pPr>
        <w:ind w:left="1740" w:hanging="111"/>
        <w:spacing w:after="0"/>
        <w:tabs>
          <w:tab w:leader="none" w:pos="174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Inputs other than quoted prices that are observable for the asset or liability;</w:t>
      </w:r>
    </w:p>
    <w:p>
      <w:pPr>
        <w:spacing w:after="0" w:line="9" w:lineRule="exact"/>
        <w:rPr>
          <w:rFonts w:ascii="Arial" w:cs="Arial" w:eastAsia="Arial" w:hAnsi="Arial"/>
          <w:sz w:val="18"/>
          <w:szCs w:val="18"/>
          <w:color w:val="auto"/>
        </w:rPr>
      </w:pPr>
    </w:p>
    <w:p>
      <w:pPr>
        <w:ind w:left="1740" w:hanging="111"/>
        <w:spacing w:after="0"/>
        <w:tabs>
          <w:tab w:leader="none" w:pos="174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Inputs that are derived principally from or corroborated by observable market data by correlation or other means.</w:t>
      </w:r>
    </w:p>
    <w:p>
      <w:pPr>
        <w:spacing w:after="0" w:line="238" w:lineRule="exact"/>
        <w:rPr>
          <w:sz w:val="20"/>
          <w:szCs w:val="20"/>
          <w:color w:val="auto"/>
        </w:rPr>
      </w:pPr>
    </w:p>
    <w:p>
      <w:pPr>
        <w:ind w:left="420"/>
        <w:spacing w:after="0"/>
        <w:tabs>
          <w:tab w:leader="none" w:pos="1360" w:val="left"/>
        </w:tabs>
        <w:rPr>
          <w:sz w:val="20"/>
          <w:szCs w:val="20"/>
          <w:color w:val="auto"/>
        </w:rPr>
      </w:pPr>
      <w:r>
        <w:rPr>
          <w:rFonts w:ascii="Arial" w:cs="Arial" w:eastAsia="Arial" w:hAnsi="Arial"/>
          <w:sz w:val="18"/>
          <w:szCs w:val="18"/>
          <w:color w:val="auto"/>
        </w:rPr>
        <w:t>Level 3</w:t>
      </w:r>
      <w:r>
        <w:rPr>
          <w:sz w:val="20"/>
          <w:szCs w:val="20"/>
          <w:color w:val="auto"/>
        </w:rPr>
        <w:tab/>
      </w:r>
      <w:r>
        <w:rPr>
          <w:rFonts w:ascii="Arial" w:cs="Arial" w:eastAsia="Arial" w:hAnsi="Arial"/>
          <w:sz w:val="16"/>
          <w:szCs w:val="16"/>
          <w:color w:val="auto"/>
        </w:rPr>
        <w:t>Inputs to the valuation methodology are unobservable and significant to the fair value measurement.</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 of 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FREQUENCY ELECTRONICS, INC. and SUBSIDIARIES</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Condensed Consolidated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38"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The asset’s or liability’s fair value measurement level within the fair value hierarchy is based on the lowest level of any input that is significant to the fair value measurement. Valuation techniques used need to maximize the use of observable inputs and minimize the use of unobservable inputs. All of the Company’s investments in marketable securities are valued on a Level 1 basis.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I - RECENTLY ISSUED ACCOUNTING PRONOUNCEMENTS</w:t>
      </w:r>
    </w:p>
    <w:p>
      <w:pPr>
        <w:spacing w:after="0" w:line="256" w:lineRule="exact"/>
        <w:rPr>
          <w:sz w:val="20"/>
          <w:szCs w:val="20"/>
          <w:color w:val="auto"/>
        </w:rPr>
      </w:pPr>
    </w:p>
    <w:p>
      <w:pPr>
        <w:jc w:val="both"/>
        <w:ind w:firstLine="486"/>
        <w:spacing w:after="0" w:line="253" w:lineRule="auto"/>
        <w:rPr>
          <w:sz w:val="20"/>
          <w:szCs w:val="20"/>
          <w:color w:val="auto"/>
        </w:rPr>
      </w:pPr>
      <w:r>
        <w:rPr>
          <w:rFonts w:ascii="Arial" w:cs="Arial" w:eastAsia="Arial" w:hAnsi="Arial"/>
          <w:sz w:val="18"/>
          <w:szCs w:val="18"/>
          <w:color w:val="auto"/>
        </w:rPr>
        <w:t xml:space="preserve">In July 2012, the FASB issued ASU No. 2012-02, </w:t>
      </w:r>
      <w:r>
        <w:rPr>
          <w:rFonts w:ascii="Arial" w:cs="Arial" w:eastAsia="Arial" w:hAnsi="Arial"/>
          <w:sz w:val="18"/>
          <w:szCs w:val="18"/>
          <w:i w:val="1"/>
          <w:iCs w:val="1"/>
          <w:color w:val="auto"/>
        </w:rPr>
        <w:t>Intangibles – Goodwill and Other (Topic 350): Test Indefinite-Lived Intangible Assets for</w:t>
      </w:r>
      <w:r>
        <w:rPr>
          <w:rFonts w:ascii="Arial" w:cs="Arial" w:eastAsia="Arial" w:hAnsi="Arial"/>
          <w:sz w:val="18"/>
          <w:szCs w:val="18"/>
          <w:color w:val="auto"/>
        </w:rPr>
        <w:t xml:space="preserve"> </w:t>
      </w:r>
      <w:r>
        <w:rPr>
          <w:rFonts w:ascii="Arial" w:cs="Arial" w:eastAsia="Arial" w:hAnsi="Arial"/>
          <w:sz w:val="18"/>
          <w:szCs w:val="18"/>
          <w:i w:val="1"/>
          <w:iCs w:val="1"/>
          <w:color w:val="auto"/>
        </w:rPr>
        <w:t>Impairment</w:t>
      </w:r>
      <w:r>
        <w:rPr>
          <w:rFonts w:ascii="Arial" w:cs="Arial" w:eastAsia="Arial" w:hAnsi="Arial"/>
          <w:sz w:val="18"/>
          <w:szCs w:val="18"/>
          <w:color w:val="auto"/>
        </w:rPr>
        <w:t>. Under the requirements of ASU 2012-02 an entity has the option to assess qualitative factors when testing indefinite-lived intangible assets</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annually to determine whether it is more likely than not that the asset is not impaired. An entity also has the option to bypass the qualitative assessment for any indefinite-lived intangible asset in any period and proceed directly to performing the quantitative impairment test or resume performing the qualitative assessment in any subsequent period. If, after assessing the totality of events and circumstances, an entity concludes that it is more likely than not that the indefinite-lived intangible asset is impaired, then it is required to determine the fair value of the indefinite-lived intangible asset and perform the quantitative impairment test by comparing the fair value with the carrying amount in accordance with </w:t>
      </w:r>
      <w:r>
        <w:rPr>
          <w:rFonts w:ascii="Arial" w:cs="Arial" w:eastAsia="Arial" w:hAnsi="Arial"/>
          <w:sz w:val="18"/>
          <w:szCs w:val="18"/>
          <w:i w:val="1"/>
          <w:iCs w:val="1"/>
          <w:color w:val="auto"/>
        </w:rPr>
        <w:t>Subtopic 350-30</w:t>
      </w:r>
      <w:r>
        <w:rPr>
          <w:rFonts w:ascii="Arial" w:cs="Arial" w:eastAsia="Arial" w:hAnsi="Arial"/>
          <w:sz w:val="18"/>
          <w:szCs w:val="18"/>
          <w:color w:val="auto"/>
        </w:rPr>
        <w:t>. ASU 2012-02 is effective for annual and interim impairment tests performed for fiscal years beginning after September 15, 2012. The Company will adopt ASU 2012-02 for its fiscal year 2014 which began on May 1, 2013. The Company is unable to determine the impact of such adoption until it performs the annual test for impairment in the fourth quarter of the current fiscal year.</w:t>
      </w:r>
    </w:p>
    <w:p>
      <w:pPr>
        <w:spacing w:after="0" w:line="222"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auto"/>
        </w:rPr>
        <w:t>In February 2013, the FASB issued Accounting Standard Update No. 2013-02</w:t>
      </w:r>
      <w:r>
        <w:rPr>
          <w:rFonts w:ascii="Arial" w:cs="Arial" w:eastAsia="Arial" w:hAnsi="Arial"/>
          <w:sz w:val="18"/>
          <w:szCs w:val="18"/>
          <w:i w:val="1"/>
          <w:iCs w:val="1"/>
          <w:color w:val="auto"/>
        </w:rPr>
        <w:t>, Other Comprehensive Income</w:t>
      </w:r>
      <w:r>
        <w:rPr>
          <w:rFonts w:ascii="Arial" w:cs="Arial" w:eastAsia="Arial" w:hAnsi="Arial"/>
          <w:sz w:val="18"/>
          <w:szCs w:val="18"/>
          <w:color w:val="auto"/>
        </w:rPr>
        <w:t>. The amendment requires an entity to provide information about the amounts reclassified out of accumulated other comprehensive income by component. In addition, an entity is required to present, either on the face of the statement where net income is presented or in the notes, significant amounts reclassified out of accumulated other comprehensive income by the respective line items of net income but only if the amount reclassified is required under U.S. GAAP to be reclassified to net income in its entirety in the same reporting period. For other amounts that are not required under U.S. GAAP to be reclassified in their entirety to net income, an entity is required to cross-reference to other disclosures required under U.S. GAAP that provide additional detail about those amounts. This ASU is effective for periods beginning after December 15, 2012. The Company has adopted ASU 2013-02 but does not expect it to have a material effect on its financial statements.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J – CREDIT FACILITY</w:t>
      </w:r>
    </w:p>
    <w:p>
      <w:pPr>
        <w:spacing w:after="0" w:line="256"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auto"/>
        </w:rPr>
        <w:t>On June 6, 2013, the Company obtained a credit facility (the “Facility”) from JPMorgan Chase Bank, N.A. (“JPMorgan”) pursuant to a credit agreement (the “Credit Agreement”) between the Company and JPMorgan. The maximum aggregate amount of the Facility is $25.0 million, of which the Company immediately borrowed $7.2 million, using the proceeds to repay the outstanding balance under the $9.3 million line of credit with another financial institution which formerly managed a substantial portion of the Company’s investment portfolio. As a result of this refinancing of short-term credit with a long-term obligation, as of April 30, 2013, the Company reclassified the $6.0 million balance payable under the replaced line of credit to long-term debt. Proceeds from the Facility will be used for working capital and to finance acquisitions. During the six-month period ended October 31, 2013, the Company borrowed an additional $2.9 million under the Facility. The additional borrowings were used for working capital and to finance the acquisition of certain fixed assets.</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 of 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FREQUENCY ELECTRONICS, INC. and SUBSIDIARIES</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Condensed Consolidated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38" w:lineRule="exact"/>
        <w:rPr>
          <w:sz w:val="20"/>
          <w:szCs w:val="20"/>
          <w:color w:val="auto"/>
        </w:rPr>
      </w:pPr>
    </w:p>
    <w:p>
      <w:pPr>
        <w:jc w:val="both"/>
        <w:ind w:firstLine="486"/>
        <w:spacing w:after="0" w:line="297" w:lineRule="auto"/>
        <w:rPr>
          <w:sz w:val="20"/>
          <w:szCs w:val="20"/>
          <w:color w:val="auto"/>
        </w:rPr>
      </w:pPr>
      <w:r>
        <w:rPr>
          <w:rFonts w:ascii="Arial" w:cs="Arial" w:eastAsia="Arial" w:hAnsi="Arial"/>
          <w:sz w:val="16"/>
          <w:szCs w:val="16"/>
          <w:color w:val="auto"/>
        </w:rPr>
        <w:t>The Company may make borrowings under the Facility from either Tranche A or Tranche B or a combination of both, not to exceed $25.0 million. Pursuant to the Credit Agreement, the amount of Tranche A borrowings may not exceed the value of the Pledged Investments (as defined in the Credit Agreement). The amount of Tranche B borrowings may not exceed the lesser of (i) $15.0 million and (ii) the Borrowing Base (as defined in the Credit Agreement). Current outstanding borrowings under the Facility are all under Tranche A. The Facility is fully guaranteed by certain of the Company’s subsidiaries and is secured by, among other things, a pledge of substantially all personal property of the Company and certain of the Company’s subsidiaries.</w:t>
      </w:r>
    </w:p>
    <w:p>
      <w:pPr>
        <w:spacing w:after="0" w:line="185" w:lineRule="exact"/>
        <w:rPr>
          <w:sz w:val="20"/>
          <w:szCs w:val="20"/>
          <w:color w:val="auto"/>
        </w:rPr>
      </w:pPr>
    </w:p>
    <w:p>
      <w:pPr>
        <w:jc w:val="both"/>
        <w:ind w:firstLine="486"/>
        <w:spacing w:after="0" w:line="302" w:lineRule="auto"/>
        <w:rPr>
          <w:sz w:val="20"/>
          <w:szCs w:val="20"/>
          <w:color w:val="auto"/>
        </w:rPr>
      </w:pPr>
      <w:r>
        <w:rPr>
          <w:rFonts w:ascii="Arial" w:cs="Arial" w:eastAsia="Arial" w:hAnsi="Arial"/>
          <w:sz w:val="16"/>
          <w:szCs w:val="16"/>
          <w:color w:val="auto"/>
        </w:rPr>
        <w:t>Borrowings under the Facility are evidenced by a line of credit note (the “Note”) and bear interest, payable monthly, at a rate equal to the LIBOR Rate, as determined from time to time by JPMorgan pursuant to the terms of the Note, plus a margin of 0.75% for Tranche A borrowings and 1.75% for Tranche B borrowings. The principal balance on the Note, along with any accrued and unpaid interest, is due and payable no later than June 5, 2018, which is the maturity date of the Facility. In addition, the Company is required to pay JPMorgan fees equal to 0.1% per annum on any unused portion of the Facility.</w:t>
      </w:r>
    </w:p>
    <w:p>
      <w:pPr>
        <w:spacing w:after="0" w:line="181" w:lineRule="exact"/>
        <w:rPr>
          <w:sz w:val="20"/>
          <w:szCs w:val="20"/>
          <w:color w:val="auto"/>
        </w:rPr>
      </w:pPr>
    </w:p>
    <w:p>
      <w:pPr>
        <w:jc w:val="both"/>
        <w:ind w:firstLine="486"/>
        <w:spacing w:after="0" w:line="290" w:lineRule="auto"/>
        <w:rPr>
          <w:sz w:val="20"/>
          <w:szCs w:val="20"/>
          <w:color w:val="auto"/>
        </w:rPr>
      </w:pPr>
      <w:r>
        <w:rPr>
          <w:rFonts w:ascii="Arial" w:cs="Arial" w:eastAsia="Arial" w:hAnsi="Arial"/>
          <w:sz w:val="16"/>
          <w:szCs w:val="16"/>
          <w:color w:val="auto"/>
        </w:rPr>
        <w:t>The Credit Agreement contains a number of affirmative and negative covenants, including limitations on the incurrence of additional debt, liens on property, acquisitions, loans and guarantees, mergers, consolidations, liquidations and dissolutions, asset sales, and distributions and other payments in respect of the Company’s capital stock. The Credit Agreement also contains certain events of default customary for credit facilities of this type, including nonpayment of principal or interest when due, material incorrectness of representations and warranties when made, breach of covenants, bankruptcy and insolvency, unstayed material judgment beyond specified periods, and acceleration or payment default of other material indebtedness. The Credit Agreement requires the Company to maintain, as of the end of each fiscal quarter, a funded debt to EBITDA (Earnings Before Interest, Taxes, Depreciation and Amortization) ratio and, if there are any borrowings under Tranche B, an interest charge coverage ratio. The calculation of both ratios is defined in the Credit Agreement. For the period ended October 31, 2013, the Company met the required covenants for its borrowings under Tranche A.</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K – INCOME TAXES</w:t>
      </w:r>
    </w:p>
    <w:p>
      <w:pPr>
        <w:spacing w:after="0" w:line="256" w:lineRule="exact"/>
        <w:rPr>
          <w:sz w:val="20"/>
          <w:szCs w:val="20"/>
          <w:color w:val="auto"/>
        </w:rPr>
      </w:pPr>
    </w:p>
    <w:p>
      <w:pPr>
        <w:jc w:val="both"/>
        <w:ind w:firstLine="486"/>
        <w:spacing w:after="0" w:line="302" w:lineRule="auto"/>
        <w:rPr>
          <w:sz w:val="20"/>
          <w:szCs w:val="20"/>
          <w:color w:val="auto"/>
        </w:rPr>
      </w:pPr>
      <w:r>
        <w:rPr>
          <w:rFonts w:ascii="Arial" w:cs="Arial" w:eastAsia="Arial" w:hAnsi="Arial"/>
          <w:sz w:val="16"/>
          <w:szCs w:val="16"/>
          <w:color w:val="auto"/>
        </w:rPr>
        <w:t>In prior fiscal years, the Company reduced the valuation allowance on the deferred tax assets of its U.S. subsidiaries. Consequently, for the six and three months ended October 31, 2013 and 2012, the Company recorded provisions for income taxes based on both current taxes due in the United States as well as the tax provision or benefit to be realized from temporary tax differences. As of October 31, 2013 and April 30, 2013, the remaining deferred tax asset valuation allowance is approximately $1.9 million and is primarily related to deferred tax assets of the Company’s non-U.S.-based 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 of 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u w:val="single" w:color="auto"/>
          <w:color w:val="auto"/>
        </w:rPr>
        <w:t>Management’s Discussion and Analysis of Financial Condition and Results of Operations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“Safe Harbor” Statement under the Private Securities Litigation Reform Act of 1995</w:t>
      </w:r>
      <w:r>
        <w:rPr>
          <w:rFonts w:ascii="Arial" w:cs="Arial" w:eastAsia="Arial" w:hAnsi="Arial"/>
          <w:sz w:val="18"/>
          <w:szCs w:val="18"/>
          <w:color w:val="auto"/>
        </w:rPr>
        <w:t>:</w:t>
      </w:r>
    </w:p>
    <w:p>
      <w:pPr>
        <w:spacing w:after="0" w:line="252" w:lineRule="exact"/>
        <w:rPr>
          <w:sz w:val="20"/>
          <w:szCs w:val="20"/>
          <w:color w:val="auto"/>
        </w:rPr>
      </w:pPr>
    </w:p>
    <w:p>
      <w:pPr>
        <w:jc w:val="both"/>
        <w:ind w:firstLine="486"/>
        <w:spacing w:after="0" w:line="268" w:lineRule="auto"/>
        <w:rPr>
          <w:sz w:val="20"/>
          <w:szCs w:val="20"/>
          <w:color w:val="auto"/>
        </w:rPr>
      </w:pPr>
      <w:r>
        <w:rPr>
          <w:rFonts w:ascii="Arial" w:cs="Arial" w:eastAsia="Arial" w:hAnsi="Arial"/>
          <w:sz w:val="17"/>
          <w:szCs w:val="17"/>
          <w:color w:val="auto"/>
        </w:rPr>
        <w:t>The statements in this quarterly report on Form 10-Q regarding future earnings and operations and other statements relating to the future constitute "forward-looking" statements pursuant to the safe harbor provisions of the Private Securities Litigation Reform Act of 1995. The words "believe," "may," "will," "could," "should," "would," "anticipate," "estimate," "expect," "project," "intend," "objective," "seek," "strive," "might," "likely result," "build," "grow," "plan," "goal," "expand," "position," or similar words, or the negatives of these words, or similar terminology, identify forward-looking statements. These statements are based on assumptions that the Company believes are reasonable, but are subject to a wide range of risks and uncertainties, and a number of factors could cause the Company's actual results to differ materially from those expressed in the forward-looking statements referred to above. Factors that would cause or contribute to such differences include, but are not limited to, continued acceptance of the Company's products in the marketplace, competitive factors, new products and technological changes, product prices and raw material costs, dependence upon third-party vendors, competitive developments, changes in manufacturing and transportation costs, changes in contractual terms, the availability of capital, and other risks detailed in the Company's periodic report filings with the Securities and Exchange Commission. Readers are cautioned not to place undue reliance on these forward-looking statements, which relate only to events as of the date on which the statements are made and which reflect management's analysis, judgments, belief, or expectation only as of such date. By making these forward-looking statements, the Company undertakes no obligation to update these statements for revisions or changes after the date of this report.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56"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The Company’s significant accounting policies are described in Note 1 to the consolidated financial statements included in the Company’s Annual Report on Form 10-K for the year ended April 30, 2013. The Company believes its most critical accounting policies to be the recognition of revenue and costs on production contracts and the valuation of inventory. Each of these areas requires the Company to make use of reasoned estimates including estimating the cost to complete a contract, the realizable value of its inventory or the market value of its products. Changes in estimates can have a material impact on the Company’s financial position and results of operations.</w:t>
      </w:r>
    </w:p>
    <w:p>
      <w:pPr>
        <w:spacing w:after="0" w:line="215" w:lineRule="exact"/>
        <w:rPr>
          <w:sz w:val="20"/>
          <w:szCs w:val="20"/>
          <w:color w:val="auto"/>
        </w:rPr>
      </w:pPr>
    </w:p>
    <w:p>
      <w:pPr>
        <w:ind w:left="500"/>
        <w:spacing w:after="0"/>
        <w:rPr>
          <w:sz w:val="20"/>
          <w:szCs w:val="20"/>
          <w:color w:val="auto"/>
        </w:rPr>
      </w:pPr>
      <w:r>
        <w:rPr>
          <w:rFonts w:ascii="Arial" w:cs="Arial" w:eastAsia="Arial" w:hAnsi="Arial"/>
          <w:sz w:val="18"/>
          <w:szCs w:val="18"/>
          <w:u w:val="single" w:color="auto"/>
          <w:color w:val="auto"/>
        </w:rPr>
        <w:t>Revenue Recognition</w:t>
      </w:r>
    </w:p>
    <w:p>
      <w:pPr>
        <w:spacing w:after="0" w:line="252" w:lineRule="exact"/>
        <w:rPr>
          <w:sz w:val="20"/>
          <w:szCs w:val="20"/>
          <w:color w:val="auto"/>
        </w:rPr>
      </w:pPr>
    </w:p>
    <w:p>
      <w:pPr>
        <w:jc w:val="both"/>
        <w:ind w:firstLine="486"/>
        <w:spacing w:after="0" w:line="271" w:lineRule="auto"/>
        <w:rPr>
          <w:sz w:val="20"/>
          <w:szCs w:val="20"/>
          <w:color w:val="auto"/>
        </w:rPr>
      </w:pPr>
      <w:r>
        <w:rPr>
          <w:rFonts w:ascii="Arial" w:cs="Arial" w:eastAsia="Arial" w:hAnsi="Arial"/>
          <w:sz w:val="17"/>
          <w:szCs w:val="17"/>
          <w:color w:val="auto"/>
        </w:rPr>
        <w:t>Revenues under larger, long-term contracts which generally require billings based on achievement of milestones rather than delivery of product, are reported in operating results using the percentage of completion method. On fixed-price contracts, which are typical for commercial and U.S. Government satellite programs and other long-term U.S. Government projects, and which require initial design and development of the product, revenue is recognized on the cost-to-cost method. Under this method, revenue is recorded based upon the ratio that incurred costs bear to total estimated contract costs with related cost of sales recorded as the costs are incurred. Each month management reviews estimated contract costs through a process of aggregating actual costs incurred and estimating additional costs to completion based upon the current available information and status of the contract. The effect of any change in the estimated gross margin percentage for a contract is reflected in revenues in the period in which the change is known. Provisions for anticipated losses on contracts are made in the period in which they become determinable.</w:t>
      </w:r>
    </w:p>
    <w:p>
      <w:pPr>
        <w:spacing w:after="0" w:line="206"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On production-type orders, revenue is recorded as units are delivered with the related cost of sales recognized on each shipment based upon a percentage of estimated final program costs.</w:t>
      </w:r>
    </w:p>
    <w:p>
      <w:pPr>
        <w:spacing w:after="0" w:line="197"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Changes in job performance on long-term contracts and production-type orders may result in revisions to costs and income and are recognized in the period in which revisions are determined to be required. Provisions for anticipated losses on customer orders are made in the period in which they become determinable.</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 of 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color w:val="auto"/>
        </w:rPr>
        <w:t>FREQUENCY ELECTRONICS,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(Continued)</w:t>
      </w:r>
    </w:p>
    <w:p>
      <w:pPr>
        <w:spacing w:after="0" w:line="238"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For customer orders in the Company’s Gillam-FEI and FEI-Zyfer segments or smaller contracts or orders in the FEI-NY segment, sales of products and services to customers are reported in operating results based upon (i) shipment of the product or (ii) performance of the services pursuant to terms of the customer order. When payment is contingent upon customer acceptance of the installed system, revenue is deferred until such acceptance is received and installation completed.</w:t>
      </w:r>
    </w:p>
    <w:p>
      <w:pPr>
        <w:spacing w:after="0" w:line="214" w:lineRule="exact"/>
        <w:rPr>
          <w:sz w:val="20"/>
          <w:szCs w:val="20"/>
          <w:color w:val="auto"/>
        </w:rPr>
      </w:pPr>
    </w:p>
    <w:p>
      <w:pPr>
        <w:ind w:left="500"/>
        <w:spacing w:after="0"/>
        <w:rPr>
          <w:sz w:val="20"/>
          <w:szCs w:val="20"/>
          <w:color w:val="auto"/>
        </w:rPr>
      </w:pPr>
      <w:r>
        <w:rPr>
          <w:rFonts w:ascii="Arial" w:cs="Arial" w:eastAsia="Arial" w:hAnsi="Arial"/>
          <w:sz w:val="18"/>
          <w:szCs w:val="18"/>
          <w:u w:val="single" w:color="auto"/>
          <w:color w:val="auto"/>
        </w:rPr>
        <w:t>Costs and Expenses</w:t>
      </w:r>
    </w:p>
    <w:p>
      <w:pPr>
        <w:spacing w:after="0" w:line="252"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Contract costs include all direct material, direct labor costs, manufacturing overhead and other direct costs related to contract performance. Selling, general and administrative costs are charged to expense as incurred.</w:t>
      </w:r>
    </w:p>
    <w:p>
      <w:pPr>
        <w:spacing w:after="0" w:line="197" w:lineRule="exact"/>
        <w:rPr>
          <w:sz w:val="20"/>
          <w:szCs w:val="20"/>
          <w:color w:val="auto"/>
        </w:rPr>
      </w:pPr>
    </w:p>
    <w:p>
      <w:pPr>
        <w:ind w:left="500"/>
        <w:spacing w:after="0"/>
        <w:rPr>
          <w:sz w:val="20"/>
          <w:szCs w:val="20"/>
          <w:color w:val="auto"/>
        </w:rPr>
      </w:pPr>
      <w:r>
        <w:rPr>
          <w:rFonts w:ascii="Arial" w:cs="Arial" w:eastAsia="Arial" w:hAnsi="Arial"/>
          <w:sz w:val="18"/>
          <w:szCs w:val="18"/>
          <w:u w:val="single" w:color="auto"/>
          <w:color w:val="auto"/>
        </w:rPr>
        <w:t>Inventory</w:t>
      </w:r>
    </w:p>
    <w:p>
      <w:pPr>
        <w:spacing w:after="0" w:line="252" w:lineRule="exact"/>
        <w:rPr>
          <w:sz w:val="20"/>
          <w:szCs w:val="20"/>
          <w:color w:val="auto"/>
        </w:rPr>
      </w:pPr>
    </w:p>
    <w:p>
      <w:pPr>
        <w:jc w:val="both"/>
        <w:ind w:firstLine="486"/>
        <w:spacing w:after="0" w:line="279" w:lineRule="auto"/>
        <w:rPr>
          <w:sz w:val="20"/>
          <w:szCs w:val="20"/>
          <w:color w:val="auto"/>
        </w:rPr>
      </w:pPr>
      <w:r>
        <w:rPr>
          <w:rFonts w:ascii="Arial" w:cs="Arial" w:eastAsia="Arial" w:hAnsi="Arial"/>
          <w:sz w:val="17"/>
          <w:szCs w:val="17"/>
          <w:color w:val="auto"/>
        </w:rPr>
        <w:t>In accordance with industry practice, inventoried costs contain amounts relating to contracts and programs with long production cycles, a portion of which will not be realized within one year. Inventory write downs are established for slow-moving, obsolete items and costs incurred on programs for which production-level orders cannot be determined as probable. Such write downs are based upon management’s experience and expectations for future business. Any changes arising from revised expectations are reflected in cost of sales in the period the revision is made.</w:t>
      </w:r>
    </w:p>
    <w:p>
      <w:pPr>
        <w:spacing w:after="0" w:line="198" w:lineRule="exact"/>
        <w:rPr>
          <w:sz w:val="20"/>
          <w:szCs w:val="20"/>
          <w:color w:val="auto"/>
        </w:rPr>
      </w:pPr>
    </w:p>
    <w:p>
      <w:pPr>
        <w:ind w:left="500"/>
        <w:spacing w:after="0"/>
        <w:rPr>
          <w:sz w:val="20"/>
          <w:szCs w:val="20"/>
          <w:color w:val="auto"/>
        </w:rPr>
      </w:pPr>
      <w:r>
        <w:rPr>
          <w:rFonts w:ascii="Arial" w:cs="Arial" w:eastAsia="Arial" w:hAnsi="Arial"/>
          <w:sz w:val="18"/>
          <w:szCs w:val="18"/>
          <w:u w:val="single" w:color="auto"/>
          <w:color w:val="auto"/>
        </w:rPr>
        <w:t>Marketable Securities</w:t>
      </w:r>
    </w:p>
    <w:p>
      <w:pPr>
        <w:spacing w:after="0" w:line="252" w:lineRule="exact"/>
        <w:rPr>
          <w:sz w:val="20"/>
          <w:szCs w:val="20"/>
          <w:color w:val="auto"/>
        </w:rPr>
      </w:pPr>
    </w:p>
    <w:p>
      <w:pPr>
        <w:jc w:val="both"/>
        <w:ind w:firstLine="486"/>
        <w:spacing w:after="0" w:line="302" w:lineRule="auto"/>
        <w:rPr>
          <w:sz w:val="20"/>
          <w:szCs w:val="20"/>
          <w:color w:val="auto"/>
        </w:rPr>
      </w:pPr>
      <w:r>
        <w:rPr>
          <w:rFonts w:ascii="Arial" w:cs="Arial" w:eastAsia="Arial" w:hAnsi="Arial"/>
          <w:sz w:val="16"/>
          <w:szCs w:val="16"/>
          <w:color w:val="auto"/>
        </w:rPr>
        <w:t>All of the Company’s investments in marketable securities are Level 1 securities which trade on public markets and have current prices that are readily available. In general, investments in fixed price securities are only in the commercial paper of financially sound corporations or the bonds of U.S. Government agencies. Although the value of such investments may fluctuate significantly based on economic factors, the Company’s own financial strength enables it to wait for the securities to either recover their value or to mature such that any interim unrealized gains or losses are deemed to be temporary.</w:t>
      </w:r>
    </w:p>
    <w:p>
      <w:pPr>
        <w:spacing w:after="0" w:line="181" w:lineRule="exact"/>
        <w:rPr>
          <w:sz w:val="20"/>
          <w:szCs w:val="20"/>
          <w:color w:val="auto"/>
        </w:rPr>
      </w:pPr>
    </w:p>
    <w:p>
      <w:pPr>
        <w:ind w:left="500"/>
        <w:spacing w:after="0"/>
        <w:rPr>
          <w:sz w:val="20"/>
          <w:szCs w:val="20"/>
          <w:color w:val="auto"/>
        </w:rPr>
      </w:pPr>
      <w:r>
        <w:rPr>
          <w:rFonts w:ascii="Arial" w:cs="Arial" w:eastAsia="Arial" w:hAnsi="Arial"/>
          <w:sz w:val="18"/>
          <w:szCs w:val="18"/>
          <w:u w:val="single" w:color="auto"/>
          <w:color w:val="auto"/>
        </w:rPr>
        <w:t>Foreign Operations and Foreign Currency Adjustments</w:t>
      </w:r>
    </w:p>
    <w:p>
      <w:pPr>
        <w:spacing w:after="0" w:line="252" w:lineRule="exact"/>
        <w:rPr>
          <w:sz w:val="20"/>
          <w:szCs w:val="20"/>
          <w:color w:val="auto"/>
        </w:rPr>
      </w:pPr>
    </w:p>
    <w:p>
      <w:pPr>
        <w:jc w:val="both"/>
        <w:ind w:firstLine="486"/>
        <w:spacing w:after="0" w:line="293" w:lineRule="auto"/>
        <w:rPr>
          <w:sz w:val="20"/>
          <w:szCs w:val="20"/>
          <w:color w:val="auto"/>
        </w:rPr>
      </w:pPr>
      <w:r>
        <w:rPr>
          <w:rFonts w:ascii="Arial" w:cs="Arial" w:eastAsia="Arial" w:hAnsi="Arial"/>
          <w:sz w:val="16"/>
          <w:szCs w:val="16"/>
          <w:color w:val="auto"/>
        </w:rPr>
        <w:t>The Company maintains manufacturing operations in Belgium and the People’s Republic of China. The Company is vulnerable to currency risks in these countries. The local currency is the functional currency of each of the Company’s non-U.S. subsidiaries. No foreign currency gains or losses are recorded on intercompany transactions since they are effected at current rates of exchange. The results of operations of foreign subsidiaries, when translated into U.S. dollars, reflect the average rates of exchange for the periods presented. The balance sheets of foreign subsidiaries, except for equity accounts which are translated at historical rates, are translated into U.S. dollars at the rates of exchange in effect on the date of the balance sheet. As a result, similar results in local currency can vary upon translation into U.S. dollars if exchange rates fluctuate significantly from one period to the next.</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 of 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color w:val="auto"/>
        </w:rPr>
        <w:t>FREQUENCY ELECTRONICS,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(Continued)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56" w:lineRule="exact"/>
        <w:rPr>
          <w:sz w:val="20"/>
          <w:szCs w:val="20"/>
          <w:color w:val="auto"/>
        </w:rPr>
      </w:pPr>
    </w:p>
    <w:p>
      <w:pPr>
        <w:jc w:val="both"/>
        <w:ind w:right="20" w:firstLine="486"/>
        <w:spacing w:after="0" w:line="277" w:lineRule="auto"/>
        <w:rPr>
          <w:sz w:val="20"/>
          <w:szCs w:val="20"/>
          <w:color w:val="auto"/>
        </w:rPr>
      </w:pPr>
      <w:r>
        <w:rPr>
          <w:rFonts w:ascii="Arial" w:cs="Arial" w:eastAsia="Arial" w:hAnsi="Arial"/>
          <w:sz w:val="18"/>
          <w:szCs w:val="18"/>
          <w:color w:val="auto"/>
        </w:rPr>
        <w:t>The table below sets forth for the respective periods of fiscal years 2014 and 2013 (which end on April 30, 2014 and 2013, respectively) the percentage of consolidated revenues represented by certain items in the Company’s consolidated statements of operations:</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4"/>
          </w:tcPr>
          <w:p>
            <w:pPr>
              <w:jc w:val="right"/>
              <w:ind w:right="600"/>
              <w:spacing w:after="0"/>
              <w:rPr>
                <w:sz w:val="20"/>
                <w:szCs w:val="20"/>
                <w:color w:val="auto"/>
              </w:rPr>
            </w:pPr>
            <w:r>
              <w:rPr>
                <w:rFonts w:ascii="Arial" w:cs="Arial" w:eastAsia="Arial" w:hAnsi="Arial"/>
                <w:sz w:val="18"/>
                <w:szCs w:val="18"/>
                <w:b w:val="1"/>
                <w:bCs w:val="1"/>
                <w:color w:val="auto"/>
                <w:w w:val="88"/>
              </w:rPr>
              <w:t>Six months</w:t>
            </w:r>
          </w:p>
        </w:tc>
        <w:tc>
          <w:tcPr>
            <w:tcW w:w="8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8"/>
                <w:szCs w:val="18"/>
                <w:b w:val="1"/>
                <w:bCs w:val="1"/>
                <w:color w:val="auto"/>
                <w:w w:val="90"/>
              </w:rPr>
              <w:t>Three months</w:t>
            </w:r>
          </w:p>
        </w:tc>
        <w:tc>
          <w:tcPr>
            <w:tcW w:w="2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540" w:type="dxa"/>
            <w:vAlign w:val="bottom"/>
            <w:gridSpan w:val="9"/>
          </w:tcPr>
          <w:p>
            <w:pPr>
              <w:ind w:left="480"/>
              <w:spacing w:after="0" w:line="198" w:lineRule="exact"/>
              <w:rPr>
                <w:sz w:val="20"/>
                <w:szCs w:val="20"/>
                <w:color w:val="auto"/>
              </w:rPr>
            </w:pPr>
            <w:r>
              <w:rPr>
                <w:rFonts w:ascii="Arial" w:cs="Arial" w:eastAsia="Arial" w:hAnsi="Arial"/>
                <w:sz w:val="18"/>
                <w:szCs w:val="18"/>
                <w:b w:val="1"/>
                <w:bCs w:val="1"/>
                <w:color w:val="auto"/>
                <w:w w:val="89"/>
              </w:rPr>
              <w:t>Periods ended October 31,</w:t>
            </w:r>
          </w:p>
        </w:tc>
        <w:tc>
          <w:tcPr>
            <w:tcW w:w="4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9"/>
              </w:rPr>
              <w:t>2013</w:t>
            </w:r>
          </w:p>
        </w:tc>
        <w:tc>
          <w:tcPr>
            <w:tcW w:w="32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b w:val="1"/>
                <w:bCs w:val="1"/>
                <w:color w:val="auto"/>
              </w:rPr>
              <w:t>2012</w:t>
            </w:r>
          </w:p>
        </w:tc>
        <w:tc>
          <w:tcPr>
            <w:tcW w:w="8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9"/>
              </w:rPr>
              <w:t>2013</w:t>
            </w:r>
          </w:p>
        </w:tc>
        <w:tc>
          <w:tcPr>
            <w:tcW w:w="440" w:type="dxa"/>
            <w:vAlign w:val="bottom"/>
            <w:tcBorders>
              <w:bottom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b w:val="1"/>
                <w:bCs w:val="1"/>
                <w:color w:val="auto"/>
              </w:rPr>
              <w:t>2012</w:t>
            </w:r>
          </w:p>
        </w:tc>
        <w:tc>
          <w:tcPr>
            <w:tcW w:w="48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840" w:type="dxa"/>
            <w:vAlign w:val="bottom"/>
            <w:gridSpan w:val="5"/>
          </w:tcPr>
          <w:p>
            <w:pPr>
              <w:spacing w:after="0"/>
              <w:rPr>
                <w:sz w:val="20"/>
                <w:szCs w:val="20"/>
                <w:color w:val="auto"/>
              </w:rPr>
            </w:pPr>
            <w:r>
              <w:rPr>
                <w:rFonts w:ascii="Arial" w:cs="Arial" w:eastAsia="Arial" w:hAnsi="Arial"/>
                <w:sz w:val="18"/>
                <w:szCs w:val="18"/>
                <w:color w:val="auto"/>
              </w:rPr>
              <w:t>Revenues</w:t>
            </w:r>
          </w:p>
        </w:tc>
        <w:tc>
          <w:tcPr>
            <w:tcW w:w="3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20" w:type="dxa"/>
            <w:vAlign w:val="bottom"/>
            <w:gridSpan w:val="4"/>
            <w:shd w:val="clear" w:color="auto" w:fill="CCEEFF"/>
          </w:tcPr>
          <w:p>
            <w:pPr>
              <w:ind w:left="160"/>
              <w:spacing w:after="0"/>
              <w:rPr>
                <w:sz w:val="20"/>
                <w:szCs w:val="20"/>
                <w:color w:val="auto"/>
              </w:rPr>
            </w:pPr>
            <w:r>
              <w:rPr>
                <w:rFonts w:ascii="Arial" w:cs="Arial" w:eastAsia="Arial" w:hAnsi="Arial"/>
                <w:sz w:val="18"/>
                <w:szCs w:val="18"/>
                <w:color w:val="auto"/>
              </w:rPr>
              <w:t>FEI-NY</w:t>
            </w: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80" w:type="dxa"/>
            <w:vAlign w:val="bottom"/>
            <w:tcBorders>
              <w:left w:val="single" w:sz="8" w:color="CCEEFF"/>
            </w:tcBorders>
            <w:gridSpan w:val="3"/>
            <w:shd w:val="clear" w:color="auto" w:fill="CCEEFF"/>
          </w:tcPr>
          <w:p>
            <w:pPr>
              <w:jc w:val="right"/>
              <w:ind w:right="45"/>
              <w:spacing w:after="0"/>
              <w:rPr>
                <w:sz w:val="20"/>
                <w:szCs w:val="20"/>
                <w:color w:val="auto"/>
              </w:rPr>
            </w:pPr>
            <w:r>
              <w:rPr>
                <w:rFonts w:ascii="Arial" w:cs="Arial" w:eastAsia="Arial" w:hAnsi="Arial"/>
                <w:sz w:val="18"/>
                <w:szCs w:val="18"/>
                <w:color w:val="auto"/>
              </w:rPr>
              <w:t>76.9%</w:t>
            </w: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70.5%</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tcBorders>
              <w:left w:val="single" w:sz="8" w:color="CCEEFF"/>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75.6%</w:t>
            </w:r>
          </w:p>
        </w:tc>
        <w:tc>
          <w:tcPr>
            <w:tcW w:w="380" w:type="dxa"/>
            <w:vAlign w:val="bottom"/>
            <w:shd w:val="clear" w:color="auto" w:fill="CCEEFF"/>
          </w:tcPr>
          <w:p>
            <w:pPr>
              <w:spacing w:after="0"/>
              <w:rPr>
                <w:sz w:val="18"/>
                <w:szCs w:val="18"/>
                <w:color w:val="auto"/>
              </w:rPr>
            </w:pPr>
          </w:p>
        </w:tc>
        <w:tc>
          <w:tcPr>
            <w:tcW w:w="110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69.9%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20" w:type="dxa"/>
            <w:vAlign w:val="bottom"/>
            <w:gridSpan w:val="4"/>
          </w:tcPr>
          <w:p>
            <w:pPr>
              <w:ind w:left="160"/>
              <w:spacing w:after="0"/>
              <w:rPr>
                <w:sz w:val="20"/>
                <w:szCs w:val="20"/>
                <w:color w:val="auto"/>
              </w:rPr>
            </w:pPr>
            <w:r>
              <w:rPr>
                <w:rFonts w:ascii="Arial" w:cs="Arial" w:eastAsia="Arial" w:hAnsi="Arial"/>
                <w:sz w:val="18"/>
                <w:szCs w:val="18"/>
                <w:color w:val="auto"/>
              </w:rPr>
              <w:t>Gillam-FEI</w:t>
            </w:r>
          </w:p>
        </w:tc>
        <w:tc>
          <w:tcPr>
            <w:tcW w:w="3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13.5</w:t>
            </w: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3"/>
          </w:tcPr>
          <w:p>
            <w:pPr>
              <w:jc w:val="right"/>
              <w:ind w:right="160"/>
              <w:spacing w:after="0"/>
              <w:rPr>
                <w:sz w:val="20"/>
                <w:szCs w:val="20"/>
                <w:color w:val="auto"/>
              </w:rPr>
            </w:pPr>
            <w:r>
              <w:rPr>
                <w:rFonts w:ascii="Arial" w:cs="Arial" w:eastAsia="Arial" w:hAnsi="Arial"/>
                <w:sz w:val="18"/>
                <w:szCs w:val="18"/>
                <w:color w:val="auto"/>
              </w:rPr>
              <w:t>13.2</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11.0</w:t>
            </w: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00" w:type="dxa"/>
            <w:vAlign w:val="bottom"/>
            <w:gridSpan w:val="4"/>
          </w:tcPr>
          <w:p>
            <w:pPr>
              <w:jc w:val="right"/>
              <w:ind w:right="160"/>
              <w:spacing w:after="0"/>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20" w:type="dxa"/>
            <w:vAlign w:val="bottom"/>
            <w:gridSpan w:val="4"/>
            <w:shd w:val="clear" w:color="auto" w:fill="CCEEFF"/>
          </w:tcPr>
          <w:p>
            <w:pPr>
              <w:ind w:left="160"/>
              <w:spacing w:after="0"/>
              <w:rPr>
                <w:sz w:val="20"/>
                <w:szCs w:val="20"/>
                <w:color w:val="auto"/>
              </w:rPr>
            </w:pPr>
            <w:r>
              <w:rPr>
                <w:rFonts w:ascii="Arial" w:cs="Arial" w:eastAsia="Arial" w:hAnsi="Arial"/>
                <w:sz w:val="18"/>
                <w:szCs w:val="18"/>
                <w:color w:val="auto"/>
              </w:rPr>
              <w:t>FEI-Zyfer</w:t>
            </w: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2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19.5</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tcBorders>
              <w:left w:val="single" w:sz="8" w:color="CCEEFF"/>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tcBorders>
              <w:right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13.9</w:t>
            </w:r>
          </w:p>
        </w:tc>
        <w:tc>
          <w:tcPr>
            <w:tcW w:w="380" w:type="dxa"/>
            <w:vAlign w:val="bottom"/>
            <w:shd w:val="clear" w:color="auto" w:fill="CCEEFF"/>
          </w:tcPr>
          <w:p>
            <w:pPr>
              <w:spacing w:after="0"/>
              <w:rPr>
                <w:sz w:val="18"/>
                <w:szCs w:val="18"/>
                <w:color w:val="auto"/>
              </w:rPr>
            </w:pPr>
          </w:p>
        </w:tc>
        <w:tc>
          <w:tcPr>
            <w:tcW w:w="110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19.0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160" w:type="dxa"/>
            <w:vAlign w:val="bottom"/>
            <w:gridSpan w:val="5"/>
          </w:tcPr>
          <w:p>
            <w:pPr>
              <w:ind w:left="160"/>
              <w:spacing w:after="0"/>
              <w:rPr>
                <w:sz w:val="20"/>
                <w:szCs w:val="20"/>
                <w:color w:val="auto"/>
              </w:rPr>
            </w:pPr>
            <w:r>
              <w:rPr>
                <w:rFonts w:ascii="Arial" w:cs="Arial" w:eastAsia="Arial" w:hAnsi="Arial"/>
                <w:sz w:val="18"/>
                <w:szCs w:val="18"/>
                <w:color w:val="auto"/>
                <w:w w:val="87"/>
              </w:rPr>
              <w:t>Less intersegment revenues</w:t>
            </w:r>
          </w:p>
        </w:tc>
        <w:tc>
          <w:tcPr>
            <w:tcW w:w="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80" w:type="dxa"/>
            <w:vAlign w:val="bottom"/>
            <w:gridSpan w:val="3"/>
          </w:tcPr>
          <w:p>
            <w:pPr>
              <w:jc w:val="right"/>
              <w:ind w:right="125"/>
              <w:spacing w:after="0"/>
              <w:rPr>
                <w:sz w:val="20"/>
                <w:szCs w:val="20"/>
                <w:color w:val="auto"/>
              </w:rPr>
            </w:pPr>
            <w:r>
              <w:rPr>
                <w:rFonts w:ascii="Arial" w:cs="Arial" w:eastAsia="Arial" w:hAnsi="Arial"/>
                <w:sz w:val="18"/>
                <w:szCs w:val="18"/>
                <w:color w:val="auto"/>
              </w:rPr>
              <w:t>(3.3)</w:t>
            </w: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gridSpan w:val="3"/>
          </w:tcPr>
          <w:p>
            <w:pPr>
              <w:jc w:val="right"/>
              <w:ind w:right="100"/>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(0.5)</w:t>
            </w:r>
          </w:p>
        </w:tc>
        <w:tc>
          <w:tcPr>
            <w:tcW w:w="380" w:type="dxa"/>
            <w:vAlign w:val="bottom"/>
          </w:tcPr>
          <w:p>
            <w:pPr>
              <w:spacing w:after="0"/>
              <w:rPr>
                <w:sz w:val="19"/>
                <w:szCs w:val="19"/>
                <w:color w:val="auto"/>
              </w:rPr>
            </w:pPr>
          </w:p>
        </w:tc>
        <w:tc>
          <w:tcPr>
            <w:tcW w:w="1100" w:type="dxa"/>
            <w:vAlign w:val="bottom"/>
            <w:gridSpan w:val="4"/>
          </w:tcPr>
          <w:p>
            <w:pPr>
              <w:jc w:val="right"/>
              <w:ind w:right="10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lef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60" w:type="dxa"/>
            <w:vAlign w:val="bottom"/>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7"/>
              </w:rPr>
              <w:t>100.0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left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100.0</w:t>
            </w:r>
          </w:p>
        </w:tc>
        <w:tc>
          <w:tcPr>
            <w:tcW w:w="300" w:type="dxa"/>
            <w:vAlign w:val="bottom"/>
            <w:tcBorders>
              <w:right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820" w:type="dxa"/>
            <w:vAlign w:val="bottom"/>
            <w:gridSpan w:val="4"/>
          </w:tcPr>
          <w:p>
            <w:pPr>
              <w:spacing w:after="0"/>
              <w:rPr>
                <w:sz w:val="20"/>
                <w:szCs w:val="20"/>
                <w:color w:val="auto"/>
              </w:rPr>
            </w:pPr>
            <w:r>
              <w:rPr>
                <w:rFonts w:ascii="Arial" w:cs="Arial" w:eastAsia="Arial" w:hAnsi="Arial"/>
                <w:sz w:val="18"/>
                <w:szCs w:val="18"/>
                <w:color w:val="auto"/>
              </w:rPr>
              <w:t>Cost of revenues</w:t>
            </w:r>
          </w:p>
        </w:tc>
        <w:tc>
          <w:tcPr>
            <w:tcW w:w="3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63.1</w:t>
            </w:r>
          </w:p>
        </w:tc>
        <w:tc>
          <w:tcPr>
            <w:tcW w:w="260" w:type="dxa"/>
            <w:vAlign w:val="bottom"/>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62.9</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63.4</w:t>
            </w:r>
          </w:p>
        </w:tc>
        <w:tc>
          <w:tcPr>
            <w:tcW w:w="30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61.7</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20" w:type="dxa"/>
            <w:vAlign w:val="bottom"/>
            <w:gridSpan w:val="4"/>
            <w:shd w:val="clear" w:color="auto" w:fill="CCEEFF"/>
          </w:tcPr>
          <w:p>
            <w:pPr>
              <w:ind w:left="480"/>
              <w:spacing w:after="0"/>
              <w:rPr>
                <w:sz w:val="20"/>
                <w:szCs w:val="20"/>
                <w:color w:val="auto"/>
              </w:rPr>
            </w:pPr>
            <w:r>
              <w:rPr>
                <w:rFonts w:ascii="Arial" w:cs="Arial" w:eastAsia="Arial" w:hAnsi="Arial"/>
                <w:sz w:val="18"/>
                <w:szCs w:val="18"/>
                <w:color w:val="auto"/>
              </w:rPr>
              <w:t>Gross margin</w:t>
            </w: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2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36.9</w:t>
            </w: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37.1</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tcBorders>
              <w:left w:val="single" w:sz="8" w:color="CCEEFF"/>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tcBorders>
              <w:right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36.6</w:t>
            </w:r>
          </w:p>
        </w:tc>
        <w:tc>
          <w:tcPr>
            <w:tcW w:w="380" w:type="dxa"/>
            <w:vAlign w:val="bottom"/>
            <w:shd w:val="clear" w:color="auto" w:fill="CCEEFF"/>
          </w:tcPr>
          <w:p>
            <w:pPr>
              <w:spacing w:after="0"/>
              <w:rPr>
                <w:sz w:val="18"/>
                <w:szCs w:val="18"/>
                <w:color w:val="auto"/>
              </w:rPr>
            </w:pPr>
          </w:p>
        </w:tc>
        <w:tc>
          <w:tcPr>
            <w:tcW w:w="110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38.3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gridSpan w:val="7"/>
          </w:tcPr>
          <w:p>
            <w:pPr>
              <w:spacing w:after="0"/>
              <w:rPr>
                <w:sz w:val="20"/>
                <w:szCs w:val="20"/>
                <w:color w:val="auto"/>
              </w:rPr>
            </w:pPr>
            <w:r>
              <w:rPr>
                <w:rFonts w:ascii="Arial" w:cs="Arial" w:eastAsia="Arial" w:hAnsi="Arial"/>
                <w:sz w:val="18"/>
                <w:szCs w:val="18"/>
                <w:color w:val="auto"/>
              </w:rPr>
              <w:t>Selling and administrative expenses</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20.8</w:t>
            </w: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3"/>
          </w:tcPr>
          <w:p>
            <w:pPr>
              <w:jc w:val="right"/>
              <w:ind w:right="160"/>
              <w:spacing w:after="0"/>
              <w:rPr>
                <w:sz w:val="20"/>
                <w:szCs w:val="20"/>
                <w:color w:val="auto"/>
              </w:rPr>
            </w:pPr>
            <w:r>
              <w:rPr>
                <w:rFonts w:ascii="Arial" w:cs="Arial" w:eastAsia="Arial" w:hAnsi="Arial"/>
                <w:sz w:val="18"/>
                <w:szCs w:val="18"/>
                <w:color w:val="auto"/>
              </w:rPr>
              <w:t>20.4</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gridSpan w:val="2"/>
          </w:tcPr>
          <w:p>
            <w:pPr>
              <w:jc w:val="right"/>
              <w:ind w:right="300"/>
              <w:spacing w:after="0"/>
              <w:rPr>
                <w:sz w:val="20"/>
                <w:szCs w:val="20"/>
                <w:color w:val="auto"/>
              </w:rPr>
            </w:pPr>
            <w:r>
              <w:rPr>
                <w:rFonts w:ascii="Arial" w:cs="Arial" w:eastAsia="Arial" w:hAnsi="Arial"/>
                <w:sz w:val="18"/>
                <w:szCs w:val="18"/>
                <w:color w:val="auto"/>
              </w:rPr>
              <w:t>20.5</w:t>
            </w:r>
          </w:p>
        </w:tc>
        <w:tc>
          <w:tcPr>
            <w:tcW w:w="380" w:type="dxa"/>
            <w:vAlign w:val="bottom"/>
          </w:tcPr>
          <w:p>
            <w:pPr>
              <w:spacing w:after="0"/>
              <w:rPr>
                <w:sz w:val="18"/>
                <w:szCs w:val="18"/>
                <w:color w:val="auto"/>
              </w:rPr>
            </w:pPr>
          </w:p>
        </w:tc>
        <w:tc>
          <w:tcPr>
            <w:tcW w:w="1100" w:type="dxa"/>
            <w:vAlign w:val="bottom"/>
            <w:gridSpan w:val="4"/>
          </w:tcPr>
          <w:p>
            <w:pPr>
              <w:jc w:val="right"/>
              <w:ind w:right="160"/>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40" w:type="dxa"/>
            <w:vAlign w:val="bottom"/>
            <w:tcBorders>
              <w:bottom w:val="single" w:sz="8" w:color="CCEEFF"/>
            </w:tcBorders>
            <w:gridSpan w:val="7"/>
            <w:shd w:val="clear" w:color="auto" w:fill="CCEEFF"/>
          </w:tcPr>
          <w:p>
            <w:pPr>
              <w:spacing w:after="0"/>
              <w:rPr>
                <w:sz w:val="20"/>
                <w:szCs w:val="20"/>
                <w:color w:val="auto"/>
              </w:rPr>
            </w:pPr>
            <w:r>
              <w:rPr>
                <w:rFonts w:ascii="Arial" w:cs="Arial" w:eastAsia="Arial" w:hAnsi="Arial"/>
                <w:sz w:val="18"/>
                <w:szCs w:val="18"/>
                <w:color w:val="auto"/>
                <w:w w:val="99"/>
              </w:rPr>
              <w:t>Research and development expenses</w:t>
            </w: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right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left w:val="single" w:sz="8" w:color="CCEEFF"/>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26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1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200" w:type="dxa"/>
            <w:vAlign w:val="bottom"/>
            <w:tcBorders>
              <w:left w:val="single" w:sz="8" w:color="CCEEFF"/>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300" w:type="dxa"/>
            <w:vAlign w:val="bottom"/>
            <w:tcBorders>
              <w:bottom w:val="single" w:sz="8" w:color="CCEEFF"/>
              <w:right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20" w:type="dxa"/>
            <w:vAlign w:val="bottom"/>
            <w:gridSpan w:val="4"/>
          </w:tcPr>
          <w:p>
            <w:pPr>
              <w:ind w:left="480"/>
              <w:spacing w:after="0"/>
              <w:rPr>
                <w:sz w:val="20"/>
                <w:szCs w:val="20"/>
                <w:color w:val="auto"/>
              </w:rPr>
            </w:pPr>
            <w:r>
              <w:rPr>
                <w:rFonts w:ascii="Arial" w:cs="Arial" w:eastAsia="Arial" w:hAnsi="Arial"/>
                <w:sz w:val="18"/>
                <w:szCs w:val="18"/>
                <w:color w:val="auto"/>
              </w:rPr>
              <w:t>Operating profit</w:t>
            </w:r>
          </w:p>
        </w:tc>
        <w:tc>
          <w:tcPr>
            <w:tcW w:w="3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6.6</w:t>
            </w: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3"/>
          </w:tcPr>
          <w:p>
            <w:pPr>
              <w:jc w:val="right"/>
              <w:ind w:right="160"/>
              <w:spacing w:after="0"/>
              <w:rPr>
                <w:sz w:val="20"/>
                <w:szCs w:val="20"/>
                <w:color w:val="auto"/>
              </w:rPr>
            </w:pPr>
            <w:r>
              <w:rPr>
                <w:rFonts w:ascii="Arial" w:cs="Arial" w:eastAsia="Arial" w:hAnsi="Arial"/>
                <w:sz w:val="18"/>
                <w:szCs w:val="18"/>
                <w:color w:val="auto"/>
              </w:rPr>
              <w:t>9.1</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gridSpan w:val="2"/>
          </w:tcPr>
          <w:p>
            <w:pPr>
              <w:jc w:val="right"/>
              <w:ind w:right="300"/>
              <w:spacing w:after="0"/>
              <w:rPr>
                <w:sz w:val="20"/>
                <w:szCs w:val="20"/>
                <w:color w:val="auto"/>
              </w:rPr>
            </w:pPr>
            <w:r>
              <w:rPr>
                <w:rFonts w:ascii="Arial" w:cs="Arial" w:eastAsia="Arial" w:hAnsi="Arial"/>
                <w:sz w:val="18"/>
                <w:szCs w:val="18"/>
                <w:color w:val="auto"/>
              </w:rPr>
              <w:t>7.4</w:t>
            </w:r>
          </w:p>
        </w:tc>
        <w:tc>
          <w:tcPr>
            <w:tcW w:w="380" w:type="dxa"/>
            <w:vAlign w:val="bottom"/>
          </w:tcPr>
          <w:p>
            <w:pPr>
              <w:spacing w:after="0"/>
              <w:rPr>
                <w:sz w:val="18"/>
                <w:szCs w:val="18"/>
                <w:color w:val="auto"/>
              </w:rPr>
            </w:pPr>
          </w:p>
        </w:tc>
        <w:tc>
          <w:tcPr>
            <w:tcW w:w="1100" w:type="dxa"/>
            <w:vAlign w:val="bottom"/>
            <w:gridSpan w:val="4"/>
          </w:tcPr>
          <w:p>
            <w:pPr>
              <w:jc w:val="right"/>
              <w:ind w:right="160"/>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82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rPr>
              <w:t>Other income, net</w:t>
            </w:r>
          </w:p>
        </w:tc>
        <w:tc>
          <w:tcPr>
            <w:tcW w:w="34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right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left w:val="single" w:sz="8" w:color="CCEEFF"/>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26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200" w:type="dxa"/>
            <w:vAlign w:val="bottom"/>
            <w:tcBorders>
              <w:left w:val="single" w:sz="8" w:color="CCEEFF"/>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300" w:type="dxa"/>
            <w:vAlign w:val="bottom"/>
            <w:tcBorders>
              <w:bottom w:val="single" w:sz="8" w:color="CCEEFF"/>
              <w:right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20" w:type="dxa"/>
            <w:vAlign w:val="bottom"/>
            <w:gridSpan w:val="4"/>
          </w:tcPr>
          <w:p>
            <w:pPr>
              <w:spacing w:after="0"/>
              <w:rPr>
                <w:sz w:val="20"/>
                <w:szCs w:val="20"/>
                <w:color w:val="auto"/>
              </w:rPr>
            </w:pPr>
            <w:r>
              <w:rPr>
                <w:rFonts w:ascii="Arial" w:cs="Arial" w:eastAsia="Arial" w:hAnsi="Arial"/>
                <w:sz w:val="18"/>
                <w:szCs w:val="18"/>
                <w:color w:val="auto"/>
              </w:rPr>
              <w:t>Pretax income</w:t>
            </w:r>
          </w:p>
        </w:tc>
        <w:tc>
          <w:tcPr>
            <w:tcW w:w="3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9.5</w:t>
            </w: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3"/>
          </w:tcPr>
          <w:p>
            <w:pPr>
              <w:jc w:val="right"/>
              <w:ind w:right="160"/>
              <w:spacing w:after="0"/>
              <w:rPr>
                <w:sz w:val="20"/>
                <w:szCs w:val="20"/>
                <w:color w:val="auto"/>
              </w:rPr>
            </w:pPr>
            <w:r>
              <w:rPr>
                <w:rFonts w:ascii="Arial" w:cs="Arial" w:eastAsia="Arial" w:hAnsi="Arial"/>
                <w:sz w:val="18"/>
                <w:szCs w:val="18"/>
                <w:color w:val="auto"/>
              </w:rPr>
              <w:t>9.7</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gridSpan w:val="2"/>
          </w:tcPr>
          <w:p>
            <w:pPr>
              <w:jc w:val="right"/>
              <w:ind w:right="300"/>
              <w:spacing w:after="0"/>
              <w:rPr>
                <w:sz w:val="20"/>
                <w:szCs w:val="20"/>
                <w:color w:val="auto"/>
              </w:rPr>
            </w:pPr>
            <w:r>
              <w:rPr>
                <w:rFonts w:ascii="Arial" w:cs="Arial" w:eastAsia="Arial" w:hAnsi="Arial"/>
                <w:sz w:val="18"/>
                <w:szCs w:val="18"/>
                <w:color w:val="auto"/>
              </w:rPr>
              <w:t>12.7</w:t>
            </w:r>
          </w:p>
        </w:tc>
        <w:tc>
          <w:tcPr>
            <w:tcW w:w="380" w:type="dxa"/>
            <w:vAlign w:val="bottom"/>
          </w:tcPr>
          <w:p>
            <w:pPr>
              <w:spacing w:after="0"/>
              <w:rPr>
                <w:sz w:val="18"/>
                <w:szCs w:val="18"/>
                <w:color w:val="auto"/>
              </w:rPr>
            </w:pPr>
          </w:p>
        </w:tc>
        <w:tc>
          <w:tcPr>
            <w:tcW w:w="1100" w:type="dxa"/>
            <w:vAlign w:val="bottom"/>
            <w:gridSpan w:val="4"/>
          </w:tcPr>
          <w:p>
            <w:pPr>
              <w:jc w:val="right"/>
              <w:ind w:right="160"/>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160" w:type="dxa"/>
            <w:vAlign w:val="bottom"/>
            <w:tcBorders>
              <w:bottom w:val="single" w:sz="8" w:color="CCEEFF"/>
            </w:tcBorders>
            <w:gridSpan w:val="5"/>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74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right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left w:val="single" w:sz="8" w:color="CCEEFF"/>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26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200" w:type="dxa"/>
            <w:vAlign w:val="bottom"/>
            <w:tcBorders>
              <w:left w:val="single" w:sz="8" w:color="CCEEFF"/>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300" w:type="dxa"/>
            <w:vAlign w:val="bottom"/>
            <w:tcBorders>
              <w:bottom w:val="single" w:sz="8" w:color="CCEEFF"/>
              <w:right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20" w:type="dxa"/>
            <w:vAlign w:val="bottom"/>
            <w:gridSpan w:val="4"/>
          </w:tcPr>
          <w:p>
            <w:pPr>
              <w:ind w:left="480"/>
              <w:spacing w:after="0"/>
              <w:rPr>
                <w:sz w:val="20"/>
                <w:szCs w:val="20"/>
                <w:color w:val="auto"/>
              </w:rPr>
            </w:pPr>
            <w:r>
              <w:rPr>
                <w:rFonts w:ascii="Arial" w:cs="Arial" w:eastAsia="Arial" w:hAnsi="Arial"/>
                <w:sz w:val="18"/>
                <w:szCs w:val="18"/>
                <w:color w:val="auto"/>
              </w:rPr>
              <w:t>Net income</w:t>
            </w:r>
          </w:p>
        </w:tc>
        <w:tc>
          <w:tcPr>
            <w:tcW w:w="3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80" w:type="dxa"/>
            <w:vAlign w:val="bottom"/>
            <w:gridSpan w:val="3"/>
          </w:tcPr>
          <w:p>
            <w:pPr>
              <w:jc w:val="right"/>
              <w:ind w:right="45"/>
              <w:spacing w:after="0"/>
              <w:rPr>
                <w:sz w:val="20"/>
                <w:szCs w:val="20"/>
                <w:color w:val="auto"/>
              </w:rPr>
            </w:pPr>
            <w:r>
              <w:rPr>
                <w:rFonts w:ascii="Arial" w:cs="Arial" w:eastAsia="Arial" w:hAnsi="Arial"/>
                <w:sz w:val="18"/>
                <w:szCs w:val="18"/>
                <w:color w:val="auto"/>
              </w:rPr>
              <w:t>6.1%</w:t>
            </w: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3"/>
          </w:tcPr>
          <w:p>
            <w:pPr>
              <w:jc w:val="right"/>
              <w:ind w:right="20"/>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8.2%</w:t>
            </w:r>
          </w:p>
        </w:tc>
        <w:tc>
          <w:tcPr>
            <w:tcW w:w="380" w:type="dxa"/>
            <w:vAlign w:val="bottom"/>
          </w:tcPr>
          <w:p>
            <w:pPr>
              <w:spacing w:after="0"/>
              <w:rPr>
                <w:sz w:val="18"/>
                <w:szCs w:val="18"/>
                <w:color w:val="auto"/>
              </w:rPr>
            </w:pPr>
          </w:p>
        </w:tc>
        <w:tc>
          <w:tcPr>
            <w:tcW w:w="1100" w:type="dxa"/>
            <w:vAlign w:val="bottom"/>
            <w:gridSpan w:val="4"/>
          </w:tcPr>
          <w:p>
            <w:pPr>
              <w:jc w:val="right"/>
              <w:ind w:right="20"/>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1"/>
        </w:trPr>
        <w:tc>
          <w:tcPr>
            <w:tcW w:w="1840" w:type="dxa"/>
            <w:vAlign w:val="bottom"/>
            <w:gridSpan w:val="5"/>
            <w:vMerge w:val="restart"/>
          </w:tcPr>
          <w:p>
            <w:pPr>
              <w:spacing w:after="0"/>
              <w:rPr>
                <w:sz w:val="20"/>
                <w:szCs w:val="20"/>
                <w:color w:val="auto"/>
              </w:rPr>
            </w:pPr>
            <w:r>
              <w:rPr>
                <w:rFonts w:ascii="Arial" w:cs="Arial" w:eastAsia="Arial" w:hAnsi="Arial"/>
                <w:sz w:val="18"/>
                <w:szCs w:val="18"/>
                <w:b w:val="1"/>
                <w:bCs w:val="1"/>
                <w:color w:val="auto"/>
              </w:rPr>
              <w:t>Revenues</w:t>
            </w:r>
          </w:p>
        </w:tc>
        <w:tc>
          <w:tcPr>
            <w:tcW w:w="3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2"/>
        </w:trPr>
        <w:tc>
          <w:tcPr>
            <w:tcW w:w="1840" w:type="dxa"/>
            <w:vAlign w:val="bottom"/>
            <w:gridSpan w:val="5"/>
            <w:vMerge w:val="continue"/>
          </w:tcPr>
          <w:p>
            <w:pPr>
              <w:spacing w:after="0"/>
              <w:rPr>
                <w:sz w:val="24"/>
                <w:szCs w:val="24"/>
                <w:color w:val="auto"/>
              </w:rPr>
            </w:pPr>
          </w:p>
        </w:tc>
        <w:tc>
          <w:tcPr>
            <w:tcW w:w="3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7"/>
        </w:trPr>
        <w:tc>
          <w:tcPr>
            <w:tcW w:w="20" w:type="dxa"/>
            <w:vAlign w:val="bottom"/>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4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gridSpan w:val="3"/>
          </w:tcPr>
          <w:p>
            <w:pPr>
              <w:jc w:val="right"/>
              <w:ind w:right="210"/>
              <w:spacing w:after="0"/>
              <w:rPr>
                <w:sz w:val="20"/>
                <w:szCs w:val="20"/>
                <w:color w:val="auto"/>
              </w:rPr>
            </w:pPr>
            <w:r>
              <w:rPr>
                <w:rFonts w:ascii="Arial" w:cs="Arial" w:eastAsia="Arial" w:hAnsi="Arial"/>
                <w:sz w:val="18"/>
                <w:szCs w:val="18"/>
                <w:b w:val="1"/>
                <w:bCs w:val="1"/>
                <w:color w:val="auto"/>
              </w:rPr>
              <w:t>Six months</w:t>
            </w:r>
          </w:p>
        </w:tc>
        <w:tc>
          <w:tcPr>
            <w:tcW w:w="3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gridSpan w:val="6"/>
          </w:tcPr>
          <w:p>
            <w:pPr>
              <w:ind w:left="300"/>
              <w:spacing w:after="0"/>
              <w:rPr>
                <w:sz w:val="20"/>
                <w:szCs w:val="20"/>
                <w:color w:val="auto"/>
              </w:rPr>
            </w:pPr>
            <w:r>
              <w:rPr>
                <w:rFonts w:ascii="Arial" w:cs="Arial" w:eastAsia="Arial" w:hAnsi="Arial"/>
                <w:sz w:val="18"/>
                <w:szCs w:val="18"/>
                <w:b w:val="1"/>
                <w:bCs w:val="1"/>
                <w:color w:val="auto"/>
              </w:rPr>
              <w:t>Three months</w:t>
            </w:r>
          </w:p>
        </w:tc>
        <w:tc>
          <w:tcPr>
            <w:tcW w:w="4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500" w:type="dxa"/>
            <w:vAlign w:val="bottom"/>
            <w:gridSpan w:val="6"/>
          </w:tcPr>
          <w:p>
            <w:pPr>
              <w:jc w:val="right"/>
              <w:ind w:right="340"/>
              <w:spacing w:after="0" w:line="198" w:lineRule="exact"/>
              <w:rPr>
                <w:sz w:val="20"/>
                <w:szCs w:val="20"/>
                <w:color w:val="auto"/>
              </w:rPr>
            </w:pPr>
            <w:r>
              <w:rPr>
                <w:rFonts w:ascii="Arial" w:cs="Arial" w:eastAsia="Arial" w:hAnsi="Arial"/>
                <w:sz w:val="18"/>
                <w:szCs w:val="18"/>
                <w:b w:val="1"/>
                <w:bCs w:val="1"/>
                <w:color w:val="auto"/>
                <w:w w:val="93"/>
              </w:rPr>
              <w:t>Periods ended October 31,</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300" w:type="dxa"/>
            <w:vAlign w:val="bottom"/>
            <w:gridSpan w:val="3"/>
          </w:tcPr>
          <w:p>
            <w:pPr>
              <w:spacing w:after="0" w:line="194" w:lineRule="exact"/>
              <w:rPr>
                <w:sz w:val="20"/>
                <w:szCs w:val="20"/>
                <w:color w:val="auto"/>
              </w:rPr>
            </w:pPr>
            <w:r>
              <w:rPr>
                <w:rFonts w:ascii="Arial" w:cs="Arial" w:eastAsia="Arial" w:hAnsi="Arial"/>
                <w:sz w:val="18"/>
                <w:szCs w:val="18"/>
                <w:b w:val="1"/>
                <w:bCs w:val="1"/>
                <w:color w:val="auto"/>
              </w:rPr>
              <w:t>Segment</w:t>
            </w:r>
          </w:p>
        </w:tc>
        <w:tc>
          <w:tcPr>
            <w:tcW w:w="340" w:type="dxa"/>
            <w:vAlign w:val="bottom"/>
          </w:tcPr>
          <w:p>
            <w:pPr>
              <w:spacing w:after="0"/>
              <w:rPr>
                <w:sz w:val="16"/>
                <w:szCs w:val="16"/>
                <w:color w:val="auto"/>
              </w:rPr>
            </w:pPr>
          </w:p>
        </w:tc>
        <w:tc>
          <w:tcPr>
            <w:tcW w:w="740" w:type="dxa"/>
            <w:vAlign w:val="bottom"/>
          </w:tcPr>
          <w:p>
            <w:pPr>
              <w:jc w:val="right"/>
              <w:ind w:right="270"/>
              <w:spacing w:after="0" w:line="194" w:lineRule="exact"/>
              <w:rPr>
                <w:sz w:val="20"/>
                <w:szCs w:val="20"/>
                <w:color w:val="auto"/>
              </w:rPr>
            </w:pPr>
            <w:r>
              <w:rPr>
                <w:rFonts w:ascii="Arial" w:cs="Arial" w:eastAsia="Arial" w:hAnsi="Arial"/>
                <w:sz w:val="18"/>
                <w:szCs w:val="18"/>
                <w:b w:val="1"/>
                <w:bCs w:val="1"/>
                <w:color w:val="auto"/>
                <w:w w:val="89"/>
              </w:rPr>
              <w:t>2013</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jc w:val="right"/>
              <w:ind w:right="270"/>
              <w:spacing w:after="0" w:line="194" w:lineRule="exact"/>
              <w:rPr>
                <w:sz w:val="20"/>
                <w:szCs w:val="20"/>
                <w:color w:val="auto"/>
              </w:rPr>
            </w:pPr>
            <w:r>
              <w:rPr>
                <w:rFonts w:ascii="Arial" w:cs="Arial" w:eastAsia="Arial" w:hAnsi="Arial"/>
                <w:sz w:val="18"/>
                <w:szCs w:val="18"/>
                <w:b w:val="1"/>
                <w:bCs w:val="1"/>
                <w:color w:val="auto"/>
              </w:rPr>
              <w:t>2012</w:t>
            </w:r>
          </w:p>
        </w:tc>
        <w:tc>
          <w:tcPr>
            <w:tcW w:w="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60" w:type="dxa"/>
            <w:vAlign w:val="bottom"/>
            <w:gridSpan w:val="4"/>
          </w:tcPr>
          <w:p>
            <w:pPr>
              <w:jc w:val="right"/>
              <w:ind w:right="750"/>
              <w:spacing w:after="0" w:line="194" w:lineRule="exact"/>
              <w:rPr>
                <w:sz w:val="20"/>
                <w:szCs w:val="20"/>
                <w:color w:val="auto"/>
              </w:rPr>
            </w:pPr>
            <w:r>
              <w:rPr>
                <w:rFonts w:ascii="Arial" w:cs="Arial" w:eastAsia="Arial" w:hAnsi="Arial"/>
                <w:sz w:val="18"/>
                <w:szCs w:val="18"/>
                <w:b w:val="1"/>
                <w:bCs w:val="1"/>
                <w:color w:val="auto"/>
              </w:rPr>
              <w:t>Change</w:t>
            </w:r>
          </w:p>
        </w:tc>
        <w:tc>
          <w:tcPr>
            <w:tcW w:w="260" w:type="dxa"/>
            <w:vAlign w:val="bottom"/>
          </w:tcPr>
          <w:p>
            <w:pPr>
              <w:spacing w:after="0"/>
              <w:rPr>
                <w:sz w:val="16"/>
                <w:szCs w:val="16"/>
                <w:color w:val="auto"/>
              </w:rPr>
            </w:pPr>
          </w:p>
        </w:tc>
        <w:tc>
          <w:tcPr>
            <w:tcW w:w="780" w:type="dxa"/>
            <w:vAlign w:val="bottom"/>
          </w:tcPr>
          <w:p>
            <w:pPr>
              <w:jc w:val="right"/>
              <w:ind w:right="250"/>
              <w:spacing w:after="0" w:line="194" w:lineRule="exact"/>
              <w:rPr>
                <w:sz w:val="20"/>
                <w:szCs w:val="20"/>
                <w:color w:val="auto"/>
              </w:rPr>
            </w:pPr>
            <w:r>
              <w:rPr>
                <w:rFonts w:ascii="Arial" w:cs="Arial" w:eastAsia="Arial" w:hAnsi="Arial"/>
                <w:sz w:val="18"/>
                <w:szCs w:val="18"/>
                <w:b w:val="1"/>
                <w:bCs w:val="1"/>
                <w:color w:val="auto"/>
              </w:rPr>
              <w:t>2013</w:t>
            </w:r>
          </w:p>
        </w:tc>
        <w:tc>
          <w:tcPr>
            <w:tcW w:w="120" w:type="dxa"/>
            <w:vAlign w:val="bottom"/>
          </w:tcPr>
          <w:p>
            <w:pPr>
              <w:spacing w:after="0"/>
              <w:rPr>
                <w:sz w:val="16"/>
                <w:szCs w:val="16"/>
                <w:color w:val="auto"/>
              </w:rPr>
            </w:pPr>
          </w:p>
        </w:tc>
        <w:tc>
          <w:tcPr>
            <w:tcW w:w="1140" w:type="dxa"/>
            <w:vAlign w:val="bottom"/>
            <w:gridSpan w:val="5"/>
          </w:tcPr>
          <w:p>
            <w:pPr>
              <w:jc w:val="right"/>
              <w:ind w:right="360"/>
              <w:spacing w:after="0" w:line="194" w:lineRule="exact"/>
              <w:rPr>
                <w:sz w:val="20"/>
                <w:szCs w:val="20"/>
                <w:color w:val="auto"/>
              </w:rPr>
            </w:pPr>
            <w:r>
              <w:rPr>
                <w:rFonts w:ascii="Arial" w:cs="Arial" w:eastAsia="Arial" w:hAnsi="Arial"/>
                <w:sz w:val="18"/>
                <w:szCs w:val="18"/>
                <w:b w:val="1"/>
                <w:bCs w:val="1"/>
                <w:color w:val="auto"/>
              </w:rPr>
              <w:t>2012</w:t>
            </w: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gridSpan w:val="3"/>
          </w:tcPr>
          <w:p>
            <w:pPr>
              <w:jc w:val="right"/>
              <w:ind w:right="300"/>
              <w:spacing w:after="0" w:line="194" w:lineRule="exact"/>
              <w:rPr>
                <w:sz w:val="20"/>
                <w:szCs w:val="20"/>
                <w:color w:val="auto"/>
              </w:rPr>
            </w:pPr>
            <w:r>
              <w:rPr>
                <w:rFonts w:ascii="Arial" w:cs="Arial" w:eastAsia="Arial" w:hAnsi="Arial"/>
                <w:sz w:val="18"/>
                <w:szCs w:val="18"/>
                <w:b w:val="1"/>
                <w:bCs w:val="1"/>
                <w:color w:val="auto"/>
              </w:rPr>
              <w:t>Change</w:t>
            </w: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520" w:type="dxa"/>
            <w:vAlign w:val="bottom"/>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460" w:type="dxa"/>
            <w:vAlign w:val="bottom"/>
            <w:tcBorders>
              <w:top w:val="single" w:sz="8" w:color="auto"/>
            </w:tcBorders>
          </w:tcPr>
          <w:p>
            <w:pPr>
              <w:spacing w:after="0"/>
              <w:rPr>
                <w:sz w:val="2"/>
                <w:szCs w:val="2"/>
                <w:color w:val="auto"/>
              </w:rPr>
            </w:pPr>
          </w:p>
        </w:tc>
        <w:tc>
          <w:tcPr>
            <w:tcW w:w="6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FEI-NY</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26,039</w:t>
            </w: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24,135</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1,904</w:t>
            </w:r>
          </w:p>
        </w:tc>
        <w:tc>
          <w:tcPr>
            <w:tcW w:w="920" w:type="dxa"/>
            <w:vAlign w:val="bottom"/>
            <w:tcBorders>
              <w:left w:val="single" w:sz="8" w:color="CCEEFF"/>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8%</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12,865</w:t>
            </w:r>
          </w:p>
        </w:tc>
        <w:tc>
          <w:tcPr>
            <w:tcW w:w="46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0"/>
              </w:rPr>
              <w:t>12,287</w:t>
            </w:r>
          </w:p>
        </w:tc>
        <w:tc>
          <w:tcPr>
            <w:tcW w:w="500" w:type="dxa"/>
            <w:vAlign w:val="bottom"/>
            <w:tcBorders>
              <w:left w:val="single" w:sz="8" w:color="CCEEFF"/>
            </w:tcBorders>
            <w:gridSpan w:val="2"/>
            <w:shd w:val="clear" w:color="auto" w:fill="CCEEFF"/>
          </w:tcPr>
          <w:p>
            <w:pPr>
              <w:jc w:val="center"/>
              <w:ind w:right="20"/>
              <w:spacing w:after="0"/>
              <w:rPr>
                <w:sz w:val="20"/>
                <w:szCs w:val="20"/>
                <w:color w:val="auto"/>
              </w:rPr>
            </w:pPr>
            <w:r>
              <w:rPr>
                <w:rFonts w:ascii="Arial" w:cs="Arial" w:eastAsia="Arial" w:hAnsi="Arial"/>
                <w:sz w:val="18"/>
                <w:szCs w:val="18"/>
                <w:color w:val="auto"/>
                <w:w w:val="79"/>
              </w:rPr>
              <w:t>$</w:t>
            </w:r>
          </w:p>
        </w:tc>
        <w:tc>
          <w:tcPr>
            <w:tcW w:w="112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578</w:t>
            </w:r>
          </w:p>
        </w:tc>
        <w:tc>
          <w:tcPr>
            <w:tcW w:w="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20" w:type="dxa"/>
            <w:vAlign w:val="bottom"/>
            <w:gridSpan w:val="4"/>
          </w:tcPr>
          <w:p>
            <w:pPr>
              <w:spacing w:after="0"/>
              <w:rPr>
                <w:sz w:val="20"/>
                <w:szCs w:val="20"/>
                <w:color w:val="auto"/>
              </w:rPr>
            </w:pPr>
            <w:r>
              <w:rPr>
                <w:rFonts w:ascii="Arial" w:cs="Arial" w:eastAsia="Arial" w:hAnsi="Arial"/>
                <w:sz w:val="18"/>
                <w:szCs w:val="18"/>
                <w:color w:val="auto"/>
              </w:rPr>
              <w:t>Gillam-FEI</w:t>
            </w:r>
          </w:p>
        </w:tc>
        <w:tc>
          <w:tcPr>
            <w:tcW w:w="34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4,568</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4,518</w:t>
            </w:r>
          </w:p>
        </w:tc>
        <w:tc>
          <w:tcPr>
            <w:tcW w:w="32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50</w:t>
            </w:r>
          </w:p>
        </w:tc>
        <w:tc>
          <w:tcPr>
            <w:tcW w:w="920" w:type="dxa"/>
            <w:vAlign w:val="bottom"/>
            <w:gridSpan w:val="2"/>
          </w:tcPr>
          <w:p>
            <w:pPr>
              <w:jc w:val="right"/>
              <w:ind w:right="70"/>
              <w:spacing w:after="0"/>
              <w:rPr>
                <w:sz w:val="20"/>
                <w:szCs w:val="20"/>
                <w:color w:val="auto"/>
              </w:rPr>
            </w:pPr>
            <w:r>
              <w:rPr>
                <w:rFonts w:ascii="Arial" w:cs="Arial" w:eastAsia="Arial" w:hAnsi="Arial"/>
                <w:sz w:val="18"/>
                <w:szCs w:val="18"/>
                <w:color w:val="auto"/>
              </w:rPr>
              <w:t>1%</w:t>
            </w:r>
          </w:p>
        </w:tc>
        <w:tc>
          <w:tcPr>
            <w:tcW w:w="2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1,873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2,610</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gridSpan w:val="3"/>
          </w:tcPr>
          <w:p>
            <w:pPr>
              <w:jc w:val="right"/>
              <w:ind w:right="320"/>
              <w:spacing w:after="0"/>
              <w:rPr>
                <w:sz w:val="20"/>
                <w:szCs w:val="20"/>
                <w:color w:val="auto"/>
              </w:rPr>
            </w:pPr>
            <w:r>
              <w:rPr>
                <w:rFonts w:ascii="Arial" w:cs="Arial" w:eastAsia="Arial" w:hAnsi="Arial"/>
                <w:sz w:val="18"/>
                <w:szCs w:val="18"/>
                <w:color w:val="auto"/>
              </w:rPr>
              <w:t>(737)</w:t>
            </w: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w w:val="87"/>
              </w:rPr>
              <w:t>(28%)</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FEI-Zyfer</w:t>
            </w: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4,352</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6,688</w:t>
            </w:r>
          </w:p>
        </w:tc>
        <w:tc>
          <w:tcPr>
            <w:tcW w:w="3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(2,336)</w:t>
            </w:r>
          </w:p>
        </w:tc>
        <w:tc>
          <w:tcPr>
            <w:tcW w:w="920" w:type="dxa"/>
            <w:vAlign w:val="bottom"/>
            <w:tcBorders>
              <w:left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(35%)</w:t>
            </w: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2,363</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3,331</w:t>
            </w:r>
          </w:p>
        </w:tc>
        <w:tc>
          <w:tcPr>
            <w:tcW w:w="200" w:type="dxa"/>
            <w:vAlign w:val="bottom"/>
            <w:tcBorders>
              <w:left w:val="single" w:sz="8" w:color="CCEEFF"/>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(968)</w:t>
            </w: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7"/>
              </w:rPr>
              <w:t>(29%)</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820" w:type="dxa"/>
            <w:vAlign w:val="bottom"/>
            <w:gridSpan w:val="4"/>
          </w:tcPr>
          <w:p>
            <w:pPr>
              <w:spacing w:after="0" w:line="201" w:lineRule="exact"/>
              <w:rPr>
                <w:sz w:val="20"/>
                <w:szCs w:val="20"/>
                <w:color w:val="auto"/>
              </w:rPr>
            </w:pPr>
            <w:r>
              <w:rPr>
                <w:rFonts w:ascii="Arial" w:cs="Arial" w:eastAsia="Arial" w:hAnsi="Arial"/>
                <w:sz w:val="18"/>
                <w:szCs w:val="18"/>
                <w:color w:val="auto"/>
              </w:rPr>
              <w:t>Intersegment</w:t>
            </w:r>
          </w:p>
        </w:tc>
        <w:tc>
          <w:tcPr>
            <w:tcW w:w="3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840" w:type="dxa"/>
            <w:vAlign w:val="bottom"/>
            <w:gridSpan w:val="5"/>
          </w:tcPr>
          <w:p>
            <w:pPr>
              <w:spacing w:after="0"/>
              <w:rPr>
                <w:sz w:val="20"/>
                <w:szCs w:val="20"/>
                <w:color w:val="auto"/>
              </w:rPr>
            </w:pPr>
            <w:r>
              <w:rPr>
                <w:rFonts w:ascii="Arial" w:cs="Arial" w:eastAsia="Arial" w:hAnsi="Arial"/>
                <w:sz w:val="18"/>
                <w:szCs w:val="18"/>
                <w:color w:val="auto"/>
              </w:rPr>
              <w:t>revenues</w:t>
            </w:r>
          </w:p>
        </w:tc>
        <w:tc>
          <w:tcPr>
            <w:tcW w:w="340" w:type="dxa"/>
            <w:vAlign w:val="bottom"/>
          </w:tcPr>
          <w:p>
            <w:pPr>
              <w:spacing w:after="0"/>
              <w:rPr>
                <w:sz w:val="20"/>
                <w:szCs w:val="20"/>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(1,125)</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(1,087)</w:t>
            </w:r>
          </w:p>
        </w:tc>
        <w:tc>
          <w:tcPr>
            <w:tcW w:w="320" w:type="dxa"/>
            <w:vAlign w:val="bottom"/>
          </w:tcPr>
          <w:p>
            <w:pPr>
              <w:spacing w:after="0"/>
              <w:rPr>
                <w:sz w:val="20"/>
                <w:szCs w:val="20"/>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(38)</w:t>
            </w:r>
          </w:p>
        </w:tc>
        <w:tc>
          <w:tcPr>
            <w:tcW w:w="6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(94)</w:t>
            </w: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(659)</w:t>
            </w: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gridSpan w:val="3"/>
          </w:tcPr>
          <w:p>
            <w:pPr>
              <w:jc w:val="right"/>
              <w:ind w:right="380"/>
              <w:spacing w:after="0"/>
              <w:rPr>
                <w:sz w:val="20"/>
                <w:szCs w:val="20"/>
                <w:color w:val="auto"/>
              </w:rPr>
            </w:pPr>
            <w:r>
              <w:rPr>
                <w:rFonts w:ascii="Arial" w:cs="Arial" w:eastAsia="Arial" w:hAnsi="Arial"/>
                <w:sz w:val="18"/>
                <w:szCs w:val="18"/>
                <w:color w:val="auto"/>
              </w:rPr>
              <w:t>565</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460" w:type="dxa"/>
            <w:vAlign w:val="bottom"/>
          </w:tcPr>
          <w:p>
            <w:pPr>
              <w:spacing w:after="0"/>
              <w:rPr>
                <w:sz w:val="2"/>
                <w:szCs w:val="2"/>
                <w:color w:val="auto"/>
              </w:rPr>
            </w:pPr>
          </w:p>
        </w:tc>
        <w:tc>
          <w:tcPr>
            <w:tcW w:w="64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300" w:type="dxa"/>
            <w:vAlign w:val="bottom"/>
            <w:tcBorders>
              <w:right w:val="single" w:sz="8" w:color="auto"/>
            </w:tcBorders>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33,834</w:t>
            </w: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34,254</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(420)</w:t>
            </w:r>
          </w:p>
        </w:tc>
        <w:tc>
          <w:tcPr>
            <w:tcW w:w="920" w:type="dxa"/>
            <w:vAlign w:val="bottom"/>
            <w:tcBorders>
              <w:left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17,007</w:t>
            </w:r>
          </w:p>
        </w:tc>
        <w:tc>
          <w:tcPr>
            <w:tcW w:w="46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0"/>
              </w:rPr>
              <w:t>17,569</w:t>
            </w:r>
          </w:p>
        </w:tc>
        <w:tc>
          <w:tcPr>
            <w:tcW w:w="500" w:type="dxa"/>
            <w:vAlign w:val="bottom"/>
            <w:tcBorders>
              <w:left w:val="single" w:sz="8" w:color="CCEEFF"/>
            </w:tcBorders>
            <w:gridSpan w:val="2"/>
            <w:shd w:val="clear" w:color="auto" w:fill="CCEEFF"/>
          </w:tcPr>
          <w:p>
            <w:pPr>
              <w:jc w:val="center"/>
              <w:ind w:right="20"/>
              <w:spacing w:after="0"/>
              <w:rPr>
                <w:sz w:val="20"/>
                <w:szCs w:val="20"/>
                <w:color w:val="auto"/>
              </w:rPr>
            </w:pPr>
            <w:r>
              <w:rPr>
                <w:rFonts w:ascii="Arial" w:cs="Arial" w:eastAsia="Arial" w:hAnsi="Arial"/>
                <w:sz w:val="18"/>
                <w:szCs w:val="18"/>
                <w:color w:val="auto"/>
                <w:w w:val="79"/>
              </w:rPr>
              <w:t>$</w:t>
            </w:r>
          </w:p>
        </w:tc>
        <w:tc>
          <w:tcPr>
            <w:tcW w:w="112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(562)</w:t>
            </w: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w:t>
            </w:r>
          </w:p>
        </w:tc>
        <w:tc>
          <w:tcPr>
            <w:tcW w:w="4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firstLine="486"/>
        <w:spacing w:after="0" w:line="287" w:lineRule="auto"/>
        <w:rPr>
          <w:sz w:val="20"/>
          <w:szCs w:val="20"/>
          <w:color w:val="auto"/>
        </w:rPr>
      </w:pPr>
      <w:r>
        <w:rPr>
          <w:rFonts w:ascii="Arial" w:cs="Arial" w:eastAsia="Arial" w:hAnsi="Arial"/>
          <w:sz w:val="16"/>
          <w:szCs w:val="16"/>
          <w:color w:val="auto"/>
        </w:rPr>
        <w:t>For the six and three months ended October 31, 2013, revenues from commercial and U.S. Government satellite programs accounted for more than 55% of consolidated revenues and increased by approximately 20% over the same periods of fiscal year 2013. Revenues on these contracts are recognized primarily under the percentage of completion method. Revenues from the satellite market are recorded in the FEI-NY segment. Revenues from non-space U.S. Government/DOD customers, which are recorded in both the FEI-NY and FEI-Zyfer segments, accounted for approximately 20% of fiscal year 2014 consolidated revenues. Such revenues decreased by 10% and 36%, respectively, from the same periods of fiscal year 2013. Total revenues from U.S. Government satellite contracts and non-space programs approached 60% of consolidated revenues for the six months ended October 31, 2013 and were approximately 55% of revenues for the three-month period then ended. Network infrastructure revenues in the fiscal year 2014 periods accounted for approximately 15% of consolidated revenues and declined by approximately 20% and 30%, respectively, from the same periods of fiscal year 2013. Network infrastructure revenues are recorded in all three segments although the largest network infrastructure sales volume is recorded in the Gillam-FEI and FEI-Zyfer segments and accounted for most of the year-over-year decline in FEI-Zyfer’s revenues. For the three-month period ended October 31, 2013, Gillam-FEI revenues decreased over the prior year primarily due to lower intersegment sales which are eliminated in consolidation.</w:t>
      </w: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 of 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color w:val="auto"/>
        </w:rPr>
        <w:t>FREQUENCY ELECTRONICS,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(Continued)</w:t>
      </w:r>
    </w:p>
    <w:p>
      <w:pPr>
        <w:spacing w:after="0" w:line="238" w:lineRule="exact"/>
        <w:rPr>
          <w:sz w:val="20"/>
          <w:szCs w:val="20"/>
          <w:color w:val="auto"/>
        </w:rPr>
      </w:pPr>
    </w:p>
    <w:p>
      <w:pPr>
        <w:jc w:val="both"/>
        <w:ind w:firstLine="486"/>
        <w:spacing w:after="0" w:line="271" w:lineRule="auto"/>
        <w:rPr>
          <w:sz w:val="20"/>
          <w:szCs w:val="20"/>
          <w:color w:val="auto"/>
        </w:rPr>
      </w:pPr>
      <w:r>
        <w:rPr>
          <w:rFonts w:ascii="Arial" w:cs="Arial" w:eastAsia="Arial" w:hAnsi="Arial"/>
          <w:sz w:val="17"/>
          <w:szCs w:val="17"/>
          <w:color w:val="auto"/>
        </w:rPr>
        <w:t>For the six and three months ended October 31, 2012, FEI-NY revenues from commercial and U.S. Government satellite programs increased 10% over the prior year. Revenues from these programs accounted for just under 50% of consolidated sales, approximately the same ratio as the same six-month period of fiscal year 2012. Revenues on these long-term contracts are recognized primarily under the percentage of completion method. Sales from the U.S. Government/DOD business area, which accounted for more than 20% of consolidated revenues, increased almost 20% over fiscal year 2012 revenues due primarily to the FEI-Elcom acquisition. Between sales from FEI-NY (including FEI-Elcom) and FEI-Zyfer, total revenues from U.S. Government satellite and non-space programs exceeded 50% for the six months ended October 31, 2012 and neared 60% for the three month period then ended. Network infrastructure sales, which are recorded in all three segments, grew approximately 15% year over year and accounted for approximately 20% of consolidated revenues, similar to the prior fiscal year.</w:t>
      </w:r>
    </w:p>
    <w:p>
      <w:pPr>
        <w:spacing w:after="0" w:line="206"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Based on the Company’s current backlog, over three-fourths of which represent satellite payload business, and the potential for additional new orders, revenues for fiscal year 2014 are expected to remain at approximately the same level as the prior year. Satellite payload revenues will continue to be the dominant portion of the Company’s business and represents the Company’s best growth opportunity.</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840" w:type="dxa"/>
            <w:vAlign w:val="bottom"/>
            <w:gridSpan w:val="4"/>
          </w:tcPr>
          <w:p>
            <w:pPr>
              <w:spacing w:after="0"/>
              <w:rPr>
                <w:sz w:val="20"/>
                <w:szCs w:val="20"/>
                <w:color w:val="auto"/>
              </w:rPr>
            </w:pPr>
            <w:r>
              <w:rPr>
                <w:rFonts w:ascii="Arial" w:cs="Arial" w:eastAsia="Arial" w:hAnsi="Arial"/>
                <w:sz w:val="18"/>
                <w:szCs w:val="18"/>
                <w:b w:val="1"/>
                <w:bCs w:val="1"/>
                <w:color w:val="auto"/>
              </w:rPr>
              <w:t>Gross margin</w:t>
            </w:r>
          </w:p>
        </w:tc>
        <w:tc>
          <w:tcPr>
            <w:tcW w:w="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7"/>
        </w:trPr>
        <w:tc>
          <w:tcPr>
            <w:tcW w:w="20" w:type="dxa"/>
            <w:vAlign w:val="bottom"/>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15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8"/>
                <w:szCs w:val="18"/>
                <w:b w:val="1"/>
                <w:bCs w:val="1"/>
                <w:color w:val="auto"/>
                <w:w w:val="90"/>
              </w:rPr>
              <w:t>Six months</w:t>
            </w:r>
          </w:p>
        </w:tc>
        <w:tc>
          <w:tcPr>
            <w:tcW w:w="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18"/>
                <w:szCs w:val="18"/>
                <w:b w:val="1"/>
                <w:bCs w:val="1"/>
                <w:color w:val="auto"/>
                <w:w w:val="94"/>
              </w:rPr>
              <w:t>Three months</w:t>
            </w:r>
          </w:p>
        </w:tc>
        <w:tc>
          <w:tcPr>
            <w:tcW w:w="10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780" w:type="dxa"/>
            <w:vAlign w:val="bottom"/>
            <w:gridSpan w:val="6"/>
          </w:tcPr>
          <w:p>
            <w:pPr>
              <w:jc w:val="right"/>
              <w:ind w:right="400"/>
              <w:spacing w:after="0" w:line="198" w:lineRule="exact"/>
              <w:rPr>
                <w:sz w:val="20"/>
                <w:szCs w:val="20"/>
                <w:color w:val="auto"/>
              </w:rPr>
            </w:pPr>
            <w:r>
              <w:rPr>
                <w:rFonts w:ascii="Arial" w:cs="Arial" w:eastAsia="Arial" w:hAnsi="Arial"/>
                <w:sz w:val="18"/>
                <w:szCs w:val="18"/>
                <w:b w:val="1"/>
                <w:bCs w:val="1"/>
                <w:color w:val="auto"/>
              </w:rPr>
              <w:t>Periods ended October 31,</w:t>
            </w: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2013</w:t>
            </w:r>
          </w:p>
        </w:tc>
        <w:tc>
          <w:tcPr>
            <w:tcW w:w="2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2012</w:t>
            </w: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Change</w:t>
            </w:r>
          </w:p>
        </w:tc>
        <w:tc>
          <w:tcPr>
            <w:tcW w:w="240" w:type="dxa"/>
            <w:vAlign w:val="bottom"/>
            <w:tcBorders>
              <w:bottom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2013</w:t>
            </w: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2012</w:t>
            </w:r>
          </w:p>
        </w:tc>
        <w:tc>
          <w:tcPr>
            <w:tcW w:w="260" w:type="dxa"/>
            <w:vAlign w:val="bottom"/>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Change</w:t>
            </w:r>
          </w:p>
        </w:tc>
        <w:tc>
          <w:tcPr>
            <w:tcW w:w="1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12,498</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12,713</w:t>
            </w:r>
          </w:p>
        </w:tc>
        <w:tc>
          <w:tcPr>
            <w:tcW w:w="1040" w:type="dxa"/>
            <w:vAlign w:val="bottom"/>
            <w:gridSpan w:val="2"/>
            <w:shd w:val="clear" w:color="auto" w:fill="CCEEFF"/>
          </w:tcPr>
          <w:p>
            <w:pPr>
              <w:jc w:val="right"/>
              <w:ind w:right="310"/>
              <w:spacing w:after="0"/>
              <w:rPr>
                <w:sz w:val="20"/>
                <w:szCs w:val="20"/>
                <w:color w:val="auto"/>
              </w:rPr>
            </w:pPr>
            <w:r>
              <w:rPr>
                <w:rFonts w:ascii="Arial" w:cs="Arial" w:eastAsia="Arial" w:hAnsi="Arial"/>
                <w:sz w:val="18"/>
                <w:szCs w:val="18"/>
                <w:color w:val="auto"/>
              </w:rPr>
              <w:t>$ (215)</w:t>
            </w:r>
          </w:p>
        </w:tc>
        <w:tc>
          <w:tcPr>
            <w:tcW w:w="7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 $</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6,232</w:t>
            </w:r>
          </w:p>
        </w:tc>
        <w:tc>
          <w:tcPr>
            <w:tcW w:w="2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6,732</w:t>
            </w:r>
          </w:p>
        </w:tc>
        <w:tc>
          <w:tcPr>
            <w:tcW w:w="104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w w:val="98"/>
              </w:rPr>
              <w:t>$ (500)</w:t>
            </w: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4"/>
              </w:rPr>
              <w:t>(7%)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GM Rate</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36.9%</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37.1%</w:t>
            </w:r>
          </w:p>
        </w:tc>
        <w:tc>
          <w:tcPr>
            <w:tcW w:w="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36.6%</w:t>
            </w: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38.3%</w:t>
            </w:r>
          </w:p>
        </w:tc>
        <w:tc>
          <w:tcPr>
            <w:tcW w:w="1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-410845</wp:posOffset>
            </wp:positionV>
            <wp:extent cx="1603375" cy="2743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603375" cy="274320"/>
                    </a:xfrm>
                    <a:prstGeom prst="rect">
                      <a:avLst/>
                    </a:prstGeom>
                    <a:noFill/>
                  </pic:spPr>
                </pic:pic>
              </a:graphicData>
            </a:graphic>
          </wp:anchor>
        </w:drawing>
      </w:r>
    </w:p>
    <w:p>
      <w:pPr>
        <w:spacing w:after="0" w:line="209" w:lineRule="exact"/>
        <w:rPr>
          <w:sz w:val="20"/>
          <w:szCs w:val="20"/>
          <w:color w:val="auto"/>
        </w:rPr>
      </w:pPr>
    </w:p>
    <w:p>
      <w:pPr>
        <w:jc w:val="both"/>
        <w:ind w:right="20" w:firstLine="486"/>
        <w:spacing w:after="0" w:line="277" w:lineRule="auto"/>
        <w:rPr>
          <w:sz w:val="20"/>
          <w:szCs w:val="20"/>
          <w:color w:val="auto"/>
        </w:rPr>
      </w:pPr>
      <w:r>
        <w:rPr>
          <w:rFonts w:ascii="Arial" w:cs="Arial" w:eastAsia="Arial" w:hAnsi="Arial"/>
          <w:sz w:val="18"/>
          <w:szCs w:val="18"/>
          <w:color w:val="auto"/>
        </w:rPr>
        <w:t>Gross margin for the six and three month periods ended October 31, 2013, decreased due to lower revenues and lower gross margin rates. The gross margin rate is impacted by product mix as well as by unabsorbed overhead costs during fiscal year 2014.</w:t>
      </w:r>
    </w:p>
    <w:p>
      <w:pPr>
        <w:spacing w:after="0" w:line="197"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Fiscal year 2013 gross margin increased over the prior fiscal year due to higher consolidated revenues. The fiscal year 2013 gross margin rate was reduced from the fiscal year 2012 rates due to the effect of low sales volume and higher costs incurred on certain customer-funded nonrecurring engineering projects at FEI-Elcom whose results of operations are included in the FEI-NY segment.</w:t>
      </w:r>
    </w:p>
    <w:p>
      <w:pPr>
        <w:spacing w:after="0" w:line="181"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The gross margin rates recorded in the fiscal year 2014 and 2013 periods were less than the Company’s targeted rate of 40%. As satellite payload sales volume increases and as the product mix changes, the Company anticipates that its gross margin rates for the remainder of fiscal year 2014 will approach its target rate.</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Selling and administrative expenses</w:t>
      </w:r>
    </w:p>
    <w:p>
      <w:pPr>
        <w:spacing w:after="0" w:line="252" w:lineRule="exact"/>
        <w:rPr>
          <w:sz w:val="20"/>
          <w:szCs w:val="20"/>
          <w:color w:val="auto"/>
        </w:rPr>
      </w:pPr>
    </w:p>
    <w:tbl>
      <w:tblPr>
        <w:tblLayout w:type="fixed"/>
        <w:tblInd w:w="1440" w:type="dxa"/>
        <w:tblCellMar>
          <w:top w:w="0" w:type="dxa"/>
          <w:left w:w="0" w:type="dxa"/>
          <w:bottom w:w="0" w:type="dxa"/>
          <w:right w:w="0" w:type="dxa"/>
        </w:tblCellMar>
      </w:tblPr>
      <w:tr>
        <w:trPr>
          <w:trHeight w:val="241"/>
        </w:trPr>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8"/>
                <w:szCs w:val="18"/>
                <w:b w:val="1"/>
                <w:bCs w:val="1"/>
                <w:color w:val="auto"/>
                <w:w w:val="92"/>
              </w:rPr>
              <w:t>Six months</w:t>
            </w: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w w:val="94"/>
              </w:rPr>
              <w:t>Three months</w:t>
            </w:r>
          </w:p>
        </w:tc>
        <w:tc>
          <w:tcPr>
            <w:tcW w:w="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r>
      <w:tr>
        <w:trPr>
          <w:trHeight w:val="198"/>
        </w:trPr>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20" w:type="dxa"/>
            <w:vAlign w:val="bottom"/>
            <w:gridSpan w:val="6"/>
          </w:tcPr>
          <w:p>
            <w:pPr>
              <w:jc w:val="center"/>
              <w:ind w:right="120"/>
              <w:spacing w:after="0" w:line="198" w:lineRule="exact"/>
              <w:rPr>
                <w:sz w:val="20"/>
                <w:szCs w:val="20"/>
                <w:color w:val="auto"/>
              </w:rPr>
            </w:pPr>
            <w:r>
              <w:rPr>
                <w:rFonts w:ascii="Arial" w:cs="Arial" w:eastAsia="Arial" w:hAnsi="Arial"/>
                <w:sz w:val="18"/>
                <w:szCs w:val="18"/>
                <w:b w:val="1"/>
                <w:bCs w:val="1"/>
                <w:color w:val="auto"/>
                <w:w w:val="88"/>
              </w:rPr>
              <w:t>Periods ended October 31,</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r>
      <w:tr>
        <w:trPr>
          <w:trHeight w:val="241"/>
        </w:trPr>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2013</w:t>
            </w: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2012</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Change</w:t>
            </w:r>
          </w:p>
        </w:tc>
        <w:tc>
          <w:tcPr>
            <w:tcW w:w="240" w:type="dxa"/>
            <w:vAlign w:val="bottom"/>
            <w:tcBorders>
              <w:bottom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2012</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Change</w:t>
            </w:r>
          </w:p>
        </w:tc>
        <w:tc>
          <w:tcPr>
            <w:tcW w:w="26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r>
      <w:tr>
        <w:trPr>
          <w:trHeight w:val="216"/>
        </w:trPr>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7,045</w:t>
            </w:r>
          </w:p>
        </w:tc>
        <w:tc>
          <w:tcPr>
            <w:tcW w:w="4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6,996</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49</w:t>
            </w:r>
          </w:p>
        </w:tc>
        <w:tc>
          <w:tcPr>
            <w:tcW w:w="7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  $</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3,485</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3,511</w:t>
            </w: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(26)</w:t>
            </w: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w:t>
            </w:r>
          </w:p>
        </w:tc>
      </w:tr>
    </w:tbl>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both"/>
        <w:ind w:firstLine="486"/>
        <w:spacing w:after="0" w:line="279" w:lineRule="auto"/>
        <w:rPr>
          <w:sz w:val="20"/>
          <w:szCs w:val="20"/>
          <w:color w:val="auto"/>
        </w:rPr>
      </w:pPr>
      <w:r>
        <w:rPr>
          <w:rFonts w:ascii="Arial" w:cs="Arial" w:eastAsia="Arial" w:hAnsi="Arial"/>
          <w:sz w:val="17"/>
          <w:szCs w:val="17"/>
          <w:color w:val="auto"/>
        </w:rPr>
        <w:t>For the six and three-month periods ended October 31, 2013 and 2012, selling and administrative expenses varied from 20% to 21% of consolidated revenues which approximates the Company’s target for such expenditures. The fluctuation in expenses in the fiscal year 2014 periods compared to the same periods of fiscal year 2013 is due to primarily to variations in stock-based compensation and accruals for incentive compensation plans. For the remainder of fiscal year 2014, the Company expects selling and administrative expenses to be incurred at approximately the same rate.</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 of 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color w:val="auto"/>
        </w:rPr>
        <w:t>FREQUENCY ELECTRONICS,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(Continued)</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Research and development expense</w:t>
      </w:r>
    </w:p>
    <w:p>
      <w:pPr>
        <w:spacing w:after="0" w:line="252" w:lineRule="exact"/>
        <w:rPr>
          <w:sz w:val="20"/>
          <w:szCs w:val="20"/>
          <w:color w:val="auto"/>
        </w:rPr>
      </w:pPr>
    </w:p>
    <w:tbl>
      <w:tblPr>
        <w:tblLayout w:type="fixed"/>
        <w:tblInd w:w="1440" w:type="dxa"/>
        <w:tblCellMar>
          <w:top w:w="0" w:type="dxa"/>
          <w:left w:w="0" w:type="dxa"/>
          <w:bottom w:w="0" w:type="dxa"/>
          <w:right w:w="0" w:type="dxa"/>
        </w:tblCellMar>
      </w:tblPr>
      <w:tr>
        <w:trPr>
          <w:trHeight w:val="241"/>
        </w:trPr>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b w:val="1"/>
                <w:bCs w:val="1"/>
                <w:color w:val="auto"/>
                <w:w w:val="98"/>
              </w:rPr>
              <w:t>Six months</w:t>
            </w:r>
          </w:p>
        </w:tc>
        <w:tc>
          <w:tcPr>
            <w:tcW w:w="1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gridSpan w:val="2"/>
          </w:tcPr>
          <w:p>
            <w:pPr>
              <w:ind w:left="40"/>
              <w:spacing w:after="0"/>
              <w:rPr>
                <w:sz w:val="20"/>
                <w:szCs w:val="20"/>
                <w:color w:val="auto"/>
              </w:rPr>
            </w:pPr>
            <w:r>
              <w:rPr>
                <w:rFonts w:ascii="Arial" w:cs="Arial" w:eastAsia="Arial" w:hAnsi="Arial"/>
                <w:sz w:val="18"/>
                <w:szCs w:val="18"/>
                <w:b w:val="1"/>
                <w:bCs w:val="1"/>
                <w:color w:val="auto"/>
                <w:w w:val="99"/>
              </w:rPr>
              <w:t>Three months</w:t>
            </w:r>
          </w:p>
        </w:tc>
        <w:tc>
          <w:tcPr>
            <w:tcW w:w="1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r>
      <w:tr>
        <w:trPr>
          <w:trHeight w:val="198"/>
        </w:trPr>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960" w:type="dxa"/>
            <w:vAlign w:val="bottom"/>
            <w:gridSpan w:val="6"/>
          </w:tcPr>
          <w:p>
            <w:pPr>
              <w:jc w:val="right"/>
              <w:ind w:right="460"/>
              <w:spacing w:after="0" w:line="198" w:lineRule="exact"/>
              <w:rPr>
                <w:sz w:val="20"/>
                <w:szCs w:val="20"/>
                <w:color w:val="auto"/>
              </w:rPr>
            </w:pPr>
            <w:r>
              <w:rPr>
                <w:rFonts w:ascii="Arial" w:cs="Arial" w:eastAsia="Arial" w:hAnsi="Arial"/>
                <w:sz w:val="18"/>
                <w:szCs w:val="18"/>
                <w:b w:val="1"/>
                <w:bCs w:val="1"/>
                <w:color w:val="auto"/>
              </w:rPr>
              <w:t>Periods ended October 31,</w:t>
            </w: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41"/>
        </w:trPr>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Change</w:t>
            </w:r>
          </w:p>
        </w:tc>
        <w:tc>
          <w:tcPr>
            <w:tcW w:w="28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2013</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2012</w:t>
            </w: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Change</w:t>
            </w:r>
          </w:p>
        </w:tc>
        <w:tc>
          <w:tcPr>
            <w:tcW w:w="28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r>
      <w:tr>
        <w:trPr>
          <w:trHeight w:val="216"/>
        </w:trPr>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3,226</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2,618</w:t>
            </w:r>
          </w:p>
        </w:tc>
        <w:tc>
          <w:tcPr>
            <w:tcW w:w="1180" w:type="dxa"/>
            <w:vAlign w:val="bottom"/>
            <w:gridSpan w:val="2"/>
            <w:shd w:val="clear" w:color="auto" w:fill="CCEEFF"/>
          </w:tcPr>
          <w:p>
            <w:pPr>
              <w:jc w:val="right"/>
              <w:ind w:right="410"/>
              <w:spacing w:after="0"/>
              <w:rPr>
                <w:sz w:val="20"/>
                <w:szCs w:val="20"/>
                <w:color w:val="auto"/>
              </w:rPr>
            </w:pPr>
            <w:r>
              <w:rPr>
                <w:rFonts w:ascii="Arial" w:cs="Arial" w:eastAsia="Arial" w:hAnsi="Arial"/>
                <w:sz w:val="18"/>
                <w:szCs w:val="18"/>
                <w:color w:val="auto"/>
              </w:rPr>
              <w:t>$  608</w:t>
            </w:r>
          </w:p>
        </w:tc>
        <w:tc>
          <w:tcPr>
            <w:tcW w:w="8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23%  $</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1,483</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1,203</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280</w:t>
            </w: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w:t>
            </w:r>
          </w:p>
        </w:tc>
      </w:tr>
    </w:tbl>
    <w:p>
      <w:pPr>
        <w:spacing w:after="0" w:line="202" w:lineRule="exact"/>
        <w:rPr>
          <w:sz w:val="20"/>
          <w:szCs w:val="20"/>
          <w:color w:val="auto"/>
        </w:rPr>
      </w:pPr>
    </w:p>
    <w:p>
      <w:pPr>
        <w:jc w:val="both"/>
        <w:ind w:firstLine="486"/>
        <w:spacing w:after="0" w:line="273" w:lineRule="auto"/>
        <w:rPr>
          <w:sz w:val="20"/>
          <w:szCs w:val="20"/>
          <w:color w:val="auto"/>
        </w:rPr>
      </w:pPr>
      <w:r>
        <w:rPr>
          <w:rFonts w:ascii="Arial" w:cs="Arial" w:eastAsia="Arial" w:hAnsi="Arial"/>
          <w:sz w:val="17"/>
          <w:szCs w:val="17"/>
          <w:color w:val="auto"/>
        </w:rPr>
        <w:t>Research and development (“R&amp;D”) expenditures represent investments intended to keep the Company’s products at the leading edge of time and frequency technology and enhance competitiveness for future revenues. R&amp;D spending for the six and three-month periods ended October 31, 2013, was approximately 10% and 9% of consolidated revenues, respectively, compared to 8% and 7% for the same periods of the prior fiscal year. In the fiscal year 2014 periods, the Company accelerated its development of new satellite payload microwave receivers/converters from DC to Ka band. Such products are anticipated to be ready for customer evaluation and new contract awards by the third quarter of fiscal year 2014. In the fiscal year 2013 periods, increased R&amp;D spending is due primarily to product development expenditures at FEI-Elcom to improve its own product line.</w:t>
      </w:r>
    </w:p>
    <w:p>
      <w:pPr>
        <w:spacing w:after="0" w:line="205" w:lineRule="exact"/>
        <w:rPr>
          <w:sz w:val="20"/>
          <w:szCs w:val="20"/>
          <w:color w:val="auto"/>
        </w:rPr>
      </w:pPr>
    </w:p>
    <w:p>
      <w:pPr>
        <w:jc w:val="both"/>
        <w:ind w:firstLine="486"/>
        <w:spacing w:after="0" w:line="273" w:lineRule="auto"/>
        <w:rPr>
          <w:sz w:val="20"/>
          <w:szCs w:val="20"/>
          <w:color w:val="auto"/>
        </w:rPr>
      </w:pPr>
      <w:r>
        <w:rPr>
          <w:rFonts w:ascii="Arial" w:cs="Arial" w:eastAsia="Arial" w:hAnsi="Arial"/>
          <w:sz w:val="17"/>
          <w:szCs w:val="17"/>
          <w:color w:val="auto"/>
        </w:rPr>
        <w:t>R&amp;D spending in fiscal year 2014, in addition to the development of new satellite payload products, will also include development and improvement of miniaturized rubidium atomic clocks, development of new GPS-based synchronization products and further enhancement of the capabilities of the Company’s line of low g-sensitivity and ruggedized rubidium oscillators. Included in these efforts are product redesign and process improvements to enhance product manufacturability and reduce production costs. The Company will continue to devote significant resources to develop new products, enhance existing products and implement efficient manufacturing processes. For fiscal year 2014, the Company is targeting to spend under 10% of revenues on internal R&amp;D projects. Internally generated cash and cash reserves are adequate to fund these development efforts.</w:t>
      </w:r>
    </w:p>
    <w:p>
      <w:pPr>
        <w:spacing w:after="0" w:line="205"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In addition to internal R&amp;D efforts, the Company continues to conduct development activities on customer-funded programs the cost of which appears in cost of revenues.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Operating profit</w:t>
      </w:r>
    </w:p>
    <w:p>
      <w:pPr>
        <w:spacing w:after="0" w:line="252" w:lineRule="exact"/>
        <w:rPr>
          <w:sz w:val="20"/>
          <w:szCs w:val="20"/>
          <w:color w:val="auto"/>
        </w:rPr>
      </w:pPr>
    </w:p>
    <w:tbl>
      <w:tblPr>
        <w:tblLayout w:type="fixed"/>
        <w:tblInd w:w="1360" w:type="dxa"/>
        <w:tblCellMar>
          <w:top w:w="0" w:type="dxa"/>
          <w:left w:w="0" w:type="dxa"/>
          <w:bottom w:w="0" w:type="dxa"/>
          <w:right w:w="0" w:type="dxa"/>
        </w:tblCellMar>
      </w:tblPr>
      <w:tr>
        <w:trPr>
          <w:trHeight w:val="241"/>
        </w:trPr>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gridSpan w:val="2"/>
          </w:tcPr>
          <w:p>
            <w:pPr>
              <w:ind w:left="60"/>
              <w:spacing w:after="0"/>
              <w:rPr>
                <w:sz w:val="20"/>
                <w:szCs w:val="20"/>
                <w:color w:val="auto"/>
              </w:rPr>
            </w:pPr>
            <w:r>
              <w:rPr>
                <w:rFonts w:ascii="Arial" w:cs="Arial" w:eastAsia="Arial" w:hAnsi="Arial"/>
                <w:sz w:val="18"/>
                <w:szCs w:val="18"/>
                <w:b w:val="1"/>
                <w:bCs w:val="1"/>
                <w:color w:val="auto"/>
              </w:rPr>
              <w:t>Six months</w:t>
            </w:r>
          </w:p>
        </w:tc>
        <w:tc>
          <w:tcPr>
            <w:tcW w:w="96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95"/>
              </w:rPr>
              <w:t>Three months</w:t>
            </w:r>
          </w:p>
        </w:tc>
        <w:tc>
          <w:tcPr>
            <w:tcW w:w="98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r>
      <w:tr>
        <w:trPr>
          <w:trHeight w:val="198"/>
        </w:trPr>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80" w:type="dxa"/>
            <w:vAlign w:val="bottom"/>
            <w:gridSpan w:val="5"/>
          </w:tcPr>
          <w:p>
            <w:pPr>
              <w:jc w:val="right"/>
              <w:ind w:right="90"/>
              <w:spacing w:after="0" w:line="198" w:lineRule="exact"/>
              <w:rPr>
                <w:sz w:val="20"/>
                <w:szCs w:val="20"/>
                <w:color w:val="auto"/>
              </w:rPr>
            </w:pPr>
            <w:r>
              <w:rPr>
                <w:rFonts w:ascii="Arial" w:cs="Arial" w:eastAsia="Arial" w:hAnsi="Arial"/>
                <w:sz w:val="18"/>
                <w:szCs w:val="18"/>
                <w:b w:val="1"/>
                <w:bCs w:val="1"/>
                <w:color w:val="auto"/>
              </w:rPr>
              <w:t>Periods ended October 31,</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r>
      <w:tr>
        <w:trPr>
          <w:trHeight w:val="241"/>
        </w:trPr>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2013</w:t>
            </w:r>
          </w:p>
        </w:tc>
        <w:tc>
          <w:tcPr>
            <w:tcW w:w="1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2012</w:t>
            </w:r>
          </w:p>
        </w:tc>
        <w:tc>
          <w:tcPr>
            <w:tcW w:w="160" w:type="dxa"/>
            <w:vAlign w:val="bottom"/>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Change</w:t>
            </w:r>
          </w:p>
        </w:tc>
        <w:tc>
          <w:tcPr>
            <w:tcW w:w="300" w:type="dxa"/>
            <w:vAlign w:val="bottom"/>
            <w:tcBorders>
              <w:bottom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2013</w:t>
            </w:r>
          </w:p>
        </w:tc>
        <w:tc>
          <w:tcPr>
            <w:tcW w:w="1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2012</w:t>
            </w:r>
          </w:p>
        </w:tc>
        <w:tc>
          <w:tcPr>
            <w:tcW w:w="180" w:type="dxa"/>
            <w:vAlign w:val="bottom"/>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Change</w:t>
            </w:r>
          </w:p>
        </w:tc>
        <w:tc>
          <w:tcPr>
            <w:tcW w:w="30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r>
      <w:tr>
        <w:trPr>
          <w:trHeight w:val="216"/>
        </w:trPr>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2,227</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3,099</w:t>
            </w:r>
          </w:p>
        </w:tc>
        <w:tc>
          <w:tcPr>
            <w:tcW w:w="9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3"/>
              </w:rPr>
              <w:t>$  (872)</w:t>
            </w:r>
          </w:p>
        </w:tc>
        <w:tc>
          <w:tcPr>
            <w:tcW w:w="8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(28%)  $</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1,264</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2,018</w:t>
            </w:r>
          </w:p>
        </w:tc>
        <w:tc>
          <w:tcPr>
            <w:tcW w:w="98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  (754)</w:t>
            </w: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(37%)</w:t>
            </w:r>
          </w:p>
        </w:tc>
      </w:tr>
    </w:tbl>
    <w:p>
      <w:pPr>
        <w:spacing w:after="0" w:line="229"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Accelerated R&amp;D spending in the fiscal year 2014 periods along with flat revenues and decreased gross margin rates as compared to the same periods of fiscal year 2013 resulted in reduced operating profit for the six and three months ended October 31, 2013. Fiscal year 2014’s six- and three-month operating profit was 6.6% and 7.4%, respectively, of consolidated revenues compared to 9.1% and 11.5%, respectively, of consolidated revenues in the same periods of the prior year.</w:t>
      </w:r>
    </w:p>
    <w:p>
      <w:pPr>
        <w:spacing w:after="0" w:line="187" w:lineRule="exact"/>
        <w:rPr>
          <w:sz w:val="20"/>
          <w:szCs w:val="20"/>
          <w:color w:val="auto"/>
        </w:rPr>
      </w:pPr>
    </w:p>
    <w:p>
      <w:pPr>
        <w:jc w:val="both"/>
        <w:ind w:firstLine="486"/>
        <w:spacing w:after="0" w:line="308" w:lineRule="auto"/>
        <w:rPr>
          <w:sz w:val="20"/>
          <w:szCs w:val="20"/>
          <w:color w:val="auto"/>
        </w:rPr>
      </w:pPr>
      <w:r>
        <w:rPr>
          <w:rFonts w:ascii="Arial" w:cs="Arial" w:eastAsia="Arial" w:hAnsi="Arial"/>
          <w:sz w:val="17"/>
          <w:szCs w:val="17"/>
          <w:color w:val="auto"/>
        </w:rPr>
        <w:t>The late fiscal year 2012 addition of FEI-Elcom reduced consolidated operating results for the first half of fiscal year 2013. Revenues increased but were offset by higher operating expenses resulting in lower consolidated operating profit in fiscal year 2013 than in fiscal year 2012.</w:t>
      </w:r>
    </w:p>
    <w:p>
      <w:pPr>
        <w:spacing w:after="0" w:line="14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Company anticipates that for the full fiscal year 2014, it will generate an operating profit that exceeds that of fiscal year 2013.</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280" w:type="dxa"/>
            <w:vAlign w:val="bottom"/>
            <w:gridSpan w:val="3"/>
          </w:tcPr>
          <w:p>
            <w:pPr>
              <w:spacing w:after="0"/>
              <w:rPr>
                <w:sz w:val="20"/>
                <w:szCs w:val="20"/>
                <w:color w:val="auto"/>
              </w:rPr>
            </w:pPr>
            <w:r>
              <w:rPr>
                <w:rFonts w:ascii="Arial" w:cs="Arial" w:eastAsia="Arial" w:hAnsi="Arial"/>
                <w:sz w:val="18"/>
                <w:szCs w:val="18"/>
                <w:b w:val="1"/>
                <w:bCs w:val="1"/>
                <w:color w:val="auto"/>
              </w:rPr>
              <w:t>Other income (expense)</w:t>
            </w: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460"/>
        </w:trPr>
        <w:tc>
          <w:tcPr>
            <w:tcW w:w="20" w:type="dxa"/>
            <w:vAlign w:val="bottom"/>
          </w:tcPr>
          <w:p>
            <w:pPr>
              <w:spacing w:after="0"/>
              <w:rPr>
                <w:sz w:val="24"/>
                <w:szCs w:val="24"/>
                <w:color w:val="auto"/>
              </w:rPr>
            </w:pPr>
          </w:p>
        </w:tc>
        <w:tc>
          <w:tcPr>
            <w:tcW w:w="1800" w:type="dxa"/>
            <w:vAlign w:val="bottom"/>
            <w:tcBorders>
              <w:top w:val="single" w:sz="8" w:color="auto"/>
            </w:tcBorders>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8"/>
                <w:szCs w:val="18"/>
                <w:b w:val="1"/>
                <w:bCs w:val="1"/>
                <w:color w:val="auto"/>
                <w:w w:val="90"/>
              </w:rPr>
              <w:t>Six months</w:t>
            </w:r>
          </w:p>
        </w:tc>
        <w:tc>
          <w:tcPr>
            <w:tcW w:w="1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8"/>
                <w:szCs w:val="18"/>
                <w:b w:val="1"/>
                <w:bCs w:val="1"/>
                <w:color w:val="auto"/>
                <w:w w:val="92"/>
              </w:rPr>
              <w:t>Three months</w:t>
            </w:r>
          </w:p>
        </w:tc>
        <w:tc>
          <w:tcPr>
            <w:tcW w:w="1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198"/>
        </w:trPr>
        <w:tc>
          <w:tcPr>
            <w:tcW w:w="2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500" w:type="dxa"/>
            <w:vAlign w:val="bottom"/>
            <w:gridSpan w:val="6"/>
          </w:tcPr>
          <w:p>
            <w:pPr>
              <w:jc w:val="right"/>
              <w:ind w:right="340"/>
              <w:spacing w:after="0" w:line="198" w:lineRule="exact"/>
              <w:rPr>
                <w:sz w:val="20"/>
                <w:szCs w:val="20"/>
                <w:color w:val="auto"/>
              </w:rPr>
            </w:pPr>
            <w:r>
              <w:rPr>
                <w:rFonts w:ascii="Arial" w:cs="Arial" w:eastAsia="Arial" w:hAnsi="Arial"/>
                <w:sz w:val="18"/>
                <w:szCs w:val="18"/>
                <w:b w:val="1"/>
                <w:bCs w:val="1"/>
                <w:color w:val="auto"/>
                <w:w w:val="93"/>
              </w:rPr>
              <w:t>Periods ended October 31,</w:t>
            </w: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41"/>
        </w:trPr>
        <w:tc>
          <w:tcPr>
            <w:tcW w:w="2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2013</w:t>
            </w:r>
          </w:p>
        </w:tc>
        <w:tc>
          <w:tcPr>
            <w:tcW w:w="30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2012</w:t>
            </w:r>
          </w:p>
        </w:tc>
        <w:tc>
          <w:tcPr>
            <w:tcW w:w="2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gridSpan w:val="2"/>
          </w:tcPr>
          <w:p>
            <w:pPr>
              <w:jc w:val="right"/>
              <w:ind w:right="190"/>
              <w:spacing w:after="0"/>
              <w:rPr>
                <w:sz w:val="20"/>
                <w:szCs w:val="20"/>
                <w:color w:val="auto"/>
              </w:rPr>
            </w:pPr>
            <w:r>
              <w:rPr>
                <w:rFonts w:ascii="Arial" w:cs="Arial" w:eastAsia="Arial" w:hAnsi="Arial"/>
                <w:sz w:val="18"/>
                <w:szCs w:val="18"/>
                <w:b w:val="1"/>
                <w:bCs w:val="1"/>
                <w:color w:val="auto"/>
              </w:rPr>
              <w:t>Change</w:t>
            </w:r>
          </w:p>
        </w:tc>
        <w:tc>
          <w:tcPr>
            <w:tcW w:w="3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2013</w:t>
            </w:r>
          </w:p>
        </w:tc>
        <w:tc>
          <w:tcPr>
            <w:tcW w:w="2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2012</w:t>
            </w:r>
          </w:p>
        </w:tc>
        <w:tc>
          <w:tcPr>
            <w:tcW w:w="1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gridSpan w:val="3"/>
          </w:tcPr>
          <w:p>
            <w:pPr>
              <w:ind w:left="140"/>
              <w:spacing w:after="0"/>
              <w:rPr>
                <w:sz w:val="20"/>
                <w:szCs w:val="20"/>
                <w:color w:val="auto"/>
              </w:rPr>
            </w:pPr>
            <w:r>
              <w:rPr>
                <w:rFonts w:ascii="Arial" w:cs="Arial" w:eastAsia="Arial" w:hAnsi="Arial"/>
                <w:sz w:val="18"/>
                <w:szCs w:val="18"/>
                <w:b w:val="1"/>
                <w:bCs w:val="1"/>
                <w:color w:val="auto"/>
              </w:rPr>
              <w:t>Change</w:t>
            </w:r>
          </w:p>
        </w:tc>
        <w:tc>
          <w:tcPr>
            <w:tcW w:w="22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2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Investment income</w:t>
            </w:r>
          </w:p>
        </w:tc>
        <w:tc>
          <w:tcPr>
            <w:tcW w:w="940" w:type="dxa"/>
            <w:vAlign w:val="bottom"/>
            <w:gridSpan w:val="2"/>
            <w:shd w:val="clear" w:color="auto" w:fill="CCEEFF"/>
          </w:tcPr>
          <w:p>
            <w:pPr>
              <w:jc w:val="right"/>
              <w:ind w:right="510"/>
              <w:spacing w:after="0"/>
              <w:rPr>
                <w:sz w:val="20"/>
                <w:szCs w:val="20"/>
                <w:color w:val="auto"/>
              </w:rPr>
            </w:pPr>
            <w:r>
              <w:rPr>
                <w:rFonts w:ascii="Arial" w:cs="Arial" w:eastAsia="Arial" w:hAnsi="Arial"/>
                <w:sz w:val="18"/>
                <w:szCs w:val="18"/>
                <w:color w:val="auto"/>
              </w:rPr>
              <w:t>$</w:t>
            </w:r>
          </w:p>
        </w:tc>
        <w:tc>
          <w:tcPr>
            <w:tcW w:w="4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3"/>
              </w:rPr>
              <w:t>351</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319</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3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96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208</w:t>
            </w:r>
          </w:p>
        </w:tc>
        <w:tc>
          <w:tcPr>
            <w:tcW w:w="200" w:type="dxa"/>
            <w:vAlign w:val="bottom"/>
            <w:shd w:val="clear" w:color="auto" w:fill="CCEEFF"/>
          </w:tcPr>
          <w:p>
            <w:pPr>
              <w:jc w:val="right"/>
              <w:ind w:right="40"/>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152</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56</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37%</w:t>
            </w:r>
          </w:p>
        </w:tc>
        <w:tc>
          <w:tcPr>
            <w:tcW w:w="13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260" w:type="dxa"/>
            <w:vAlign w:val="bottom"/>
            <w:gridSpan w:val="2"/>
          </w:tcPr>
          <w:p>
            <w:pPr>
              <w:spacing w:after="0"/>
              <w:rPr>
                <w:sz w:val="20"/>
                <w:szCs w:val="20"/>
                <w:color w:val="auto"/>
              </w:rPr>
            </w:pPr>
            <w:r>
              <w:rPr>
                <w:rFonts w:ascii="Arial" w:cs="Arial" w:eastAsia="Arial" w:hAnsi="Arial"/>
                <w:sz w:val="18"/>
                <w:szCs w:val="18"/>
                <w:color w:val="auto"/>
              </w:rPr>
              <w:t>Interest expense</w:t>
            </w: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80" w:type="dxa"/>
            <w:vAlign w:val="bottom"/>
            <w:gridSpan w:val="2"/>
          </w:tcPr>
          <w:p>
            <w:pPr>
              <w:jc w:val="right"/>
              <w:ind w:right="120"/>
              <w:spacing w:after="0"/>
              <w:rPr>
                <w:sz w:val="20"/>
                <w:szCs w:val="20"/>
                <w:color w:val="auto"/>
              </w:rPr>
            </w:pPr>
            <w:r>
              <w:rPr>
                <w:rFonts w:ascii="Arial" w:cs="Arial" w:eastAsia="Arial" w:hAnsi="Arial"/>
                <w:sz w:val="18"/>
                <w:szCs w:val="18"/>
                <w:color w:val="auto"/>
              </w:rPr>
              <w:t>(95)</w:t>
            </w:r>
          </w:p>
        </w:tc>
        <w:tc>
          <w:tcPr>
            <w:tcW w:w="12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(103)</w:t>
            </w:r>
          </w:p>
        </w:tc>
        <w:tc>
          <w:tcPr>
            <w:tcW w:w="16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8</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(8%)</w:t>
            </w:r>
          </w:p>
        </w:tc>
        <w:tc>
          <w:tcPr>
            <w:tcW w:w="22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(36)</w:t>
            </w:r>
          </w:p>
        </w:tc>
        <w:tc>
          <w:tcPr>
            <w:tcW w:w="20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(47)</w:t>
            </w:r>
          </w:p>
        </w:tc>
        <w:tc>
          <w:tcPr>
            <w:tcW w:w="160" w:type="dxa"/>
            <w:vAlign w:val="bottom"/>
          </w:tcPr>
          <w:p>
            <w:pPr>
              <w:spacing w:after="0"/>
              <w:rPr>
                <w:sz w:val="18"/>
                <w:szCs w:val="18"/>
                <w:color w:val="auto"/>
              </w:rPr>
            </w:pPr>
          </w:p>
        </w:tc>
        <w:tc>
          <w:tcPr>
            <w:tcW w:w="520" w:type="dxa"/>
            <w:vAlign w:val="bottom"/>
            <w:gridSpan w:val="2"/>
          </w:tcPr>
          <w:p>
            <w:pPr>
              <w:jc w:val="right"/>
              <w:ind w:right="180"/>
              <w:spacing w:after="0"/>
              <w:rPr>
                <w:sz w:val="20"/>
                <w:szCs w:val="20"/>
                <w:color w:val="auto"/>
              </w:rPr>
            </w:pPr>
            <w:r>
              <w:rPr>
                <w:rFonts w:ascii="Arial" w:cs="Arial" w:eastAsia="Arial" w:hAnsi="Arial"/>
                <w:sz w:val="18"/>
                <w:szCs w:val="18"/>
                <w:color w:val="auto"/>
              </w:rPr>
              <w:t>11</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(23%)</w:t>
            </w:r>
          </w:p>
        </w:tc>
        <w:tc>
          <w:tcPr>
            <w:tcW w:w="13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26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8"/>
              </w:rPr>
              <w:t>Other income (expense), net</w:t>
            </w: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734</w:t>
            </w:r>
          </w:p>
        </w:tc>
        <w:tc>
          <w:tcPr>
            <w:tcW w:w="1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w:t>
            </w:r>
          </w:p>
        </w:tc>
        <w:tc>
          <w:tcPr>
            <w:tcW w:w="160" w:type="dxa"/>
            <w:vAlign w:val="bottom"/>
            <w:shd w:val="clear" w:color="auto" w:fill="CCEEFF"/>
          </w:tcPr>
          <w:p>
            <w:pPr>
              <w:spacing w:after="0"/>
              <w:rPr>
                <w:sz w:val="18"/>
                <w:szCs w:val="18"/>
                <w:color w:val="auto"/>
              </w:rPr>
            </w:pPr>
          </w:p>
        </w:tc>
        <w:tc>
          <w:tcPr>
            <w:tcW w:w="3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740</w:t>
            </w:r>
          </w:p>
        </w:tc>
        <w:tc>
          <w:tcPr>
            <w:tcW w:w="960" w:type="dxa"/>
            <w:vAlign w:val="bottom"/>
            <w:tcBorders>
              <w:right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NM</w:t>
            </w:r>
          </w:p>
        </w:tc>
        <w:tc>
          <w:tcPr>
            <w:tcW w:w="220" w:type="dxa"/>
            <w:vAlign w:val="bottom"/>
            <w:shd w:val="clear" w:color="auto" w:fill="CCEEFF"/>
          </w:tcPr>
          <w:p>
            <w:pPr>
              <w:spacing w:after="0"/>
              <w:rPr>
                <w:sz w:val="18"/>
                <w:szCs w:val="18"/>
                <w:color w:val="auto"/>
              </w:rPr>
            </w:pPr>
          </w:p>
        </w:tc>
        <w:tc>
          <w:tcPr>
            <w:tcW w:w="9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725</w:t>
            </w: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w:t>
            </w:r>
          </w:p>
        </w:tc>
        <w:tc>
          <w:tcPr>
            <w:tcW w:w="1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737</w:t>
            </w: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NM</w:t>
            </w:r>
          </w:p>
        </w:tc>
        <w:tc>
          <w:tcPr>
            <w:tcW w:w="1300" w:type="dxa"/>
            <w:vAlign w:val="bottom"/>
          </w:tcPr>
          <w:p>
            <w:pPr>
              <w:spacing w:after="0"/>
              <w:rPr>
                <w:sz w:val="18"/>
                <w:szCs w:val="18"/>
                <w:color w:val="auto"/>
              </w:rPr>
            </w:pPr>
          </w:p>
        </w:tc>
      </w:tr>
      <w:tr>
        <w:trPr>
          <w:trHeight w:val="27"/>
        </w:trPr>
        <w:tc>
          <w:tcPr>
            <w:tcW w:w="20" w:type="dxa"/>
            <w:vAlign w:val="bottom"/>
          </w:tcPr>
          <w:p>
            <w:pPr>
              <w:spacing w:after="0"/>
              <w:rPr>
                <w:sz w:val="2"/>
                <w:szCs w:val="2"/>
                <w:color w:val="auto"/>
              </w:rPr>
            </w:pPr>
          </w:p>
        </w:tc>
        <w:tc>
          <w:tcPr>
            <w:tcW w:w="180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80" w:type="dxa"/>
            <w:vAlign w:val="bottom"/>
            <w:tcBorders>
              <w:right w:val="single" w:sz="8" w:color="CCEEFF"/>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340" w:type="dxa"/>
            <w:vAlign w:val="bottom"/>
            <w:tcBorders>
              <w:right w:val="single" w:sz="8" w:color="CCEEFF"/>
            </w:tcBorders>
            <w:shd w:val="clear" w:color="auto" w:fill="000000"/>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300" w:type="dxa"/>
            <w:vAlign w:val="bottom"/>
            <w:tcBorders>
              <w:right w:val="single" w:sz="8" w:color="CCEEFF"/>
            </w:tcBorders>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0" w:type="dxa"/>
            <w:vAlign w:val="bottom"/>
            <w:tcBorders>
              <w:right w:val="single" w:sz="8" w:color="CCEEFF"/>
            </w:tcBorders>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300" w:type="dxa"/>
            <w:vAlign w:val="bottom"/>
          </w:tcPr>
          <w:p>
            <w:pPr>
              <w:spacing w:after="0"/>
              <w:rPr>
                <w:sz w:val="2"/>
                <w:szCs w:val="2"/>
                <w:color w:val="auto"/>
              </w:rPr>
            </w:pPr>
          </w:p>
        </w:tc>
      </w:tr>
      <w:tr>
        <w:trPr>
          <w:trHeight w:val="230"/>
        </w:trPr>
        <w:tc>
          <w:tcPr>
            <w:tcW w:w="2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00" w:type="dxa"/>
            <w:vAlign w:val="bottom"/>
          </w:tcPr>
          <w:p>
            <w:pPr>
              <w:jc w:val="right"/>
              <w:ind w:right="510"/>
              <w:spacing w:after="0"/>
              <w:rPr>
                <w:sz w:val="20"/>
                <w:szCs w:val="20"/>
                <w:color w:val="auto"/>
              </w:rPr>
            </w:pPr>
            <w:r>
              <w:rPr>
                <w:rFonts w:ascii="Arial" w:cs="Arial" w:eastAsia="Arial" w:hAnsi="Arial"/>
                <w:sz w:val="18"/>
                <w:szCs w:val="18"/>
                <w:color w:val="auto"/>
                <w:w w:val="79"/>
              </w:rPr>
              <w:t>$</w:t>
            </w:r>
          </w:p>
        </w:tc>
        <w:tc>
          <w:tcPr>
            <w:tcW w:w="300" w:type="dxa"/>
            <w:vAlign w:val="bottom"/>
          </w:tcPr>
          <w:p>
            <w:pPr>
              <w:jc w:val="right"/>
              <w:spacing w:after="0"/>
              <w:rPr>
                <w:sz w:val="20"/>
                <w:szCs w:val="20"/>
                <w:color w:val="auto"/>
              </w:rPr>
            </w:pPr>
            <w:r>
              <w:rPr>
                <w:rFonts w:ascii="Arial" w:cs="Arial" w:eastAsia="Arial" w:hAnsi="Arial"/>
                <w:sz w:val="18"/>
                <w:szCs w:val="18"/>
                <w:color w:val="auto"/>
                <w:w w:val="93"/>
              </w:rPr>
              <w:t>990</w:t>
            </w:r>
          </w:p>
        </w:tc>
        <w:tc>
          <w:tcPr>
            <w:tcW w:w="18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210</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340" w:type="dxa"/>
            <w:vAlign w:val="bottom"/>
          </w:tcPr>
          <w:p>
            <w:pPr>
              <w:jc w:val="right"/>
              <w:spacing w:after="0"/>
              <w:rPr>
                <w:sz w:val="20"/>
                <w:szCs w:val="20"/>
                <w:color w:val="auto"/>
              </w:rPr>
            </w:pPr>
            <w:r>
              <w:rPr>
                <w:rFonts w:ascii="Arial" w:cs="Arial" w:eastAsia="Arial" w:hAnsi="Arial"/>
                <w:sz w:val="18"/>
                <w:szCs w:val="18"/>
                <w:color w:val="auto"/>
                <w:w w:val="99"/>
              </w:rPr>
              <w:t>780</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371%</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897</w:t>
            </w:r>
          </w:p>
        </w:tc>
        <w:tc>
          <w:tcPr>
            <w:tcW w:w="200" w:type="dxa"/>
            <w:vAlign w:val="bottom"/>
          </w:tcPr>
          <w:p>
            <w:pPr>
              <w:jc w:val="right"/>
              <w:ind w:right="40"/>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93</w:t>
            </w:r>
          </w:p>
        </w:tc>
        <w:tc>
          <w:tcPr>
            <w:tcW w:w="18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gridSpan w:val="2"/>
          </w:tcPr>
          <w:p>
            <w:pPr>
              <w:jc w:val="right"/>
              <w:ind w:right="180"/>
              <w:spacing w:after="0"/>
              <w:rPr>
                <w:sz w:val="20"/>
                <w:szCs w:val="20"/>
                <w:color w:val="auto"/>
              </w:rPr>
            </w:pPr>
            <w:r>
              <w:rPr>
                <w:rFonts w:ascii="Arial" w:cs="Arial" w:eastAsia="Arial" w:hAnsi="Arial"/>
                <w:sz w:val="18"/>
                <w:szCs w:val="18"/>
                <w:color w:val="auto"/>
              </w:rPr>
              <w:t>804</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865%</w:t>
            </w:r>
          </w:p>
        </w:tc>
        <w:tc>
          <w:tcPr>
            <w:tcW w:w="1300" w:type="dxa"/>
            <w:vAlign w:val="bottom"/>
          </w:tcPr>
          <w:p>
            <w:pPr>
              <w:spacing w:after="0"/>
              <w:rPr>
                <w:sz w:val="20"/>
                <w:szCs w:val="20"/>
                <w:color w:val="auto"/>
              </w:rPr>
            </w:pPr>
          </w:p>
        </w:tc>
      </w:tr>
      <w:tr>
        <w:trPr>
          <w:trHeight w:val="593"/>
        </w:trPr>
        <w:tc>
          <w:tcPr>
            <w:tcW w:w="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w w:val="92"/>
              </w:rPr>
              <w:t>18 of 24</w:t>
            </w: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118"/>
        </w:trPr>
        <w:tc>
          <w:tcPr>
            <w:tcW w:w="20" w:type="dxa"/>
            <w:vAlign w:val="bottom"/>
          </w:tcPr>
          <w:p>
            <w:pPr>
              <w:spacing w:after="0"/>
              <w:rPr>
                <w:sz w:val="10"/>
                <w:szCs w:val="10"/>
                <w:color w:val="auto"/>
              </w:rPr>
            </w:pPr>
          </w:p>
        </w:tc>
        <w:tc>
          <w:tcPr>
            <w:tcW w:w="1800" w:type="dxa"/>
            <w:vAlign w:val="bottom"/>
            <w:tcBorders>
              <w:bottom w:val="single" w:sz="8" w:color="808080"/>
            </w:tcBorders>
          </w:tcPr>
          <w:p>
            <w:pPr>
              <w:spacing w:after="0"/>
              <w:rPr>
                <w:sz w:val="10"/>
                <w:szCs w:val="10"/>
                <w:color w:val="auto"/>
              </w:rPr>
            </w:pPr>
          </w:p>
        </w:tc>
        <w:tc>
          <w:tcPr>
            <w:tcW w:w="46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66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48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30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18" w:name="page19"/>
    <w:bookmarkEnd w:id="18"/>
    <w:p>
      <w:pPr>
        <w:jc w:val="center"/>
        <w:spacing w:after="0"/>
        <w:rPr>
          <w:sz w:val="20"/>
          <w:szCs w:val="20"/>
          <w:color w:val="auto"/>
        </w:rPr>
      </w:pPr>
      <w:r>
        <w:rPr>
          <w:rFonts w:ascii="Arial" w:cs="Arial" w:eastAsia="Arial" w:hAnsi="Arial"/>
          <w:sz w:val="18"/>
          <w:szCs w:val="18"/>
          <w:color w:val="auto"/>
        </w:rPr>
        <w:t>FREQUENCY ELECTRONICS,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(Continued)</w:t>
      </w:r>
    </w:p>
    <w:p>
      <w:pPr>
        <w:spacing w:after="0" w:line="238" w:lineRule="exact"/>
        <w:rPr>
          <w:sz w:val="20"/>
          <w:szCs w:val="20"/>
          <w:color w:val="auto"/>
        </w:rPr>
      </w:pPr>
    </w:p>
    <w:p>
      <w:pPr>
        <w:jc w:val="both"/>
        <w:ind w:firstLine="486"/>
        <w:spacing w:after="0" w:line="293" w:lineRule="auto"/>
        <w:rPr>
          <w:sz w:val="20"/>
          <w:szCs w:val="20"/>
          <w:color w:val="auto"/>
        </w:rPr>
      </w:pPr>
      <w:r>
        <w:rPr>
          <w:rFonts w:ascii="Arial" w:cs="Arial" w:eastAsia="Arial" w:hAnsi="Arial"/>
          <w:sz w:val="16"/>
          <w:szCs w:val="16"/>
          <w:color w:val="auto"/>
        </w:rPr>
        <w:t>Investment income is derived primarily from the Company’s holdings of marketable securities. Earnings on these securities may vary based on fluctuating interest rates and dividend payout levels and the timing of purchases or sales of securities. During the fiscal year 2014 periods, the Company recorded a gain of approximately $74,000 on the sale of certain marketable securities. No investment gains or losses were recorded in the fiscal year 2013 periods. During the six and three months ended October 31, 2013, as a result of certain bond redemptions over the preceding quarters, the Company held more low earning cash equivalents than investments earning a higher return in the year-ago period. During the six and three months ended October 31, 2012, investments were held in higher yielding marketable securities than those held during the same periods ended October 31, 2011.</w:t>
      </w:r>
    </w:p>
    <w:p>
      <w:pPr>
        <w:spacing w:after="0" w:line="192" w:lineRule="exact"/>
        <w:rPr>
          <w:sz w:val="20"/>
          <w:szCs w:val="20"/>
          <w:color w:val="auto"/>
        </w:rPr>
      </w:pPr>
    </w:p>
    <w:p>
      <w:pPr>
        <w:jc w:val="both"/>
        <w:ind w:firstLine="486"/>
        <w:spacing w:after="0" w:line="312" w:lineRule="auto"/>
        <w:rPr>
          <w:sz w:val="20"/>
          <w:szCs w:val="20"/>
          <w:color w:val="auto"/>
        </w:rPr>
      </w:pPr>
      <w:r>
        <w:rPr>
          <w:rFonts w:ascii="Arial" w:cs="Arial" w:eastAsia="Arial" w:hAnsi="Arial"/>
          <w:sz w:val="16"/>
          <w:szCs w:val="16"/>
          <w:color w:val="auto"/>
        </w:rPr>
        <w:t>The decrease in interest expense for the six and three months ended October 31, 2013 compared to the same periods of fiscal year 2013 is due to the lower interest rate under the Company’s new credit facility from a bank. During the fiscal year 2014 periods, the Company refinanced the $6 million used to acquire FEI-Elcom during fiscal year 2012 and increased its borrowings by an additional $4.1 million for working capital and capital equipment acquisitions.</w:t>
      </w:r>
    </w:p>
    <w:p>
      <w:pPr>
        <w:spacing w:after="0" w:line="174"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7"/>
          <w:szCs w:val="17"/>
          <w:color w:val="auto"/>
        </w:rPr>
        <w:t>Other income in the fiscal year 2014 periods consists primarily of a $736,000 gain recognized upon the sale of certain manufacturing equipment to Morion, Inc. under the terms of a license agreement related to the Company’s rubidium oscillator production technology. (See Note G to the accompanying condensed financial statements.) During the fiscal year 2013 periods, other income consisted of insignificant non-operating expenses.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100" w:type="dxa"/>
            <w:vAlign w:val="bottom"/>
            <w:gridSpan w:val="4"/>
          </w:tcPr>
          <w:p>
            <w:pPr>
              <w:spacing w:after="0"/>
              <w:rPr>
                <w:sz w:val="20"/>
                <w:szCs w:val="20"/>
                <w:color w:val="auto"/>
              </w:rPr>
            </w:pPr>
            <w:r>
              <w:rPr>
                <w:rFonts w:ascii="Arial" w:cs="Arial" w:eastAsia="Arial" w:hAnsi="Arial"/>
                <w:sz w:val="18"/>
                <w:szCs w:val="18"/>
                <w:b w:val="1"/>
                <w:bCs w:val="1"/>
                <w:color w:val="auto"/>
              </w:rPr>
              <w:t>Income tax provision</w:t>
            </w: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7"/>
        </w:trPr>
        <w:tc>
          <w:tcPr>
            <w:tcW w:w="20" w:type="dxa"/>
            <w:vAlign w:val="bottom"/>
          </w:tcPr>
          <w:p>
            <w:pPr>
              <w:spacing w:after="0"/>
              <w:rPr>
                <w:sz w:val="24"/>
                <w:szCs w:val="24"/>
                <w:color w:val="auto"/>
              </w:rPr>
            </w:pPr>
          </w:p>
        </w:tc>
        <w:tc>
          <w:tcPr>
            <w:tcW w:w="1600" w:type="dxa"/>
            <w:vAlign w:val="bottom"/>
            <w:tcBorders>
              <w:top w:val="single" w:sz="8" w:color="auto"/>
            </w:tcBorders>
          </w:tcPr>
          <w:p>
            <w:pPr>
              <w:spacing w:after="0"/>
              <w:rPr>
                <w:sz w:val="24"/>
                <w:szCs w:val="24"/>
                <w:color w:val="auto"/>
              </w:rPr>
            </w:pPr>
          </w:p>
        </w:tc>
        <w:tc>
          <w:tcPr>
            <w:tcW w:w="124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gridSpan w:val="2"/>
          </w:tcPr>
          <w:p>
            <w:pPr>
              <w:jc w:val="right"/>
              <w:ind w:right="360"/>
              <w:spacing w:after="0"/>
              <w:rPr>
                <w:sz w:val="20"/>
                <w:szCs w:val="20"/>
                <w:color w:val="auto"/>
              </w:rPr>
            </w:pPr>
            <w:r>
              <w:rPr>
                <w:rFonts w:ascii="Arial" w:cs="Arial" w:eastAsia="Arial" w:hAnsi="Arial"/>
                <w:sz w:val="18"/>
                <w:szCs w:val="18"/>
                <w:b w:val="1"/>
                <w:bCs w:val="1"/>
                <w:color w:val="auto"/>
                <w:w w:val="90"/>
              </w:rPr>
              <w:t>Six months</w:t>
            </w:r>
          </w:p>
        </w:tc>
        <w:tc>
          <w:tcPr>
            <w:tcW w:w="2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8"/>
                <w:szCs w:val="18"/>
                <w:b w:val="1"/>
                <w:bCs w:val="1"/>
                <w:color w:val="auto"/>
                <w:w w:val="89"/>
              </w:rPr>
              <w:t>Three months</w:t>
            </w:r>
          </w:p>
        </w:tc>
        <w:tc>
          <w:tcPr>
            <w:tcW w:w="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720" w:type="dxa"/>
            <w:vAlign w:val="bottom"/>
            <w:gridSpan w:val="6"/>
          </w:tcPr>
          <w:p>
            <w:pPr>
              <w:ind w:left="180"/>
              <w:spacing w:after="0" w:line="198" w:lineRule="exact"/>
              <w:rPr>
                <w:sz w:val="20"/>
                <w:szCs w:val="20"/>
                <w:color w:val="auto"/>
              </w:rPr>
            </w:pPr>
            <w:r>
              <w:rPr>
                <w:rFonts w:ascii="Arial" w:cs="Arial" w:eastAsia="Arial" w:hAnsi="Arial"/>
                <w:sz w:val="18"/>
                <w:szCs w:val="18"/>
                <w:b w:val="1"/>
                <w:bCs w:val="1"/>
                <w:color w:val="auto"/>
              </w:rPr>
              <w:t>Periods ended October 31,</w:t>
            </w: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2013</w:t>
            </w:r>
          </w:p>
        </w:tc>
        <w:tc>
          <w:tcPr>
            <w:tcW w:w="2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2012</w:t>
            </w:r>
          </w:p>
        </w:tc>
        <w:tc>
          <w:tcPr>
            <w:tcW w:w="2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rPr>
              <w:t>Change</w:t>
            </w:r>
          </w:p>
        </w:tc>
        <w:tc>
          <w:tcPr>
            <w:tcW w:w="20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2013</w:t>
            </w:r>
          </w:p>
        </w:tc>
        <w:tc>
          <w:tcPr>
            <w:tcW w:w="28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2012</w:t>
            </w: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Change</w:t>
            </w:r>
          </w:p>
        </w:tc>
        <w:tc>
          <w:tcPr>
            <w:tcW w:w="26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1,150</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1,100</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50</w:t>
            </w:r>
          </w:p>
        </w:tc>
        <w:tc>
          <w:tcPr>
            <w:tcW w:w="7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5%  $</w:t>
            </w: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770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670</w:t>
            </w: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100</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6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08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rPr>
              <w:t>Effective tax rate on pre-tax book</w:t>
            </w:r>
          </w:p>
        </w:tc>
        <w:tc>
          <w:tcPr>
            <w:tcW w:w="9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income:</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35.7%</w:t>
            </w:r>
          </w:p>
        </w:tc>
        <w:tc>
          <w:tcPr>
            <w:tcW w:w="14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33.3%</w:t>
            </w:r>
          </w:p>
        </w:tc>
        <w:tc>
          <w:tcPr>
            <w:tcW w:w="20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35.6%</w:t>
            </w:r>
          </w:p>
        </w:tc>
        <w:tc>
          <w:tcPr>
            <w:tcW w:w="8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31.8%</w:t>
            </w:r>
          </w:p>
        </w:tc>
        <w:tc>
          <w:tcPr>
            <w:tcW w:w="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-548005</wp:posOffset>
            </wp:positionV>
            <wp:extent cx="1741170" cy="27432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741170" cy="274320"/>
                    </a:xfrm>
                    <a:prstGeom prst="rect">
                      <a:avLst/>
                    </a:prstGeom>
                    <a:noFill/>
                  </pic:spPr>
                </pic:pic>
              </a:graphicData>
            </a:graphic>
          </wp:anchor>
        </w:drawing>
      </w:r>
    </w:p>
    <w:p>
      <w:pPr>
        <w:spacing w:after="0" w:line="209" w:lineRule="exact"/>
        <w:rPr>
          <w:sz w:val="20"/>
          <w:szCs w:val="20"/>
          <w:color w:val="auto"/>
        </w:rPr>
      </w:pPr>
    </w:p>
    <w:p>
      <w:pPr>
        <w:jc w:val="both"/>
        <w:ind w:firstLine="486"/>
        <w:spacing w:after="0" w:line="279" w:lineRule="auto"/>
        <w:rPr>
          <w:sz w:val="20"/>
          <w:szCs w:val="20"/>
          <w:color w:val="auto"/>
        </w:rPr>
      </w:pPr>
      <w:r>
        <w:rPr>
          <w:rFonts w:ascii="Arial" w:cs="Arial" w:eastAsia="Arial" w:hAnsi="Arial"/>
          <w:sz w:val="17"/>
          <w:szCs w:val="17"/>
          <w:color w:val="auto"/>
        </w:rPr>
        <w:t>The provision for income taxes for the six and three months ended October 31, 2013 increased over the same periods of fiscal year 2013 due to the estimated increased effective tax rate. For the full year, the effective tax rate in fiscal year 2014 is expected to be in the range of 30% to 36% depending on the level of pretax income or loss recorded at the Company’s foreign subsidiaries for which no net tax provision or benefit is recognized. As of October 31, 2013 and April 30, 2013, the remaining deferred tax asset valuation allowance is approximately $1.9 million.</w:t>
      </w:r>
    </w:p>
    <w:p>
      <w:pPr>
        <w:spacing w:after="0" w:line="198"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The provision for income taxes for the six and three months ended October 31, 2012 decreased from the same periods of fiscal year 2012 due to decreased pretax income and reduced effective tax rate.</w:t>
      </w:r>
    </w:p>
    <w:p>
      <w:pPr>
        <w:spacing w:after="0" w:line="197" w:lineRule="exact"/>
        <w:rPr>
          <w:sz w:val="20"/>
          <w:szCs w:val="20"/>
          <w:color w:val="auto"/>
        </w:rPr>
      </w:pPr>
    </w:p>
    <w:p>
      <w:pPr>
        <w:jc w:val="both"/>
        <w:ind w:firstLine="486"/>
        <w:spacing w:after="0" w:line="293" w:lineRule="auto"/>
        <w:rPr>
          <w:sz w:val="20"/>
          <w:szCs w:val="20"/>
          <w:color w:val="auto"/>
        </w:rPr>
      </w:pPr>
      <w:r>
        <w:rPr>
          <w:rFonts w:ascii="Arial" w:cs="Arial" w:eastAsia="Arial" w:hAnsi="Arial"/>
          <w:sz w:val="16"/>
          <w:szCs w:val="16"/>
          <w:color w:val="auto"/>
        </w:rPr>
        <w:t>The Company is subject to taxation in several countries as well as the states of New York, New Jersey and California. The statutory federal rates are 34% in the United States and Belgium. The effective rate is impacted by the income or loss of certain of the Company’s European and Asian subsidiaries that are currently not taxed. In addition, the Company utilizes the availability of research and development tax credits and the Domestic Production Activity credit in the United States to lower its tax rate. As of April 30, 2013, the Company’s European subsidiaries had available net operating loss carryforwards of approximately $2.7 million, which will offset future taxable income. As a result of the FEI-Elcom acquisition, the Company has a federal net operating loss carryforward of $6.6 million that may be applied in annually limited amounts to offset future U.S.-sourced taxable income over the next 19 years.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Net income</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3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8"/>
                <w:szCs w:val="18"/>
                <w:b w:val="1"/>
                <w:bCs w:val="1"/>
                <w:color w:val="auto"/>
                <w:w w:val="92"/>
              </w:rPr>
              <w:t>Six months</w:t>
            </w:r>
          </w:p>
        </w:tc>
        <w:tc>
          <w:tcPr>
            <w:tcW w:w="10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8"/>
                <w:szCs w:val="18"/>
                <w:b w:val="1"/>
                <w:bCs w:val="1"/>
                <w:color w:val="auto"/>
                <w:w w:val="95"/>
              </w:rPr>
              <w:t>Three months</w:t>
            </w:r>
          </w:p>
        </w:tc>
        <w:tc>
          <w:tcPr>
            <w:tcW w:w="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2000" w:type="dxa"/>
            <w:vAlign w:val="bottom"/>
          </w:tcPr>
          <w:p>
            <w:pPr>
              <w:spacing w:after="0"/>
              <w:rPr>
                <w:sz w:val="20"/>
                <w:szCs w:val="20"/>
                <w:color w:val="auto"/>
              </w:rPr>
            </w:pPr>
          </w:p>
        </w:tc>
      </w:tr>
      <w:tr>
        <w:trPr>
          <w:trHeight w:val="198"/>
        </w:trPr>
        <w:tc>
          <w:tcPr>
            <w:tcW w:w="1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80" w:type="dxa"/>
            <w:vAlign w:val="bottom"/>
            <w:gridSpan w:val="7"/>
          </w:tcPr>
          <w:p>
            <w:pPr>
              <w:ind w:left="480"/>
              <w:spacing w:after="0" w:line="198" w:lineRule="exact"/>
              <w:rPr>
                <w:sz w:val="20"/>
                <w:szCs w:val="20"/>
                <w:color w:val="auto"/>
              </w:rPr>
            </w:pPr>
            <w:r>
              <w:rPr>
                <w:rFonts w:ascii="Arial" w:cs="Arial" w:eastAsia="Arial" w:hAnsi="Arial"/>
                <w:sz w:val="18"/>
                <w:szCs w:val="18"/>
                <w:b w:val="1"/>
                <w:bCs w:val="1"/>
                <w:color w:val="auto"/>
              </w:rPr>
              <w:t>Periods ended October 31,</w:t>
            </w: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0" w:type="dxa"/>
            <w:vAlign w:val="bottom"/>
          </w:tcPr>
          <w:p>
            <w:pPr>
              <w:spacing w:after="0"/>
              <w:rPr>
                <w:sz w:val="17"/>
                <w:szCs w:val="17"/>
                <w:color w:val="auto"/>
              </w:rPr>
            </w:pPr>
          </w:p>
        </w:tc>
      </w:tr>
      <w:tr>
        <w:trPr>
          <w:trHeight w:val="241"/>
        </w:trPr>
        <w:tc>
          <w:tcPr>
            <w:tcW w:w="13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2013</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2012</w:t>
            </w:r>
          </w:p>
        </w:tc>
        <w:tc>
          <w:tcPr>
            <w:tcW w:w="160" w:type="dxa"/>
            <w:vAlign w:val="bottom"/>
          </w:tcPr>
          <w:p>
            <w:pPr>
              <w:spacing w:after="0"/>
              <w:rPr>
                <w:sz w:val="20"/>
                <w:szCs w:val="20"/>
                <w:color w:val="auto"/>
              </w:rPr>
            </w:pP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Change</w:t>
            </w:r>
          </w:p>
        </w:tc>
        <w:tc>
          <w:tcPr>
            <w:tcW w:w="24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2013</w:t>
            </w:r>
          </w:p>
        </w:tc>
        <w:tc>
          <w:tcPr>
            <w:tcW w:w="1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2012</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Change</w:t>
            </w:r>
          </w:p>
        </w:tc>
        <w:tc>
          <w:tcPr>
            <w:tcW w:w="24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2000" w:type="dxa"/>
            <w:vAlign w:val="bottom"/>
          </w:tcPr>
          <w:p>
            <w:pPr>
              <w:spacing w:after="0"/>
              <w:rPr>
                <w:sz w:val="20"/>
                <w:szCs w:val="20"/>
                <w:color w:val="auto"/>
              </w:rPr>
            </w:pPr>
          </w:p>
        </w:tc>
      </w:tr>
      <w:tr>
        <w:trPr>
          <w:trHeight w:val="216"/>
        </w:trPr>
        <w:tc>
          <w:tcPr>
            <w:tcW w:w="1360" w:type="dxa"/>
            <w:vAlign w:val="bottom"/>
          </w:tcPr>
          <w:p>
            <w:pPr>
              <w:spacing w:after="0"/>
              <w:rPr>
                <w:sz w:val="18"/>
                <w:szCs w:val="18"/>
                <w:color w:val="auto"/>
              </w:rPr>
            </w:pP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2,067</w:t>
            </w: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2,209</w:t>
            </w:r>
          </w:p>
        </w:tc>
        <w:tc>
          <w:tcPr>
            <w:tcW w:w="104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99"/>
              </w:rPr>
              <w:t>$  (142)</w:t>
            </w: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w:t>
            </w:r>
          </w:p>
        </w:tc>
        <w:tc>
          <w:tcPr>
            <w:tcW w:w="2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1,391</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1,441</w:t>
            </w:r>
          </w:p>
        </w:tc>
        <w:tc>
          <w:tcPr>
            <w:tcW w:w="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(50)</w:t>
            </w: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w:t>
            </w:r>
          </w:p>
        </w:tc>
        <w:tc>
          <w:tcPr>
            <w:tcW w:w="2000" w:type="dxa"/>
            <w:vAlign w:val="bottom"/>
          </w:tcPr>
          <w:p>
            <w:pPr>
              <w:spacing w:after="0"/>
              <w:rPr>
                <w:sz w:val="18"/>
                <w:szCs w:val="18"/>
                <w:color w:val="auto"/>
              </w:rPr>
            </w:pPr>
          </w:p>
        </w:tc>
      </w:tr>
      <w:tr>
        <w:trPr>
          <w:trHeight w:val="608"/>
        </w:trPr>
        <w:tc>
          <w:tcPr>
            <w:tcW w:w="1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60" w:type="dxa"/>
            <w:vAlign w:val="bottom"/>
            <w:gridSpan w:val="3"/>
          </w:tcPr>
          <w:p>
            <w:pPr>
              <w:ind w:left="20"/>
              <w:spacing w:after="0"/>
              <w:rPr>
                <w:sz w:val="20"/>
                <w:szCs w:val="20"/>
                <w:color w:val="auto"/>
              </w:rPr>
            </w:pPr>
            <w:r>
              <w:rPr>
                <w:rFonts w:ascii="Arial" w:cs="Arial" w:eastAsia="Arial" w:hAnsi="Arial"/>
                <w:sz w:val="18"/>
                <w:szCs w:val="18"/>
                <w:color w:val="auto"/>
              </w:rPr>
              <w:t>19 of 24</w:t>
            </w: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0" w:type="dxa"/>
            <w:vAlign w:val="bottom"/>
          </w:tcPr>
          <w:p>
            <w:pPr>
              <w:spacing w:after="0"/>
              <w:rPr>
                <w:sz w:val="24"/>
                <w:szCs w:val="24"/>
                <w:color w:val="auto"/>
              </w:rPr>
            </w:pPr>
          </w:p>
        </w:tc>
      </w:tr>
      <w:tr>
        <w:trPr>
          <w:trHeight w:val="118"/>
        </w:trPr>
        <w:tc>
          <w:tcPr>
            <w:tcW w:w="136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6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6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200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9" w:name="page20"/>
    <w:bookmarkEnd w:id="19"/>
    <w:p>
      <w:pPr>
        <w:jc w:val="center"/>
        <w:spacing w:after="0"/>
        <w:rPr>
          <w:sz w:val="20"/>
          <w:szCs w:val="20"/>
          <w:color w:val="auto"/>
        </w:rPr>
      </w:pPr>
      <w:r>
        <w:rPr>
          <w:rFonts w:ascii="Arial" w:cs="Arial" w:eastAsia="Arial" w:hAnsi="Arial"/>
          <w:sz w:val="18"/>
          <w:szCs w:val="18"/>
          <w:color w:val="auto"/>
        </w:rPr>
        <w:t>FREQUENCY ELECTRONICS,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(Continued)</w:t>
      </w:r>
    </w:p>
    <w:p>
      <w:pPr>
        <w:spacing w:after="0" w:line="238"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7"/>
          <w:szCs w:val="17"/>
          <w:color w:val="auto"/>
        </w:rPr>
        <w:t>As discussed above, accelerated research and development expenses and reduced gross margins based on flat sales and higher costs, reduced net income for the six and three months ended October 31, 2013 as compared to the same periods of the prior year. Based on recent bookings and its backlog, the Company expects continued growth in satellite revenues and increased profitability over that of the prior fiscal year.</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LIQUIDITY AND CAPITAL RESOURCES</w:t>
      </w:r>
    </w:p>
    <w:p>
      <w:pPr>
        <w:spacing w:after="0" w:line="252"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The Company’s balance sheet continues to reflect a strong working capital position of $77.2 million at October 31, 2013, compared to working capital of $71.7 million at April 30, 2013. Included in working capital at October 31, 2013 is $20.9 million consisting of cash, cash equivalents and marketable securities. The Company’s current ratio at October 31, 2013 is 12.3 to 1.</w:t>
      </w:r>
    </w:p>
    <w:p>
      <w:pPr>
        <w:spacing w:after="0" w:line="208"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For the six months ended October 31, 2013, the Company used cash from operations in the amount of $2.5 million compared to the use of cash from operating activities of $981,000 in the comparable fiscal year 2013 period. The reduced cash flow in the fiscal year 2014 period resulted primarily from increased accounts receivables and increased inventory. For the six-month periods ended October 31, 2013 and 2012, the Company incurred approximately $2.8 million and $2.6 million, respectively, of non-cash operating expenses, such as depreciation and amortization and accruals for employee benefit programs. Net income in fiscal year 2014 also included a $736,000 gain on the sale of equipment and such gain is excluded from operating cash flow. For the balance of fiscal year 2014, as receivables are billed and collected and the pace of purchases of inventory slows, the Company expects to generate positive cash flow from operating activities.</w:t>
      </w:r>
    </w:p>
    <w:p>
      <w:pPr>
        <w:spacing w:after="0" w:line="216" w:lineRule="exact"/>
        <w:rPr>
          <w:sz w:val="20"/>
          <w:szCs w:val="20"/>
          <w:color w:val="auto"/>
        </w:rPr>
      </w:pPr>
    </w:p>
    <w:p>
      <w:pPr>
        <w:jc w:val="both"/>
        <w:ind w:firstLine="486"/>
        <w:spacing w:after="0" w:line="270" w:lineRule="auto"/>
        <w:rPr>
          <w:sz w:val="20"/>
          <w:szCs w:val="20"/>
          <w:color w:val="auto"/>
        </w:rPr>
      </w:pPr>
      <w:r>
        <w:rPr>
          <w:rFonts w:ascii="Arial" w:cs="Arial" w:eastAsia="Arial" w:hAnsi="Arial"/>
          <w:sz w:val="17"/>
          <w:szCs w:val="17"/>
          <w:color w:val="auto"/>
        </w:rPr>
        <w:t>Net cash used in investing activities for the six months ended October 31, 2013, was $1.1 million compared to $447,000 provided by such activity for the same period of fiscal year 2013. During the fiscal year 2014 period, marketable securities were sold or redeemed in the amount of $1.8 million compared to $2.0 million of such redemptions during the fiscal year 2013 period. Some of these proceeds and other cash were reinvested in additional marketable securities for the periods ended October 31, 2013 and 2012 in the amount of $67,000 and $947,000, respectively. In the fiscal periods ended October 31, 2013 and 2012, the Company acquired property, plant and equipment in the amount of approximately $2.8 million and $612,000, respectively. The Company may continue to invest cash equivalents in longer-term securities or to convert short-term investments to cash equivalents as dictated by its investment and acquisition strategies. The Company will continue to acquire more efficient equipment to automate its production process. The Company intends to spend between $3.5 million and $4.0 million on capital equipment during fiscal year 2014. Internally generated cash or additional borrowings under the Company’s credit facility will be used to acquire this level of capital equipment.</w:t>
      </w:r>
    </w:p>
    <w:p>
      <w:pPr>
        <w:spacing w:after="0" w:line="209"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Net cash provided by financing activities for the six months ended October 31, 2013 and 2012 was $4.2 million and $2.3 million, respectively. During the fiscal year 2014 period, the Company borrowed $4.1 million under its new credit facility with a bank. In the fiscal year 2013 period, the Company borrowed $4.0 million under a previous line of credit with a financial institution and also repaid $1.5 million of such borrowings. Such funds were used for working capital and to finance the acquisition of certain fixed assets. During the fiscal year 2014 and 2013 periods, the Company made payments of $15,000 and $231,000, respectively, against capital lease obligations. In addition, during the six months ended October 31, 2012, cash of $20,000 was received upon exercise of employee stock options.</w:t>
      </w:r>
    </w:p>
    <w:p>
      <w:pPr>
        <w:spacing w:after="0" w:line="220"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7"/>
          <w:szCs w:val="17"/>
          <w:color w:val="auto"/>
        </w:rPr>
        <w:t>The Company has been authorized by its Board of Directors to repurchase up to $5 million worth of shares of its common stock for treasury whenever appropriate opportunities arise but it has neither a formal repurchase plan nor commitments to purchase additional shares in the future. As of October 31, 2013, the Company has repurchased approximately $4 million of its common stock out of the $5 million authorization.</w:t>
      </w: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 of 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20" w:name="page21"/>
    <w:bookmarkEnd w:id="20"/>
    <w:p>
      <w:pPr>
        <w:jc w:val="center"/>
        <w:spacing w:after="0"/>
        <w:rPr>
          <w:sz w:val="20"/>
          <w:szCs w:val="20"/>
          <w:color w:val="auto"/>
        </w:rPr>
      </w:pPr>
      <w:r>
        <w:rPr>
          <w:rFonts w:ascii="Arial" w:cs="Arial" w:eastAsia="Arial" w:hAnsi="Arial"/>
          <w:sz w:val="18"/>
          <w:szCs w:val="18"/>
          <w:color w:val="auto"/>
        </w:rPr>
        <w:t>FREQUENCY ELECTRONICS,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(Continued)</w:t>
      </w:r>
    </w:p>
    <w:p>
      <w:pPr>
        <w:spacing w:after="0" w:line="238" w:lineRule="exact"/>
        <w:rPr>
          <w:sz w:val="20"/>
          <w:szCs w:val="20"/>
          <w:color w:val="auto"/>
        </w:rPr>
      </w:pPr>
    </w:p>
    <w:p>
      <w:pPr>
        <w:jc w:val="both"/>
        <w:ind w:firstLine="486"/>
        <w:spacing w:after="0" w:line="291" w:lineRule="auto"/>
        <w:rPr>
          <w:sz w:val="20"/>
          <w:szCs w:val="20"/>
          <w:color w:val="auto"/>
        </w:rPr>
      </w:pPr>
      <w:r>
        <w:rPr>
          <w:rFonts w:ascii="Arial" w:cs="Arial" w:eastAsia="Arial" w:hAnsi="Arial"/>
          <w:sz w:val="16"/>
          <w:szCs w:val="16"/>
          <w:color w:val="auto"/>
        </w:rPr>
        <w:t>The Company will continue to expend resources to develop, improve and acquire products for space applications, guidance and targeting systems, and communication systems which management believes will result in future growth and continued profitability. During fiscal year 2014, the Company intends to make a substantial investment of capital and technical resources to develop and acquire new products to meet the needs of the U.S. Government, commercial space and network infrastructure marketplaces and to invest in more efficient product designs and manufacturing procedures. Where possible, the Company will secure partial customer funding for such development efforts but is targeting to spend its own funds at a rate of less than 10% of revenues to achieve its development goals. Internally generated cash will be adequate to fund these development efforts. The Company may also pursue acquisitions to expand its range of products and may use internally generated cash and external funding in connection with such acquisitions.</w:t>
      </w:r>
    </w:p>
    <w:p>
      <w:pPr>
        <w:spacing w:after="0" w:line="194" w:lineRule="exact"/>
        <w:rPr>
          <w:sz w:val="20"/>
          <w:szCs w:val="20"/>
          <w:color w:val="auto"/>
        </w:rPr>
      </w:pPr>
    </w:p>
    <w:p>
      <w:pPr>
        <w:jc w:val="both"/>
        <w:ind w:firstLine="486"/>
        <w:spacing w:after="0" w:line="273" w:lineRule="auto"/>
        <w:rPr>
          <w:sz w:val="20"/>
          <w:szCs w:val="20"/>
          <w:color w:val="auto"/>
        </w:rPr>
      </w:pPr>
      <w:r>
        <w:rPr>
          <w:rFonts w:ascii="Arial" w:cs="Arial" w:eastAsia="Arial" w:hAnsi="Arial"/>
          <w:sz w:val="17"/>
          <w:szCs w:val="17"/>
          <w:color w:val="auto"/>
        </w:rPr>
        <w:t>As of October 31, 2013, the Company's consolidated backlog is approximately $57 million compared to $51 million at April 30, 2013, the end of fiscal year 2013. Approximately 70% of this backlog is expected to be realized in the next twelve months. Included in the backlog at October 31, 2013 is approximately $3 million under cost-plus-fee contracts which the Company believes represent firm commitments from its customers for which the Company has not received full funding to-date. The Company excludes from backlog any contracts or awards for which it has not received authorization to proceed. On fixed price contracts, the Company excludes any unfunded portion which, at October 31, 2013, was approximately $20 million. The Company expects these contracts to become fully funded over time and will add to its backlog at that time.</w:t>
      </w:r>
    </w:p>
    <w:p>
      <w:pPr>
        <w:spacing w:after="0" w:line="20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Company believes that its liquidity is adequate to meet its operating and investment needs through at least October 31, 2014.</w:t>
      </w:r>
    </w:p>
    <w:p>
      <w:pPr>
        <w:spacing w:after="0" w:line="248" w:lineRule="exact"/>
        <w:rPr>
          <w:sz w:val="20"/>
          <w:szCs w:val="20"/>
          <w:color w:val="auto"/>
        </w:rPr>
      </w:pPr>
    </w:p>
    <w:p>
      <w:pPr>
        <w:ind w:left="500"/>
        <w:spacing w:after="0"/>
        <w:rPr>
          <w:sz w:val="20"/>
          <w:szCs w:val="20"/>
          <w:color w:val="auto"/>
        </w:rPr>
      </w:pPr>
      <w:r>
        <w:rPr>
          <w:rFonts w:ascii="Arial" w:cs="Arial" w:eastAsia="Arial" w:hAnsi="Arial"/>
          <w:sz w:val="18"/>
          <w:szCs w:val="18"/>
          <w:b w:val="1"/>
          <w:bCs w:val="1"/>
          <w:u w:val="single" w:color="auto"/>
          <w:color w:val="auto"/>
        </w:rPr>
        <w:t>Off-Balance Sheet Arrangements</w:t>
      </w:r>
    </w:p>
    <w:p>
      <w:pPr>
        <w:spacing w:after="0" w:line="229"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The Company does not have any off-balance sheet arrangements, other than operating leases, that have or are reasonably likely to have a current or future effect on the Company’s financial condition, changes in financial condition, revenues or expenses, results of operations, liquidity, capital expenditures or capital resources that is material to investors.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u w:val="single" w:color="auto"/>
          <w:color w:val="auto"/>
        </w:rPr>
        <w:t>Quantitative and Qualitative Disclosures About Market Risk</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 of 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21" w:name="page22"/>
    <w:bookmarkEnd w:id="21"/>
    <w:p>
      <w:pPr>
        <w:jc w:val="center"/>
        <w:spacing w:after="0"/>
        <w:rPr>
          <w:sz w:val="20"/>
          <w:szCs w:val="20"/>
          <w:color w:val="auto"/>
        </w:rPr>
      </w:pPr>
      <w:r>
        <w:rPr>
          <w:rFonts w:ascii="Arial" w:cs="Arial" w:eastAsia="Arial" w:hAnsi="Arial"/>
          <w:sz w:val="18"/>
          <w:szCs w:val="18"/>
          <w:color w:val="auto"/>
        </w:rPr>
        <w:t>FREQUENCY ELECTRONICS,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(Continued)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u w:val="single" w:color="auto"/>
          <w:color w:val="auto"/>
        </w:rPr>
        <w:t>Controls and Procedures</w:t>
      </w:r>
    </w:p>
    <w:p>
      <w:pPr>
        <w:spacing w:after="0" w:line="229" w:lineRule="exact"/>
        <w:rPr>
          <w:sz w:val="20"/>
          <w:szCs w:val="20"/>
          <w:color w:val="auto"/>
        </w:rPr>
      </w:pPr>
    </w:p>
    <w:p>
      <w:pPr>
        <w:jc w:val="both"/>
        <w:ind w:firstLine="486"/>
        <w:spacing w:after="0" w:line="270" w:lineRule="auto"/>
        <w:rPr>
          <w:sz w:val="20"/>
          <w:szCs w:val="20"/>
          <w:color w:val="auto"/>
        </w:rPr>
      </w:pPr>
      <w:r>
        <w:rPr>
          <w:rFonts w:ascii="Arial" w:cs="Arial" w:eastAsia="Arial" w:hAnsi="Arial"/>
          <w:sz w:val="17"/>
          <w:szCs w:val="17"/>
          <w:u w:val="single" w:color="auto"/>
          <w:color w:val="auto"/>
        </w:rPr>
        <w:t>Disclosure Controls and Procedures</w:t>
      </w:r>
      <w:r>
        <w:rPr>
          <w:rFonts w:ascii="Arial" w:cs="Arial" w:eastAsia="Arial" w:hAnsi="Arial"/>
          <w:sz w:val="17"/>
          <w:szCs w:val="17"/>
          <w:color w:val="auto"/>
        </w:rPr>
        <w:t>. The Company’s management, with the participation of the Company’s chief executive officer and chief financial officer, has evaluated the effectiveness of the Company’s disclosure controls and procedures (as such term is defined in Rules 13a-15(e) and 15d-15(e) under the Securities Exchange Act of 1934, as amended (the “Exchange Act”)) as of the end of the period covered by this report. There are inherent limitations to the effectiveness of any system of disclosure controls and procedures, including the possibility of human error and the circumvention or overriding of the controls and procedures. Accordingly, even effective disclosure controls and procedures can only provide reasonable assurance of achieving their control objectives. Based on their evaluation, the Company’s chief executive officer and chief financial officer have concluded that, as of October 31, 2013, the Company’s disclosure controls and procedures were effective to ensure that information relating to the Company, including its consolidated subsidiaries, required to be included in its reports that it filed or submitted under the Exchange Act are recorded, processed, summarized and reported within the time periods specified in Securities and Exchange Commission rules and forms.</w:t>
      </w:r>
    </w:p>
    <w:p>
      <w:pPr>
        <w:spacing w:after="0" w:line="182"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u w:val="single" w:color="auto"/>
          <w:color w:val="auto"/>
        </w:rPr>
        <w:t>Changes in Internal Control Over Financial Reporting</w:t>
      </w:r>
      <w:r>
        <w:rPr>
          <w:rFonts w:ascii="Arial" w:cs="Arial" w:eastAsia="Arial" w:hAnsi="Arial"/>
          <w:sz w:val="18"/>
          <w:szCs w:val="18"/>
          <w:color w:val="auto"/>
        </w:rPr>
        <w:t>. There were no changes in the Company’s internal control over financial reporting (as such term is defined in Rules 13a-15(f) and 15d-15(f) under the Exchange Act) during the six months ended October 31, 2013 to which this report relates that have materially affected, or are reasonably likely to materially affect, the Company’s internal control over financial reporting.</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 of 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22" w:name="page23"/>
    <w:bookmarkEnd w:id="22"/>
    <w:p>
      <w:pPr>
        <w:ind w:left="4000"/>
        <w:spacing w:after="0"/>
        <w:rPr>
          <w:sz w:val="20"/>
          <w:szCs w:val="20"/>
          <w:color w:val="auto"/>
        </w:rPr>
      </w:pPr>
      <w:r>
        <w:rPr>
          <w:rFonts w:ascii="Arial" w:cs="Arial" w:eastAsia="Arial" w:hAnsi="Arial"/>
          <w:sz w:val="18"/>
          <w:szCs w:val="18"/>
          <w:b w:val="1"/>
          <w:bCs w:val="1"/>
          <w:color w:val="auto"/>
        </w:rPr>
        <w:t>PART II. OTHER INFORMATION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6.  </w:t>
      </w:r>
      <w:r>
        <w:rPr>
          <w:rFonts w:ascii="Arial" w:cs="Arial" w:eastAsia="Arial" w:hAnsi="Arial"/>
          <w:sz w:val="18"/>
          <w:szCs w:val="18"/>
          <w:b w:val="1"/>
          <w:bCs w:val="1"/>
          <w:u w:val="single" w:color="auto"/>
          <w:color w:val="auto"/>
        </w:rPr>
        <w:t>Exhibits</w:t>
      </w:r>
    </w:p>
    <w:p>
      <w:pPr>
        <w:spacing w:after="0" w:line="238" w:lineRule="exact"/>
        <w:rPr>
          <w:sz w:val="20"/>
          <w:szCs w:val="20"/>
          <w:color w:val="auto"/>
        </w:rPr>
      </w:pPr>
    </w:p>
    <w:p>
      <w:pPr>
        <w:ind w:left="580" w:right="40" w:hanging="580"/>
        <w:spacing w:after="0" w:line="258" w:lineRule="auto"/>
        <w:tabs>
          <w:tab w:leader="none" w:pos="56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8"/>
          <w:szCs w:val="18"/>
          <w:u w:val="single" w:color="auto"/>
          <w:color w:val="0000EE"/>
        </w:rPr>
        <w:t>Certification by the Chief Executive Officer pursuant to Rule 13a-14(a) or 15d-14(a) under the Securities Exchange Act of 1934, as adopted pursuant to Section 302 of the Sarbanes-Oxley Act of 2002.</w:t>
      </w:r>
    </w:p>
    <w:p>
      <w:pPr>
        <w:spacing w:after="0" w:line="1" w:lineRule="exact"/>
        <w:rPr>
          <w:sz w:val="20"/>
          <w:szCs w:val="20"/>
          <w:color w:val="auto"/>
        </w:rPr>
      </w:pPr>
    </w:p>
    <w:p>
      <w:pPr>
        <w:ind w:left="580" w:right="80" w:hanging="580"/>
        <w:spacing w:after="0" w:line="250" w:lineRule="auto"/>
        <w:tabs>
          <w:tab w:leader="none" w:pos="56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8"/>
          <w:szCs w:val="18"/>
          <w:u w:val="single" w:color="auto"/>
          <w:color w:val="0000EE"/>
        </w:rPr>
        <w:t>Certification by the Chief Financial Officer pursuant to Rule 13a-14(a) or 15d-14(a) under the Securities Exchange Act of 1934, as adopted pursuant to Section 302 of the Sarbanes-Oxley Act of 2002.</w:t>
      </w:r>
    </w:p>
    <w:p>
      <w:pPr>
        <w:spacing w:after="0" w:line="1" w:lineRule="exact"/>
        <w:rPr>
          <w:sz w:val="20"/>
          <w:szCs w:val="20"/>
          <w:color w:val="auto"/>
        </w:rPr>
      </w:pPr>
    </w:p>
    <w:p>
      <w:pPr>
        <w:ind w:left="580" w:hanging="572"/>
        <w:spacing w:after="0"/>
        <w:tabs>
          <w:tab w:leader="none" w:pos="580" w:val="left"/>
        </w:tabs>
        <w:numPr>
          <w:ilvl w:val="0"/>
          <w:numId w:val="5"/>
        </w:numPr>
        <w:rPr>
          <w:rFonts w:ascii="Arial" w:cs="Arial" w:eastAsia="Arial" w:hAnsi="Arial"/>
          <w:sz w:val="16"/>
          <w:szCs w:val="16"/>
          <w:color w:val="auto"/>
        </w:rPr>
      </w:pPr>
      <w:r>
        <w:rPr>
          <w:rFonts w:ascii="Arial" w:cs="Arial" w:eastAsia="Arial" w:hAnsi="Arial"/>
          <w:sz w:val="16"/>
          <w:szCs w:val="16"/>
          <w:u w:val="single" w:color="auto"/>
          <w:color w:val="0000EE"/>
        </w:rPr>
        <w:t>Certifications by the Chief Executive Officer and Chief Financial Officer pursuant to 18 U.S.C. Section 1350, as adopted pursuant to Section 906 of</w:t>
      </w:r>
    </w:p>
    <w:p>
      <w:pPr>
        <w:spacing w:after="0" w:line="234" w:lineRule="exact"/>
        <w:rPr>
          <w:sz w:val="20"/>
          <w:szCs w:val="20"/>
          <w:color w:val="auto"/>
        </w:rPr>
      </w:pPr>
    </w:p>
    <w:p>
      <w:pPr>
        <w:ind w:left="580" w:hanging="572"/>
        <w:spacing w:after="0" w:line="312" w:lineRule="auto"/>
        <w:tabs>
          <w:tab w:leader="none" w:pos="58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following materials from the Frequency Electronics, Inc. Quarterly Report on Form 10-Q for the quarter ended October 31, 2013 formatted in eXtensible Business Reporting Language (XBRL): (i) Condensed Consolidated Balance Sheets, (ii) Condensed Consolidated Statements of Income and Comprehensive Income, (iii) Condensed Consolidated Statements of Cash Flows and (iv) Notes to Condensed Consolidated Financial Statements</w:t>
      </w:r>
    </w:p>
    <w:p>
      <w:pPr>
        <w:spacing w:after="0" w:line="32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23 of 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513" w:right="279" w:bottom="1440" w:gutter="0" w:footer="0" w:header="0"/>
        </w:sectPr>
      </w:pPr>
    </w:p>
    <w:bookmarkStart w:id="23" w:name="page24"/>
    <w:bookmarkEnd w:id="23"/>
    <w:p>
      <w:pPr>
        <w:jc w:val="center"/>
        <w:ind w:right="-439"/>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3" w:lineRule="exact"/>
        <w:rPr>
          <w:sz w:val="20"/>
          <w:szCs w:val="20"/>
          <w:color w:val="auto"/>
        </w:rPr>
      </w:pPr>
    </w:p>
    <w:p>
      <w:pPr>
        <w:ind w:left="5400"/>
        <w:spacing w:after="0"/>
        <w:rPr>
          <w:sz w:val="20"/>
          <w:szCs w:val="20"/>
          <w:color w:val="auto"/>
        </w:rPr>
      </w:pPr>
      <w:r>
        <w:rPr>
          <w:rFonts w:ascii="Arial" w:cs="Arial" w:eastAsia="Arial" w:hAnsi="Arial"/>
          <w:sz w:val="18"/>
          <w:szCs w:val="18"/>
          <w:b w:val="1"/>
          <w:bCs w:val="1"/>
          <w:color w:val="auto"/>
        </w:rPr>
        <w:t>FREQUENCY ELECTRONICS, INC.</w:t>
      </w:r>
    </w:p>
    <w:p>
      <w:pPr>
        <w:spacing w:after="0" w:line="27" w:lineRule="exact"/>
        <w:rPr>
          <w:sz w:val="20"/>
          <w:szCs w:val="20"/>
          <w:color w:val="auto"/>
        </w:rPr>
      </w:pPr>
    </w:p>
    <w:p>
      <w:pPr>
        <w:ind w:left="6300"/>
        <w:spacing w:after="0"/>
        <w:rPr>
          <w:sz w:val="20"/>
          <w:szCs w:val="20"/>
          <w:color w:val="auto"/>
        </w:rPr>
      </w:pPr>
      <w:r>
        <w:rPr>
          <w:rFonts w:ascii="Arial" w:cs="Arial" w:eastAsia="Arial" w:hAnsi="Arial"/>
          <w:sz w:val="18"/>
          <w:szCs w:val="18"/>
          <w:color w:val="auto"/>
        </w:rPr>
        <w:t>(Registrant)</w:t>
      </w:r>
    </w:p>
    <w:p>
      <w:pPr>
        <w:spacing w:after="0" w:line="211" w:lineRule="exact"/>
        <w:rPr>
          <w:sz w:val="20"/>
          <w:szCs w:val="20"/>
          <w:color w:val="auto"/>
        </w:rPr>
      </w:pPr>
    </w:p>
    <w:p>
      <w:pPr>
        <w:spacing w:after="0"/>
        <w:tabs>
          <w:tab w:leader="none" w:pos="5380" w:val="left"/>
        </w:tabs>
        <w:rPr>
          <w:sz w:val="20"/>
          <w:szCs w:val="20"/>
          <w:color w:val="auto"/>
        </w:rPr>
      </w:pPr>
      <w:r>
        <w:rPr>
          <w:rFonts w:ascii="Arial" w:cs="Arial" w:eastAsia="Arial" w:hAnsi="Arial"/>
          <w:sz w:val="18"/>
          <w:szCs w:val="18"/>
          <w:color w:val="auto"/>
        </w:rPr>
        <w:t>Date: December 16, 2013</w:t>
      </w:r>
      <w:r>
        <w:rPr>
          <w:sz w:val="20"/>
          <w:szCs w:val="20"/>
          <w:color w:val="auto"/>
        </w:rPr>
        <w:tab/>
      </w:r>
      <w:r>
        <w:rPr>
          <w:rFonts w:ascii="Arial" w:cs="Arial" w:eastAsia="Arial" w:hAnsi="Arial"/>
          <w:sz w:val="18"/>
          <w:szCs w:val="18"/>
          <w:color w:val="auto"/>
        </w:rPr>
        <w:t>By: /s/  Alan Miller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23495</wp:posOffset>
            </wp:positionV>
            <wp:extent cx="239268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392680" cy="17145"/>
                    </a:xfrm>
                    <a:prstGeom prst="rect">
                      <a:avLst/>
                    </a:prstGeom>
                    <a:noFill/>
                  </pic:spPr>
                </pic:pic>
              </a:graphicData>
            </a:graphic>
          </wp:anchor>
        </w:drawing>
      </w:r>
    </w:p>
    <w:p>
      <w:pPr>
        <w:spacing w:after="0" w:line="30"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Alan Miller</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Chief Financial Officer and Treasurer</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Signing on behalf of the registrant</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and</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as 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24 of 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340"/>
          </w:cols>
          <w:pgMar w:left="240" w:top="607" w:right="1319" w:bottom="1440" w:gutter="0" w:footer="0" w:header="0"/>
        </w:sectPr>
      </w:pPr>
    </w:p>
    <w:bookmarkStart w:id="24" w:name="page25"/>
    <w:bookmarkEnd w:id="24"/>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25" w:name="page26"/>
    <w:bookmarkEnd w:id="25"/>
    <w:p>
      <w:pPr>
        <w:jc w:val="right"/>
        <w:spacing w:after="0"/>
        <w:rPr>
          <w:sz w:val="20"/>
          <w:szCs w:val="20"/>
          <w:color w:val="auto"/>
        </w:rPr>
      </w:pPr>
      <w:r>
        <w:rPr>
          <w:rFonts w:ascii="Arial" w:cs="Arial" w:eastAsia="Arial" w:hAnsi="Arial"/>
          <w:sz w:val="18"/>
          <w:szCs w:val="18"/>
          <w:color w:val="auto"/>
        </w:rPr>
        <w:t>Exhibit 31.1</w:t>
      </w:r>
    </w:p>
    <w:p>
      <w:pPr>
        <w:spacing w:after="0" w:line="248" w:lineRule="exact"/>
        <w:rPr>
          <w:sz w:val="20"/>
          <w:szCs w:val="20"/>
          <w:color w:val="auto"/>
        </w:rPr>
      </w:pPr>
    </w:p>
    <w:p>
      <w:pPr>
        <w:jc w:val="center"/>
        <w:ind w:right="640"/>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ind w:right="640"/>
        <w:spacing w:after="0"/>
        <w:rPr>
          <w:sz w:val="20"/>
          <w:szCs w:val="20"/>
          <w:color w:val="auto"/>
        </w:rPr>
      </w:pPr>
      <w:r>
        <w:rPr>
          <w:rFonts w:ascii="Arial" w:cs="Arial" w:eastAsia="Arial" w:hAnsi="Arial"/>
          <w:sz w:val="18"/>
          <w:szCs w:val="18"/>
          <w:b w:val="1"/>
          <w:bCs w:val="1"/>
          <w:color w:val="auto"/>
        </w:rPr>
        <w:t>SECTION 302 OF</w:t>
      </w:r>
    </w:p>
    <w:p>
      <w:pPr>
        <w:spacing w:after="0" w:line="9" w:lineRule="exact"/>
        <w:rPr>
          <w:sz w:val="20"/>
          <w:szCs w:val="20"/>
          <w:color w:val="auto"/>
        </w:rPr>
      </w:pPr>
    </w:p>
    <w:p>
      <w:pPr>
        <w:jc w:val="center"/>
        <w:ind w:right="640"/>
        <w:spacing w:after="0"/>
        <w:rPr>
          <w:sz w:val="20"/>
          <w:szCs w:val="20"/>
          <w:color w:val="auto"/>
        </w:rPr>
      </w:pPr>
      <w:r>
        <w:rPr>
          <w:rFonts w:ascii="Arial" w:cs="Arial" w:eastAsia="Arial" w:hAnsi="Arial"/>
          <w:sz w:val="18"/>
          <w:szCs w:val="18"/>
          <w:b w:val="1"/>
          <w:bCs w:val="1"/>
          <w:color w:val="auto"/>
        </w:rPr>
        <w:t>THE SARBANES-OXLEY ACT OF 2002</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I, Martin Bloch, certify that:</w:t>
      </w:r>
    </w:p>
    <w:p>
      <w:pPr>
        <w:spacing w:after="0" w:line="252" w:lineRule="exact"/>
        <w:rPr>
          <w:sz w:val="20"/>
          <w:szCs w:val="20"/>
          <w:color w:val="auto"/>
        </w:rPr>
      </w:pPr>
    </w:p>
    <w:p>
      <w:pPr>
        <w:ind w:left="240" w:hanging="232"/>
        <w:spacing w:after="0"/>
        <w:tabs>
          <w:tab w:leader="none" w:pos="240" w:val="left"/>
        </w:tabs>
        <w:numPr>
          <w:ilvl w:val="0"/>
          <w:numId w:val="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Frequency Electronics, Inc.;</w:t>
      </w:r>
    </w:p>
    <w:p>
      <w:pPr>
        <w:spacing w:after="0" w:line="252" w:lineRule="exact"/>
        <w:rPr>
          <w:rFonts w:ascii="Arial" w:cs="Arial" w:eastAsia="Arial" w:hAnsi="Arial"/>
          <w:sz w:val="18"/>
          <w:szCs w:val="18"/>
          <w:color w:val="auto"/>
        </w:rPr>
      </w:pPr>
    </w:p>
    <w:p>
      <w:pPr>
        <w:jc w:val="both"/>
        <w:ind w:right="1300" w:firstLine="8"/>
        <w:spacing w:after="0" w:line="264" w:lineRule="auto"/>
        <w:tabs>
          <w:tab w:leader="none" w:pos="233" w:val="left"/>
        </w:tabs>
        <w:numPr>
          <w:ilvl w:val="0"/>
          <w:numId w:val="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8" w:lineRule="exact"/>
        <w:rPr>
          <w:rFonts w:ascii="Arial" w:cs="Arial" w:eastAsia="Arial" w:hAnsi="Arial"/>
          <w:sz w:val="18"/>
          <w:szCs w:val="18"/>
          <w:color w:val="auto"/>
        </w:rPr>
      </w:pPr>
    </w:p>
    <w:p>
      <w:pPr>
        <w:ind w:right="1300" w:firstLine="8"/>
        <w:spacing w:after="0" w:line="342" w:lineRule="auto"/>
        <w:tabs>
          <w:tab w:leader="none" w:pos="251" w:val="left"/>
        </w:tabs>
        <w:numPr>
          <w:ilvl w:val="0"/>
          <w:numId w:val="7"/>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0" w:lineRule="exact"/>
        <w:rPr>
          <w:rFonts w:ascii="Arial" w:cs="Arial" w:eastAsia="Arial" w:hAnsi="Arial"/>
          <w:sz w:val="16"/>
          <w:szCs w:val="16"/>
          <w:color w:val="auto"/>
        </w:rPr>
      </w:pPr>
    </w:p>
    <w:p>
      <w:pPr>
        <w:jc w:val="both"/>
        <w:ind w:right="1300" w:firstLine="8"/>
        <w:spacing w:after="0" w:line="291" w:lineRule="auto"/>
        <w:tabs>
          <w:tab w:leader="none" w:pos="262"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spacing w:after="0"/>
        <w:rPr>
          <w:rFonts w:ascii="Arial" w:cs="Arial" w:eastAsia="Arial" w:hAnsi="Arial"/>
          <w:sz w:val="16"/>
          <w:szCs w:val="16"/>
          <w:color w:val="auto"/>
        </w:rPr>
      </w:pPr>
      <w:r>
        <w:rPr>
          <w:rFonts w:ascii="Arial" w:cs="Arial" w:eastAsia="Arial" w:hAnsi="Arial"/>
          <w:sz w:val="18"/>
          <w:szCs w:val="18"/>
          <w:color w:val="auto"/>
        </w:rPr>
        <w:t>13a-15(f) and 15d-15(f)) for the registrant and have:</w:t>
      </w:r>
    </w:p>
    <w:p>
      <w:pPr>
        <w:spacing w:after="0" w:line="237" w:lineRule="exact"/>
        <w:rPr>
          <w:rFonts w:ascii="Arial" w:cs="Arial" w:eastAsia="Arial" w:hAnsi="Arial"/>
          <w:sz w:val="16"/>
          <w:szCs w:val="16"/>
          <w:color w:val="auto"/>
        </w:rPr>
      </w:pPr>
    </w:p>
    <w:p>
      <w:pPr>
        <w:jc w:val="both"/>
        <w:ind w:left="660" w:right="1300" w:hanging="4"/>
        <w:spacing w:after="0" w:line="286" w:lineRule="auto"/>
        <w:tabs>
          <w:tab w:leader="none" w:pos="957" w:val="left"/>
        </w:tabs>
        <w:numPr>
          <w:ilvl w:val="1"/>
          <w:numId w:val="7"/>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2" w:lineRule="exact"/>
        <w:rPr>
          <w:rFonts w:ascii="Arial" w:cs="Arial" w:eastAsia="Arial" w:hAnsi="Arial"/>
          <w:sz w:val="17"/>
          <w:szCs w:val="17"/>
          <w:color w:val="auto"/>
        </w:rPr>
      </w:pPr>
    </w:p>
    <w:p>
      <w:pPr>
        <w:jc w:val="both"/>
        <w:ind w:left="660" w:right="1300" w:hanging="4"/>
        <w:spacing w:after="0" w:line="286" w:lineRule="auto"/>
        <w:tabs>
          <w:tab w:leader="none" w:pos="969" w:val="left"/>
        </w:tabs>
        <w:numPr>
          <w:ilvl w:val="1"/>
          <w:numId w:val="7"/>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2" w:lineRule="exact"/>
        <w:rPr>
          <w:rFonts w:ascii="Arial" w:cs="Arial" w:eastAsia="Arial" w:hAnsi="Arial"/>
          <w:sz w:val="17"/>
          <w:szCs w:val="17"/>
          <w:color w:val="auto"/>
        </w:rPr>
      </w:pPr>
    </w:p>
    <w:p>
      <w:pPr>
        <w:jc w:val="both"/>
        <w:ind w:left="660" w:right="1300" w:hanging="4"/>
        <w:spacing w:after="0" w:line="264" w:lineRule="auto"/>
        <w:tabs>
          <w:tab w:leader="none" w:pos="969" w:val="left"/>
        </w:tabs>
        <w:numPr>
          <w:ilvl w:val="1"/>
          <w:numId w:val="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8" w:lineRule="exact"/>
        <w:rPr>
          <w:rFonts w:ascii="Arial" w:cs="Arial" w:eastAsia="Arial" w:hAnsi="Arial"/>
          <w:sz w:val="18"/>
          <w:szCs w:val="18"/>
          <w:color w:val="auto"/>
        </w:rPr>
      </w:pPr>
    </w:p>
    <w:p>
      <w:pPr>
        <w:jc w:val="both"/>
        <w:ind w:left="660" w:right="1300" w:hanging="4"/>
        <w:spacing w:after="0" w:line="286" w:lineRule="auto"/>
        <w:tabs>
          <w:tab w:leader="none" w:pos="1031" w:val="left"/>
        </w:tabs>
        <w:numPr>
          <w:ilvl w:val="1"/>
          <w:numId w:val="7"/>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2" w:lineRule="exact"/>
        <w:rPr>
          <w:rFonts w:ascii="Arial" w:cs="Arial" w:eastAsia="Arial" w:hAnsi="Arial"/>
          <w:sz w:val="17"/>
          <w:szCs w:val="17"/>
          <w:color w:val="auto"/>
        </w:rPr>
      </w:pPr>
    </w:p>
    <w:p>
      <w:pPr>
        <w:jc w:val="both"/>
        <w:ind w:right="1300" w:firstLine="8"/>
        <w:spacing w:after="0" w:line="264" w:lineRule="auto"/>
        <w:tabs>
          <w:tab w:leader="none" w:pos="251"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08" w:lineRule="exact"/>
        <w:rPr>
          <w:rFonts w:ascii="Arial" w:cs="Arial" w:eastAsia="Arial" w:hAnsi="Arial"/>
          <w:sz w:val="18"/>
          <w:szCs w:val="18"/>
          <w:color w:val="auto"/>
        </w:rPr>
      </w:pPr>
    </w:p>
    <w:p>
      <w:pPr>
        <w:jc w:val="both"/>
        <w:ind w:left="660" w:right="1300" w:hanging="4"/>
        <w:spacing w:after="0" w:line="264" w:lineRule="auto"/>
        <w:tabs>
          <w:tab w:leader="none" w:pos="989" w:val="left"/>
        </w:tabs>
        <w:numPr>
          <w:ilvl w:val="1"/>
          <w:numId w:val="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08" w:lineRule="exact"/>
        <w:rPr>
          <w:rFonts w:ascii="Arial" w:cs="Arial" w:eastAsia="Arial" w:hAnsi="Arial"/>
          <w:sz w:val="18"/>
          <w:szCs w:val="18"/>
          <w:color w:val="auto"/>
        </w:rPr>
      </w:pPr>
    </w:p>
    <w:p>
      <w:pPr>
        <w:ind w:left="660" w:right="1300" w:hanging="4"/>
        <w:spacing w:after="0" w:line="277" w:lineRule="auto"/>
        <w:tabs>
          <w:tab w:leader="none" w:pos="1031" w:val="left"/>
        </w:tabs>
        <w:numPr>
          <w:ilvl w:val="1"/>
          <w:numId w:val="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7"/>
              </w:rPr>
              <w:t>/s/  Martin Bloch</w:t>
            </w:r>
          </w:p>
        </w:tc>
        <w:tc>
          <w:tcPr>
            <w:tcW w:w="1260" w:type="dxa"/>
            <w:vAlign w:val="bottom"/>
          </w:tcPr>
          <w:p>
            <w:pPr>
              <w:spacing w:after="0"/>
              <w:rPr>
                <w:sz w:val="18"/>
                <w:szCs w:val="18"/>
                <w:color w:val="auto"/>
              </w:rPr>
            </w:pPr>
          </w:p>
        </w:tc>
        <w:tc>
          <w:tcPr>
            <w:tcW w:w="1900" w:type="dxa"/>
            <w:vAlign w:val="bottom"/>
          </w:tcPr>
          <w:p>
            <w:pPr>
              <w:ind w:left="500"/>
              <w:spacing w:after="0"/>
              <w:rPr>
                <w:sz w:val="20"/>
                <w:szCs w:val="20"/>
                <w:color w:val="auto"/>
              </w:rPr>
            </w:pPr>
            <w:r>
              <w:rPr>
                <w:rFonts w:ascii="Arial" w:cs="Arial" w:eastAsia="Arial" w:hAnsi="Arial"/>
                <w:sz w:val="18"/>
                <w:szCs w:val="18"/>
                <w:color w:val="auto"/>
                <w:w w:val="87"/>
              </w:rPr>
              <w:t>December 16, 2013</w:t>
            </w:r>
          </w:p>
        </w:tc>
      </w:tr>
      <w:tr>
        <w:trPr>
          <w:trHeight w:val="222"/>
        </w:trPr>
        <w:tc>
          <w:tcPr>
            <w:tcW w:w="2540" w:type="dxa"/>
            <w:vAlign w:val="bottom"/>
            <w:gridSpan w:val="2"/>
          </w:tcPr>
          <w:p>
            <w:pPr>
              <w:ind w:left="340"/>
              <w:spacing w:after="0"/>
              <w:rPr>
                <w:sz w:val="20"/>
                <w:szCs w:val="20"/>
                <w:color w:val="auto"/>
              </w:rPr>
            </w:pPr>
            <w:r>
              <w:rPr>
                <w:rFonts w:ascii="Arial" w:cs="Arial" w:eastAsia="Arial" w:hAnsi="Arial"/>
                <w:sz w:val="18"/>
                <w:szCs w:val="18"/>
                <w:color w:val="auto"/>
              </w:rPr>
              <w:t>Martin Bloch</w:t>
            </w:r>
          </w:p>
        </w:tc>
        <w:tc>
          <w:tcPr>
            <w:tcW w:w="1900" w:type="dxa"/>
            <w:vAlign w:val="bottom"/>
          </w:tcPr>
          <w:p>
            <w:pPr>
              <w:spacing w:after="0"/>
              <w:rPr>
                <w:sz w:val="19"/>
                <w:szCs w:val="19"/>
                <w:color w:val="auto"/>
              </w:rPr>
            </w:pPr>
          </w:p>
        </w:tc>
      </w:tr>
      <w:tr>
        <w:trPr>
          <w:trHeight w:val="230"/>
        </w:trPr>
        <w:tc>
          <w:tcPr>
            <w:tcW w:w="2540" w:type="dxa"/>
            <w:vAlign w:val="bottom"/>
            <w:gridSpan w:val="2"/>
          </w:tcPr>
          <w:p>
            <w:pPr>
              <w:ind w:left="340"/>
              <w:spacing w:after="0"/>
              <w:rPr>
                <w:sz w:val="20"/>
                <w:szCs w:val="20"/>
                <w:color w:val="auto"/>
              </w:rPr>
            </w:pPr>
            <w:r>
              <w:rPr>
                <w:rFonts w:ascii="Arial" w:cs="Arial" w:eastAsia="Arial" w:hAnsi="Arial"/>
                <w:sz w:val="18"/>
                <w:szCs w:val="18"/>
                <w:color w:val="auto"/>
              </w:rPr>
              <w:t>Chief Executive Officer</w:t>
            </w:r>
          </w:p>
        </w:tc>
        <w:tc>
          <w:tcPr>
            <w:tcW w:w="1900" w:type="dxa"/>
            <w:vAlign w:val="bottom"/>
          </w:tcPr>
          <w:p>
            <w:pPr>
              <w:spacing w:after="0"/>
              <w:rPr>
                <w:sz w:val="20"/>
                <w:szCs w:val="20"/>
                <w:color w:val="auto"/>
              </w:rPr>
            </w:pPr>
          </w:p>
        </w:tc>
      </w:tr>
    </w:tbl>
    <w:p>
      <w:pPr>
        <w:sectPr>
          <w:pgSz w:w="11900" w:h="16838" w:orient="portrait"/>
          <w:cols w:equalWidth="0" w:num="1">
            <w:col w:w="11420"/>
          </w:cols>
          <w:pgMar w:left="240" w:top="125" w:right="239" w:bottom="1440" w:gutter="0" w:footer="0" w:header="0"/>
        </w:sectPr>
      </w:pPr>
    </w:p>
    <w:bookmarkStart w:id="26" w:name="page27"/>
    <w:bookmarkEnd w:id="26"/>
    <w:p>
      <w:pPr>
        <w:jc w:val="right"/>
        <w:spacing w:after="0"/>
        <w:rPr>
          <w:sz w:val="20"/>
          <w:szCs w:val="20"/>
          <w:color w:val="auto"/>
        </w:rPr>
      </w:pPr>
      <w:r>
        <w:rPr>
          <w:rFonts w:ascii="Arial" w:cs="Arial" w:eastAsia="Arial" w:hAnsi="Arial"/>
          <w:sz w:val="18"/>
          <w:szCs w:val="18"/>
          <w:color w:val="auto"/>
        </w:rPr>
        <w:t>Exhibit 31.2</w:t>
      </w:r>
    </w:p>
    <w:p>
      <w:pPr>
        <w:spacing w:after="0" w:line="248" w:lineRule="exact"/>
        <w:rPr>
          <w:sz w:val="20"/>
          <w:szCs w:val="20"/>
          <w:color w:val="auto"/>
        </w:rPr>
      </w:pPr>
    </w:p>
    <w:p>
      <w:pPr>
        <w:jc w:val="center"/>
        <w:ind w:right="640"/>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ind w:right="640"/>
        <w:spacing w:after="0"/>
        <w:rPr>
          <w:sz w:val="20"/>
          <w:szCs w:val="20"/>
          <w:color w:val="auto"/>
        </w:rPr>
      </w:pPr>
      <w:r>
        <w:rPr>
          <w:rFonts w:ascii="Arial" w:cs="Arial" w:eastAsia="Arial" w:hAnsi="Arial"/>
          <w:sz w:val="18"/>
          <w:szCs w:val="18"/>
          <w:b w:val="1"/>
          <w:bCs w:val="1"/>
          <w:color w:val="auto"/>
        </w:rPr>
        <w:t>SECTION 302 OF</w:t>
      </w:r>
    </w:p>
    <w:p>
      <w:pPr>
        <w:spacing w:after="0" w:line="9" w:lineRule="exact"/>
        <w:rPr>
          <w:sz w:val="20"/>
          <w:szCs w:val="20"/>
          <w:color w:val="auto"/>
        </w:rPr>
      </w:pPr>
    </w:p>
    <w:p>
      <w:pPr>
        <w:jc w:val="center"/>
        <w:ind w:right="640"/>
        <w:spacing w:after="0"/>
        <w:rPr>
          <w:sz w:val="20"/>
          <w:szCs w:val="20"/>
          <w:color w:val="auto"/>
        </w:rPr>
      </w:pPr>
      <w:r>
        <w:rPr>
          <w:rFonts w:ascii="Arial" w:cs="Arial" w:eastAsia="Arial" w:hAnsi="Arial"/>
          <w:sz w:val="18"/>
          <w:szCs w:val="18"/>
          <w:b w:val="1"/>
          <w:bCs w:val="1"/>
          <w:color w:val="auto"/>
        </w:rPr>
        <w:t>THE SARBANES-OXLEY ACT OF 2002</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color w:val="auto"/>
        </w:rPr>
        <w:t>I, Alan Miller, certify that</w:t>
      </w:r>
    </w:p>
    <w:p>
      <w:pPr>
        <w:spacing w:after="0" w:line="252" w:lineRule="exact"/>
        <w:rPr>
          <w:sz w:val="20"/>
          <w:szCs w:val="20"/>
          <w:color w:val="auto"/>
        </w:rPr>
      </w:pPr>
    </w:p>
    <w:p>
      <w:pPr>
        <w:ind w:left="240" w:hanging="232"/>
        <w:spacing w:after="0"/>
        <w:tabs>
          <w:tab w:leader="none" w:pos="240" w:val="left"/>
        </w:tabs>
        <w:numPr>
          <w:ilvl w:val="0"/>
          <w:numId w:val="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Frequency Electronics, Inc.;</w:t>
      </w:r>
    </w:p>
    <w:p>
      <w:pPr>
        <w:spacing w:after="0" w:line="252" w:lineRule="exact"/>
        <w:rPr>
          <w:rFonts w:ascii="Arial" w:cs="Arial" w:eastAsia="Arial" w:hAnsi="Arial"/>
          <w:sz w:val="18"/>
          <w:szCs w:val="18"/>
          <w:color w:val="auto"/>
        </w:rPr>
      </w:pPr>
    </w:p>
    <w:p>
      <w:pPr>
        <w:jc w:val="both"/>
        <w:ind w:right="1300" w:firstLine="8"/>
        <w:spacing w:after="0" w:line="264" w:lineRule="auto"/>
        <w:tabs>
          <w:tab w:leader="none" w:pos="233" w:val="left"/>
        </w:tabs>
        <w:numPr>
          <w:ilvl w:val="0"/>
          <w:numId w:val="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8" w:lineRule="exact"/>
        <w:rPr>
          <w:rFonts w:ascii="Arial" w:cs="Arial" w:eastAsia="Arial" w:hAnsi="Arial"/>
          <w:sz w:val="18"/>
          <w:szCs w:val="18"/>
          <w:color w:val="auto"/>
        </w:rPr>
      </w:pPr>
    </w:p>
    <w:p>
      <w:pPr>
        <w:ind w:right="1300" w:firstLine="8"/>
        <w:spacing w:after="0" w:line="342" w:lineRule="auto"/>
        <w:tabs>
          <w:tab w:leader="none" w:pos="251" w:val="left"/>
        </w:tabs>
        <w:numPr>
          <w:ilvl w:val="0"/>
          <w:numId w:val="8"/>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0" w:lineRule="exact"/>
        <w:rPr>
          <w:rFonts w:ascii="Arial" w:cs="Arial" w:eastAsia="Arial" w:hAnsi="Arial"/>
          <w:sz w:val="16"/>
          <w:szCs w:val="16"/>
          <w:color w:val="auto"/>
        </w:rPr>
      </w:pPr>
    </w:p>
    <w:p>
      <w:pPr>
        <w:jc w:val="both"/>
        <w:ind w:right="1300" w:firstLine="8"/>
        <w:spacing w:after="0" w:line="291" w:lineRule="auto"/>
        <w:tabs>
          <w:tab w:leader="none" w:pos="262"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spacing w:after="0"/>
        <w:rPr>
          <w:rFonts w:ascii="Arial" w:cs="Arial" w:eastAsia="Arial" w:hAnsi="Arial"/>
          <w:sz w:val="16"/>
          <w:szCs w:val="16"/>
          <w:color w:val="auto"/>
        </w:rPr>
      </w:pPr>
      <w:r>
        <w:rPr>
          <w:rFonts w:ascii="Arial" w:cs="Arial" w:eastAsia="Arial" w:hAnsi="Arial"/>
          <w:sz w:val="18"/>
          <w:szCs w:val="18"/>
          <w:color w:val="auto"/>
        </w:rPr>
        <w:t>13a-15(f) and 15d-15(f)) for the registrant and have:</w:t>
      </w:r>
    </w:p>
    <w:p>
      <w:pPr>
        <w:spacing w:after="0" w:line="237" w:lineRule="exact"/>
        <w:rPr>
          <w:rFonts w:ascii="Arial" w:cs="Arial" w:eastAsia="Arial" w:hAnsi="Arial"/>
          <w:sz w:val="16"/>
          <w:szCs w:val="16"/>
          <w:color w:val="auto"/>
        </w:rPr>
      </w:pPr>
    </w:p>
    <w:p>
      <w:pPr>
        <w:jc w:val="both"/>
        <w:ind w:left="660" w:right="1300" w:hanging="4"/>
        <w:spacing w:after="0" w:line="286" w:lineRule="auto"/>
        <w:tabs>
          <w:tab w:leader="none" w:pos="957" w:val="left"/>
        </w:tabs>
        <w:numPr>
          <w:ilvl w:val="1"/>
          <w:numId w:val="8"/>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2" w:lineRule="exact"/>
        <w:rPr>
          <w:rFonts w:ascii="Arial" w:cs="Arial" w:eastAsia="Arial" w:hAnsi="Arial"/>
          <w:sz w:val="17"/>
          <w:szCs w:val="17"/>
          <w:color w:val="auto"/>
        </w:rPr>
      </w:pPr>
    </w:p>
    <w:p>
      <w:pPr>
        <w:jc w:val="both"/>
        <w:ind w:left="660" w:right="1300" w:hanging="4"/>
        <w:spacing w:after="0" w:line="286" w:lineRule="auto"/>
        <w:tabs>
          <w:tab w:leader="none" w:pos="969" w:val="left"/>
        </w:tabs>
        <w:numPr>
          <w:ilvl w:val="1"/>
          <w:numId w:val="8"/>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2" w:lineRule="exact"/>
        <w:rPr>
          <w:rFonts w:ascii="Arial" w:cs="Arial" w:eastAsia="Arial" w:hAnsi="Arial"/>
          <w:sz w:val="17"/>
          <w:szCs w:val="17"/>
          <w:color w:val="auto"/>
        </w:rPr>
      </w:pPr>
    </w:p>
    <w:p>
      <w:pPr>
        <w:jc w:val="both"/>
        <w:ind w:left="660" w:right="1300" w:hanging="4"/>
        <w:spacing w:after="0" w:line="264" w:lineRule="auto"/>
        <w:tabs>
          <w:tab w:leader="none" w:pos="969" w:val="left"/>
        </w:tabs>
        <w:numPr>
          <w:ilvl w:val="1"/>
          <w:numId w:val="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8" w:lineRule="exact"/>
        <w:rPr>
          <w:rFonts w:ascii="Arial" w:cs="Arial" w:eastAsia="Arial" w:hAnsi="Arial"/>
          <w:sz w:val="18"/>
          <w:szCs w:val="18"/>
          <w:color w:val="auto"/>
        </w:rPr>
      </w:pPr>
    </w:p>
    <w:p>
      <w:pPr>
        <w:jc w:val="both"/>
        <w:ind w:left="660" w:right="1300" w:hanging="4"/>
        <w:spacing w:after="0" w:line="286" w:lineRule="auto"/>
        <w:tabs>
          <w:tab w:leader="none" w:pos="1031" w:val="left"/>
        </w:tabs>
        <w:numPr>
          <w:ilvl w:val="1"/>
          <w:numId w:val="8"/>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2" w:lineRule="exact"/>
        <w:rPr>
          <w:rFonts w:ascii="Arial" w:cs="Arial" w:eastAsia="Arial" w:hAnsi="Arial"/>
          <w:sz w:val="17"/>
          <w:szCs w:val="17"/>
          <w:color w:val="auto"/>
        </w:rPr>
      </w:pPr>
    </w:p>
    <w:p>
      <w:pPr>
        <w:jc w:val="both"/>
        <w:ind w:right="1300" w:firstLine="8"/>
        <w:spacing w:after="0" w:line="264" w:lineRule="auto"/>
        <w:tabs>
          <w:tab w:leader="none" w:pos="251"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08" w:lineRule="exact"/>
        <w:rPr>
          <w:rFonts w:ascii="Arial" w:cs="Arial" w:eastAsia="Arial" w:hAnsi="Arial"/>
          <w:sz w:val="18"/>
          <w:szCs w:val="18"/>
          <w:color w:val="auto"/>
        </w:rPr>
      </w:pPr>
    </w:p>
    <w:p>
      <w:pPr>
        <w:jc w:val="both"/>
        <w:ind w:left="660" w:right="1300" w:hanging="4"/>
        <w:spacing w:after="0" w:line="264" w:lineRule="auto"/>
        <w:tabs>
          <w:tab w:leader="none" w:pos="989" w:val="left"/>
        </w:tabs>
        <w:numPr>
          <w:ilvl w:val="1"/>
          <w:numId w:val="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08" w:lineRule="exact"/>
        <w:rPr>
          <w:rFonts w:ascii="Arial" w:cs="Arial" w:eastAsia="Arial" w:hAnsi="Arial"/>
          <w:sz w:val="18"/>
          <w:szCs w:val="18"/>
          <w:color w:val="auto"/>
        </w:rPr>
      </w:pPr>
    </w:p>
    <w:p>
      <w:pPr>
        <w:ind w:left="660" w:right="1300" w:hanging="4"/>
        <w:spacing w:after="0" w:line="277" w:lineRule="auto"/>
        <w:tabs>
          <w:tab w:leader="none" w:pos="1031" w:val="left"/>
        </w:tabs>
        <w:numPr>
          <w:ilvl w:val="1"/>
          <w:numId w:val="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w w:val="99"/>
              </w:rPr>
              <w:t>/s/  Alan Miller</w:t>
            </w:r>
          </w:p>
        </w:tc>
        <w:tc>
          <w:tcPr>
            <w:tcW w:w="1380" w:type="dxa"/>
            <w:vAlign w:val="bottom"/>
          </w:tcPr>
          <w:p>
            <w:pPr>
              <w:spacing w:after="0"/>
              <w:rPr>
                <w:sz w:val="18"/>
                <w:szCs w:val="18"/>
                <w:color w:val="auto"/>
              </w:rPr>
            </w:pPr>
          </w:p>
        </w:tc>
        <w:tc>
          <w:tcPr>
            <w:tcW w:w="2020" w:type="dxa"/>
            <w:vAlign w:val="bottom"/>
          </w:tcPr>
          <w:p>
            <w:pPr>
              <w:ind w:left="600"/>
              <w:spacing w:after="0"/>
              <w:rPr>
                <w:sz w:val="20"/>
                <w:szCs w:val="20"/>
                <w:color w:val="auto"/>
              </w:rPr>
            </w:pPr>
            <w:r>
              <w:rPr>
                <w:rFonts w:ascii="Arial" w:cs="Arial" w:eastAsia="Arial" w:hAnsi="Arial"/>
                <w:sz w:val="18"/>
                <w:szCs w:val="18"/>
                <w:color w:val="auto"/>
                <w:w w:val="88"/>
              </w:rPr>
              <w:t>December 16, 2013</w:t>
            </w:r>
          </w:p>
        </w:tc>
      </w:tr>
      <w:tr>
        <w:trPr>
          <w:trHeight w:val="222"/>
        </w:trPr>
        <w:tc>
          <w:tcPr>
            <w:tcW w:w="2620" w:type="dxa"/>
            <w:vAlign w:val="bottom"/>
            <w:gridSpan w:val="2"/>
          </w:tcPr>
          <w:p>
            <w:pPr>
              <w:ind w:left="340"/>
              <w:spacing w:after="0"/>
              <w:rPr>
                <w:sz w:val="20"/>
                <w:szCs w:val="20"/>
                <w:color w:val="auto"/>
              </w:rPr>
            </w:pPr>
            <w:r>
              <w:rPr>
                <w:rFonts w:ascii="Arial" w:cs="Arial" w:eastAsia="Arial" w:hAnsi="Arial"/>
                <w:sz w:val="18"/>
                <w:szCs w:val="18"/>
                <w:color w:val="auto"/>
              </w:rPr>
              <w:t>Alan Miller</w:t>
            </w:r>
          </w:p>
        </w:tc>
        <w:tc>
          <w:tcPr>
            <w:tcW w:w="2020" w:type="dxa"/>
            <w:vAlign w:val="bottom"/>
          </w:tcPr>
          <w:p>
            <w:pPr>
              <w:spacing w:after="0"/>
              <w:rPr>
                <w:sz w:val="19"/>
                <w:szCs w:val="19"/>
                <w:color w:val="auto"/>
              </w:rPr>
            </w:pPr>
          </w:p>
        </w:tc>
      </w:tr>
      <w:tr>
        <w:trPr>
          <w:trHeight w:val="230"/>
        </w:trPr>
        <w:tc>
          <w:tcPr>
            <w:tcW w:w="2620" w:type="dxa"/>
            <w:vAlign w:val="bottom"/>
            <w:gridSpan w:val="2"/>
          </w:tcPr>
          <w:p>
            <w:pPr>
              <w:ind w:left="340"/>
              <w:spacing w:after="0"/>
              <w:rPr>
                <w:sz w:val="20"/>
                <w:szCs w:val="20"/>
                <w:color w:val="auto"/>
              </w:rPr>
            </w:pPr>
            <w:r>
              <w:rPr>
                <w:rFonts w:ascii="Arial" w:cs="Arial" w:eastAsia="Arial" w:hAnsi="Arial"/>
                <w:sz w:val="18"/>
                <w:szCs w:val="18"/>
                <w:color w:val="auto"/>
              </w:rPr>
              <w:t>Chief Financial Officer</w:t>
            </w:r>
          </w:p>
        </w:tc>
        <w:tc>
          <w:tcPr>
            <w:tcW w:w="2020" w:type="dxa"/>
            <w:vAlign w:val="bottom"/>
          </w:tcPr>
          <w:p>
            <w:pPr>
              <w:spacing w:after="0"/>
              <w:rPr>
                <w:sz w:val="20"/>
                <w:szCs w:val="20"/>
                <w:color w:val="auto"/>
              </w:rPr>
            </w:pPr>
          </w:p>
        </w:tc>
      </w:tr>
    </w:tbl>
    <w:p>
      <w:pPr>
        <w:sectPr>
          <w:pgSz w:w="11900" w:h="16838" w:orient="portrait"/>
          <w:cols w:equalWidth="0" w:num="1">
            <w:col w:w="11420"/>
          </w:cols>
          <w:pgMar w:left="240" w:top="125" w:right="239" w:bottom="1440" w:gutter="0" w:footer="0" w:header="0"/>
        </w:sectPr>
      </w:pPr>
    </w:p>
    <w:bookmarkStart w:id="27" w:name="page28"/>
    <w:bookmarkEnd w:id="27"/>
    <w:p>
      <w:pPr>
        <w:jc w:val="right"/>
        <w:spacing w:after="0"/>
        <w:rPr>
          <w:sz w:val="20"/>
          <w:szCs w:val="20"/>
          <w:color w:val="auto"/>
        </w:rPr>
      </w:pPr>
      <w:r>
        <w:rPr>
          <w:rFonts w:ascii="Arial" w:cs="Arial" w:eastAsia="Arial" w:hAnsi="Arial"/>
          <w:sz w:val="18"/>
          <w:szCs w:val="18"/>
          <w:color w:val="auto"/>
        </w:rPr>
        <w:t>Exhibit 32</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Certification of CEO</w:t>
      </w:r>
    </w:p>
    <w:p>
      <w:pPr>
        <w:spacing w:after="0" w:line="238" w:lineRule="exact"/>
        <w:rPr>
          <w:sz w:val="20"/>
          <w:szCs w:val="20"/>
          <w:color w:val="auto"/>
        </w:rPr>
      </w:pPr>
    </w:p>
    <w:p>
      <w:pPr>
        <w:jc w:val="both"/>
        <w:ind w:right="660"/>
        <w:spacing w:after="0" w:line="312" w:lineRule="auto"/>
        <w:rPr>
          <w:sz w:val="20"/>
          <w:szCs w:val="20"/>
          <w:color w:val="auto"/>
        </w:rPr>
      </w:pPr>
      <w:r>
        <w:rPr>
          <w:rFonts w:ascii="Arial" w:cs="Arial" w:eastAsia="Arial" w:hAnsi="Arial"/>
          <w:sz w:val="16"/>
          <w:szCs w:val="16"/>
          <w:color w:val="auto"/>
        </w:rPr>
        <w:t>In connection with the Quarterly Report of Frequency Electronics, Inc. (the “Company”) on Form 10-Q for the period ended October 31, 2013 as filed with the Securities and Exchange Commission on the date hereof (the “Report”), I, Martin Bloch, Chief Executive Officer of the Company, certify, pursuant to 18 U.S.C. Section 1350, as adopted pursuant to Section 906 of the Sarbanes-Oxley Act of 2002, that to my knowledge:</w:t>
      </w:r>
    </w:p>
    <w:p>
      <w:pPr>
        <w:spacing w:after="0" w:line="174" w:lineRule="exact"/>
        <w:rPr>
          <w:sz w:val="20"/>
          <w:szCs w:val="20"/>
          <w:color w:val="auto"/>
        </w:rPr>
      </w:pPr>
    </w:p>
    <w:p>
      <w:pPr>
        <w:ind w:left="520" w:hanging="299"/>
        <w:spacing w:after="0"/>
        <w:tabs>
          <w:tab w:leader="none" w:pos="5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52" w:lineRule="exact"/>
        <w:rPr>
          <w:rFonts w:ascii="Arial" w:cs="Arial" w:eastAsia="Arial" w:hAnsi="Arial"/>
          <w:sz w:val="18"/>
          <w:szCs w:val="18"/>
          <w:color w:val="auto"/>
        </w:rPr>
      </w:pPr>
    </w:p>
    <w:p>
      <w:pPr>
        <w:ind w:left="820" w:hanging="302"/>
        <w:spacing w:after="0"/>
        <w:tabs>
          <w:tab w:leader="none" w:pos="820" w:val="left"/>
        </w:tabs>
        <w:numPr>
          <w:ilvl w:val="1"/>
          <w:numId w:val="9"/>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700" w:type="dxa"/>
            <w:vAlign w:val="bottom"/>
            <w:gridSpan w:val="2"/>
          </w:tcPr>
          <w:p>
            <w:pPr>
              <w:ind w:left="100"/>
              <w:spacing w:after="0"/>
              <w:rPr>
                <w:sz w:val="20"/>
                <w:szCs w:val="20"/>
                <w:color w:val="auto"/>
              </w:rPr>
            </w:pPr>
            <w:r>
              <w:rPr>
                <w:rFonts w:ascii="Arial" w:cs="Arial" w:eastAsia="Arial" w:hAnsi="Arial"/>
                <w:sz w:val="18"/>
                <w:szCs w:val="18"/>
                <w:color w:val="auto"/>
              </w:rPr>
              <w:t>/s/  Martin Bloch</w:t>
            </w:r>
          </w:p>
        </w:tc>
        <w:tc>
          <w:tcPr>
            <w:tcW w:w="3500" w:type="dxa"/>
            <w:vAlign w:val="bottom"/>
          </w:tcPr>
          <w:p>
            <w:pPr>
              <w:jc w:val="right"/>
              <w:ind w:right="1350"/>
              <w:spacing w:after="0"/>
              <w:rPr>
                <w:sz w:val="20"/>
                <w:szCs w:val="20"/>
                <w:color w:val="auto"/>
              </w:rPr>
            </w:pPr>
            <w:r>
              <w:rPr>
                <w:rFonts w:ascii="Arial" w:cs="Arial" w:eastAsia="Arial" w:hAnsi="Arial"/>
                <w:sz w:val="18"/>
                <w:szCs w:val="18"/>
                <w:color w:val="auto"/>
              </w:rPr>
              <w:t>December 16, 2013</w:t>
            </w:r>
          </w:p>
        </w:tc>
      </w:tr>
      <w:tr>
        <w:trPr>
          <w:trHeight w:val="222"/>
        </w:trPr>
        <w:tc>
          <w:tcPr>
            <w:tcW w:w="1360" w:type="dxa"/>
            <w:vAlign w:val="bottom"/>
            <w:tcBorders>
              <w:top w:val="single" w:sz="8" w:color="auto"/>
            </w:tcBorders>
          </w:tcPr>
          <w:p>
            <w:pPr>
              <w:ind w:left="340"/>
              <w:spacing w:after="0"/>
              <w:rPr>
                <w:sz w:val="20"/>
                <w:szCs w:val="20"/>
                <w:color w:val="auto"/>
              </w:rPr>
            </w:pPr>
            <w:r>
              <w:rPr>
                <w:rFonts w:ascii="Arial" w:cs="Arial" w:eastAsia="Arial" w:hAnsi="Arial"/>
                <w:sz w:val="18"/>
                <w:szCs w:val="18"/>
                <w:color w:val="auto"/>
                <w:w w:val="99"/>
              </w:rPr>
              <w:t>Martin Bloch</w:t>
            </w:r>
          </w:p>
        </w:tc>
        <w:tc>
          <w:tcPr>
            <w:tcW w:w="1340" w:type="dxa"/>
            <w:vAlign w:val="bottom"/>
          </w:tcPr>
          <w:p>
            <w:pPr>
              <w:spacing w:after="0"/>
              <w:rPr>
                <w:sz w:val="19"/>
                <w:szCs w:val="19"/>
                <w:color w:val="auto"/>
              </w:rPr>
            </w:pPr>
          </w:p>
        </w:tc>
        <w:tc>
          <w:tcPr>
            <w:tcW w:w="3500" w:type="dxa"/>
            <w:vAlign w:val="bottom"/>
          </w:tcPr>
          <w:p>
            <w:pPr>
              <w:spacing w:after="0"/>
              <w:rPr>
                <w:sz w:val="19"/>
                <w:szCs w:val="19"/>
                <w:color w:val="auto"/>
              </w:rPr>
            </w:pPr>
          </w:p>
        </w:tc>
      </w:tr>
      <w:tr>
        <w:trPr>
          <w:trHeight w:val="230"/>
        </w:trPr>
        <w:tc>
          <w:tcPr>
            <w:tcW w:w="2700" w:type="dxa"/>
            <w:vAlign w:val="bottom"/>
            <w:gridSpan w:val="2"/>
          </w:tcPr>
          <w:p>
            <w:pPr>
              <w:ind w:left="340"/>
              <w:spacing w:after="0"/>
              <w:rPr>
                <w:sz w:val="20"/>
                <w:szCs w:val="20"/>
                <w:color w:val="auto"/>
              </w:rPr>
            </w:pPr>
            <w:r>
              <w:rPr>
                <w:rFonts w:ascii="Arial" w:cs="Arial" w:eastAsia="Arial" w:hAnsi="Arial"/>
                <w:sz w:val="18"/>
                <w:szCs w:val="18"/>
                <w:color w:val="auto"/>
              </w:rPr>
              <w:t>Chief Executive Officer</w:t>
            </w:r>
          </w:p>
        </w:tc>
        <w:tc>
          <w:tcPr>
            <w:tcW w:w="3500" w:type="dxa"/>
            <w:vAlign w:val="bottom"/>
          </w:tcPr>
          <w:p>
            <w:pPr>
              <w:spacing w:after="0"/>
              <w:rPr>
                <w:sz w:val="20"/>
                <w:szCs w:val="20"/>
                <w:color w:val="auto"/>
              </w:rPr>
            </w:pPr>
          </w:p>
        </w:tc>
      </w:tr>
      <w:tr>
        <w:trPr>
          <w:trHeight w:val="459"/>
        </w:trPr>
        <w:tc>
          <w:tcPr>
            <w:tcW w:w="13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500" w:type="dxa"/>
            <w:vAlign w:val="bottom"/>
          </w:tcPr>
          <w:p>
            <w:pPr>
              <w:jc w:val="right"/>
              <w:spacing w:after="0"/>
              <w:rPr>
                <w:sz w:val="20"/>
                <w:szCs w:val="20"/>
                <w:color w:val="auto"/>
              </w:rPr>
            </w:pPr>
            <w:r>
              <w:rPr>
                <w:rFonts w:ascii="Arial" w:cs="Arial" w:eastAsia="Arial" w:hAnsi="Arial"/>
                <w:sz w:val="18"/>
                <w:szCs w:val="18"/>
                <w:b w:val="1"/>
                <w:bCs w:val="1"/>
                <w:color w:val="auto"/>
              </w:rPr>
              <w:t>******************</w:t>
            </w: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Certification of CFO</w:t>
      </w:r>
    </w:p>
    <w:p>
      <w:pPr>
        <w:spacing w:after="0" w:line="256" w:lineRule="exact"/>
        <w:rPr>
          <w:sz w:val="20"/>
          <w:szCs w:val="20"/>
          <w:color w:val="auto"/>
        </w:rPr>
      </w:pPr>
    </w:p>
    <w:p>
      <w:pPr>
        <w:jc w:val="both"/>
        <w:ind w:right="660"/>
        <w:spacing w:after="0" w:line="286" w:lineRule="auto"/>
        <w:rPr>
          <w:sz w:val="20"/>
          <w:szCs w:val="20"/>
          <w:color w:val="auto"/>
        </w:rPr>
      </w:pPr>
      <w:r>
        <w:rPr>
          <w:rFonts w:ascii="Arial" w:cs="Arial" w:eastAsia="Arial" w:hAnsi="Arial"/>
          <w:sz w:val="17"/>
          <w:szCs w:val="17"/>
          <w:color w:val="auto"/>
        </w:rPr>
        <w:t>In connection with the Quarterly Report of Frequency Electronics, Inc. (the “Company”) on Form 10-Q for the period ended October 31, 2013 as filed with the Securities and Exchange Commission on the date hereof (the “Report”), I, Alan Miller, Chief Financial Officer of the Company, certify, pursuant to 18 U.S.C. Section 1350, as adopted pursuant to Section 906 of the Sarbanes-Oxley Act of 2002, that to my knowledge:</w:t>
      </w:r>
    </w:p>
    <w:p>
      <w:pPr>
        <w:spacing w:after="0" w:line="193" w:lineRule="exact"/>
        <w:rPr>
          <w:sz w:val="20"/>
          <w:szCs w:val="20"/>
          <w:color w:val="auto"/>
        </w:rPr>
      </w:pPr>
    </w:p>
    <w:p>
      <w:pPr>
        <w:ind w:left="820" w:hanging="302"/>
        <w:spacing w:after="0"/>
        <w:tabs>
          <w:tab w:leader="none" w:pos="8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52" w:lineRule="exact"/>
        <w:rPr>
          <w:rFonts w:ascii="Arial" w:cs="Arial" w:eastAsia="Arial" w:hAnsi="Arial"/>
          <w:sz w:val="18"/>
          <w:szCs w:val="18"/>
          <w:color w:val="auto"/>
        </w:rPr>
      </w:pPr>
    </w:p>
    <w:p>
      <w:pPr>
        <w:ind w:left="820" w:hanging="302"/>
        <w:spacing w:after="0"/>
        <w:tabs>
          <w:tab w:leader="none" w:pos="82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w w:val="99"/>
              </w:rPr>
              <w:t>/s/  Alan Miller</w:t>
            </w:r>
          </w:p>
        </w:tc>
        <w:tc>
          <w:tcPr>
            <w:tcW w:w="1380" w:type="dxa"/>
            <w:vAlign w:val="bottom"/>
          </w:tcPr>
          <w:p>
            <w:pPr>
              <w:spacing w:after="0"/>
              <w:rPr>
                <w:sz w:val="18"/>
                <w:szCs w:val="18"/>
                <w:color w:val="auto"/>
              </w:rPr>
            </w:pPr>
          </w:p>
        </w:tc>
        <w:tc>
          <w:tcPr>
            <w:tcW w:w="2020" w:type="dxa"/>
            <w:vAlign w:val="bottom"/>
          </w:tcPr>
          <w:p>
            <w:pPr>
              <w:ind w:left="600"/>
              <w:spacing w:after="0"/>
              <w:rPr>
                <w:sz w:val="20"/>
                <w:szCs w:val="20"/>
                <w:color w:val="auto"/>
              </w:rPr>
            </w:pPr>
            <w:r>
              <w:rPr>
                <w:rFonts w:ascii="Arial" w:cs="Arial" w:eastAsia="Arial" w:hAnsi="Arial"/>
                <w:sz w:val="18"/>
                <w:szCs w:val="18"/>
                <w:color w:val="auto"/>
                <w:w w:val="88"/>
              </w:rPr>
              <w:t>December 16, 2013</w:t>
            </w:r>
          </w:p>
        </w:tc>
      </w:tr>
      <w:tr>
        <w:trPr>
          <w:trHeight w:val="222"/>
        </w:trPr>
        <w:tc>
          <w:tcPr>
            <w:tcW w:w="2620" w:type="dxa"/>
            <w:vAlign w:val="bottom"/>
            <w:gridSpan w:val="2"/>
          </w:tcPr>
          <w:p>
            <w:pPr>
              <w:ind w:left="340"/>
              <w:spacing w:after="0"/>
              <w:rPr>
                <w:sz w:val="20"/>
                <w:szCs w:val="20"/>
                <w:color w:val="auto"/>
              </w:rPr>
            </w:pPr>
            <w:r>
              <w:rPr>
                <w:rFonts w:ascii="Arial" w:cs="Arial" w:eastAsia="Arial" w:hAnsi="Arial"/>
                <w:sz w:val="18"/>
                <w:szCs w:val="18"/>
                <w:color w:val="auto"/>
              </w:rPr>
              <w:t>Alan Miller</w:t>
            </w:r>
          </w:p>
        </w:tc>
        <w:tc>
          <w:tcPr>
            <w:tcW w:w="2020" w:type="dxa"/>
            <w:vAlign w:val="bottom"/>
          </w:tcPr>
          <w:p>
            <w:pPr>
              <w:spacing w:after="0"/>
              <w:rPr>
                <w:sz w:val="19"/>
                <w:szCs w:val="19"/>
                <w:color w:val="auto"/>
              </w:rPr>
            </w:pPr>
          </w:p>
        </w:tc>
      </w:tr>
      <w:tr>
        <w:trPr>
          <w:trHeight w:val="230"/>
        </w:trPr>
        <w:tc>
          <w:tcPr>
            <w:tcW w:w="2620" w:type="dxa"/>
            <w:vAlign w:val="bottom"/>
            <w:gridSpan w:val="2"/>
          </w:tcPr>
          <w:p>
            <w:pPr>
              <w:ind w:left="340"/>
              <w:spacing w:after="0"/>
              <w:rPr>
                <w:sz w:val="20"/>
                <w:szCs w:val="20"/>
                <w:color w:val="auto"/>
              </w:rPr>
            </w:pPr>
            <w:r>
              <w:rPr>
                <w:rFonts w:ascii="Arial" w:cs="Arial" w:eastAsia="Arial" w:hAnsi="Arial"/>
                <w:sz w:val="18"/>
                <w:szCs w:val="18"/>
                <w:color w:val="auto"/>
              </w:rPr>
              <w:t>Chief Financial Officer</w:t>
            </w:r>
          </w:p>
        </w:tc>
        <w:tc>
          <w:tcPr>
            <w:tcW w:w="202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both"/>
        <w:ind w:left="660" w:right="660"/>
        <w:spacing w:after="0" w:line="259" w:lineRule="auto"/>
        <w:rPr>
          <w:sz w:val="20"/>
          <w:szCs w:val="20"/>
          <w:color w:val="auto"/>
        </w:rPr>
      </w:pPr>
      <w:r>
        <w:rPr>
          <w:rFonts w:ascii="Arial" w:cs="Arial" w:eastAsia="Arial" w:hAnsi="Arial"/>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w:t>
      </w:r>
      <w:r>
        <w:rPr>
          <w:rFonts w:ascii="Arial" w:cs="Arial" w:eastAsia="Arial" w:hAnsi="Arial"/>
          <w:sz w:val="18"/>
          <w:szCs w:val="18"/>
          <w:b w:val="1"/>
          <w:bCs w:val="1"/>
          <w:color w:val="auto"/>
        </w:rPr>
        <w:t>.</w:t>
      </w:r>
    </w:p>
    <w:p>
      <w:pPr>
        <w:spacing w:after="0" w:line="200" w:lineRule="exact"/>
        <w:rPr>
          <w:sz w:val="20"/>
          <w:szCs w:val="20"/>
          <w:color w:val="auto"/>
        </w:rPr>
      </w:pPr>
    </w:p>
    <w:p>
      <w:pPr>
        <w:spacing w:after="0" w:line="257" w:lineRule="exact"/>
        <w:rPr>
          <w:sz w:val="20"/>
          <w:szCs w:val="20"/>
          <w:color w:val="auto"/>
        </w:rPr>
      </w:pPr>
    </w:p>
    <w:p>
      <w:pPr>
        <w:jc w:val="both"/>
        <w:ind w:left="660" w:right="660"/>
        <w:spacing w:after="0" w:line="302" w:lineRule="auto"/>
        <w:rPr>
          <w:sz w:val="20"/>
          <w:szCs w:val="20"/>
          <w:color w:val="auto"/>
        </w:rPr>
      </w:pPr>
      <w:r>
        <w:rPr>
          <w:rFonts w:ascii="Arial" w:cs="Arial" w:eastAsia="Arial" w:hAnsi="Arial"/>
          <w:sz w:val="16"/>
          <w:szCs w:val="16"/>
          <w:color w:val="auto"/>
        </w:rPr>
        <w:t>This certification accompanies this Report on Form 10-Q pursuant to Section 906 of the Sarbanes-Oxley Act of 2002 and shall not, except to the extent required by such Act, be deemed filed by the Company for purposes of Section 18 of the Securities Exchange Act of 1934, as amended (the “Exchange Act”). Such certification will not be deemed to be incorporated by reference into any filing under the Securities Act of 1933, as amended, or the Exchange Act, except to the extent that the Company specifically incorporates it by reference.</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x"/>
      <w:numFmt w:val="bullet"/>
      <w:start w:val="1"/>
    </w:lvl>
  </w:abstractNum>
  <w:abstractNum w:abstractNumId="1">
    <w:nsid w:val="507ED7AB"/>
    <w:multiLevelType w:val="hybridMultilevel"/>
    <w:lvl w:ilvl="0">
      <w:lvlJc w:val="left"/>
      <w:lvlText w:val="o"/>
      <w:numFmt w:val="bullet"/>
      <w:start w:val="1"/>
    </w:lvl>
  </w:abstractNum>
  <w:abstractNum w:abstractNumId="2">
    <w:nsid w:val="2EB141F2"/>
    <w:multiLevelType w:val="hybridMultilevel"/>
    <w:lvl w:ilvl="0">
      <w:lvlJc w:val="left"/>
      <w:lvlText w:val="(%1)"/>
      <w:numFmt w:val="decimal"/>
      <w:start w:val="1"/>
    </w:lvl>
  </w:abstractNum>
  <w:abstractNum w:abstractNumId="3">
    <w:nsid w:val="41B71EFB"/>
    <w:multiLevelType w:val="hybridMultilevel"/>
    <w:lvl w:ilvl="0">
      <w:lvlJc w:val="left"/>
      <w:lvlText w:val="-"/>
      <w:numFmt w:val="bullet"/>
      <w:start w:val="1"/>
    </w:lvl>
  </w:abstractNum>
  <w:abstractNum w:abstractNumId="4">
    <w:nsid w:val="79E2A9E3"/>
    <w:multiLevelType w:val="hybridMultilevel"/>
    <w:lvl w:ilvl="0">
      <w:lvlJc w:val="left"/>
      <w:lvlText w:val="%1"/>
      <w:numFmt w:val="decimal"/>
      <w:start w:val="32"/>
    </w:lvl>
  </w:abstractNum>
  <w:abstractNum w:abstractNumId="5">
    <w:nsid w:val="7545E146"/>
    <w:multiLevelType w:val="hybridMultilevel"/>
    <w:lvl w:ilvl="0">
      <w:lvlJc w:val="left"/>
      <w:lvlText w:val="%1"/>
      <w:numFmt w:val="decimal"/>
      <w:start w:val="101"/>
    </w:lvl>
  </w:abstractNum>
  <w:abstractNum w:abstractNumId="6">
    <w:nsid w:val="515F007C"/>
    <w:multiLevelType w:val="hybridMultilevel"/>
    <w:lvl w:ilvl="0">
      <w:lvlJc w:val="left"/>
      <w:lvlText w:val="%1."/>
      <w:numFmt w:val="decimal"/>
      <w:start w:val="1"/>
    </w:lvl>
    <w:lvl w:ilvl="1">
      <w:lvlJc w:val="left"/>
      <w:lvlText w:val="(%2)"/>
      <w:numFmt w:val="lowerLetter"/>
      <w:start w:val="1"/>
    </w:lvl>
  </w:abstractNum>
  <w:abstractNum w:abstractNumId="7">
    <w:nsid w:val="5BD062C2"/>
    <w:multiLevelType w:val="hybridMultilevel"/>
    <w:lvl w:ilvl="0">
      <w:lvlJc w:val="left"/>
      <w:lvlText w:val="%1."/>
      <w:numFmt w:val="decimal"/>
      <w:start w:val="1"/>
    </w:lvl>
    <w:lvl w:ilvl="1">
      <w:lvlJc w:val="left"/>
      <w:lvlText w:val="(%2)"/>
      <w:numFmt w:val="lowerLetter"/>
      <w:start w:val="1"/>
    </w:lvl>
  </w:abstractNum>
  <w:abstractNum w:abstractNumId="8">
    <w:nsid w:val="12200854"/>
    <w:multiLevelType w:val="hybridMultilevel"/>
    <w:lvl w:ilvl="0">
      <w:lvlJc w:val="left"/>
      <w:lvlText w:val="(%1)"/>
      <w:numFmt w:val="decimal"/>
      <w:start w:val="1"/>
    </w:lvl>
    <w:lvl w:ilvl="1">
      <w:lvlJc w:val="left"/>
      <w:lvlText w:val="(%2)"/>
      <w:numFmt w:val="decimal"/>
      <w:start w:val="2"/>
    </w:lvl>
  </w:abstractNum>
  <w:abstractNum w:abstractNumId="9">
    <w:nsid w:val="4DB127F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2019-12-05T10:16:00Z</dcterms:created>
  <dcterms:modified xsi:type="dcterms:W3CDTF">2019-12-05T10:16:00Z</dcterms:modified>
</cp:coreProperties>
</file>