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860" w:right="2319" w:hanging="431"/>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January 31, 2007</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ind w:left="860" w:right="2199" w:hanging="431"/>
        <w:spacing w:after="0" w:line="235" w:lineRule="auto"/>
        <w:tabs>
          <w:tab w:leader="none" w:pos="64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 (d) OF THE SECURITIES EXCHANGE ACT OF 1934</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 to __________</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No. 1-8061</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FREQUENCY ELECTRONICS,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11-1986657</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920" w:space="720"/>
            <w:col w:w="5579"/>
          </w:cols>
          <w:pgMar w:left="240" w:top="244" w:right="1440" w:bottom="0" w:gutter="0" w:footer="0" w:header="0"/>
          <w:type w:val="continuous"/>
        </w:sectPr>
      </w:pPr>
    </w:p>
    <w:p>
      <w:pPr>
        <w:spacing w:after="0" w:line="7" w:lineRule="exact"/>
        <w:rPr>
          <w:sz w:val="24"/>
          <w:szCs w:val="24"/>
          <w:color w:val="auto"/>
        </w:rPr>
      </w:pPr>
    </w:p>
    <w:p>
      <w:pPr>
        <w:ind w:left="320" w:right="340" w:hanging="315"/>
        <w:spacing w:after="0" w:line="290" w:lineRule="auto"/>
        <w:rPr>
          <w:sz w:val="20"/>
          <w:szCs w:val="20"/>
          <w:color w:val="auto"/>
        </w:rPr>
      </w:pPr>
      <w:r>
        <w:rPr>
          <w:rFonts w:ascii="Courier New" w:cs="Courier New" w:eastAsia="Courier New" w:hAnsi="Courier New"/>
          <w:sz w:val="16"/>
          <w:szCs w:val="16"/>
          <w:color w:val="auto"/>
        </w:rPr>
        <w:t>55 CHARLES LINDBERGH BLVD., MITCHEL FIELD, N.Y.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11553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24" w:lineRule="exact"/>
        <w:rPr>
          <w:sz w:val="24"/>
          <w:szCs w:val="24"/>
          <w:color w:val="auto"/>
        </w:rPr>
      </w:pPr>
    </w:p>
    <w:p>
      <w:pPr>
        <w:sectPr>
          <w:pgSz w:w="11900" w:h="16838" w:orient="portrait"/>
          <w:cols w:equalWidth="0" w:num="2">
            <w:col w:w="5300" w:space="720"/>
            <w:col w:w="419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Registrant's telephone number, including area code: 516-794-4500</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5"/>
          </w:tcPr>
          <w:p>
            <w:pPr>
              <w:spacing w:after="0"/>
              <w:rPr>
                <w:sz w:val="20"/>
                <w:szCs w:val="20"/>
                <w:color w:val="auto"/>
              </w:rPr>
            </w:pPr>
            <w:r>
              <w:rPr>
                <w:rFonts w:ascii="Courier New" w:cs="Courier New" w:eastAsia="Courier New" w:hAnsi="Courier New"/>
                <w:sz w:val="18"/>
                <w:szCs w:val="18"/>
                <w:color w:val="auto"/>
                <w:w w:val="98"/>
              </w:rPr>
              <w:t>Indicate by check mark whether the</w:t>
            </w:r>
          </w:p>
        </w:tc>
        <w:tc>
          <w:tcPr>
            <w:tcW w:w="4800" w:type="dxa"/>
            <w:vAlign w:val="bottom"/>
            <w:gridSpan w:val="6"/>
          </w:tcPr>
          <w:p>
            <w:pPr>
              <w:ind w:left="60"/>
              <w:spacing w:after="0"/>
              <w:rPr>
                <w:sz w:val="20"/>
                <w:szCs w:val="20"/>
                <w:color w:val="auto"/>
              </w:rPr>
            </w:pPr>
            <w:r>
              <w:rPr>
                <w:rFonts w:ascii="Courier New" w:cs="Courier New" w:eastAsia="Courier New" w:hAnsi="Courier New"/>
                <w:sz w:val="18"/>
                <w:szCs w:val="18"/>
                <w:color w:val="auto"/>
                <w:w w:val="97"/>
              </w:rPr>
              <w:t>Registrant (1) has filed all reports required</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filed</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by</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Section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15</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of the</w:t>
            </w:r>
          </w:p>
        </w:tc>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Exchange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Act of 1934</w:t>
            </w:r>
          </w:p>
        </w:tc>
      </w:tr>
      <w:tr>
        <w:trPr>
          <w:trHeight w:val="203"/>
        </w:trPr>
        <w:tc>
          <w:tcPr>
            <w:tcW w:w="3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during the preceding 12 months (or</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for such shorter</w:t>
            </w:r>
          </w:p>
        </w:tc>
        <w:tc>
          <w:tcPr>
            <w:tcW w:w="1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period that the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was  required</w:t>
            </w:r>
          </w:p>
        </w:tc>
        <w:tc>
          <w:tcPr>
            <w:tcW w:w="20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to file such</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reports),  and (2)</w:t>
            </w:r>
          </w:p>
        </w:tc>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has been</w:t>
            </w:r>
          </w:p>
        </w:tc>
        <w:tc>
          <w:tcPr>
            <w:tcW w:w="2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subject to such filing</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requirements for the past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days.</w:t>
            </w: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Yes X</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Indicate by check mark whether the</w:t>
            </w:r>
          </w:p>
        </w:tc>
        <w:tc>
          <w:tcPr>
            <w:tcW w:w="2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registrant is a large</w:t>
            </w:r>
          </w:p>
        </w:tc>
        <w:tc>
          <w:tcPr>
            <w:tcW w:w="2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accelerated  filer, an</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accelerated</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filer, or a</w:t>
            </w:r>
          </w:p>
        </w:tc>
        <w:tc>
          <w:tcPr>
            <w:tcW w:w="44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non-accelerated  filer. See definition of</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"accelerated</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filer and large</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accelerated</w:t>
            </w:r>
          </w:p>
        </w:tc>
        <w:tc>
          <w:tcPr>
            <w:tcW w:w="23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filer" in Rule 12b-2</w:t>
            </w:r>
          </w:p>
        </w:tc>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the Exchange</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Act.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(Check</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one):</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rPr>
              <w:t>Large accelerated filer</w:t>
            </w:r>
          </w:p>
        </w:tc>
        <w:tc>
          <w:tcPr>
            <w:tcW w:w="320" w:type="dxa"/>
            <w:vAlign w:val="bottom"/>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Accelerated filer</w:t>
            </w:r>
          </w:p>
        </w:tc>
        <w:tc>
          <w:tcPr>
            <w:tcW w:w="420" w:type="dxa"/>
            <w:vAlign w:val="bottom"/>
          </w:tcPr>
          <w:p>
            <w:pPr>
              <w:spacing w:after="0"/>
              <w:rPr>
                <w:sz w:val="24"/>
                <w:szCs w:val="24"/>
                <w:color w:val="auto"/>
              </w:rPr>
            </w:pPr>
          </w:p>
        </w:tc>
        <w:tc>
          <w:tcPr>
            <w:tcW w:w="238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Non-accelerated filer</w:t>
            </w:r>
          </w:p>
        </w:tc>
        <w:tc>
          <w:tcPr>
            <w:tcW w:w="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X</w:t>
            </w:r>
          </w:p>
        </w:tc>
      </w:tr>
      <w:tr>
        <w:trPr>
          <w:trHeight w:val="203"/>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 shell company (as defined in Rule 12b-2 of the Exchange Act).</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Yes ____ No ____</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number of shares outstanding of Registrant's Common Stock, par value $1.00 as of March 9, 2007 - 8,676,884</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25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3580" w:type="dxa"/>
            <w:vAlign w:val="bottom"/>
          </w:tcPr>
          <w:p>
            <w:pPr>
              <w:ind w:left="1000"/>
              <w:spacing w:after="0"/>
              <w:rPr>
                <w:sz w:val="20"/>
                <w:szCs w:val="20"/>
                <w:color w:val="auto"/>
              </w:rPr>
            </w:pPr>
            <w:r>
              <w:rPr>
                <w:rFonts w:ascii="Courier New" w:cs="Courier New" w:eastAsia="Courier New" w:hAnsi="Courier New"/>
                <w:sz w:val="18"/>
                <w:szCs w:val="18"/>
                <w:color w:val="auto"/>
              </w:rPr>
              <w:t>INDEX</w:t>
            </w:r>
          </w:p>
        </w:tc>
        <w:tc>
          <w:tcPr>
            <w:tcW w:w="1740" w:type="dxa"/>
            <w:vAlign w:val="bottom"/>
          </w:tcPr>
          <w:p>
            <w:pPr>
              <w:spacing w:after="0"/>
              <w:rPr>
                <w:sz w:val="17"/>
                <w:szCs w:val="17"/>
                <w:color w:val="auto"/>
              </w:rPr>
            </w:pPr>
          </w:p>
        </w:tc>
      </w:tr>
      <w:tr>
        <w:trPr>
          <w:trHeight w:val="810"/>
        </w:trPr>
        <w:tc>
          <w:tcPr>
            <w:tcW w:w="6600" w:type="dxa"/>
            <w:vAlign w:val="bottom"/>
            <w:gridSpan w:val="2"/>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405"/>
        </w:trPr>
        <w:tc>
          <w:tcPr>
            <w:tcW w:w="66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 1 - Financial Statements:</w:t>
            </w:r>
          </w:p>
        </w:tc>
        <w:tc>
          <w:tcPr>
            <w:tcW w:w="1740" w:type="dxa"/>
            <w:vAlign w:val="bottom"/>
          </w:tcPr>
          <w:p>
            <w:pPr>
              <w:spacing w:after="0"/>
              <w:rPr>
                <w:sz w:val="24"/>
                <w:szCs w:val="24"/>
                <w:color w:val="auto"/>
              </w:rPr>
            </w:pP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rPr>
              <w:t>Balance Sheets -</w:t>
            </w:r>
          </w:p>
        </w:tc>
        <w:tc>
          <w:tcPr>
            <w:tcW w:w="1740" w:type="dxa"/>
            <w:vAlign w:val="bottom"/>
          </w:tcPr>
          <w:p>
            <w:pPr>
              <w:spacing w:after="0"/>
              <w:rPr>
                <w:sz w:val="24"/>
                <w:szCs w:val="24"/>
                <w:color w:val="auto"/>
              </w:rPr>
            </w:pPr>
          </w:p>
        </w:tc>
      </w:tr>
      <w:tr>
        <w:trPr>
          <w:trHeight w:val="203"/>
        </w:trPr>
        <w:tc>
          <w:tcPr>
            <w:tcW w:w="660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January 31, 2007 and April 30, 2006</w:t>
            </w:r>
          </w:p>
        </w:tc>
        <w:tc>
          <w:tcPr>
            <w:tcW w:w="17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1740" w:type="dxa"/>
            <w:vAlign w:val="bottom"/>
          </w:tcPr>
          <w:p>
            <w:pPr>
              <w:spacing w:after="0"/>
              <w:rPr>
                <w:sz w:val="24"/>
                <w:szCs w:val="24"/>
                <w:color w:val="auto"/>
              </w:rPr>
            </w:pPr>
          </w:p>
        </w:tc>
      </w:tr>
      <w:tr>
        <w:trPr>
          <w:trHeight w:val="203"/>
        </w:trPr>
        <w:tc>
          <w:tcPr>
            <w:tcW w:w="660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Nine Months Ended January 31, 2007 and 2006</w:t>
            </w:r>
          </w:p>
        </w:tc>
        <w:tc>
          <w:tcPr>
            <w:tcW w:w="17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1740" w:type="dxa"/>
            <w:vAlign w:val="bottom"/>
          </w:tcPr>
          <w:p>
            <w:pPr>
              <w:spacing w:after="0"/>
              <w:rPr>
                <w:sz w:val="24"/>
                <w:szCs w:val="24"/>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3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January 31, 2007 and 2006</w:t>
            </w:r>
          </w:p>
        </w:tc>
        <w:tc>
          <w:tcPr>
            <w:tcW w:w="17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80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 Statements of Cash</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Flows</w:t>
            </w:r>
          </w:p>
        </w:tc>
        <w:tc>
          <w:tcPr>
            <w:tcW w:w="740" w:type="dxa"/>
            <w:vAlign w:val="bottom"/>
          </w:tcPr>
          <w:p>
            <w:pPr>
              <w:spacing w:after="0"/>
              <w:rPr>
                <w:sz w:val="17"/>
                <w:szCs w:val="17"/>
                <w:color w:val="auto"/>
              </w:rPr>
            </w:pPr>
          </w:p>
        </w:tc>
      </w:tr>
      <w:tr>
        <w:trPr>
          <w:trHeight w:val="203"/>
        </w:trPr>
        <w:tc>
          <w:tcPr>
            <w:tcW w:w="7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Nine Months Ended January 31, 2007 and 2006</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4800" w:type="dxa"/>
            <w:vAlign w:val="bottom"/>
          </w:tcPr>
          <w:p>
            <w:pPr>
              <w:jc w:val="right"/>
              <w:spacing w:after="0"/>
              <w:rPr>
                <w:sz w:val="20"/>
                <w:szCs w:val="20"/>
                <w:color w:val="auto"/>
              </w:rPr>
            </w:pPr>
            <w:r>
              <w:rPr>
                <w:rFonts w:ascii="Courier New" w:cs="Courier New" w:eastAsia="Courier New" w:hAnsi="Courier New"/>
                <w:sz w:val="18"/>
                <w:szCs w:val="18"/>
                <w:color w:val="auto"/>
              </w:rPr>
              <w:t>Notes to Condensed Consolidated Financial</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Statements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7-13</w:t>
            </w:r>
          </w:p>
        </w:tc>
      </w:tr>
      <w:tr>
        <w:trPr>
          <w:trHeight w:val="405"/>
        </w:trPr>
        <w:tc>
          <w:tcPr>
            <w:tcW w:w="4800" w:type="dxa"/>
            <w:vAlign w:val="bottom"/>
          </w:tcPr>
          <w:p>
            <w:pPr>
              <w:jc w:val="right"/>
              <w:spacing w:after="0"/>
              <w:rPr>
                <w:sz w:val="20"/>
                <w:szCs w:val="20"/>
                <w:color w:val="auto"/>
              </w:rPr>
            </w:pPr>
            <w:r>
              <w:rPr>
                <w:rFonts w:ascii="Courier New" w:cs="Courier New" w:eastAsia="Courier New" w:hAnsi="Courier New"/>
                <w:sz w:val="18"/>
                <w:szCs w:val="18"/>
                <w:color w:val="auto"/>
                <w:w w:val="97"/>
              </w:rPr>
              <w:t>Item 2 - Management's Discussion and Analysis</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740" w:type="dxa"/>
            <w:vAlign w:val="bottom"/>
          </w:tcPr>
          <w:p>
            <w:pPr>
              <w:spacing w:after="0"/>
              <w:rPr>
                <w:sz w:val="24"/>
                <w:szCs w:val="24"/>
                <w:color w:val="auto"/>
              </w:rPr>
            </w:pPr>
          </w:p>
        </w:tc>
      </w:tr>
      <w:tr>
        <w:trPr>
          <w:trHeight w:val="203"/>
        </w:trPr>
        <w:tc>
          <w:tcPr>
            <w:tcW w:w="7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13-19</w:t>
            </w:r>
          </w:p>
        </w:tc>
      </w:tr>
      <w:tr>
        <w:trPr>
          <w:trHeight w:val="405"/>
        </w:trPr>
        <w:tc>
          <w:tcPr>
            <w:tcW w:w="7160" w:type="dxa"/>
            <w:vAlign w:val="bottom"/>
            <w:gridSpan w:val="2"/>
          </w:tcPr>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19-20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Item 4- Controls and Procedures</w:t>
            </w:r>
          </w:p>
        </w:tc>
        <w:tc>
          <w:tcPr>
            <w:tcW w:w="236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Items 1,</w:t>
            </w:r>
          </w:p>
        </w:tc>
        <w:tc>
          <w:tcPr>
            <w:tcW w:w="6260" w:type="dxa"/>
            <w:vAlign w:val="bottom"/>
          </w:tcPr>
          <w:p>
            <w:pPr>
              <w:ind w:left="40"/>
              <w:spacing w:after="0"/>
              <w:rPr>
                <w:sz w:val="20"/>
                <w:szCs w:val="20"/>
                <w:color w:val="auto"/>
              </w:rPr>
            </w:pPr>
            <w:r>
              <w:rPr>
                <w:rFonts w:ascii="Courier New" w:cs="Courier New" w:eastAsia="Courier New" w:hAnsi="Courier New"/>
                <w:sz w:val="18"/>
                <w:szCs w:val="18"/>
                <w:color w:val="auto"/>
              </w:rPr>
              <w:t>2, 3, 4 and 5 are omitted because they are not applicable</w:t>
            </w:r>
          </w:p>
        </w:tc>
        <w:tc>
          <w:tcPr>
            <w:tcW w:w="74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6 -</w:t>
            </w:r>
          </w:p>
        </w:tc>
        <w:tc>
          <w:tcPr>
            <w:tcW w:w="6260" w:type="dxa"/>
            <w:vAlign w:val="bottom"/>
          </w:tcPr>
          <w:p>
            <w:pPr>
              <w:ind w:left="40"/>
              <w:spacing w:after="0"/>
              <w:rPr>
                <w:sz w:val="20"/>
                <w:szCs w:val="20"/>
                <w:color w:val="auto"/>
              </w:rPr>
            </w:pPr>
            <w:r>
              <w:rPr>
                <w:rFonts w:ascii="Courier New" w:cs="Courier New" w:eastAsia="Courier New" w:hAnsi="Courier New"/>
                <w:sz w:val="18"/>
                <w:szCs w:val="18"/>
                <w:color w:val="auto"/>
              </w:rPr>
              <w:t>Exhibits</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w:t>
            </w:r>
          </w:p>
        </w:tc>
      </w:tr>
      <w:tr>
        <w:trPr>
          <w:trHeight w:val="405"/>
        </w:trPr>
        <w:tc>
          <w:tcPr>
            <w:tcW w:w="7160" w:type="dxa"/>
            <w:vAlign w:val="bottom"/>
            <w:gridSpan w:val="2"/>
          </w:tcPr>
          <w:p>
            <w:pPr>
              <w:spacing w:after="0"/>
              <w:rPr>
                <w:sz w:val="20"/>
                <w:szCs w:val="20"/>
                <w:color w:val="auto"/>
              </w:rPr>
            </w:pPr>
            <w:r>
              <w:rPr>
                <w:rFonts w:ascii="Courier New" w:cs="Courier New" w:eastAsia="Courier New" w:hAnsi="Courier New"/>
                <w:sz w:val="18"/>
                <w:szCs w:val="18"/>
                <w:color w:val="auto"/>
              </w:rPr>
              <w:t>Signatures</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6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22-25</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5160" w:type="dxa"/>
            <w:vAlign w:val="bottom"/>
            <w:gridSpan w:val="3"/>
          </w:tcPr>
          <w:p>
            <w:pPr>
              <w:jc w:val="center"/>
              <w:ind w:right="432"/>
              <w:spacing w:after="0"/>
              <w:rPr>
                <w:sz w:val="20"/>
                <w:szCs w:val="20"/>
                <w:color w:val="auto"/>
              </w:rPr>
            </w:pPr>
            <w:r>
              <w:rPr>
                <w:rFonts w:ascii="Courier New" w:cs="Courier New" w:eastAsia="Courier New" w:hAnsi="Courier New"/>
                <w:sz w:val="18"/>
                <w:szCs w:val="18"/>
                <w:color w:val="auto"/>
                <w:w w:val="97"/>
              </w:rPr>
              <w:t>FREQUENCY ELECTRONICS, INC. and SUBSIDIARIES</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16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38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January 31,</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April 30,</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2007</w:t>
            </w:r>
          </w:p>
        </w:tc>
        <w:tc>
          <w:tcPr>
            <w:tcW w:w="6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2006</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(UNAUDITED)</w:t>
            </w:r>
          </w:p>
        </w:tc>
        <w:tc>
          <w:tcPr>
            <w:tcW w:w="1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(In thousands)</w:t>
            </w:r>
          </w:p>
        </w:tc>
        <w:tc>
          <w:tcPr>
            <w:tcW w:w="740" w:type="dxa"/>
            <w:vAlign w:val="bottom"/>
          </w:tcPr>
          <w:p>
            <w:pPr>
              <w:spacing w:after="0"/>
              <w:rPr>
                <w:sz w:val="17"/>
                <w:szCs w:val="17"/>
                <w:color w:val="auto"/>
              </w:rPr>
            </w:pPr>
          </w:p>
        </w:tc>
      </w:tr>
      <w:tr>
        <w:trPr>
          <w:trHeight w:val="203"/>
        </w:trPr>
        <w:tc>
          <w:tcPr>
            <w:tcW w:w="1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ASSETS:</w:t>
            </w: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2,481</w:t>
            </w:r>
          </w:p>
        </w:tc>
        <w:tc>
          <w:tcPr>
            <w:tcW w:w="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2,639</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15,457</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21,836</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 of allowance for</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$276 at January 31, 2007</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April 30, 2006</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10,985</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15,868</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30,546</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22,971</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1,747</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2,135</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 receivable</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397</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1,953</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1,246</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63,566</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66,763</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Property, plant and equipment, at cost,</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7,152</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6,663</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2,825</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2,842</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Goodwill and other Intangible assets, net</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468</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surrender value of life insurance</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6,678</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6,318</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Investment in and loans receivable from affiliates</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7,212</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2,825</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1,008</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817</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Total assets</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$ 88,909</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$ 86,741</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LIABILITIES AND STOCKHOLDERS' EQUITY:</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payable - trade</w:t>
            </w:r>
          </w:p>
        </w:tc>
        <w:tc>
          <w:tcPr>
            <w:tcW w:w="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2,910</w:t>
            </w:r>
          </w:p>
        </w:tc>
        <w:tc>
          <w:tcPr>
            <w:tcW w:w="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2,202</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liabilities and other</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4,287</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3,929</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Dividend payable</w:t>
            </w: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857</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7,197</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6,988</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Deferred compensation</w:t>
            </w:r>
          </w:p>
        </w:tc>
        <w:tc>
          <w:tcPr>
            <w:tcW w:w="360" w:type="dxa"/>
            <w:vAlign w:val="bottom"/>
          </w:tcPr>
          <w:p>
            <w:pPr>
              <w:spacing w:after="0"/>
              <w:rPr>
                <w:sz w:val="24"/>
                <w:szCs w:val="24"/>
                <w:color w:val="auto"/>
              </w:rPr>
            </w:pPr>
          </w:p>
        </w:tc>
        <w:tc>
          <w:tcPr>
            <w:tcW w:w="13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8,492</w:t>
            </w:r>
          </w:p>
        </w:tc>
        <w:tc>
          <w:tcPr>
            <w:tcW w:w="64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8,122</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gain and other liabilities</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734</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998</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Total liabilities</w:t>
            </w:r>
          </w:p>
        </w:tc>
        <w:tc>
          <w:tcPr>
            <w:tcW w:w="360" w:type="dxa"/>
            <w:vAlign w:val="bottom"/>
          </w:tcPr>
          <w:p>
            <w:pPr>
              <w:spacing w:after="0"/>
              <w:rPr>
                <w:sz w:val="24"/>
                <w:szCs w:val="24"/>
                <w:color w:val="auto"/>
              </w:rPr>
            </w:pPr>
          </w:p>
        </w:tc>
        <w:tc>
          <w:tcPr>
            <w:tcW w:w="13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16,423</w:t>
            </w:r>
          </w:p>
        </w:tc>
        <w:tc>
          <w:tcPr>
            <w:tcW w:w="64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16,108</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$1.00 par value</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w:t>
            </w: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 par value</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9,164</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9,164</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46,840</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45,688</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14,999</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15,527</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71,003</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70,379</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reacquired and held in treasury</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 cost, 505,056 shares at January 31, 2007</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592,194 shares at April 30, 2006</w:t>
            </w:r>
          </w:p>
        </w:tc>
        <w:tc>
          <w:tcPr>
            <w:tcW w:w="3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(2,172)</w:t>
            </w:r>
          </w:p>
        </w:tc>
        <w:tc>
          <w:tcPr>
            <w:tcW w:w="6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(2,437)</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3,655</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2,691</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360" w:type="dxa"/>
            <w:vAlign w:val="bottom"/>
          </w:tcPr>
          <w:p>
            <w:pPr>
              <w:spacing w:after="0"/>
              <w:rPr>
                <w:sz w:val="17"/>
                <w:szCs w:val="17"/>
                <w:color w:val="auto"/>
              </w:rPr>
            </w:pPr>
          </w:p>
        </w:tc>
        <w:tc>
          <w:tcPr>
            <w:tcW w:w="1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72,486</w:t>
            </w:r>
          </w:p>
        </w:tc>
        <w:tc>
          <w:tcPr>
            <w:tcW w:w="64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70,633</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9"/>
              </w:rPr>
              <w:t>Total liabilities and stockholders' equity</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$ 88,909</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$ 86,741</w:t>
            </w:r>
          </w:p>
        </w:tc>
      </w:tr>
      <w:tr>
        <w:trPr>
          <w:trHeight w:val="203"/>
        </w:trPr>
        <w:tc>
          <w:tcPr>
            <w:tcW w:w="1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ind w:left="1800"/>
        <w:spacing w:after="0" w:line="238" w:lineRule="auto"/>
        <w:rPr>
          <w:sz w:val="20"/>
          <w:szCs w:val="20"/>
          <w:color w:val="auto"/>
        </w:rPr>
      </w:pPr>
      <w:r>
        <w:rPr>
          <w:rFonts w:ascii="Courier New" w:cs="Courier New" w:eastAsia="Courier New" w:hAnsi="Courier New"/>
          <w:sz w:val="18"/>
          <w:szCs w:val="18"/>
          <w:color w:val="auto"/>
        </w:rPr>
        <w:t>Consolidated Condensed Statements of Operations</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Nine Months Ended January 31,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2"/>
              </w:rPr>
              <w:t>2007</w:t>
            </w:r>
          </w:p>
        </w:tc>
        <w:tc>
          <w:tcPr>
            <w:tcW w:w="800" w:type="dxa"/>
            <w:vAlign w:val="bottom"/>
          </w:tcPr>
          <w:p>
            <w:pPr>
              <w:spacing w:after="0"/>
              <w:rPr>
                <w:sz w:val="17"/>
                <w:szCs w:val="17"/>
                <w:color w:val="auto"/>
              </w:rPr>
            </w:pP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2006</w:t>
            </w:r>
          </w:p>
        </w:tc>
      </w:tr>
      <w:tr>
        <w:trPr>
          <w:trHeight w:val="203"/>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2"/>
              </w:rPr>
              <w:t>----</w:t>
            </w:r>
          </w:p>
        </w:tc>
        <w:tc>
          <w:tcPr>
            <w:tcW w:w="80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4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94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$40,751</w:t>
            </w:r>
          </w:p>
        </w:tc>
        <w:tc>
          <w:tcPr>
            <w:tcW w:w="206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$37,668</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6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26,781</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24,011</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Gross margin</w:t>
            </w:r>
          </w:p>
        </w:tc>
        <w:tc>
          <w:tcPr>
            <w:tcW w:w="6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13,970</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13,657</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620" w:type="dxa"/>
            <w:vAlign w:val="bottom"/>
          </w:tcPr>
          <w:p>
            <w:pPr>
              <w:spacing w:after="0"/>
              <w:rPr>
                <w:sz w:val="24"/>
                <w:szCs w:val="24"/>
                <w:color w:val="auto"/>
              </w:rPr>
            </w:pPr>
          </w:p>
        </w:tc>
        <w:tc>
          <w:tcPr>
            <w:tcW w:w="13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8,344</w:t>
            </w:r>
          </w:p>
        </w:tc>
        <w:tc>
          <w:tcPr>
            <w:tcW w:w="800" w:type="dxa"/>
            <w:vAlign w:val="bottom"/>
          </w:tcPr>
          <w:p>
            <w:pPr>
              <w:spacing w:after="0"/>
              <w:rPr>
                <w:sz w:val="24"/>
                <w:szCs w:val="24"/>
                <w:color w:val="auto"/>
              </w:rPr>
            </w:pPr>
          </w:p>
        </w:tc>
        <w:tc>
          <w:tcPr>
            <w:tcW w:w="1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8,154</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6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6,628</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4,124</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Operating (loss) profit</w:t>
            </w:r>
          </w:p>
        </w:tc>
        <w:tc>
          <w:tcPr>
            <w:tcW w:w="6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(1,002)</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1,379</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6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785</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2,951</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Morion</w:t>
            </w:r>
          </w:p>
        </w:tc>
        <w:tc>
          <w:tcPr>
            <w:tcW w:w="6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566</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423</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6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(74)</w:t>
            </w:r>
          </w:p>
        </w:tc>
        <w:tc>
          <w:tcPr>
            <w:tcW w:w="8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net</w:t>
            </w:r>
          </w:p>
        </w:tc>
        <w:tc>
          <w:tcPr>
            <w:tcW w:w="6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270</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928</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6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545</w:t>
            </w:r>
          </w:p>
        </w:tc>
        <w:tc>
          <w:tcPr>
            <w:tcW w:w="80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5,598</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620" w:type="dxa"/>
            <w:vAlign w:val="bottom"/>
          </w:tcPr>
          <w:p>
            <w:pPr>
              <w:spacing w:after="0"/>
              <w:rPr>
                <w:sz w:val="24"/>
                <w:szCs w:val="24"/>
                <w:color w:val="auto"/>
              </w:rPr>
            </w:pPr>
          </w:p>
        </w:tc>
        <w:tc>
          <w:tcPr>
            <w:tcW w:w="13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213</w:t>
            </w:r>
          </w:p>
        </w:tc>
        <w:tc>
          <w:tcPr>
            <w:tcW w:w="800" w:type="dxa"/>
            <w:vAlign w:val="bottom"/>
          </w:tcPr>
          <w:p>
            <w:pPr>
              <w:spacing w:after="0"/>
              <w:rPr>
                <w:sz w:val="24"/>
                <w:szCs w:val="24"/>
                <w:color w:val="auto"/>
              </w:rPr>
            </w:pPr>
          </w:p>
        </w:tc>
        <w:tc>
          <w:tcPr>
            <w:tcW w:w="1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1,876</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income</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332</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$ 3,722</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0.04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0.44</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0.04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0.43</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19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8,600,700</w:t>
            </w:r>
          </w:p>
        </w:tc>
        <w:tc>
          <w:tcPr>
            <w:tcW w:w="20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8,530,926</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19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8,747,110</w:t>
            </w:r>
          </w:p>
        </w:tc>
        <w:tc>
          <w:tcPr>
            <w:tcW w:w="20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8,668,685</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consolidated condensed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ind w:left="1800"/>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Three Months Ended January 31,</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19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2007</w:t>
            </w:r>
          </w:p>
        </w:tc>
        <w:tc>
          <w:tcPr>
            <w:tcW w:w="680" w:type="dxa"/>
            <w:vAlign w:val="bottom"/>
          </w:tcPr>
          <w:p>
            <w:pPr>
              <w:spacing w:after="0"/>
              <w:rPr>
                <w:sz w:val="17"/>
                <w:szCs w:val="17"/>
                <w:color w:val="auto"/>
              </w:rPr>
            </w:pPr>
          </w:p>
        </w:tc>
        <w:tc>
          <w:tcPr>
            <w:tcW w:w="138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2"/>
              </w:rPr>
              <w:t>2006</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440" w:type="dxa"/>
            <w:vAlign w:val="bottom"/>
          </w:tcPr>
          <w:p>
            <w:pPr>
              <w:spacing w:after="0"/>
              <w:rPr>
                <w:sz w:val="17"/>
                <w:szCs w:val="17"/>
                <w:color w:val="auto"/>
              </w:rPr>
            </w:pPr>
          </w:p>
        </w:tc>
        <w:tc>
          <w:tcPr>
            <w:tcW w:w="4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$12,117</w:t>
            </w:r>
          </w:p>
        </w:tc>
        <w:tc>
          <w:tcPr>
            <w:tcW w:w="206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$15,113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8,340</w:t>
            </w:r>
          </w:p>
        </w:tc>
        <w:tc>
          <w:tcPr>
            <w:tcW w:w="68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9,651</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Gross margin</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3,777</w:t>
            </w:r>
          </w:p>
        </w:tc>
        <w:tc>
          <w:tcPr>
            <w:tcW w:w="68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5,462</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2,889</w:t>
            </w:r>
          </w:p>
        </w:tc>
        <w:tc>
          <w:tcPr>
            <w:tcW w:w="680" w:type="dxa"/>
            <w:vAlign w:val="bottom"/>
          </w:tcPr>
          <w:p>
            <w:pPr>
              <w:spacing w:after="0"/>
              <w:rPr>
                <w:sz w:val="24"/>
                <w:szCs w:val="24"/>
                <w:color w:val="auto"/>
              </w:rPr>
            </w:pP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3,077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2,600</w:t>
            </w:r>
          </w:p>
        </w:tc>
        <w:tc>
          <w:tcPr>
            <w:tcW w:w="68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1,173</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Operating (loss) profit</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(1,712)</w:t>
            </w:r>
          </w:p>
        </w:tc>
        <w:tc>
          <w:tcPr>
            <w:tcW w:w="68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1,212</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206</w:t>
            </w:r>
          </w:p>
        </w:tc>
        <w:tc>
          <w:tcPr>
            <w:tcW w:w="68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285</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Morion</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292</w:t>
            </w:r>
          </w:p>
        </w:tc>
        <w:tc>
          <w:tcPr>
            <w:tcW w:w="68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194</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169</w:t>
            </w:r>
          </w:p>
        </w:tc>
        <w:tc>
          <w:tcPr>
            <w:tcW w:w="68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161</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Income before (benefit) provision</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income taxes</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(1,062)</w:t>
            </w:r>
          </w:p>
        </w:tc>
        <w:tc>
          <w:tcPr>
            <w:tcW w:w="68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1,828</w:t>
            </w:r>
          </w:p>
        </w:tc>
      </w:tr>
      <w:tr>
        <w:trPr>
          <w:trHeight w:val="405"/>
        </w:trPr>
        <w:tc>
          <w:tcPr>
            <w:tcW w:w="4440" w:type="dxa"/>
            <w:vAlign w:val="bottom"/>
          </w:tcPr>
          <w:p>
            <w:pPr>
              <w:ind w:left="120"/>
              <w:spacing w:after="0"/>
              <w:rPr>
                <w:sz w:val="20"/>
                <w:szCs w:val="20"/>
                <w:color w:val="auto"/>
              </w:rPr>
            </w:pPr>
            <w:r>
              <w:rPr>
                <w:rFonts w:ascii="Courier New" w:cs="Courier New" w:eastAsia="Courier New" w:hAnsi="Courier New"/>
                <w:sz w:val="18"/>
                <w:szCs w:val="18"/>
                <w:color w:val="auto"/>
              </w:rPr>
              <w:t>(Benefit) Provision for income taxes</w:t>
            </w:r>
          </w:p>
        </w:tc>
        <w:tc>
          <w:tcPr>
            <w:tcW w:w="19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(308)</w:t>
            </w:r>
          </w:p>
        </w:tc>
        <w:tc>
          <w:tcPr>
            <w:tcW w:w="680" w:type="dxa"/>
            <w:vAlign w:val="bottom"/>
          </w:tcPr>
          <w:p>
            <w:pPr>
              <w:spacing w:after="0"/>
              <w:rPr>
                <w:sz w:val="24"/>
                <w:szCs w:val="24"/>
                <w:color w:val="auto"/>
              </w:rPr>
            </w:pP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580</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860"/>
              <w:spacing w:after="0"/>
              <w:rPr>
                <w:sz w:val="20"/>
                <w:szCs w:val="20"/>
                <w:color w:val="auto"/>
              </w:rPr>
            </w:pPr>
            <w:r>
              <w:rPr>
                <w:rFonts w:ascii="Courier New" w:cs="Courier New" w:eastAsia="Courier New" w:hAnsi="Courier New"/>
                <w:sz w:val="18"/>
                <w:szCs w:val="18"/>
                <w:color w:val="auto"/>
              </w:rPr>
              <w:t>Net (loss) income</w:t>
            </w:r>
          </w:p>
        </w:tc>
        <w:tc>
          <w:tcPr>
            <w:tcW w:w="19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(754)</w:t>
            </w:r>
          </w:p>
        </w:tc>
        <w:tc>
          <w:tcPr>
            <w:tcW w:w="206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$ 1,248</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(loss) income per common share</w:t>
            </w: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(0.09)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0.15</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(0.09)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0.14</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8,633,283</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8,541,519</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8,633,283</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8,674,434</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5" w:name="page6"/>
    <w:bookmarkEnd w:id="5"/>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ind w:left="1800"/>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Nine Months Ended January 31,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2007</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2006</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3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332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$ 3,722</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charges to earnings</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(1,346)</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changes in other assets and liabilities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(3,669)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(4,224)</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(1,848)</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acquisitions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(1,811)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Loan to affiliate</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8,053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12,818</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marketable securities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(11,518)</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fixed assets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(1,675)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(1,260)</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1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1,814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(1,717)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(1,706)</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short-term credit obligations</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(1,559)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w:t>
            </w:r>
          </w:p>
        </w:tc>
        <w:tc>
          <w:tcPr>
            <w:tcW w:w="1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effect of exchange rate changes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decrease in cash</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(2,535)</w:t>
            </w:r>
          </w:p>
        </w:tc>
      </w:tr>
      <w:tr>
        <w:trPr>
          <w:trHeight w:val="405"/>
        </w:trPr>
        <w:tc>
          <w:tcPr>
            <w:tcW w:w="5220" w:type="dxa"/>
            <w:vAlign w:val="bottom"/>
          </w:tcPr>
          <w:p>
            <w:pPr>
              <w:ind w:left="320"/>
              <w:spacing w:after="0"/>
              <w:rPr>
                <w:sz w:val="20"/>
                <w:szCs w:val="20"/>
                <w:color w:val="auto"/>
              </w:rPr>
            </w:pPr>
            <w:r>
              <w:rPr>
                <w:rFonts w:ascii="Courier New" w:cs="Courier New" w:eastAsia="Courier New" w:hAnsi="Courier New"/>
                <w:sz w:val="18"/>
                <w:szCs w:val="18"/>
                <w:color w:val="auto"/>
              </w:rPr>
              <w:t>Cash at beginning of period</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2,639</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6,701</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at end of period</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$ 2,481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$ 4,166</w:t>
            </w:r>
          </w:p>
        </w:tc>
      </w:tr>
      <w:tr>
        <w:trPr>
          <w:trHeight w:val="203"/>
        </w:trPr>
        <w:tc>
          <w:tcPr>
            <w:tcW w:w="5220" w:type="dxa"/>
            <w:vAlign w:val="bottom"/>
          </w:tcPr>
          <w:p>
            <w:pPr>
              <w:spacing w:after="0"/>
              <w:rPr>
                <w:sz w:val="17"/>
                <w:szCs w:val="17"/>
                <w:color w:val="auto"/>
              </w:rPr>
            </w:pP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358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FREQUENCY ELECTRONICS, INC.</w:t>
            </w:r>
          </w:p>
        </w:tc>
        <w:tc>
          <w:tcPr>
            <w:tcW w:w="270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and SUBSIDIARIES</w:t>
            </w:r>
          </w:p>
        </w:tc>
        <w:tc>
          <w:tcPr>
            <w:tcW w:w="100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358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Notes to Condensed Consolidated</w:t>
            </w:r>
          </w:p>
        </w:tc>
        <w:tc>
          <w:tcPr>
            <w:tcW w:w="270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Financial Statements</w:t>
            </w:r>
          </w:p>
        </w:tc>
        <w:tc>
          <w:tcPr>
            <w:tcW w:w="10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(Unaudited)</w:t>
            </w: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740" w:type="dxa"/>
            <w:vAlign w:val="bottom"/>
            <w:gridSpan w:val="7"/>
          </w:tcPr>
          <w:p>
            <w:pPr>
              <w:spacing w:after="0"/>
              <w:rPr>
                <w:sz w:val="20"/>
                <w:szCs w:val="20"/>
                <w:color w:val="auto"/>
              </w:rPr>
            </w:pPr>
            <w:r>
              <w:rPr>
                <w:rFonts w:ascii="Courier New" w:cs="Courier New" w:eastAsia="Courier New" w:hAnsi="Courier New"/>
                <w:sz w:val="18"/>
                <w:szCs w:val="18"/>
                <w:color w:val="auto"/>
              </w:rPr>
              <w:t>NOTE A - CONSOLIDATED FINANCIAL STATEMENTS</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35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In the opinion of management</w:t>
            </w:r>
          </w:p>
        </w:tc>
        <w:tc>
          <w:tcPr>
            <w:tcW w:w="18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of the Company,</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the</w:t>
            </w:r>
          </w:p>
        </w:tc>
        <w:tc>
          <w:tcPr>
            <w:tcW w:w="15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accompanying</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consolidated</w:t>
            </w:r>
          </w:p>
        </w:tc>
        <w:tc>
          <w:tcPr>
            <w:tcW w:w="200" w:type="dxa"/>
            <w:vAlign w:val="bottom"/>
          </w:tcPr>
          <w:p>
            <w:pPr>
              <w:spacing w:after="0"/>
              <w:rPr>
                <w:sz w:val="17"/>
                <w:szCs w:val="17"/>
                <w:color w:val="auto"/>
              </w:rPr>
            </w:pPr>
          </w:p>
        </w:tc>
        <w:tc>
          <w:tcPr>
            <w:tcW w:w="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interim</w:t>
            </w: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financial</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reflect all adjustments</w:t>
            </w:r>
          </w:p>
        </w:tc>
      </w:tr>
      <w:tr>
        <w:trPr>
          <w:trHeight w:val="203"/>
        </w:trPr>
        <w:tc>
          <w:tcPr>
            <w:tcW w:w="53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9"/>
              </w:rPr>
              <w:t>(which include only normal recurring  adjustments)</w:t>
            </w:r>
          </w:p>
        </w:tc>
        <w:tc>
          <w:tcPr>
            <w:tcW w:w="3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necessary to present fairly,</w:t>
            </w:r>
          </w:p>
        </w:tc>
      </w:tr>
      <w:tr>
        <w:trPr>
          <w:trHeight w:val="203"/>
        </w:trPr>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in all material respects,</w:t>
            </w:r>
          </w:p>
        </w:tc>
        <w:tc>
          <w:tcPr>
            <w:tcW w:w="580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rPr>
              <w:t>the consolidated financial position of the Company as</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of January</w:t>
            </w:r>
          </w:p>
        </w:tc>
        <w:tc>
          <w:tcPr>
            <w:tcW w:w="19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31, 2007 and the</w:t>
            </w:r>
          </w:p>
        </w:tc>
        <w:tc>
          <w:tcPr>
            <w:tcW w:w="16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results of its</w:t>
            </w:r>
          </w:p>
        </w:tc>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operations</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and cash flows for the</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nine and three  months</w:t>
            </w:r>
          </w:p>
        </w:tc>
        <w:tc>
          <w:tcPr>
            <w:tcW w:w="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ended</w:t>
            </w:r>
          </w:p>
        </w:tc>
        <w:tc>
          <w:tcPr>
            <w:tcW w:w="1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January</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31,</w:t>
            </w:r>
          </w:p>
        </w:tc>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2007 and 2006.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April</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30,  2006</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consolidated</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balance</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sheet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was</w:t>
            </w: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derived</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from</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audited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financial</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statements.</w:t>
            </w:r>
          </w:p>
        </w:tc>
        <w:tc>
          <w:tcPr>
            <w:tcW w:w="35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Certain information and footnote</w:t>
            </w:r>
          </w:p>
        </w:tc>
        <w:tc>
          <w:tcPr>
            <w:tcW w:w="15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disclosures</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normally included in</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23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5"/>
              </w:rPr>
              <w:t>prepared in accordance</w:t>
            </w:r>
          </w:p>
        </w:tc>
        <w:tc>
          <w:tcPr>
            <w:tcW w:w="3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with generally accepted accounting</w:t>
            </w:r>
          </w:p>
        </w:tc>
      </w:tr>
    </w:tbl>
    <w:p>
      <w:pPr>
        <w:spacing w:after="0" w:line="4"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principles have been condensed or omitted. It is suggested that these condensed consolidated financial statements be read in conjunction with the financial statements and notes thereto included in the Company's April 30, 2006 Annual</w:t>
      </w:r>
    </w:p>
    <w:tbl>
      <w:tblPr>
        <w:tblLayout w:type="fixed"/>
        <w:tblInd w:w="0" w:type="dxa"/>
        <w:tblCellMar>
          <w:top w:w="0" w:type="dxa"/>
          <w:left w:w="0" w:type="dxa"/>
          <w:bottom w:w="0" w:type="dxa"/>
          <w:right w:w="0" w:type="dxa"/>
        </w:tblCellMar>
      </w:tblPr>
      <w:tr>
        <w:trPr>
          <w:trHeight w:val="199"/>
        </w:trPr>
        <w:tc>
          <w:tcPr>
            <w:tcW w:w="5860" w:type="dxa"/>
            <w:vAlign w:val="bottom"/>
            <w:gridSpan w:val="3"/>
          </w:tcPr>
          <w:p>
            <w:pPr>
              <w:spacing w:after="0" w:line="198" w:lineRule="exact"/>
              <w:rPr>
                <w:sz w:val="20"/>
                <w:szCs w:val="20"/>
                <w:color w:val="auto"/>
              </w:rPr>
            </w:pPr>
            <w:r>
              <w:rPr>
                <w:rFonts w:ascii="Courier New" w:cs="Courier New" w:eastAsia="Courier New" w:hAnsi="Courier New"/>
                <w:sz w:val="18"/>
                <w:szCs w:val="18"/>
                <w:color w:val="auto"/>
                <w:w w:val="98"/>
              </w:rPr>
              <w:t>Report to  Stockholders.  The results of operations for</w:t>
            </w:r>
          </w:p>
        </w:tc>
        <w:tc>
          <w:tcPr>
            <w:tcW w:w="258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8"/>
              </w:rPr>
              <w:t>such interim periods are</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not necessarily indicative of the</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operating results for</w:t>
            </w:r>
          </w:p>
        </w:tc>
        <w:tc>
          <w:tcPr>
            <w:tcW w:w="258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w w:val="99"/>
              </w:rPr>
              <w:t>the full year.</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NOTE B - EARNINGS PER SHARE</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706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Reconciliation  of the weighted  average shares  outstanding</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for basic and</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diluted Earnings Per Share are as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follows: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Nine months</w:t>
            </w:r>
          </w:p>
        </w:tc>
        <w:tc>
          <w:tcPr>
            <w:tcW w:w="25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Three months</w:t>
            </w:r>
          </w:p>
        </w:tc>
      </w:tr>
      <w:tr>
        <w:trPr>
          <w:trHeight w:val="203"/>
        </w:trPr>
        <w:tc>
          <w:tcPr>
            <w:tcW w:w="354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Periods ended January 31,</w:t>
            </w:r>
          </w:p>
        </w:tc>
      </w:tr>
      <w:tr>
        <w:trPr>
          <w:trHeight w:val="203"/>
        </w:trPr>
        <w:tc>
          <w:tcPr>
            <w:tcW w:w="354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2007</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2006</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2007</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354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EPS Shares outstanding</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8,600,700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8,530,926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8,633,283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8,541,519</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Effect of Dilutive Securities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146,410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137,759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132,915</w:t>
            </w:r>
          </w:p>
        </w:tc>
      </w:tr>
      <w:tr>
        <w:trPr>
          <w:trHeight w:val="203"/>
        </w:trPr>
        <w:tc>
          <w:tcPr>
            <w:tcW w:w="3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EPS Shares outstanding</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8,747,110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8,668,685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8,633,283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8,674,434</w:t>
            </w:r>
          </w:p>
        </w:tc>
      </w:tr>
      <w:tr>
        <w:trPr>
          <w:trHeight w:val="203"/>
        </w:trPr>
        <w:tc>
          <w:tcPr>
            <w:tcW w:w="3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left="540" w:right="1779" w:hanging="5"/>
        <w:spacing w:after="0" w:line="236" w:lineRule="auto"/>
        <w:tabs>
          <w:tab w:leader="none" w:pos="106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Dilutive securities are excluded for the three month period ended January 31, 2007 since the inclusion of such shares would be antidilutive due to the net loss for the period then ended.</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computation of diluted earnings per share excludes those options with an exercise price in excess of the average market price of the Company's common shares during the periods presented. The inclusion of such options in the computation of earnings per share would have been antidilutive. The number of excluded options were:</w:t>
      </w:r>
    </w:p>
    <w:tbl>
      <w:tblPr>
        <w:tblLayout w:type="fixed"/>
        <w:tblInd w:w="120" w:type="dxa"/>
        <w:tblCellMar>
          <w:top w:w="0" w:type="dxa"/>
          <w:left w:w="0" w:type="dxa"/>
          <w:bottom w:w="0" w:type="dxa"/>
          <w:right w:w="0" w:type="dxa"/>
        </w:tblCellMar>
      </w:tblPr>
      <w:tr>
        <w:trPr>
          <w:trHeight w:val="204"/>
        </w:trPr>
        <w:tc>
          <w:tcPr>
            <w:tcW w:w="54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Nine months</w:t>
            </w:r>
          </w:p>
        </w:tc>
        <w:tc>
          <w:tcPr>
            <w:tcW w:w="21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4200" w:type="dxa"/>
            <w:vAlign w:val="bottom"/>
          </w:tcPr>
          <w:p>
            <w:pPr>
              <w:spacing w:after="0"/>
              <w:rPr>
                <w:sz w:val="17"/>
                <w:szCs w:val="17"/>
                <w:color w:val="auto"/>
              </w:rPr>
            </w:pPr>
          </w:p>
        </w:tc>
        <w:tc>
          <w:tcPr>
            <w:tcW w:w="3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Periods ended January 31,</w:t>
            </w:r>
          </w:p>
        </w:tc>
      </w:tr>
      <w:tr>
        <w:trPr>
          <w:trHeight w:val="203"/>
        </w:trPr>
        <w:tc>
          <w:tcPr>
            <w:tcW w:w="4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2007</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2006</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2007</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4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Outstanding Options excluded   571,550</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570,550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571,550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570,550</w:t>
            </w:r>
          </w:p>
        </w:tc>
      </w:tr>
      <w:tr>
        <w:trPr>
          <w:trHeight w:val="203"/>
        </w:trPr>
        <w:tc>
          <w:tcPr>
            <w:tcW w:w="4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ACCOUNTS RECEIVABLE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Accounts receivable at January 31, 2007 and April 30, 2006 include costs and estimated earnings in excess of billings on uncompleted contracts accounted for on the percentage of completion basis of approximately $3,108,000 and $4,857,000, respectively. Such amounts represent revenue recognized on long-term contracts that had not been billed at the balance sheet dates. Such amounts are billed pursuant to contract terms.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INVENTORIES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Inventories, which are reported net of reserves of $4,356,000 and $3,923,000 at January 31, 2007 and April 30, 2006, respectively, consist of the following:</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January 31,</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2007</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April 30, 2006</w:t>
            </w:r>
          </w:p>
        </w:tc>
      </w:tr>
      <w:tr>
        <w:trPr>
          <w:trHeight w:val="203"/>
        </w:trPr>
        <w:tc>
          <w:tcPr>
            <w:tcW w:w="3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Raw materials and Component parts</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$14,950</w:t>
            </w:r>
          </w:p>
        </w:tc>
        <w:tc>
          <w:tcPr>
            <w:tcW w:w="860" w:type="dxa"/>
            <w:vAlign w:val="bottom"/>
          </w:tcPr>
          <w:p>
            <w:pPr>
              <w:spacing w:after="0"/>
              <w:rPr>
                <w:sz w:val="24"/>
                <w:szCs w:val="24"/>
                <w:color w:val="auto"/>
              </w:rPr>
            </w:pP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$11,172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15,596</w:t>
            </w:r>
          </w:p>
        </w:tc>
        <w:tc>
          <w:tcPr>
            <w:tcW w:w="860" w:type="dxa"/>
            <w:vAlign w:val="bottom"/>
          </w:tcPr>
          <w:p>
            <w:pPr>
              <w:spacing w:after="0"/>
              <w:rPr>
                <w:sz w:val="17"/>
                <w:szCs w:val="17"/>
                <w:color w:val="auto"/>
              </w:rPr>
            </w:pP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11,799</w:t>
            </w:r>
          </w:p>
        </w:tc>
      </w:tr>
      <w:tr>
        <w:trPr>
          <w:trHeight w:val="203"/>
        </w:trPr>
        <w:tc>
          <w:tcPr>
            <w:tcW w:w="390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$30,546</w:t>
            </w:r>
          </w:p>
        </w:tc>
        <w:tc>
          <w:tcPr>
            <w:tcW w:w="860" w:type="dxa"/>
            <w:vAlign w:val="bottom"/>
          </w:tcPr>
          <w:p>
            <w:pPr>
              <w:spacing w:after="0"/>
              <w:rPr>
                <w:sz w:val="17"/>
                <w:szCs w:val="17"/>
                <w:color w:val="auto"/>
              </w:rPr>
            </w:pP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$22,971</w:t>
            </w:r>
          </w:p>
        </w:tc>
      </w:tr>
    </w:tbl>
    <w:p>
      <w:pPr>
        <w:sectPr>
          <w:pgSz w:w="11900" w:h="16838" w:orient="portrait"/>
          <w:cols w:equalWidth="0" w:num="1">
            <w:col w:w="10219"/>
          </w:cols>
          <w:pgMar w:left="240" w:top="919" w:right="1440" w:bottom="0" w:gutter="0" w:footer="0" w:header="0"/>
        </w:sectPr>
      </w:pPr>
    </w:p>
    <w:bookmarkStart w:id="7" w:name="page8"/>
    <w:bookmarkEnd w:id="7"/>
    <w:p>
      <w:pPr>
        <w:ind w:left="3760"/>
        <w:spacing w:after="0"/>
        <w:tabs>
          <w:tab w:leader="none" w:pos="61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9019"/>
          </w:cols>
          <w:pgMar w:left="1440" w:top="142"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 - COMPREHENSIVE INCOME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nine months ended January 31, 2007 and 2006 total comprehensive income was $1,296,000 and $1,821,000, respectively. Comprehensive income is composed of net income or loss for the period plus the impact of foreign currency translation adjustments and the change in the valuation allowance on marketable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INVESTMENT IN AFFILIATES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investment in affiliates consists of a 36% interest in Morion, Inc., a privately-held Russian crystal oscillator manufacturer, and a 20% interest in Elcom Technologies, Inc., a privately-held designer and manufacturer of high switching speed, low phase noise instruments and components. In addition to its initial investment, the Company has also extended a loan to Elcom in the form of a convertible note. Due to the timing of the Elcom investment in late December 2006, the transaction had no impact on the Company's financial results for any period. Summarized financial data for the operations of Morion for the nine and three month periods ended January 31, 2007 and 2006, are as follows: (in thousands)</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284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Nine months</w:t>
            </w:r>
          </w:p>
        </w:tc>
        <w:tc>
          <w:tcPr>
            <w:tcW w:w="2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2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7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2007</w:t>
            </w:r>
          </w:p>
        </w:tc>
        <w:tc>
          <w:tcPr>
            <w:tcW w:w="1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2006</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2007</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2320" w:type="dxa"/>
            <w:vAlign w:val="bottom"/>
          </w:tcPr>
          <w:p>
            <w:pPr>
              <w:spacing w:after="0"/>
              <w:rPr>
                <w:sz w:val="17"/>
                <w:szCs w:val="17"/>
                <w:color w:val="auto"/>
              </w:rPr>
            </w:pPr>
          </w:p>
        </w:tc>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$11,417</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$8,795</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$2,674</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1,587</w:t>
            </w:r>
          </w:p>
        </w:tc>
        <w:tc>
          <w:tcPr>
            <w:tcW w:w="1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1,288</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872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694</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1,312</w:t>
            </w:r>
          </w:p>
        </w:tc>
        <w:tc>
          <w:tcPr>
            <w:tcW w:w="1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1,056</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 EQUITY-BASED COMPENSATION</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$438,000 and $162,000 was recognized during the nine and three months ended January 31, 2007, respectively, and includes: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 Results for prior periods have not been restated.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Upon adoption of FAS 123(R), the Company elected to continue to value its share-based payment transactions using the Black-Scholes valuation model, which was previously used by the Company for purposes of preparing the pro forma disclosures under FAS 123. Such value is recognized as expense on a straight-line basis over the service period of the awards, which is generally the vesting period, net of estimated forfeitures. This is the same attribution method that was used by the Company for purposes of its pro forma disclosures under FAS 123.</w:t>
      </w:r>
    </w:p>
    <w:p>
      <w:pPr>
        <w:spacing w:after="0" w:line="212"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At January 31, 2007, unrecognized compensation cost for all the Company's stock-based compensation awards was approximately $1.4 million. The unrecognized compensation cost for stock-based compensation awards at January 31, 2007 is expected to be recognized over a weighted average period of 2.9 years.</w:t>
      </w:r>
    </w:p>
    <w:p>
      <w:pPr>
        <w:spacing w:after="0" w:line="18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addition, the Company applied the provisions of Staff Accounting Bulletin No. 107 ("SAB 107"), issued by the Securities and Exchange Commission in March 2005 in its adoption of FAS 123(R). SAB 107 requires stock-based compensation to be classified in the same expense line items as cash compensation. Accordingly, during the nine and three months ended January 31, 2007, stock-based compensation expense was $226,000 and $87,000, respectively, in cost of sales and $212,000 and $75,000, respectively, in selling, general and administrative expense.</w:t>
      </w:r>
    </w:p>
    <w:p>
      <w:pPr>
        <w:sectPr>
          <w:pgSz w:w="11900" w:h="16838" w:orient="portrait"/>
          <w:cols w:equalWidth="0" w:num="1">
            <w:col w:w="10219"/>
          </w:cols>
          <w:pgMar w:left="240" w:top="919" w:right="1440" w:bottom="975" w:gutter="0" w:footer="0" w:header="0"/>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Prior to the adoption of FAS 123(R), the Company presented all tax benefits resulting from tax deductions associated with the exercise of stock options by employees as cash flows from operating activities in the Consolidated Statements of Cash Flows. Under FAS 123(R) "excess tax benefits" are to be classified as cash flows from financing activities in the Consolidated Statement of Cash Flows. For this purpose, the excess tax benefits are tax benefits related to the difference between the total tax deduction associated with the exercise of stock options by employees and the amount of compensation cost recognized for those options. For the nine and three months ended January 31, 2007, there were no excess tax benefits to be included within Other Financing Activities of the Cash Flows from Financing Activities pursuant to this requirement of FAS 123(R).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3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Effect of Adoption of FAS 123(R)</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The</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application  of FAS 123(R) had</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following</w:t>
            </w:r>
          </w:p>
        </w:tc>
        <w:tc>
          <w:tcPr>
            <w:tcW w:w="2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effect on the  reported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amounts</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 the nine and three</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months</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ended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January</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relative to</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amounts that would have been  reported</w:t>
            </w:r>
          </w:p>
        </w:tc>
        <w:tc>
          <w:tcPr>
            <w:tcW w:w="22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using the  intrinsic</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value method under</w:t>
            </w:r>
          </w:p>
        </w:tc>
      </w:tr>
      <w:tr>
        <w:trPr>
          <w:trHeight w:val="203"/>
        </w:trPr>
        <w:tc>
          <w:tcPr>
            <w:tcW w:w="58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previous accounting (in thousands, except for per share</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amounts).</w:t>
            </w:r>
          </w:p>
        </w:tc>
        <w:tc>
          <w:tcPr>
            <w:tcW w:w="126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Using Intrinsic</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FAS 123(R)</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As</w:t>
            </w:r>
          </w:p>
        </w:tc>
      </w:tr>
      <w:tr>
        <w:trPr>
          <w:trHeight w:val="203"/>
        </w:trPr>
        <w:tc>
          <w:tcPr>
            <w:tcW w:w="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42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Value Method</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r>
      <w:tr>
        <w:trPr>
          <w:trHeight w:val="405"/>
        </w:trPr>
        <w:tc>
          <w:tcPr>
            <w:tcW w:w="42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Nine Months ended January 31, 2007:</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Operating Loss</w:t>
            </w:r>
          </w:p>
        </w:tc>
        <w:tc>
          <w:tcPr>
            <w:tcW w:w="840" w:type="dxa"/>
            <w:vAlign w:val="bottom"/>
          </w:tcPr>
          <w:p>
            <w:pPr>
              <w:spacing w:after="0"/>
              <w:rPr>
                <w:sz w:val="17"/>
                <w:szCs w:val="17"/>
                <w:color w:val="auto"/>
              </w:rPr>
            </w:pPr>
          </w:p>
        </w:tc>
        <w:tc>
          <w:tcPr>
            <w:tcW w:w="1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($ 564)</w:t>
            </w:r>
          </w:p>
        </w:tc>
        <w:tc>
          <w:tcPr>
            <w:tcW w:w="13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($438)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($ 1,002)</w:t>
            </w:r>
          </w:p>
        </w:tc>
      </w:tr>
      <w:tr>
        <w:trPr>
          <w:trHeight w:val="405"/>
        </w:trPr>
        <w:tc>
          <w:tcPr>
            <w:tcW w:w="3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Income before provision</w:t>
            </w: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3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for income taxes</w:t>
            </w:r>
          </w:p>
        </w:tc>
        <w:tc>
          <w:tcPr>
            <w:tcW w:w="8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$983</w:t>
            </w:r>
          </w:p>
        </w:tc>
        <w:tc>
          <w:tcPr>
            <w:tcW w:w="940" w:type="dxa"/>
            <w:vAlign w:val="bottom"/>
          </w:tcPr>
          <w:p>
            <w:pPr>
              <w:spacing w:after="0"/>
              <w:rPr>
                <w:sz w:val="17"/>
                <w:szCs w:val="17"/>
                <w:color w:val="auto"/>
              </w:rPr>
            </w:pPr>
          </w:p>
        </w:tc>
        <w:tc>
          <w:tcPr>
            <w:tcW w:w="13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($438)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w:t>
            </w:r>
          </w:p>
        </w:tc>
      </w:tr>
      <w:tr>
        <w:trPr>
          <w:trHeight w:val="405"/>
        </w:trPr>
        <w:tc>
          <w:tcPr>
            <w:tcW w:w="3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Net Income</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$770</w:t>
            </w:r>
          </w:p>
        </w:tc>
        <w:tc>
          <w:tcPr>
            <w:tcW w:w="940" w:type="dxa"/>
            <w:vAlign w:val="bottom"/>
          </w:tcPr>
          <w:p>
            <w:pPr>
              <w:spacing w:after="0"/>
              <w:rPr>
                <w:sz w:val="24"/>
                <w:szCs w:val="24"/>
                <w:color w:val="auto"/>
              </w:rPr>
            </w:pPr>
          </w:p>
        </w:tc>
        <w:tc>
          <w:tcPr>
            <w:tcW w:w="13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($438)</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$332</w:t>
            </w:r>
          </w:p>
        </w:tc>
      </w:tr>
      <w:tr>
        <w:trPr>
          <w:trHeight w:val="405"/>
        </w:trPr>
        <w:tc>
          <w:tcPr>
            <w:tcW w:w="3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Basic Earnings per Share</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$0.09</w:t>
            </w:r>
          </w:p>
        </w:tc>
        <w:tc>
          <w:tcPr>
            <w:tcW w:w="940" w:type="dxa"/>
            <w:vAlign w:val="bottom"/>
          </w:tcPr>
          <w:p>
            <w:pPr>
              <w:spacing w:after="0"/>
              <w:rPr>
                <w:sz w:val="24"/>
                <w:szCs w:val="24"/>
                <w:color w:val="auto"/>
              </w:rPr>
            </w:pPr>
          </w:p>
        </w:tc>
        <w:tc>
          <w:tcPr>
            <w:tcW w:w="13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($0.05)</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$0.04</w:t>
            </w:r>
          </w:p>
        </w:tc>
      </w:tr>
      <w:tr>
        <w:trPr>
          <w:trHeight w:val="405"/>
        </w:trPr>
        <w:tc>
          <w:tcPr>
            <w:tcW w:w="3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Diluted Earnings per Share</w:t>
            </w:r>
          </w:p>
        </w:tc>
        <w:tc>
          <w:tcPr>
            <w:tcW w:w="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$0.09</w:t>
            </w:r>
          </w:p>
        </w:tc>
        <w:tc>
          <w:tcPr>
            <w:tcW w:w="940" w:type="dxa"/>
            <w:vAlign w:val="bottom"/>
          </w:tcPr>
          <w:p>
            <w:pPr>
              <w:spacing w:after="0"/>
              <w:rPr>
                <w:sz w:val="24"/>
                <w:szCs w:val="24"/>
                <w:color w:val="auto"/>
              </w:rPr>
            </w:pPr>
          </w:p>
        </w:tc>
        <w:tc>
          <w:tcPr>
            <w:tcW w:w="13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($0.05)</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$0.04</w:t>
            </w:r>
          </w:p>
        </w:tc>
      </w:tr>
      <w:tr>
        <w:trPr>
          <w:trHeight w:val="608"/>
        </w:trPr>
        <w:tc>
          <w:tcPr>
            <w:tcW w:w="42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Three Months ended January 31, 2007:</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Operating Loss</w:t>
            </w:r>
          </w:p>
        </w:tc>
        <w:tc>
          <w:tcPr>
            <w:tcW w:w="242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($1,550)</w:t>
            </w:r>
          </w:p>
        </w:tc>
        <w:tc>
          <w:tcPr>
            <w:tcW w:w="13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($162)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($ 1,712)</w:t>
            </w:r>
          </w:p>
        </w:tc>
      </w:tr>
      <w:tr>
        <w:trPr>
          <w:trHeight w:val="405"/>
        </w:trPr>
        <w:tc>
          <w:tcPr>
            <w:tcW w:w="3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Loss before benefit</w:t>
            </w: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3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for income taxes</w:t>
            </w:r>
          </w:p>
        </w:tc>
        <w:tc>
          <w:tcPr>
            <w:tcW w:w="840" w:type="dxa"/>
            <w:vAlign w:val="bottom"/>
          </w:tcPr>
          <w:p>
            <w:pPr>
              <w:spacing w:after="0"/>
              <w:rPr>
                <w:sz w:val="17"/>
                <w:szCs w:val="17"/>
                <w:color w:val="auto"/>
              </w:rPr>
            </w:pPr>
          </w:p>
        </w:tc>
        <w:tc>
          <w:tcPr>
            <w:tcW w:w="1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($900)</w:t>
            </w:r>
          </w:p>
        </w:tc>
        <w:tc>
          <w:tcPr>
            <w:tcW w:w="138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($162)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($1,062)</w:t>
            </w:r>
          </w:p>
        </w:tc>
      </w:tr>
      <w:tr>
        <w:trPr>
          <w:trHeight w:val="405"/>
        </w:trPr>
        <w:tc>
          <w:tcPr>
            <w:tcW w:w="3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Net Loss</w:t>
            </w:r>
          </w:p>
        </w:tc>
        <w:tc>
          <w:tcPr>
            <w:tcW w:w="840" w:type="dxa"/>
            <w:vAlign w:val="bottom"/>
          </w:tcPr>
          <w:p>
            <w:pPr>
              <w:spacing w:after="0"/>
              <w:rPr>
                <w:sz w:val="24"/>
                <w:szCs w:val="24"/>
                <w:color w:val="auto"/>
              </w:rPr>
            </w:pPr>
          </w:p>
        </w:tc>
        <w:tc>
          <w:tcPr>
            <w:tcW w:w="158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($592)</w:t>
            </w:r>
          </w:p>
        </w:tc>
        <w:tc>
          <w:tcPr>
            <w:tcW w:w="13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($162)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($754)</w:t>
            </w:r>
          </w:p>
        </w:tc>
      </w:tr>
      <w:tr>
        <w:trPr>
          <w:trHeight w:val="405"/>
        </w:trPr>
        <w:tc>
          <w:tcPr>
            <w:tcW w:w="3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Basic Earnings per Share</w:t>
            </w:r>
          </w:p>
        </w:tc>
        <w:tc>
          <w:tcPr>
            <w:tcW w:w="840" w:type="dxa"/>
            <w:vAlign w:val="bottom"/>
          </w:tcPr>
          <w:p>
            <w:pPr>
              <w:spacing w:after="0"/>
              <w:rPr>
                <w:sz w:val="24"/>
                <w:szCs w:val="24"/>
                <w:color w:val="auto"/>
              </w:rPr>
            </w:pPr>
          </w:p>
        </w:tc>
        <w:tc>
          <w:tcPr>
            <w:tcW w:w="158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w w:val="95"/>
              </w:rPr>
              <w:t>($0.07)</w:t>
            </w:r>
          </w:p>
        </w:tc>
        <w:tc>
          <w:tcPr>
            <w:tcW w:w="13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($0.02)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($0.09)</w:t>
            </w:r>
          </w:p>
        </w:tc>
      </w:tr>
      <w:tr>
        <w:trPr>
          <w:trHeight w:val="405"/>
        </w:trPr>
        <w:tc>
          <w:tcPr>
            <w:tcW w:w="3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Diluted Earnings per Share</w:t>
            </w:r>
          </w:p>
        </w:tc>
        <w:tc>
          <w:tcPr>
            <w:tcW w:w="840" w:type="dxa"/>
            <w:vAlign w:val="bottom"/>
          </w:tcPr>
          <w:p>
            <w:pPr>
              <w:spacing w:after="0"/>
              <w:rPr>
                <w:sz w:val="24"/>
                <w:szCs w:val="24"/>
                <w:color w:val="auto"/>
              </w:rPr>
            </w:pPr>
          </w:p>
        </w:tc>
        <w:tc>
          <w:tcPr>
            <w:tcW w:w="158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w w:val="95"/>
              </w:rPr>
              <w:t>($0.07)</w:t>
            </w:r>
          </w:p>
        </w:tc>
        <w:tc>
          <w:tcPr>
            <w:tcW w:w="13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($0.02)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($0.09)</w:t>
            </w: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weighted average fair value of each option has been estimated on the date of grant using the Black-Scholes options pricing model with the following weighted average assumptions used for grants in the nine and three months ended January 31, 2007, and each of the years ended April 30, 2006 and 2005: dividend yield of 1.4%, 1.4%, and 1.1%; expected volatility of 59%; risk free interest rate of 5.0%, 4.1%, and 3.9%; and expected lives of six and one-half years, respectively.</w:t>
      </w:r>
    </w:p>
    <w:p>
      <w:pPr>
        <w:spacing w:after="0" w:line="211"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expected life assumption was determined based on the Company's historical experience. For purposes of both FAS 123 and FAS 123(R), the expected volatility assumption was based on the historical volatility of the Company's common stock. The dividend yield assumption was determined based upon the Company's past history of dividend payments and its intention to make future dividend payments. The risk-free interest rate assumption was determined using the implied yield currently available for zero-coupon U.S. government issues with a remaining term equal to the expected life of the stock options.</w:t>
      </w:r>
    </w:p>
    <w:p>
      <w:pPr>
        <w:sectPr>
          <w:pgSz w:w="11900" w:h="16838" w:orient="portrait"/>
          <w:cols w:equalWidth="0" w:num="1">
            <w:col w:w="10219"/>
          </w:cols>
          <w:pgMar w:left="240" w:top="919" w:right="1440" w:bottom="1151"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Stock Option Plans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The Company has various stock option plans for key management employees, including officers and directors who are employees. The plans include Nonqualified Stock Option ("NQSO") plans, Incentive Stock Option ("ISO") plans, and Stock Appreciation Rights ("SARs"). Under these plans, options and awards are granted at the discretion of the Stock Option committee at an exercise price not less than the fair market value of the Company's common stock on the date of grant. Under one NQSO plan the options are exercisable one year after the date of grant. Under the remaining plans the options/awards are exercisable over a four-year period beginning one year after the date of grant. The options/awards expire ten years after the date of grant and are subject to certain restrictions on transferability of the shares obtained on exercise. As of January 31, 2007, eligible employees had been granted awards to acquire 167,500 shares of Company stock under SARs, all of which are outstanding and are not exercisable. As of January 31, 2007, eligible employees had been granted options to purchase 1,182,500 shares of Company stock under ISO plans of which approximately 389,000 options are outstanding and approximately 284,000 are exercisable. Through January 31, 2007, eligible employees have been granted options to acquire 1,090,000 shares of Company stock under NQSO plans. Of the NQSO options, approximately 722,000 are both outstanding and exercisable (see tables below).</w:t>
      </w:r>
    </w:p>
    <w:p>
      <w:pPr>
        <w:spacing w:after="0" w:line="395"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excess of the consideration received over the par value of the common stock or cost of treasury stock issued under both types of option plans has been recognized as an increase in additional paid-in capital prior to the adoption of FAS 123(R). During the nine and three months ended January 31, 2007, the Company recorded compensation charges of approximately $129,000 and $65,000, respectively, with respect to the fiscal year 2007 SARs grant. Unrecognized compensation charges for nonvested awards relating to the SARs grant is approximately $903,000 which will be recognized over a weighted average period of 3.5 years. Unrecognized compensation charges for nonvested awards relating to the ISO plan is approximately $455,000 which will be recognized over a weighted average period of 1.7 years. For the nine and three months ended January 31, 2007, the Company recorded compensation charges related to the ISO plans of approximately $309,000 and $97,000, respectively, using the fair value method.</w:t>
      </w:r>
    </w:p>
    <w:p>
      <w:pPr>
        <w:spacing w:after="0" w:line="38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Although the Company continues to maintain a stock repurchase program, no stock repurchases will be necessary to process stock exercises during the fiscal year. Shares issued to individuals during stock exercises will be taken from available treasury stock.</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Transactions under these stock award plans, including the weighted average exercise prices of the options, are as follows: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 January 31, 2007</w:t>
            </w:r>
          </w:p>
        </w:tc>
      </w:tr>
      <w:tr>
        <w:trPr>
          <w:trHeight w:val="203"/>
        </w:trPr>
        <w:tc>
          <w:tcPr>
            <w:tcW w:w="4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Wtd Avg</w:t>
            </w:r>
          </w:p>
        </w:tc>
      </w:tr>
      <w:tr>
        <w:trPr>
          <w:trHeight w:val="203"/>
        </w:trPr>
        <w:tc>
          <w:tcPr>
            <w:tcW w:w="4120" w:type="dxa"/>
            <w:vAlign w:val="bottom"/>
          </w:tcPr>
          <w:p>
            <w:pPr>
              <w:spacing w:after="0"/>
              <w:rPr>
                <w:sz w:val="17"/>
                <w:szCs w:val="17"/>
                <w:color w:val="auto"/>
              </w:rPr>
            </w:pP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Shares</w:t>
            </w:r>
          </w:p>
        </w:tc>
        <w:tc>
          <w:tcPr>
            <w:tcW w:w="17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4120" w:type="dxa"/>
            <w:vAlign w:val="bottom"/>
          </w:tcPr>
          <w:p>
            <w:pPr>
              <w:spacing w:after="0"/>
              <w:rPr>
                <w:sz w:val="17"/>
                <w:szCs w:val="17"/>
                <w:color w:val="auto"/>
              </w:rPr>
            </w:pP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beginning of period</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1,133,387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$11.32</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167,500</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$11.95</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Exercised</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(22,300)</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$7.07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Expired or canceled</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 end of period</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1,278,587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$11.48</w:t>
            </w:r>
          </w:p>
        </w:tc>
      </w:tr>
      <w:tr>
        <w:trPr>
          <w:trHeight w:val="203"/>
        </w:trPr>
        <w:tc>
          <w:tcPr>
            <w:tcW w:w="4120" w:type="dxa"/>
            <w:vAlign w:val="bottom"/>
          </w:tcPr>
          <w:p>
            <w:pPr>
              <w:spacing w:after="0"/>
              <w:rPr>
                <w:sz w:val="17"/>
                <w:szCs w:val="17"/>
                <w:color w:val="auto"/>
              </w:rPr>
            </w:pP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Exercisable at end of period</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1,006,337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$11.34</w:t>
            </w:r>
          </w:p>
        </w:tc>
      </w:tr>
      <w:tr>
        <w:trPr>
          <w:trHeight w:val="203"/>
        </w:trPr>
        <w:tc>
          <w:tcPr>
            <w:tcW w:w="4120" w:type="dxa"/>
            <w:vAlign w:val="bottom"/>
          </w:tcPr>
          <w:p>
            <w:pPr>
              <w:spacing w:after="0"/>
              <w:rPr>
                <w:sz w:val="17"/>
                <w:szCs w:val="17"/>
                <w:color w:val="auto"/>
              </w:rPr>
            </w:pP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Available for grant at end of period</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231,500</w:t>
            </w:r>
          </w:p>
        </w:tc>
        <w:tc>
          <w:tcPr>
            <w:tcW w:w="17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fair value</w:t>
            </w:r>
          </w:p>
        </w:tc>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of options granted during the period</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$6.54</w:t>
            </w:r>
          </w:p>
        </w:tc>
        <w:tc>
          <w:tcPr>
            <w:tcW w:w="17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ind w:left="540"/>
        <w:spacing w:after="0"/>
        <w:tabs>
          <w:tab w:leader="none" w:pos="1040" w:val="left"/>
          <w:tab w:leader="none" w:pos="2200" w:val="left"/>
          <w:tab w:leader="none" w:pos="2940" w:val="left"/>
        </w:tabs>
        <w:rPr>
          <w:sz w:val="20"/>
          <w:szCs w:val="20"/>
          <w:color w:val="auto"/>
        </w:rPr>
      </w:pPr>
      <w:r>
        <w:rPr>
          <w:rFonts w:ascii="Courier New" w:cs="Courier New" w:eastAsia="Courier New" w:hAnsi="Courier New"/>
          <w:sz w:val="18"/>
          <w:szCs w:val="18"/>
          <w:color w:val="auto"/>
        </w:rPr>
        <w:t>The</w:t>
        <w:tab/>
        <w:t>following</w:t>
        <w:tab/>
        <w:t>table</w:t>
      </w:r>
      <w:r>
        <w:rPr>
          <w:sz w:val="20"/>
          <w:szCs w:val="20"/>
          <w:color w:val="auto"/>
        </w:rPr>
        <w:tab/>
      </w:r>
      <w:r>
        <w:rPr>
          <w:rFonts w:ascii="Courier New" w:cs="Courier New" w:eastAsia="Courier New" w:hAnsi="Courier New"/>
          <w:sz w:val="16"/>
          <w:szCs w:val="16"/>
          <w:color w:val="auto"/>
        </w:rPr>
        <w:t>summarizes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about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stock-based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awards</w:t>
      </w:r>
    </w:p>
    <w:p>
      <w:pPr>
        <w:spacing w:after="0" w:line="20" w:lineRule="exact"/>
        <w:rPr>
          <w:sz w:val="20"/>
          <w:szCs w:val="20"/>
          <w:color w:val="auto"/>
        </w:rPr>
      </w:pPr>
    </w:p>
    <w:p>
      <w:pPr>
        <w:sectPr>
          <w:pgSz w:w="11900" w:h="16838" w:orient="portrait"/>
          <w:cols w:equalWidth="0" w:num="5">
            <w:col w:w="4020" w:space="300"/>
            <w:col w:w="1160" w:space="220"/>
            <w:col w:w="520" w:space="220"/>
            <w:col w:w="1160" w:space="200"/>
            <w:col w:w="241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outstanding at January 31, 2007:</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Actual Range of Exercise Prices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Options Outstanding</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Weighted</w:t>
      </w:r>
    </w:p>
    <w:p>
      <w:pPr>
        <w:ind w:left="1800"/>
        <w:spacing w:after="0" w:line="237" w:lineRule="auto"/>
        <w:tabs>
          <w:tab w:leader="none" w:pos="3140" w:val="left"/>
        </w:tabs>
        <w:rPr>
          <w:sz w:val="20"/>
          <w:szCs w:val="20"/>
          <w:color w:val="auto"/>
        </w:rPr>
      </w:pPr>
      <w:r>
        <w:rPr>
          <w:rFonts w:ascii="Courier New" w:cs="Courier New" w:eastAsia="Courier New" w:hAnsi="Courier New"/>
          <w:sz w:val="18"/>
          <w:szCs w:val="18"/>
          <w:color w:val="auto"/>
        </w:rPr>
        <w:t>Average</w:t>
      </w:r>
      <w:r>
        <w:rPr>
          <w:sz w:val="20"/>
          <w:szCs w:val="20"/>
          <w:color w:val="auto"/>
        </w:rPr>
        <w:tab/>
      </w:r>
      <w:r>
        <w:rPr>
          <w:rFonts w:ascii="Courier New" w:cs="Courier New" w:eastAsia="Courier New" w:hAnsi="Courier New"/>
          <w:sz w:val="18"/>
          <w:szCs w:val="18"/>
          <w:color w:val="auto"/>
        </w:rPr>
        <w:t>Weighted</w:t>
      </w:r>
    </w:p>
    <w:p>
      <w:pPr>
        <w:ind w:left="220"/>
        <w:spacing w:after="0"/>
        <w:tabs>
          <w:tab w:leader="none" w:pos="1680" w:val="left"/>
          <w:tab w:leader="none" w:pos="3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Remaining</w:t>
      </w:r>
      <w:r>
        <w:rPr>
          <w:sz w:val="20"/>
          <w:szCs w:val="20"/>
          <w:color w:val="auto"/>
        </w:rPr>
        <w:tab/>
      </w:r>
      <w:r>
        <w:rPr>
          <w:rFonts w:ascii="Courier New" w:cs="Courier New" w:eastAsia="Courier New" w:hAnsi="Courier New"/>
          <w:sz w:val="16"/>
          <w:szCs w:val="16"/>
          <w:color w:val="auto"/>
        </w:rPr>
        <w:t>Average</w:t>
      </w:r>
    </w:p>
    <w:p>
      <w:pPr>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8"/>
          <w:szCs w:val="18"/>
          <w:color w:val="auto"/>
        </w:rPr>
        <w:t>Contractual</w:t>
      </w:r>
      <w:r>
        <w:rPr>
          <w:sz w:val="20"/>
          <w:szCs w:val="20"/>
          <w:color w:val="auto"/>
        </w:rPr>
        <w:tab/>
      </w:r>
      <w:r>
        <w:rPr>
          <w:rFonts w:ascii="Courier New" w:cs="Courier New" w:eastAsia="Courier New" w:hAnsi="Courier New"/>
          <w:sz w:val="16"/>
          <w:szCs w:val="16"/>
          <w:color w:val="auto"/>
        </w:rPr>
        <w:t>Exercise</w:t>
      </w:r>
    </w:p>
    <w:p>
      <w:pPr>
        <w:spacing w:after="0"/>
        <w:tabs>
          <w:tab w:leader="none" w:pos="1880" w:val="left"/>
          <w:tab w:leader="none" w:pos="3360" w:val="left"/>
        </w:tabs>
        <w:rPr>
          <w:sz w:val="20"/>
          <w:szCs w:val="20"/>
          <w:color w:val="auto"/>
        </w:rPr>
      </w:pPr>
      <w:r>
        <w:rPr>
          <w:rFonts w:ascii="Courier New" w:cs="Courier New" w:eastAsia="Courier New" w:hAnsi="Courier New"/>
          <w:sz w:val="18"/>
          <w:szCs w:val="18"/>
          <w:color w:val="auto"/>
        </w:rPr>
        <w:t>at 1/31/07</w:t>
      </w:r>
      <w:r>
        <w:rPr>
          <w:sz w:val="20"/>
          <w:szCs w:val="20"/>
          <w:color w:val="auto"/>
        </w:rPr>
        <w:tab/>
      </w:r>
      <w:r>
        <w:rPr>
          <w:rFonts w:ascii="Courier New" w:cs="Courier New" w:eastAsia="Courier New" w:hAnsi="Courier New"/>
          <w:sz w:val="18"/>
          <w:szCs w:val="18"/>
          <w:color w:val="auto"/>
        </w:rPr>
        <w:t>Life</w:t>
      </w:r>
      <w:r>
        <w:rPr>
          <w:sz w:val="20"/>
          <w:szCs w:val="20"/>
          <w:color w:val="auto"/>
        </w:rPr>
        <w:tab/>
      </w:r>
      <w:r>
        <w:rPr>
          <w:rFonts w:ascii="Courier New" w:cs="Courier New" w:eastAsia="Courier New" w:hAnsi="Courier New"/>
          <w:sz w:val="16"/>
          <w:szCs w:val="16"/>
          <w:color w:val="auto"/>
        </w:rPr>
        <w:t>Price</w:t>
      </w:r>
    </w:p>
    <w:p>
      <w:pPr>
        <w:ind w:left="220"/>
        <w:spacing w:after="0"/>
        <w:tabs>
          <w:tab w:leader="none" w:pos="2100" w:val="left"/>
          <w:tab w:leader="none" w:pos="3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Options Exercisable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Weighted</w:t>
      </w:r>
    </w:p>
    <w:p>
      <w:pPr>
        <w:ind w:left="200"/>
        <w:spacing w:after="0" w:line="238" w:lineRule="auto"/>
        <w:tabs>
          <w:tab w:leader="none" w:pos="16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Average</w:t>
      </w:r>
    </w:p>
    <w:p>
      <w:pPr>
        <w:spacing w:after="0"/>
        <w:tabs>
          <w:tab w:leader="none" w:pos="1560" w:val="left"/>
        </w:tabs>
        <w:rPr>
          <w:sz w:val="20"/>
          <w:szCs w:val="20"/>
          <w:color w:val="auto"/>
        </w:rPr>
      </w:pPr>
      <w:r>
        <w:rPr>
          <w:rFonts w:ascii="Courier New" w:cs="Courier New" w:eastAsia="Courier New" w:hAnsi="Courier New"/>
          <w:sz w:val="18"/>
          <w:szCs w:val="18"/>
          <w:color w:val="auto"/>
        </w:rPr>
        <w:t>Exercisable</w:t>
      </w:r>
      <w:r>
        <w:rPr>
          <w:sz w:val="20"/>
          <w:szCs w:val="20"/>
          <w:color w:val="auto"/>
        </w:rPr>
        <w:tab/>
      </w:r>
      <w:r>
        <w:rPr>
          <w:rFonts w:ascii="Courier New" w:cs="Courier New" w:eastAsia="Courier New" w:hAnsi="Courier New"/>
          <w:sz w:val="18"/>
          <w:szCs w:val="18"/>
          <w:color w:val="auto"/>
        </w:rPr>
        <w:t>Exercise</w:t>
      </w:r>
    </w:p>
    <w:p>
      <w:pPr>
        <w:spacing w:after="0" w:line="237" w:lineRule="auto"/>
        <w:tabs>
          <w:tab w:leader="none" w:pos="1760" w:val="left"/>
        </w:tabs>
        <w:rPr>
          <w:sz w:val="20"/>
          <w:szCs w:val="20"/>
          <w:color w:val="auto"/>
        </w:rPr>
      </w:pPr>
      <w:r>
        <w:rPr>
          <w:rFonts w:ascii="Courier New" w:cs="Courier New" w:eastAsia="Courier New" w:hAnsi="Courier New"/>
          <w:sz w:val="18"/>
          <w:szCs w:val="18"/>
          <w:color w:val="auto"/>
        </w:rPr>
        <w:t>at 1/31/07</w:t>
      </w:r>
      <w:r>
        <w:rPr>
          <w:sz w:val="20"/>
          <w:szCs w:val="20"/>
          <w:color w:val="auto"/>
        </w:rPr>
        <w:tab/>
      </w:r>
      <w:r>
        <w:rPr>
          <w:rFonts w:ascii="Courier New" w:cs="Courier New" w:eastAsia="Courier New" w:hAnsi="Courier New"/>
          <w:sz w:val="18"/>
          <w:szCs w:val="18"/>
          <w:color w:val="auto"/>
        </w:rPr>
        <w:t>Price</w:t>
      </w:r>
    </w:p>
    <w:p>
      <w:pPr>
        <w:spacing w:after="0" w:line="5" w:lineRule="exact"/>
        <w:rPr>
          <w:sz w:val="20"/>
          <w:szCs w:val="20"/>
          <w:color w:val="auto"/>
        </w:rPr>
      </w:pPr>
    </w:p>
    <w:p>
      <w:pPr>
        <w:ind w:left="200"/>
        <w:spacing w:after="0"/>
        <w:tabs>
          <w:tab w:leader="none" w:pos="19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3">
            <w:col w:w="1800" w:space="200"/>
            <w:col w:w="4120" w:space="320"/>
            <w:col w:w="3779"/>
          </w:cols>
          <w:pgMar w:left="240" w:top="919" w:right="1440" w:bottom="1440" w:gutter="0" w:footer="0" w:header="0"/>
          <w:type w:val="continuous"/>
        </w:sectPr>
      </w:pPr>
    </w:p>
    <w:p>
      <w:pPr>
        <w:spacing w:after="0" w:line="5"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$6.615 - 9.970 10.167 - 16.625 23.75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466,400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730,187</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82,000</w:t>
      </w:r>
    </w:p>
    <w:p>
      <w:pPr>
        <w:spacing w:after="0" w:line="20" w:lineRule="exact"/>
        <w:rPr>
          <w:sz w:val="20"/>
          <w:szCs w:val="20"/>
          <w:color w:val="auto"/>
        </w:rPr>
      </w:pPr>
      <w:r>
        <w:rPr>
          <w:sz w:val="20"/>
          <w:szCs w:val="20"/>
          <w:color w:val="auto"/>
        </w:rPr>
        <w:br w:type="column"/>
      </w:r>
    </w:p>
    <w:p>
      <w:pPr>
        <w:spacing w:after="0"/>
        <w:tabs>
          <w:tab w:leader="none" w:pos="124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6"/>
          <w:szCs w:val="16"/>
          <w:color w:val="auto"/>
        </w:rPr>
        <w:t>$ 7.66</w:t>
      </w:r>
    </w:p>
    <w:p>
      <w:pPr>
        <w:spacing w:after="0"/>
        <w:tabs>
          <w:tab w:leader="none" w:pos="13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12.53</w:t>
      </w:r>
    </w:p>
    <w:p>
      <w:pPr>
        <w:spacing w:after="0"/>
        <w:tabs>
          <w:tab w:leader="none" w:pos="134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23.75</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Courier New" w:cs="Courier New" w:eastAsia="Courier New" w:hAnsi="Courier New"/>
          <w:sz w:val="16"/>
          <w:szCs w:val="16"/>
          <w:color w:val="auto"/>
        </w:rPr>
        <w:t>435,775</w:t>
      </w:r>
    </w:p>
    <w:p>
      <w:pPr>
        <w:spacing w:after="0" w:line="21" w:lineRule="exact"/>
        <w:rPr>
          <w:sz w:val="20"/>
          <w:szCs w:val="20"/>
          <w:color w:val="auto"/>
        </w:rPr>
      </w:pPr>
    </w:p>
    <w:p>
      <w:pPr>
        <w:jc w:val="right"/>
        <w:ind w:right="20"/>
        <w:spacing w:after="0"/>
        <w:rPr>
          <w:sz w:val="20"/>
          <w:szCs w:val="20"/>
          <w:color w:val="auto"/>
        </w:rPr>
      </w:pPr>
      <w:r>
        <w:rPr>
          <w:rFonts w:ascii="Courier New" w:cs="Courier New" w:eastAsia="Courier New" w:hAnsi="Courier New"/>
          <w:sz w:val="16"/>
          <w:szCs w:val="16"/>
          <w:color w:val="auto"/>
        </w:rPr>
        <w:t>488,562</w:t>
      </w:r>
    </w:p>
    <w:p>
      <w:pPr>
        <w:spacing w:after="0" w:line="16" w:lineRule="exact"/>
        <w:rPr>
          <w:sz w:val="20"/>
          <w:szCs w:val="20"/>
          <w:color w:val="auto"/>
        </w:rPr>
      </w:pPr>
    </w:p>
    <w:p>
      <w:pPr>
        <w:jc w:val="right"/>
        <w:ind w:right="20"/>
        <w:spacing w:after="0"/>
        <w:rPr>
          <w:sz w:val="20"/>
          <w:szCs w:val="20"/>
          <w:color w:val="auto"/>
        </w:rPr>
      </w:pPr>
      <w:r>
        <w:rPr>
          <w:rFonts w:ascii="Courier New" w:cs="Courier New" w:eastAsia="Courier New" w:hAnsi="Courier New"/>
          <w:sz w:val="18"/>
          <w:szCs w:val="18"/>
          <w:color w:val="auto"/>
        </w:rPr>
        <w:t>82,000</w:t>
      </w:r>
    </w:p>
    <w:p>
      <w:pPr>
        <w:spacing w:after="0" w:line="20" w:lineRule="exact"/>
        <w:rPr>
          <w:sz w:val="20"/>
          <w:szCs w:val="20"/>
          <w:color w:val="auto"/>
        </w:rPr>
      </w:pPr>
      <w:r>
        <w:rPr>
          <w:sz w:val="20"/>
          <w:szCs w:val="20"/>
          <w:color w:val="auto"/>
        </w:rPr>
        <w:br w:type="column"/>
      </w:r>
    </w:p>
    <w:p>
      <w:pPr>
        <w:jc w:val="right"/>
        <w:ind w:right="1459"/>
        <w:spacing w:after="0"/>
        <w:rPr>
          <w:sz w:val="20"/>
          <w:szCs w:val="20"/>
          <w:color w:val="auto"/>
        </w:rPr>
      </w:pPr>
      <w:r>
        <w:rPr>
          <w:rFonts w:ascii="Courier New" w:cs="Courier New" w:eastAsia="Courier New" w:hAnsi="Courier New"/>
          <w:sz w:val="16"/>
          <w:szCs w:val="16"/>
          <w:color w:val="auto"/>
        </w:rPr>
        <w:t>$ 7.56</w:t>
      </w:r>
    </w:p>
    <w:p>
      <w:pPr>
        <w:spacing w:after="0" w:line="16" w:lineRule="exact"/>
        <w:rPr>
          <w:sz w:val="20"/>
          <w:szCs w:val="20"/>
          <w:color w:val="auto"/>
        </w:rPr>
      </w:pPr>
    </w:p>
    <w:p>
      <w:pPr>
        <w:jc w:val="right"/>
        <w:ind w:right="1459"/>
        <w:spacing w:after="0"/>
        <w:rPr>
          <w:sz w:val="20"/>
          <w:szCs w:val="20"/>
          <w:color w:val="auto"/>
        </w:rPr>
      </w:pPr>
      <w:r>
        <w:rPr>
          <w:rFonts w:ascii="Courier New" w:cs="Courier New" w:eastAsia="Courier New" w:hAnsi="Courier New"/>
          <w:sz w:val="18"/>
          <w:szCs w:val="18"/>
          <w:color w:val="auto"/>
        </w:rPr>
        <w:t>12.63</w:t>
      </w:r>
    </w:p>
    <w:p>
      <w:pPr>
        <w:jc w:val="right"/>
        <w:ind w:right="1459"/>
        <w:spacing w:after="0" w:line="238" w:lineRule="auto"/>
        <w:rPr>
          <w:sz w:val="20"/>
          <w:szCs w:val="20"/>
          <w:color w:val="auto"/>
        </w:rPr>
      </w:pPr>
      <w:r>
        <w:rPr>
          <w:rFonts w:ascii="Courier New" w:cs="Courier New" w:eastAsia="Courier New" w:hAnsi="Courier New"/>
          <w:sz w:val="18"/>
          <w:szCs w:val="18"/>
          <w:color w:val="auto"/>
        </w:rPr>
        <w:t>23.75</w:t>
      </w:r>
    </w:p>
    <w:p>
      <w:pPr>
        <w:spacing w:after="0" w:line="201" w:lineRule="exact"/>
        <w:rPr>
          <w:sz w:val="20"/>
          <w:szCs w:val="20"/>
          <w:color w:val="auto"/>
        </w:rPr>
      </w:pPr>
    </w:p>
    <w:p>
      <w:pPr>
        <w:sectPr>
          <w:pgSz w:w="11900" w:h="16838" w:orient="portrait"/>
          <w:cols w:equalWidth="0" w:num="5">
            <w:col w:w="1580" w:space="640"/>
            <w:col w:w="1080" w:space="720"/>
            <w:col w:w="1900" w:space="720"/>
            <w:col w:w="760" w:space="720"/>
            <w:col w:w="2099"/>
          </w:cols>
          <w:pgMar w:left="240" w:top="919"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year 2006</w:t>
      </w:r>
    </w:p>
    <w:p>
      <w:pPr>
        <w:spacing w:after="0" w:line="238" w:lineRule="auto"/>
        <w:rPr>
          <w:sz w:val="20"/>
          <w:szCs w:val="20"/>
          <w:color w:val="auto"/>
        </w:rPr>
      </w:pPr>
      <w:r>
        <w:rPr>
          <w:rFonts w:ascii="Courier New" w:cs="Courier New" w:eastAsia="Courier New" w:hAnsi="Courier New"/>
          <w:sz w:val="18"/>
          <w:szCs w:val="18"/>
          <w:color w:val="auto"/>
        </w:rPr>
        <w:t>- ----------------</w:t>
      </w:r>
    </w:p>
    <w:p>
      <w:pPr>
        <w:ind w:left="540"/>
        <w:spacing w:after="0"/>
        <w:tabs>
          <w:tab w:leader="none" w:pos="1880" w:val="left"/>
          <w:tab w:leader="none" w:pos="3360" w:val="left"/>
          <w:tab w:leader="none" w:pos="3780" w:val="left"/>
          <w:tab w:leader="none" w:pos="4620" w:val="left"/>
          <w:tab w:leader="none" w:pos="6200" w:val="left"/>
        </w:tabs>
        <w:rPr>
          <w:sz w:val="20"/>
          <w:szCs w:val="20"/>
          <w:color w:val="auto"/>
        </w:rPr>
      </w:pPr>
      <w:r>
        <w:rPr>
          <w:rFonts w:ascii="Courier New" w:cs="Courier New" w:eastAsia="Courier New" w:hAnsi="Courier New"/>
          <w:sz w:val="18"/>
          <w:szCs w:val="18"/>
          <w:color w:val="auto"/>
        </w:rPr>
        <w:t>Stock-based</w:t>
        <w:tab/>
        <w:t>compensation</w:t>
        <w:tab/>
        <w:t>in</w:t>
        <w:tab/>
        <w:t>fiscal</w:t>
        <w:tab/>
        <w:t>year 2006 was</w:t>
      </w:r>
      <w:r>
        <w:rPr>
          <w:sz w:val="20"/>
          <w:szCs w:val="20"/>
          <w:color w:val="auto"/>
        </w:rPr>
        <w:tab/>
      </w:r>
      <w:r>
        <w:rPr>
          <w:rFonts w:ascii="Courier New" w:cs="Courier New" w:eastAsia="Courier New" w:hAnsi="Courier New"/>
          <w:sz w:val="16"/>
          <w:szCs w:val="16"/>
          <w:color w:val="auto"/>
        </w:rPr>
        <w:t>determined</w:t>
      </w:r>
    </w:p>
    <w:p>
      <w:pPr>
        <w:spacing w:after="0"/>
        <w:tabs>
          <w:tab w:leader="none" w:pos="2620" w:val="left"/>
          <w:tab w:leader="none" w:pos="5780" w:val="left"/>
        </w:tabs>
        <w:rPr>
          <w:sz w:val="20"/>
          <w:szCs w:val="20"/>
          <w:color w:val="auto"/>
        </w:rPr>
      </w:pPr>
      <w:r>
        <w:rPr>
          <w:rFonts w:ascii="Courier New" w:cs="Courier New" w:eastAsia="Courier New" w:hAnsi="Courier New"/>
          <w:sz w:val="18"/>
          <w:szCs w:val="18"/>
          <w:color w:val="auto"/>
        </w:rPr>
        <w:t>intrinsic value method.</w:t>
        <w:tab/>
        <w:t>The following table provides</w:t>
      </w:r>
      <w:r>
        <w:rPr>
          <w:sz w:val="20"/>
          <w:szCs w:val="20"/>
          <w:color w:val="auto"/>
        </w:rPr>
        <w:tab/>
      </w:r>
      <w:r>
        <w:rPr>
          <w:rFonts w:ascii="Courier New" w:cs="Courier New" w:eastAsia="Courier New" w:hAnsi="Courier New"/>
          <w:sz w:val="16"/>
          <w:szCs w:val="16"/>
          <w:color w:val="auto"/>
        </w:rPr>
        <w:t>supplemental</w:t>
      </w:r>
    </w:p>
    <w:p>
      <w:pPr>
        <w:spacing w:after="0"/>
        <w:tabs>
          <w:tab w:leader="none" w:pos="940" w:val="left"/>
          <w:tab w:leader="none" w:pos="1560" w:val="left"/>
          <w:tab w:leader="none" w:pos="2100" w:val="left"/>
          <w:tab w:leader="none" w:pos="2840" w:val="left"/>
          <w:tab w:leader="none" w:pos="3680" w:val="left"/>
          <w:tab w:leader="none" w:pos="4420" w:val="left"/>
          <w:tab w:leader="none" w:pos="5360" w:val="left"/>
          <w:tab w:leader="none" w:pos="5880" w:val="left"/>
          <w:tab w:leader="none" w:pos="6520" w:val="left"/>
        </w:tabs>
        <w:rPr>
          <w:sz w:val="20"/>
          <w:szCs w:val="20"/>
          <w:color w:val="auto"/>
        </w:rPr>
      </w:pPr>
      <w:r>
        <w:rPr>
          <w:rFonts w:ascii="Courier New" w:cs="Courier New" w:eastAsia="Courier New" w:hAnsi="Courier New"/>
          <w:sz w:val="18"/>
          <w:szCs w:val="18"/>
          <w:color w:val="auto"/>
        </w:rPr>
        <w:t>for the</w:t>
        <w:tab/>
        <w:t>nine</w:t>
        <w:tab/>
        <w:t>and</w:t>
        <w:tab/>
        <w:t>three</w:t>
        <w:tab/>
        <w:t>months</w:t>
        <w:tab/>
        <w:t>ended</w:t>
        <w:tab/>
        <w:t>January</w:t>
        <w:tab/>
        <w:t>31,</w:t>
        <w:tab/>
        <w:t>2006</w:t>
      </w:r>
      <w:r>
        <w:rPr>
          <w:sz w:val="20"/>
          <w:szCs w:val="20"/>
          <w:color w:val="auto"/>
        </w:rPr>
        <w:tab/>
      </w:r>
      <w:r>
        <w:rPr>
          <w:rFonts w:ascii="Courier New" w:cs="Courier New" w:eastAsia="Courier New" w:hAnsi="Courier New"/>
          <w:sz w:val="16"/>
          <w:szCs w:val="16"/>
          <w:color w:val="auto"/>
        </w:rPr>
        <w:t>as if</w:t>
      </w:r>
    </w:p>
    <w:p>
      <w:pPr>
        <w:spacing w:after="0"/>
        <w:rPr>
          <w:sz w:val="20"/>
          <w:szCs w:val="20"/>
          <w:color w:val="auto"/>
        </w:rPr>
      </w:pPr>
      <w:r>
        <w:rPr>
          <w:rFonts w:ascii="Courier New" w:cs="Courier New" w:eastAsia="Courier New" w:hAnsi="Courier New"/>
          <w:sz w:val="18"/>
          <w:szCs w:val="18"/>
          <w:color w:val="auto"/>
        </w:rPr>
        <w:t>compensation had been computed under FAS 123(R).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using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stock-based</w:t>
      </w:r>
    </w:p>
    <w:p>
      <w:pPr>
        <w:spacing w:after="0" w:line="420" w:lineRule="exact"/>
        <w:rPr>
          <w:sz w:val="20"/>
          <w:szCs w:val="20"/>
          <w:color w:val="auto"/>
        </w:rPr>
      </w:pPr>
    </w:p>
    <w:p>
      <w:pPr>
        <w:sectPr>
          <w:pgSz w:w="11900" w:h="16838" w:orient="portrait"/>
          <w:cols w:equalWidth="0" w:num="2">
            <w:col w:w="7280" w:space="0"/>
            <w:col w:w="293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income, as reported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Cost of stock options, net of tax</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income - pro forma</w:t>
      </w:r>
    </w:p>
    <w:p>
      <w:pPr>
        <w:spacing w:after="0" w:line="20" w:lineRule="exact"/>
        <w:rPr>
          <w:sz w:val="20"/>
          <w:szCs w:val="20"/>
          <w:color w:val="auto"/>
        </w:rPr>
      </w:pPr>
      <w:r>
        <w:rPr>
          <w:sz w:val="20"/>
          <w:szCs w:val="20"/>
          <w:color w:val="auto"/>
        </w:rPr>
        <w:br w:type="column"/>
      </w:r>
    </w:p>
    <w:p>
      <w:pPr>
        <w:ind w:right="1999" w:hanging="420"/>
        <w:spacing w:after="0"/>
        <w:rPr>
          <w:sz w:val="20"/>
          <w:szCs w:val="20"/>
          <w:color w:val="auto"/>
        </w:rPr>
      </w:pPr>
      <w:r>
        <w:rPr>
          <w:rFonts w:ascii="Courier New" w:cs="Courier New" w:eastAsia="Courier New" w:hAnsi="Courier New"/>
          <w:sz w:val="18"/>
          <w:szCs w:val="18"/>
          <w:color w:val="auto"/>
        </w:rPr>
        <w:t>(in thousands, except per share data): Nine months Three months Periods ended January 31, 2006 $3,722 $1,248 (240) (59) ------ ------ $3,482 $1,189 ====== ======</w:t>
      </w:r>
    </w:p>
    <w:p>
      <w:pPr>
        <w:spacing w:after="0" w:line="594" w:lineRule="exact"/>
        <w:rPr>
          <w:sz w:val="20"/>
          <w:szCs w:val="20"/>
          <w:color w:val="auto"/>
        </w:rPr>
      </w:pPr>
    </w:p>
    <w:p>
      <w:pPr>
        <w:sectPr>
          <w:pgSz w:w="11900" w:h="16838" w:orient="portrait"/>
          <w:cols w:equalWidth="0" w:num="2">
            <w:col w:w="3920" w:space="720"/>
            <w:col w:w="5579"/>
          </w:cols>
          <w:pgMar w:left="240" w:top="919" w:right="1440" w:bottom="1440" w:gutter="0" w:footer="0" w:header="0"/>
          <w:type w:val="continuous"/>
        </w:sect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Earnings per share, as reported:</w:t>
      </w:r>
    </w:p>
    <w:p>
      <w:pPr>
        <w:sectPr>
          <w:pgSz w:w="11900" w:h="16838" w:orient="portrait"/>
          <w:cols w:equalWidth="0" w:num="1">
            <w:col w:w="10219"/>
          </w:cols>
          <w:pgMar w:left="240" w:top="919" w:right="1440" w:bottom="1440" w:gutter="0" w:footer="0" w:header="0"/>
          <w:type w:val="continuous"/>
        </w:sectPr>
      </w:pP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Basic</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Diluted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$ 0.44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$ 0.43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$ 0.15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$ 0.14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4140" w:space="720"/>
            <w:col w:w="1480" w:space="720"/>
            <w:col w:w="3159"/>
          </w:cols>
          <w:pgMar w:left="240" w:top="919"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Earnings per share- pro forma</w:t>
      </w:r>
    </w:p>
    <w:p>
      <w:pPr>
        <w:sectPr>
          <w:pgSz w:w="11900" w:h="16838" w:orient="portrait"/>
          <w:cols w:equalWidth="0" w:num="1">
            <w:col w:w="10219"/>
          </w:cols>
          <w:pgMar w:left="240" w:top="919" w:right="1440" w:bottom="1440" w:gutter="0" w:footer="0" w:header="0"/>
          <w:type w:val="continuous"/>
        </w:sectPr>
      </w:pP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Basic</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Diluted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$ 0.41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$ 0.40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$ 0.14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$ 0.14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140" w:space="720"/>
            <w:col w:w="1480" w:space="720"/>
            <w:col w:w="3159"/>
          </w:cols>
          <w:pgMar w:left="240" w:top="919"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H - SEGMENT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operates under three reportable segments:</w:t>
      </w:r>
    </w:p>
    <w:p>
      <w:pPr>
        <w:spacing w:after="0" w:line="4" w:lineRule="exact"/>
        <w:rPr>
          <w:sz w:val="20"/>
          <w:szCs w:val="20"/>
          <w:color w:val="auto"/>
        </w:rPr>
      </w:pPr>
    </w:p>
    <w:p>
      <w:pPr>
        <w:jc w:val="both"/>
        <w:ind w:left="540" w:right="177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Gillam-FEI - the Company's Belgian subsidiary primarily sells wireline synchronization and network monitoring systems.</w:t>
      </w:r>
    </w:p>
    <w:p>
      <w:pPr>
        <w:spacing w:after="0" w:line="5"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ectPr>
          <w:pgSz w:w="11900" w:h="16838" w:orient="portrait"/>
          <w:cols w:equalWidth="0" w:num="1">
            <w:col w:w="10219"/>
          </w:cols>
          <w:pgMar w:left="240" w:top="919" w:right="1440" w:bottom="1440" w:gutter="0" w:footer="0" w:header="0"/>
          <w:type w:val="continuous"/>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Beginning with the first quarter of fiscal year 2007, the Company is reporting its segment information on a geographic basis. The former Commercial Communications and U.S. Government segments, which operate out of the Company's New York headquarters facility, have been combined into the new segment, FEI-NY. This segment also includes the operations of the Company's wholly-owned subsidiary, FEI-Asia, which functions primarily as a manufacturing facility for the FEI-NY segment.</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Previously, the Company identified its New York-based U.S. Government business as a separate segment even though that segment shared the same facility, equipment and personnel with the Commercial Communications segment. With the acquisition of FEI-Zyfer in fiscal year 2004, the Company now does business on U.S. Government programs out of two separate subsidiaries. The Company's Chief Executive Officer measures segment performance based on total revenues and profits generated by each geographic center rather than on the specific types of customers or end-users. Consequently, the Company determined that limiting the number of segments to the three indicated above more appropriately reflects the way the Company's management views the business.</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Prior year segment information has been reclassified to conform to the new segment presentation. This includes reclassifying the property, plant and equipment located in the New York facility to the FEI-NY segment and not to corporate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ind w:left="540"/>
              <w:spacing w:after="0"/>
              <w:rPr>
                <w:sz w:val="20"/>
                <w:szCs w:val="20"/>
                <w:color w:val="auto"/>
              </w:rPr>
            </w:pPr>
            <w:r>
              <w:rPr>
                <w:rFonts w:ascii="Courier New" w:cs="Courier New" w:eastAsia="Courier New" w:hAnsi="Courier New"/>
                <w:sz w:val="18"/>
                <w:szCs w:val="18"/>
                <w:color w:val="auto"/>
                <w:w w:val="99"/>
              </w:rPr>
              <w:t>The  table</w:t>
            </w:r>
          </w:p>
        </w:tc>
        <w:tc>
          <w:tcPr>
            <w:tcW w:w="35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below  presents   information</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about</w:t>
            </w:r>
          </w:p>
        </w:tc>
        <w:tc>
          <w:tcPr>
            <w:tcW w:w="1160" w:type="dxa"/>
            <w:vAlign w:val="bottom"/>
          </w:tcPr>
          <w:p>
            <w:pPr>
              <w:ind w:left="200"/>
              <w:spacing w:after="0"/>
              <w:rPr>
                <w:sz w:val="20"/>
                <w:szCs w:val="20"/>
                <w:color w:val="auto"/>
              </w:rPr>
            </w:pPr>
            <w:r>
              <w:rPr>
                <w:rFonts w:ascii="Courier New" w:cs="Courier New" w:eastAsia="Courier New" w:hAnsi="Courier New"/>
                <w:sz w:val="18"/>
                <w:szCs w:val="18"/>
                <w:color w:val="auto"/>
              </w:rPr>
              <w:t>reported</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segments</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with</w:t>
            </w:r>
          </w:p>
        </w:tc>
        <w:tc>
          <w:tcPr>
            <w:tcW w:w="100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reconciliation</w:t>
            </w:r>
          </w:p>
        </w:tc>
        <w:tc>
          <w:tcPr>
            <w:tcW w:w="4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of segment  amounts to  consolidated</w:t>
            </w:r>
          </w:p>
        </w:tc>
        <w:tc>
          <w:tcPr>
            <w:tcW w:w="30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amounts as reported in the</w:t>
            </w:r>
          </w:p>
        </w:tc>
        <w:tc>
          <w:tcPr>
            <w:tcW w:w="1000" w:type="dxa"/>
            <w:vAlign w:val="bottom"/>
          </w:tcPr>
          <w:p>
            <w:pPr>
              <w:spacing w:after="0"/>
              <w:rPr>
                <w:sz w:val="17"/>
                <w:szCs w:val="17"/>
                <w:color w:val="auto"/>
              </w:rPr>
            </w:pP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statement  of  operations  or the  balance</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sheet</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for each of the  periods</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w:t>
            </w:r>
          </w:p>
        </w:tc>
        <w:tc>
          <w:tcPr>
            <w:tcW w:w="100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2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1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w:t>
            </w:r>
          </w:p>
        </w:tc>
        <w:tc>
          <w:tcPr>
            <w:tcW w:w="1040" w:type="dxa"/>
            <w:vAlign w:val="bottom"/>
          </w:tcPr>
          <w:p>
            <w:pPr>
              <w:spacing w:after="0"/>
              <w:rPr>
                <w:sz w:val="24"/>
                <w:szCs w:val="24"/>
                <w:color w:val="auto"/>
              </w:rPr>
            </w:pPr>
          </w:p>
        </w:tc>
        <w:tc>
          <w:tcPr>
            <w:tcW w:w="18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7"/>
              </w:rPr>
              <w:t>Three months</w:t>
            </w: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10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2007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2006</w:t>
            </w:r>
          </w:p>
        </w:tc>
        <w:tc>
          <w:tcPr>
            <w:tcW w:w="18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2007</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2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rPr>
              <w:t>FEI-NY</w:t>
            </w:r>
          </w:p>
        </w:tc>
        <w:tc>
          <w:tcPr>
            <w:tcW w:w="2800" w:type="dxa"/>
            <w:vAlign w:val="bottom"/>
          </w:tcPr>
          <w:p>
            <w:pPr>
              <w:spacing w:after="0"/>
              <w:rPr>
                <w:sz w:val="24"/>
                <w:szCs w:val="24"/>
                <w:color w:val="auto"/>
              </w:rPr>
            </w:pPr>
          </w:p>
        </w:tc>
        <w:tc>
          <w:tcPr>
            <w:tcW w:w="12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$28,449</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$24,934</w:t>
            </w:r>
          </w:p>
        </w:tc>
        <w:tc>
          <w:tcPr>
            <w:tcW w:w="18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$ 8,244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$10,355</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Gillam-FEI</w:t>
            </w:r>
          </w:p>
        </w:tc>
        <w:tc>
          <w:tcPr>
            <w:tcW w:w="280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7,470</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6,206</w:t>
            </w: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3,019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2,147</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FEI-Zyfer</w:t>
            </w:r>
          </w:p>
        </w:tc>
        <w:tc>
          <w:tcPr>
            <w:tcW w:w="280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6,155</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7,895</w:t>
            </w: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1,417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2,763</w:t>
            </w: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(1,323)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(1,367)</w:t>
            </w:r>
          </w:p>
        </w:tc>
        <w:tc>
          <w:tcPr>
            <w:tcW w:w="1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(563)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Consolidated sales</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$40,751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$37,668</w:t>
            </w: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$12,117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$15,113</w:t>
            </w: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gridSpan w:val="2"/>
          </w:tcPr>
          <w:p>
            <w:pPr>
              <w:spacing w:after="0"/>
              <w:rPr>
                <w:sz w:val="20"/>
                <w:szCs w:val="20"/>
                <w:color w:val="auto"/>
              </w:rPr>
            </w:pPr>
            <w:r>
              <w:rPr>
                <w:rFonts w:ascii="Courier New" w:cs="Courier New" w:eastAsia="Courier New" w:hAnsi="Courier New"/>
                <w:sz w:val="18"/>
                <w:szCs w:val="18"/>
                <w:color w:val="auto"/>
              </w:rPr>
              <w:t>Operating (loss) profit:</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FEI-NY</w:t>
            </w:r>
          </w:p>
        </w:tc>
        <w:tc>
          <w:tcPr>
            <w:tcW w:w="28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$(1,063)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$ 1,404</w:t>
            </w:r>
          </w:p>
        </w:tc>
        <w:tc>
          <w:tcPr>
            <w:tcW w:w="1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$(1,511)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$ 1,198</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Gillam-FEI</w:t>
            </w:r>
          </w:p>
        </w:tc>
        <w:tc>
          <w:tcPr>
            <w:tcW w:w="280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344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(613)</w:t>
            </w:r>
          </w:p>
        </w:tc>
        <w:tc>
          <w:tcPr>
            <w:tcW w:w="1040" w:type="dxa"/>
            <w:vAlign w:val="bottom"/>
          </w:tcPr>
          <w:p>
            <w:pPr>
              <w:spacing w:after="0"/>
              <w:rPr>
                <w:sz w:val="17"/>
                <w:szCs w:val="17"/>
                <w:color w:val="auto"/>
              </w:rPr>
            </w:pPr>
          </w:p>
        </w:tc>
        <w:tc>
          <w:tcPr>
            <w:tcW w:w="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182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FEI-Zyfer</w:t>
            </w:r>
          </w:p>
        </w:tc>
        <w:tc>
          <w:tcPr>
            <w:tcW w:w="2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53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1,013</w:t>
            </w:r>
          </w:p>
        </w:tc>
        <w:tc>
          <w:tcPr>
            <w:tcW w:w="1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(318)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28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(336)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w:t>
            </w:r>
          </w:p>
        </w:tc>
        <w:tc>
          <w:tcPr>
            <w:tcW w:w="1040" w:type="dxa"/>
            <w:vAlign w:val="bottom"/>
          </w:tcPr>
          <w:p>
            <w:pPr>
              <w:spacing w:after="0"/>
              <w:rPr>
                <w:sz w:val="17"/>
                <w:szCs w:val="17"/>
                <w:color w:val="auto"/>
              </w:rPr>
            </w:pPr>
          </w:p>
        </w:tc>
        <w:tc>
          <w:tcPr>
            <w:tcW w:w="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(65)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Consolidated operating (loss) profit</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$(1,002)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$ 1,379</w:t>
            </w:r>
          </w:p>
        </w:tc>
        <w:tc>
          <w:tcPr>
            <w:tcW w:w="1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$(1,712)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$ 1,212</w:t>
            </w: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w w:val="96"/>
              </w:rPr>
              <w:t>January 31, 2007</w:t>
            </w:r>
          </w:p>
        </w:tc>
        <w:tc>
          <w:tcPr>
            <w:tcW w:w="18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April 30, 2006</w:t>
            </w:r>
          </w:p>
        </w:tc>
        <w:tc>
          <w:tcPr>
            <w:tcW w:w="1000" w:type="dxa"/>
            <w:vAlign w:val="bottom"/>
          </w:tcPr>
          <w:p>
            <w:pPr>
              <w:spacing w:after="0"/>
              <w:rPr>
                <w:sz w:val="24"/>
                <w:szCs w:val="24"/>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w:t>
            </w:r>
          </w:p>
        </w:tc>
        <w:tc>
          <w:tcPr>
            <w:tcW w:w="1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000" w:type="dxa"/>
            <w:vAlign w:val="bottom"/>
          </w:tcPr>
          <w:p>
            <w:pPr>
              <w:spacing w:after="0"/>
              <w:rPr>
                <w:sz w:val="17"/>
                <w:szCs w:val="17"/>
                <w:color w:val="auto"/>
              </w:rPr>
            </w:pP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FEI-NY</w:t>
            </w:r>
          </w:p>
        </w:tc>
        <w:tc>
          <w:tcPr>
            <w:tcW w:w="280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$42,990</w:t>
            </w:r>
          </w:p>
        </w:tc>
        <w:tc>
          <w:tcPr>
            <w:tcW w:w="1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$44,111</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Gillam-FEI</w:t>
            </w:r>
          </w:p>
        </w:tc>
        <w:tc>
          <w:tcPr>
            <w:tcW w:w="280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14,167</w:t>
            </w:r>
          </w:p>
        </w:tc>
        <w:tc>
          <w:tcPr>
            <w:tcW w:w="1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13,755</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FEI-Zyfer</w:t>
            </w:r>
          </w:p>
        </w:tc>
        <w:tc>
          <w:tcPr>
            <w:tcW w:w="280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4,895</w:t>
            </w:r>
          </w:p>
        </w:tc>
        <w:tc>
          <w:tcPr>
            <w:tcW w:w="1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5,356</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intercompany balances</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(10,523)</w:t>
            </w:r>
          </w:p>
        </w:tc>
        <w:tc>
          <w:tcPr>
            <w:tcW w:w="1160" w:type="dxa"/>
            <w:vAlign w:val="bottom"/>
          </w:tcPr>
          <w:p>
            <w:pPr>
              <w:spacing w:after="0"/>
              <w:rPr>
                <w:sz w:val="17"/>
                <w:szCs w:val="17"/>
                <w:color w:val="auto"/>
              </w:rPr>
            </w:pPr>
          </w:p>
        </w:tc>
        <w:tc>
          <w:tcPr>
            <w:tcW w:w="18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(14,585)</w:t>
            </w:r>
          </w:p>
        </w:tc>
        <w:tc>
          <w:tcPr>
            <w:tcW w:w="10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280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37,380</w:t>
            </w:r>
          </w:p>
        </w:tc>
        <w:tc>
          <w:tcPr>
            <w:tcW w:w="1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38,104</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Consolidated Identifiable Assets</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$88,909</w:t>
            </w:r>
          </w:p>
        </w:tc>
        <w:tc>
          <w:tcPr>
            <w:tcW w:w="1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$86,741</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 - RECENTLY ISSUED ACCOUNTING PRONOUNCEMENTS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June 2006, the FASB issued Financial Interpretation No. 48, "Accounting for Uncertainty in Income Taxes - an interpretation of FASB Statement No. 109." ("FIN 48") This interpretation clarifies the accounting for uncertainty in income taxes recognized in an entity's financial statements and prescribes recognition thresholds and measurement attributes for tax positions taken in a tax return. FIN 48 is effective for the Company beginning in fiscal year 2008. The Company will comply with the provisions of FIN 48 but the impact of such adoption is not determinable at this time.</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will comply with the provisions of FAS 157 when it becomes effective in fiscal year 2009. The impact of such adoption is not expected to have a material impact on the Company's financial statements since the Company utilizes fair value measures wherever required by current GAAP.</w:t>
      </w:r>
    </w:p>
    <w:p>
      <w:pPr>
        <w:spacing w:after="0" w:line="21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SEC issued Staff Accounting Bulletin No. 108 ("SAB 108") in September 2006. SAB 108 expresses the views of the SEC staff regarding the process of quantifying the materiality of financial misstatements. SAB 108 requires both the balance sheet (iron curtain) and income statement (rollover) approaches be used when quantifying the materiality of misstatement amounts. In addition, SAB 108 contains guidance on correcting errors under the dual approach and provides transition guidance for correcting errors existing in prior years. SAB 108 is effective in the Company's quarter and fiscal year ending April 30, 2007. The Company is in the process of determining the impact of this bulletin on the Company's consolidated financial statements.</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Results of Operations</w:t>
      </w:r>
    </w:p>
    <w:p>
      <w:pPr>
        <w:spacing w:after="0" w:line="20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"Safe Harbor" Statement under the Private Securities Litigation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Reform Act of 1995:</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Estimates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significant accounting policies are described in Note 1 to the consolidated financial statements included in the Company's April 30, 2006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ectPr>
          <w:pgSz w:w="11900" w:h="16838" w:orient="portrait"/>
          <w:cols w:equalWidth="0" w:num="1">
            <w:col w:w="10219"/>
          </w:cols>
          <w:pgMar w:left="240" w:top="919" w:right="1440" w:bottom="774"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Revenue Recognition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10"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For contracts in the Company's Gillam-FEI and FEI-Zyfer segments, smaller contracts or orders in the FEI-NY segment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Costs and Expenses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Contract costs include all direct material, direct labor, manufacturing overhead and other direct costs related to contract performance. Selling, general and administrative costs are charged to expense as incurred.</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Inventory</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Stock-based Compensation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$438,000 and $162,000 was recognized during the nine and three months ended January 31, 2007, respectively, and includes: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 Results for prior periods have not been restated.</w:t>
      </w:r>
    </w:p>
    <w:p>
      <w:pPr>
        <w:sectPr>
          <w:pgSz w:w="11900" w:h="16838" w:orient="portrait"/>
          <w:cols w:equalWidth="0" w:num="1">
            <w:col w:w="10219"/>
          </w:cols>
          <w:pgMar w:left="240" w:top="919" w:right="1440" w:bottom="1440"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table below sets forth for the respective periods of fiscal years 2007 and 2006 the percentage of consolidated net sales represented by certain items in the Company's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60" w:type="dxa"/>
            <w:vAlign w:val="bottom"/>
            <w:gridSpan w:val="3"/>
          </w:tcPr>
          <w:p>
            <w:pPr>
              <w:jc w:val="right"/>
              <w:ind w:right="592"/>
              <w:spacing w:after="0"/>
              <w:rPr>
                <w:sz w:val="20"/>
                <w:szCs w:val="20"/>
                <w:color w:val="auto"/>
              </w:rPr>
            </w:pPr>
            <w:r>
              <w:rPr>
                <w:rFonts w:ascii="Courier New" w:cs="Courier New" w:eastAsia="Courier New" w:hAnsi="Courier New"/>
                <w:sz w:val="18"/>
                <w:szCs w:val="18"/>
                <w:color w:val="auto"/>
              </w:rPr>
              <w:t>Nine months</w:t>
            </w:r>
          </w:p>
        </w:tc>
        <w:tc>
          <w:tcPr>
            <w:tcW w:w="200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Three months</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20" w:type="dxa"/>
            <w:vAlign w:val="bottom"/>
            <w:gridSpan w:val="4"/>
          </w:tcPr>
          <w:p>
            <w:pPr>
              <w:jc w:val="right"/>
              <w:ind w:right="492"/>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2007</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2006</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2007</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2006</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FEI-NY</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69.8%</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66.2%</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68.0%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68.5%</w:t>
            </w:r>
          </w:p>
        </w:tc>
        <w:tc>
          <w:tcPr>
            <w:tcW w:w="58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Gillam-FEI</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16.5</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24.9</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14.2</w:t>
            </w:r>
          </w:p>
        </w:tc>
        <w:tc>
          <w:tcPr>
            <w:tcW w:w="580" w:type="dxa"/>
            <w:vAlign w:val="bottom"/>
          </w:tcPr>
          <w:p>
            <w:pPr>
              <w:spacing w:after="0"/>
              <w:rPr>
                <w:sz w:val="17"/>
                <w:szCs w:val="17"/>
                <w:color w:val="auto"/>
              </w:rPr>
            </w:pPr>
          </w:p>
        </w:tc>
      </w:tr>
      <w:tr>
        <w:trPr>
          <w:trHeight w:val="203"/>
        </w:trPr>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FEI-Zyfer</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21.0</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11.7</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18.3</w:t>
            </w:r>
          </w:p>
        </w:tc>
        <w:tc>
          <w:tcPr>
            <w:tcW w:w="580" w:type="dxa"/>
            <w:vAlign w:val="bottom"/>
          </w:tcPr>
          <w:p>
            <w:pPr>
              <w:spacing w:after="0"/>
              <w:rPr>
                <w:sz w:val="17"/>
                <w:szCs w:val="17"/>
                <w:color w:val="auto"/>
              </w:rPr>
            </w:pPr>
          </w:p>
        </w:tc>
      </w:tr>
      <w:tr>
        <w:trPr>
          <w:trHeight w:val="203"/>
        </w:trPr>
        <w:tc>
          <w:tcPr>
            <w:tcW w:w="2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126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(3.2)</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(3.7)</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100.0</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100.0</w:t>
            </w:r>
          </w:p>
        </w:tc>
        <w:tc>
          <w:tcPr>
            <w:tcW w:w="58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65.7</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63.7</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68.8</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63.9</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Gross Margin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36.3</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31.2</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36.1</w:t>
            </w:r>
          </w:p>
        </w:tc>
        <w:tc>
          <w:tcPr>
            <w:tcW w:w="580" w:type="dxa"/>
            <w:vAlign w:val="bottom"/>
          </w:tcPr>
          <w:p>
            <w:pPr>
              <w:spacing w:after="0"/>
              <w:rPr>
                <w:sz w:val="17"/>
                <w:szCs w:val="17"/>
                <w:color w:val="auto"/>
              </w:rPr>
            </w:pP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Selling and administrative expenses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21.6</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23.8</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20.3</w:t>
            </w:r>
          </w:p>
        </w:tc>
        <w:tc>
          <w:tcPr>
            <w:tcW w:w="580" w:type="dxa"/>
            <w:vAlign w:val="bottom"/>
          </w:tcPr>
          <w:p>
            <w:pPr>
              <w:spacing w:after="0"/>
              <w:rPr>
                <w:sz w:val="17"/>
                <w:szCs w:val="17"/>
                <w:color w:val="auto"/>
              </w:rPr>
            </w:pP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11.0</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21.5</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7.8</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41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Operating (Loss) Profit</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(2.5)</w:t>
            </w: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3.7</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(14.1)</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8.0</w:t>
            </w:r>
          </w:p>
        </w:tc>
        <w:tc>
          <w:tcPr>
            <w:tcW w:w="5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c>
          <w:tcPr>
            <w:tcW w:w="52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11.2</w:t>
            </w:r>
          </w:p>
        </w:tc>
        <w:tc>
          <w:tcPr>
            <w:tcW w:w="1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5.4</w:t>
            </w:r>
          </w:p>
        </w:tc>
        <w:tc>
          <w:tcPr>
            <w:tcW w:w="8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4.1</w:t>
            </w:r>
          </w:p>
        </w:tc>
        <w:tc>
          <w:tcPr>
            <w:tcW w:w="58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Pretax Income (Loss)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14.9</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(8.7)</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12.1</w:t>
            </w:r>
          </w:p>
        </w:tc>
        <w:tc>
          <w:tcPr>
            <w:tcW w:w="580" w:type="dxa"/>
            <w:vAlign w:val="bottom"/>
          </w:tcPr>
          <w:p>
            <w:pPr>
              <w:spacing w:after="0"/>
              <w:rPr>
                <w:sz w:val="17"/>
                <w:szCs w:val="17"/>
                <w:color w:val="auto"/>
              </w:rPr>
            </w:pP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Provision (Benefit) for income taxes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3.8</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 (Loss)</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0.8%</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9.9%</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608"/>
        </w:trPr>
        <w:tc>
          <w:tcPr>
            <w:tcW w:w="7640" w:type="dxa"/>
            <w:vAlign w:val="bottom"/>
            <w:gridSpan w:val="7"/>
          </w:tcPr>
          <w:p>
            <w:pPr>
              <w:jc w:val="right"/>
              <w:spacing w:after="0"/>
              <w:rPr>
                <w:sz w:val="20"/>
                <w:szCs w:val="20"/>
                <w:color w:val="auto"/>
              </w:rPr>
            </w:pPr>
            <w:r>
              <w:rPr>
                <w:rFonts w:ascii="Courier New" w:cs="Courier New" w:eastAsia="Courier New" w:hAnsi="Courier New"/>
                <w:sz w:val="18"/>
                <w:szCs w:val="18"/>
                <w:color w:val="auto"/>
              </w:rPr>
              <w:t>(Note: All dollar amounts in following tables are in thousands,</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4360" w:type="dxa"/>
            <w:vAlign w:val="bottom"/>
            <w:gridSpan w:val="5"/>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except Net Sales which are in millions)</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5"/>
              </w:rPr>
              <w:t>(in millions)</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608"/>
        </w:trPr>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Nine months</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Three months</w:t>
            </w:r>
          </w:p>
        </w:tc>
        <w:tc>
          <w:tcPr>
            <w:tcW w:w="58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32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36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520" w:type="dxa"/>
            <w:vAlign w:val="bottom"/>
            <w:gridSpan w:val="4"/>
          </w:tcPr>
          <w:p>
            <w:pPr>
              <w:jc w:val="right"/>
              <w:ind w:right="592"/>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2007</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2006</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Change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2007</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2006</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Change</w:t>
            </w:r>
          </w:p>
        </w:tc>
      </w:tr>
      <w:tr>
        <w:trPr>
          <w:trHeight w:val="203"/>
        </w:trPr>
        <w:tc>
          <w:tcPr>
            <w:tcW w:w="2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FEI-NY</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$28.4</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$24.9</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$3.5</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$8.2</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$10.3</w:t>
            </w:r>
          </w:p>
        </w:tc>
        <w:tc>
          <w:tcPr>
            <w:tcW w:w="8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Gillam-FEI</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FEI-Zyfer</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w:t>
            </w:r>
          </w:p>
        </w:tc>
        <w:tc>
          <w:tcPr>
            <w:tcW w:w="5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(0.4)</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5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$40.8</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$37.7</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$3.1</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21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5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Revenues for the nine month period ended January 31, 2007 increased by 8% over the same period of fiscal year 2006 principally on the strength of increased revenues from commercial and US Government-related satellite payload programs. Such revenue growth was not sustained during the three month period ended January 31, 2007, after the Company increased its estimate of costs to complete two major satellite programs. Such increased cost estimates had the effect of delaying recognition of revenue into subsequent periods when the work is completed. Similarly, revenues from wireless infrastructure have increased during the nine month period ended January 31, 2007 compared to the same period of fiscal year 2006. However, in the third quarter of fiscal year 2007, such revenues declined both sequentially from the second quarter of the year and compared to the same period of fiscal year 2006. The Gillam-FEI segment continued to grow its fiscal year 2007 revenues, mainly in the network management market. The Company's FEI-Zyfer segment, which derives approximately two-thirds of its revenues from government sources, has recorded reduced revenues in fiscal year 2007 compared to the prior year as customer orders have been delayed. The Company expects fiscal year 2007 fourth quarter revenues to increase over the third quarter as the Company begins work on new satellite payload programs and as telecommunication infrastructure customers increase</w:t>
      </w:r>
    </w:p>
    <w:p>
      <w:pPr>
        <w:sectPr>
          <w:pgSz w:w="11900" w:h="16838" w:orient="portrait"/>
          <w:cols w:equalWidth="0" w:num="1">
            <w:col w:w="10219"/>
          </w:cols>
          <w:pgMar w:left="240" w:top="717" w:right="1440" w:bottom="0" w:gutter="0" w:footer="0" w:header="0"/>
        </w:sectPr>
      </w:pPr>
    </w:p>
    <w:bookmarkStart w:id="16" w:name="page17"/>
    <w:bookmarkEnd w:id="16"/>
    <w:p>
      <w:pPr>
        <w:jc w:val="both"/>
        <w:ind w:right="1779"/>
        <w:spacing w:after="0" w:line="236" w:lineRule="auto"/>
        <w:rPr>
          <w:sz w:val="20"/>
          <w:szCs w:val="20"/>
          <w:color w:val="auto"/>
        </w:rPr>
      </w:pPr>
      <w:r>
        <w:rPr>
          <w:rFonts w:ascii="Courier New" w:cs="Courier New" w:eastAsia="Courier New" w:hAnsi="Courier New"/>
          <w:sz w:val="18"/>
          <w:szCs w:val="18"/>
          <w:color w:val="auto"/>
        </w:rPr>
        <w:t>their orders. Based on its current backlog and expected new bookings, principally for satellite payloads, the Company expects to realize continued growth in revenues in fiscal year 2008.</w:t>
      </w:r>
    </w:p>
    <w:p>
      <w:pPr>
        <w:sectPr>
          <w:pgSz w:w="11900" w:h="16838" w:orient="portrait"/>
          <w:cols w:equalWidth="0" w:num="1">
            <w:col w:w="10219"/>
          </w:cols>
          <w:pgMar w:left="240" w:top="142"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margin</w:t>
      </w:r>
    </w:p>
    <w:p>
      <w:pPr>
        <w:ind w:left="2120"/>
        <w:spacing w:after="0"/>
        <w:tabs>
          <w:tab w:leader="none" w:pos="5680" w:val="left"/>
        </w:tabs>
        <w:rPr>
          <w:sz w:val="20"/>
          <w:szCs w:val="20"/>
          <w:color w:val="auto"/>
        </w:rPr>
      </w:pPr>
      <w:r>
        <w:rPr>
          <w:rFonts w:ascii="Courier New" w:cs="Courier New" w:eastAsia="Courier New" w:hAnsi="Courier New"/>
          <w:sz w:val="18"/>
          <w:szCs w:val="18"/>
          <w:color w:val="auto"/>
        </w:rPr>
        <w:t>Nine months</w:t>
      </w:r>
      <w:r>
        <w:rPr>
          <w:sz w:val="20"/>
          <w:szCs w:val="20"/>
          <w:color w:val="auto"/>
        </w:rPr>
        <w:tab/>
      </w:r>
      <w:r>
        <w:rPr>
          <w:rFonts w:ascii="Courier New" w:cs="Courier New" w:eastAsia="Courier New" w:hAnsi="Courier New"/>
          <w:sz w:val="16"/>
          <w:szCs w:val="16"/>
          <w:color w:val="auto"/>
        </w:rPr>
        <w:t>Three months</w:t>
      </w:r>
    </w:p>
    <w:p>
      <w:pPr>
        <w:ind w:left="1160"/>
        <w:spacing w:after="0"/>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3280"/>
        <w:spacing w:after="0" w:line="237" w:lineRule="auto"/>
        <w:rPr>
          <w:sz w:val="20"/>
          <w:szCs w:val="20"/>
          <w:color w:val="auto"/>
        </w:rPr>
      </w:pPr>
      <w:r>
        <w:rPr>
          <w:rFonts w:ascii="Courier New" w:cs="Courier New" w:eastAsia="Courier New" w:hAnsi="Courier New"/>
          <w:sz w:val="18"/>
          <w:szCs w:val="18"/>
          <w:color w:val="auto"/>
        </w:rPr>
        <w:t>Periods ended January 31,</w:t>
      </w:r>
    </w:p>
    <w:p>
      <w:pPr>
        <w:ind w:left="1280"/>
        <w:spacing w:after="0"/>
        <w:tabs>
          <w:tab w:leader="none" w:pos="2420" w:val="left"/>
          <w:tab w:leader="none" w:pos="3360" w:val="left"/>
          <w:tab w:leader="none" w:pos="4720" w:val="left"/>
          <w:tab w:leader="none" w:pos="5780" w:val="left"/>
          <w:tab w:leader="none" w:pos="7160" w:val="left"/>
        </w:tabs>
        <w:rPr>
          <w:sz w:val="20"/>
          <w:szCs w:val="20"/>
          <w:color w:val="auto"/>
        </w:rPr>
      </w:pPr>
      <w:r>
        <w:rPr>
          <w:rFonts w:ascii="Courier New" w:cs="Courier New" w:eastAsia="Courier New" w:hAnsi="Courier New"/>
          <w:sz w:val="18"/>
          <w:szCs w:val="18"/>
          <w:color w:val="auto"/>
        </w:rPr>
        <w:t>2007</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8"/>
          <w:szCs w:val="18"/>
          <w:color w:val="auto"/>
        </w:rPr>
        <w:t>2007</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6"/>
          <w:szCs w:val="16"/>
          <w:color w:val="auto"/>
        </w:rPr>
        <w:t>Change</w:t>
      </w:r>
    </w:p>
    <w:p>
      <w:pPr>
        <w:ind w:left="1280"/>
        <w:spacing w:after="0"/>
        <w:tabs>
          <w:tab w:leader="none" w:pos="2420" w:val="left"/>
          <w:tab w:leader="none" w:pos="3260" w:val="left"/>
          <w:tab w:leader="none" w:pos="4720" w:val="left"/>
          <w:tab w:leader="none" w:pos="5780" w:val="left"/>
          <w:tab w:leader="none" w:pos="6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1060"/>
        <w:spacing w:after="0"/>
        <w:tabs>
          <w:tab w:leader="none" w:pos="2200" w:val="left"/>
          <w:tab w:leader="none" w:pos="3260" w:val="left"/>
          <w:tab w:leader="none" w:pos="3880" w:val="left"/>
          <w:tab w:leader="none" w:pos="4620" w:val="left"/>
          <w:tab w:leader="none" w:pos="5680" w:val="left"/>
          <w:tab w:leader="none" w:pos="6720" w:val="left"/>
        </w:tabs>
        <w:rPr>
          <w:sz w:val="20"/>
          <w:szCs w:val="20"/>
          <w:color w:val="auto"/>
        </w:rPr>
      </w:pPr>
      <w:r>
        <w:rPr>
          <w:rFonts w:ascii="Courier New" w:cs="Courier New" w:eastAsia="Courier New" w:hAnsi="Courier New"/>
          <w:sz w:val="18"/>
          <w:szCs w:val="18"/>
          <w:color w:val="auto"/>
        </w:rPr>
        <w:t>$13,970</w:t>
      </w:r>
      <w:r>
        <w:rPr>
          <w:sz w:val="20"/>
          <w:szCs w:val="20"/>
          <w:color w:val="auto"/>
        </w:rPr>
        <w:tab/>
      </w:r>
      <w:r>
        <w:rPr>
          <w:rFonts w:ascii="Courier New" w:cs="Courier New" w:eastAsia="Courier New" w:hAnsi="Courier New"/>
          <w:sz w:val="18"/>
          <w:szCs w:val="18"/>
          <w:color w:val="auto"/>
        </w:rPr>
        <w:t>$13,657</w:t>
      </w:r>
      <w:r>
        <w:rPr>
          <w:sz w:val="20"/>
          <w:szCs w:val="20"/>
          <w:color w:val="auto"/>
        </w:rPr>
        <w:tab/>
      </w:r>
      <w:r>
        <w:rPr>
          <w:rFonts w:ascii="Courier New" w:cs="Courier New" w:eastAsia="Courier New" w:hAnsi="Courier New"/>
          <w:sz w:val="18"/>
          <w:szCs w:val="18"/>
          <w:color w:val="auto"/>
        </w:rPr>
        <w:t>$313</w:t>
        <w:tab/>
        <w:t>2%</w:t>
      </w:r>
      <w:r>
        <w:rPr>
          <w:sz w:val="20"/>
          <w:szCs w:val="20"/>
          <w:color w:val="auto"/>
        </w:rPr>
        <w:tab/>
      </w:r>
      <w:r>
        <w:rPr>
          <w:rFonts w:ascii="Courier New" w:cs="Courier New" w:eastAsia="Courier New" w:hAnsi="Courier New"/>
          <w:sz w:val="18"/>
          <w:szCs w:val="18"/>
          <w:color w:val="auto"/>
        </w:rPr>
        <w:t>$3,777</w:t>
      </w:r>
      <w:r>
        <w:rPr>
          <w:sz w:val="20"/>
          <w:szCs w:val="20"/>
          <w:color w:val="auto"/>
        </w:rPr>
        <w:tab/>
      </w:r>
      <w:r>
        <w:rPr>
          <w:rFonts w:ascii="Courier New" w:cs="Courier New" w:eastAsia="Courier New" w:hAnsi="Courier New"/>
          <w:sz w:val="18"/>
          <w:szCs w:val="18"/>
          <w:color w:val="auto"/>
        </w:rPr>
        <w:t>$5,462</w:t>
      </w:r>
      <w:r>
        <w:rPr>
          <w:sz w:val="20"/>
          <w:szCs w:val="20"/>
          <w:color w:val="auto"/>
        </w:rPr>
        <w:tab/>
      </w:r>
      <w:r>
        <w:rPr>
          <w:rFonts w:ascii="Courier New" w:cs="Courier New" w:eastAsia="Courier New" w:hAnsi="Courier New"/>
          <w:sz w:val="16"/>
          <w:szCs w:val="16"/>
          <w:color w:val="auto"/>
        </w:rPr>
        <w:t>($1,685) (31%)</w:t>
      </w:r>
    </w:p>
    <w:p>
      <w:pPr>
        <w:sectPr>
          <w:pgSz w:w="11900" w:h="16838" w:orient="portrait"/>
          <w:cols w:equalWidth="0" w:num="1">
            <w:col w:w="10219"/>
          </w:cols>
          <w:pgMar w:left="240" w:top="91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GM Rate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36.3%</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36.1%</w:t>
      </w:r>
    </w:p>
    <w:p>
      <w:pPr>
        <w:spacing w:after="0" w:line="216" w:lineRule="exact"/>
        <w:rPr>
          <w:sz w:val="20"/>
          <w:szCs w:val="20"/>
          <w:color w:val="auto"/>
        </w:rPr>
      </w:pPr>
    </w:p>
    <w:p>
      <w:pPr>
        <w:sectPr>
          <w:pgSz w:w="11900" w:h="16838" w:orient="portrait"/>
          <w:cols w:equalWidth="0" w:num="5">
            <w:col w:w="740" w:space="540"/>
            <w:col w:w="520" w:space="640"/>
            <w:col w:w="1580" w:space="720"/>
            <w:col w:w="540" w:space="520"/>
            <w:col w:w="4419"/>
          </w:cols>
          <w:pgMar w:left="240" w:top="919" w:right="1440" w:bottom="0" w:gutter="0" w:footer="0" w:header="0"/>
          <w:type w:val="continuous"/>
        </w:sectPr>
      </w:pPr>
    </w:p>
    <w:p>
      <w:pPr>
        <w:spacing w:after="0" w:line="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decline in gross margin rate for the nine and three months ended January 31, 2007, compared to the same periods of fiscal year 2006, is due primarily to increased engineering costs on certain satellite payload programs. The 2% improvement in gross margin for the nine months of fiscal year 2007 compared to the same period ended January 31, 2006, is due to increased sales volume. Similarly, the decline in total gross margin for the three month period ended January 31, 2007 is due to both lower sales and to higher engineering costs compared to the same period of the prior year. As revenues increase and engineering costs return to more normal levels, the Company expects the gross margin rate to approach and exceed its target of 40%.</w:t>
      </w:r>
    </w:p>
    <w:p>
      <w:pPr>
        <w:spacing w:after="0" w:line="3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Also, for the nine and three months ended January 31, 2007, gross margin was reduced by $226,000 and $86,000, respectively, due to the inclusion in cost of sales of a charge for stock compensation expense. As disclosed in the footnotes to the financial statements, as of May 1, 2006, the Company is complying with the provisions of FAS 123(R), Accounting for Stock-Based Compensation. In the prior fiscal year, the Company applied the disclosure-only provisions of FAS No. 148, "Accounting for Stock-Based Compensation- Transition and Disclosure" and measured compensation cost in accordance with APB Opinion No. 25, "Accounting for Stock Issued to Employees." This method did not result in compensation cost upon the grant of options under a qualified stock option plan.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and administrative expenses</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100" w:type="dxa"/>
            <w:vAlign w:val="bottom"/>
            <w:gridSpan w:val="2"/>
          </w:tcPr>
          <w:p>
            <w:pPr>
              <w:jc w:val="right"/>
              <w:ind w:right="852"/>
              <w:spacing w:after="0"/>
              <w:rPr>
                <w:sz w:val="20"/>
                <w:szCs w:val="20"/>
                <w:color w:val="auto"/>
              </w:rPr>
            </w:pPr>
            <w:r>
              <w:rPr>
                <w:rFonts w:ascii="Courier New" w:cs="Courier New" w:eastAsia="Courier New" w:hAnsi="Courier New"/>
                <w:sz w:val="18"/>
                <w:szCs w:val="18"/>
                <w:color w:val="auto"/>
                <w:w w:val="95"/>
              </w:rPr>
              <w:t>Nine months</w:t>
            </w:r>
          </w:p>
        </w:tc>
        <w:tc>
          <w:tcPr>
            <w:tcW w:w="1060" w:type="dxa"/>
            <w:vAlign w:val="bottom"/>
          </w:tcPr>
          <w:p>
            <w:pPr>
              <w:spacing w:after="0"/>
              <w:rPr>
                <w:sz w:val="17"/>
                <w:szCs w:val="17"/>
                <w:color w:val="auto"/>
              </w:rPr>
            </w:pPr>
          </w:p>
        </w:tc>
        <w:tc>
          <w:tcPr>
            <w:tcW w:w="284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1300" w:type="dxa"/>
            <w:vAlign w:val="bottom"/>
          </w:tcPr>
          <w:p>
            <w:pPr>
              <w:spacing w:after="0"/>
              <w:rPr>
                <w:sz w:val="17"/>
                <w:szCs w:val="17"/>
                <w:color w:val="auto"/>
              </w:rPr>
            </w:pPr>
          </w:p>
        </w:tc>
        <w:tc>
          <w:tcPr>
            <w:tcW w:w="39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52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1680" w:type="dxa"/>
            <w:vAlign w:val="bottom"/>
          </w:tcPr>
          <w:p>
            <w:pPr>
              <w:spacing w:after="0"/>
              <w:rPr>
                <w:sz w:val="17"/>
                <w:szCs w:val="17"/>
                <w:color w:val="auto"/>
              </w:rPr>
            </w:pPr>
          </w:p>
        </w:tc>
      </w:tr>
      <w:tr>
        <w:trPr>
          <w:trHeight w:val="203"/>
        </w:trPr>
        <w:tc>
          <w:tcPr>
            <w:tcW w:w="1160" w:type="dxa"/>
            <w:vAlign w:val="bottom"/>
          </w:tcPr>
          <w:p>
            <w:pPr>
              <w:jc w:val="right"/>
              <w:ind w:right="434"/>
              <w:spacing w:after="0" w:line="203" w:lineRule="exact"/>
              <w:rPr>
                <w:sz w:val="20"/>
                <w:szCs w:val="20"/>
                <w:color w:val="auto"/>
              </w:rPr>
            </w:pPr>
            <w:r>
              <w:rPr>
                <w:rFonts w:ascii="Courier New" w:cs="Courier New" w:eastAsia="Courier New" w:hAnsi="Courier New"/>
                <w:sz w:val="18"/>
                <w:szCs w:val="18"/>
                <w:color w:val="auto"/>
              </w:rPr>
              <w:t>2007</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2006</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Change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2007</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Change</w:t>
            </w:r>
          </w:p>
        </w:tc>
      </w:tr>
      <w:tr>
        <w:trPr>
          <w:trHeight w:val="203"/>
        </w:trPr>
        <w:tc>
          <w:tcPr>
            <w:tcW w:w="1160" w:type="dxa"/>
            <w:vAlign w:val="bottom"/>
          </w:tcPr>
          <w:p>
            <w:pPr>
              <w:jc w:val="right"/>
              <w:ind w:right="43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jc w:val="right"/>
              <w:ind w:right="434"/>
              <w:spacing w:after="0" w:line="203" w:lineRule="exact"/>
              <w:rPr>
                <w:sz w:val="20"/>
                <w:szCs w:val="20"/>
                <w:color w:val="auto"/>
              </w:rPr>
            </w:pPr>
            <w:r>
              <w:rPr>
                <w:rFonts w:ascii="Courier New" w:cs="Courier New" w:eastAsia="Courier New" w:hAnsi="Courier New"/>
                <w:sz w:val="18"/>
                <w:szCs w:val="18"/>
                <w:color w:val="auto"/>
                <w:w w:val="95"/>
              </w:rPr>
              <w:t>$8,344</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$8,154</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   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$2,889</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$3,077</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   (6%)</w:t>
            </w:r>
          </w:p>
        </w:tc>
      </w:tr>
    </w:tbl>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For the nine and three months ended January 31, 2007, selling and administrative expenses were 20% and 24%, respectively, of fiscal year 2007 revenues compared to 22% and 20%, respectively, for the comparable periods of fiscal year 2006. These ratios primarily reflect the level of sales for those periods, which, on higher revenues, are typically in line with the Company's target of less than 20% of revenue. In periods when revenues temporarily decline compared to the administrative structure of the Company, the ratios are higher than target. The primary increases in expenses in the fiscal year 2007 periods were related to compensation, including additional personnel, normal salary increases and stock compensation costs as indicated in the next paragraph. Increased compensation expense in the United States operations were partially offset by decreases in personnel costs in the Company's European subsidiaries.</w:t>
      </w:r>
    </w:p>
    <w:p>
      <w:pPr>
        <w:spacing w:after="0" w:line="18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Included in selling and administrative expenses for the nine and three months ended January 31, 2007, is $212,000 and $75,000, respectively, related to stock compensation expense as described above and in the footnotes to the financial statements.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As fiscal year 2007 and 2008 revenues increase from current levels, the Company expects selling and administrative expenses to be incurred at 20% or less of revenues.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expense</w:t>
      </w:r>
    </w:p>
    <w:p>
      <w:pPr>
        <w:ind w:left="2120"/>
        <w:spacing w:after="0"/>
        <w:tabs>
          <w:tab w:leader="none" w:pos="5680" w:val="left"/>
        </w:tabs>
        <w:rPr>
          <w:sz w:val="20"/>
          <w:szCs w:val="20"/>
          <w:color w:val="auto"/>
        </w:rPr>
      </w:pPr>
      <w:r>
        <w:rPr>
          <w:rFonts w:ascii="Courier New" w:cs="Courier New" w:eastAsia="Courier New" w:hAnsi="Courier New"/>
          <w:sz w:val="18"/>
          <w:szCs w:val="18"/>
          <w:color w:val="auto"/>
        </w:rPr>
        <w:t>Nine months</w:t>
      </w:r>
      <w:r>
        <w:rPr>
          <w:sz w:val="20"/>
          <w:szCs w:val="20"/>
          <w:color w:val="auto"/>
        </w:rPr>
        <w:tab/>
      </w:r>
      <w:r>
        <w:rPr>
          <w:rFonts w:ascii="Courier New" w:cs="Courier New" w:eastAsia="Courier New" w:hAnsi="Courier New"/>
          <w:sz w:val="16"/>
          <w:szCs w:val="16"/>
          <w:color w:val="auto"/>
        </w:rPr>
        <w:t>Three months</w:t>
      </w:r>
    </w:p>
    <w:p>
      <w:pPr>
        <w:ind w:left="1160"/>
        <w:spacing w:after="0"/>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3280"/>
        <w:spacing w:after="0" w:line="237" w:lineRule="auto"/>
        <w:rPr>
          <w:sz w:val="20"/>
          <w:szCs w:val="20"/>
          <w:color w:val="auto"/>
        </w:rPr>
      </w:pPr>
      <w:r>
        <w:rPr>
          <w:rFonts w:ascii="Courier New" w:cs="Courier New" w:eastAsia="Courier New" w:hAnsi="Courier New"/>
          <w:sz w:val="18"/>
          <w:szCs w:val="18"/>
          <w:color w:val="auto"/>
        </w:rPr>
        <w:t>Periods ended January 31,</w:t>
      </w:r>
    </w:p>
    <w:p>
      <w:pPr>
        <w:ind w:left="1280"/>
        <w:spacing w:after="0"/>
        <w:tabs>
          <w:tab w:leader="none" w:pos="2420" w:val="left"/>
          <w:tab w:leader="none" w:pos="3360" w:val="left"/>
          <w:tab w:leader="none" w:pos="4720" w:val="left"/>
          <w:tab w:leader="none" w:pos="5780" w:val="left"/>
          <w:tab w:leader="none" w:pos="7160" w:val="left"/>
        </w:tabs>
        <w:rPr>
          <w:sz w:val="20"/>
          <w:szCs w:val="20"/>
          <w:color w:val="auto"/>
        </w:rPr>
      </w:pPr>
      <w:r>
        <w:rPr>
          <w:rFonts w:ascii="Courier New" w:cs="Courier New" w:eastAsia="Courier New" w:hAnsi="Courier New"/>
          <w:sz w:val="18"/>
          <w:szCs w:val="18"/>
          <w:color w:val="auto"/>
        </w:rPr>
        <w:t>2007</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8"/>
          <w:szCs w:val="18"/>
          <w:color w:val="auto"/>
        </w:rPr>
        <w:t>2007</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6"/>
          <w:szCs w:val="16"/>
          <w:color w:val="auto"/>
        </w:rPr>
        <w:t>Change</w:t>
      </w:r>
    </w:p>
    <w:p>
      <w:pPr>
        <w:ind w:left="1280"/>
        <w:spacing w:after="0"/>
        <w:tabs>
          <w:tab w:leader="none" w:pos="2420" w:val="left"/>
          <w:tab w:leader="none" w:pos="3260" w:val="left"/>
          <w:tab w:leader="none" w:pos="4720" w:val="left"/>
          <w:tab w:leader="none" w:pos="5780" w:val="left"/>
          <w:tab w:leader="none" w:pos="6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1060"/>
        <w:spacing w:after="0"/>
        <w:tabs>
          <w:tab w:leader="none" w:pos="2200" w:val="left"/>
          <w:tab w:leader="none" w:pos="3040" w:val="left"/>
          <w:tab w:leader="none" w:pos="3880" w:val="left"/>
          <w:tab w:leader="none" w:pos="4520" w:val="left"/>
          <w:tab w:leader="none" w:pos="5580" w:val="left"/>
          <w:tab w:leader="none" w:pos="6720" w:val="left"/>
          <w:tab w:leader="none" w:pos="7680" w:val="left"/>
        </w:tabs>
        <w:rPr>
          <w:sz w:val="20"/>
          <w:szCs w:val="20"/>
          <w:color w:val="auto"/>
        </w:rPr>
      </w:pPr>
      <w:r>
        <w:rPr>
          <w:rFonts w:ascii="Courier New" w:cs="Courier New" w:eastAsia="Courier New" w:hAnsi="Courier New"/>
          <w:sz w:val="18"/>
          <w:szCs w:val="18"/>
          <w:color w:val="auto"/>
        </w:rPr>
        <w:t>$6,628</w:t>
      </w:r>
      <w:r>
        <w:rPr>
          <w:sz w:val="20"/>
          <w:szCs w:val="20"/>
          <w:color w:val="auto"/>
        </w:rPr>
        <w:tab/>
      </w:r>
      <w:r>
        <w:rPr>
          <w:rFonts w:ascii="Courier New" w:cs="Courier New" w:eastAsia="Courier New" w:hAnsi="Courier New"/>
          <w:sz w:val="18"/>
          <w:szCs w:val="18"/>
          <w:color w:val="auto"/>
        </w:rPr>
        <w:t>$4,124</w:t>
        <w:tab/>
        <w:t>$2,504</w:t>
        <w:tab/>
        <w:t>61%</w:t>
      </w:r>
      <w:r>
        <w:rPr>
          <w:sz w:val="20"/>
          <w:szCs w:val="20"/>
          <w:color w:val="auto"/>
        </w:rPr>
        <w:tab/>
      </w:r>
      <w:r>
        <w:rPr>
          <w:rFonts w:ascii="Courier New" w:cs="Courier New" w:eastAsia="Courier New" w:hAnsi="Courier New"/>
          <w:sz w:val="18"/>
          <w:szCs w:val="18"/>
          <w:color w:val="auto"/>
        </w:rPr>
        <w:t>$2,600</w:t>
      </w:r>
      <w:r>
        <w:rPr>
          <w:sz w:val="20"/>
          <w:szCs w:val="20"/>
          <w:color w:val="auto"/>
        </w:rPr>
        <w:tab/>
      </w:r>
      <w:r>
        <w:rPr>
          <w:rFonts w:ascii="Courier New" w:cs="Courier New" w:eastAsia="Courier New" w:hAnsi="Courier New"/>
          <w:sz w:val="18"/>
          <w:szCs w:val="18"/>
          <w:color w:val="auto"/>
        </w:rPr>
        <w:t>$1,173</w:t>
      </w:r>
      <w:r>
        <w:rPr>
          <w:sz w:val="20"/>
          <w:szCs w:val="20"/>
          <w:color w:val="auto"/>
        </w:rPr>
        <w:tab/>
      </w:r>
      <w:r>
        <w:rPr>
          <w:rFonts w:ascii="Courier New" w:cs="Courier New" w:eastAsia="Courier New" w:hAnsi="Courier New"/>
          <w:sz w:val="18"/>
          <w:szCs w:val="18"/>
          <w:color w:val="auto"/>
        </w:rPr>
        <w:t>$1,427</w:t>
      </w:r>
      <w:r>
        <w:rPr>
          <w:sz w:val="20"/>
          <w:szCs w:val="20"/>
          <w:color w:val="auto"/>
        </w:rPr>
        <w:tab/>
      </w:r>
      <w:r>
        <w:rPr>
          <w:rFonts w:ascii="Courier New" w:cs="Courier New" w:eastAsia="Courier New" w:hAnsi="Courier New"/>
          <w:sz w:val="16"/>
          <w:szCs w:val="16"/>
          <w:color w:val="auto"/>
        </w:rPr>
        <w:t>122%</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Research and development expenditures represent investments that keep the Company's products at the leading edge of time and frequency technology and</w:t>
      </w:r>
    </w:p>
    <w:p>
      <w:pPr>
        <w:sectPr>
          <w:pgSz w:w="11900" w:h="16838" w:orient="portrait"/>
          <w:cols w:equalWidth="0" w:num="1">
            <w:col w:w="10219"/>
          </w:cols>
          <w:pgMar w:left="240" w:top="919" w:right="1440" w:bottom="0" w:gutter="0" w:footer="0" w:header="0"/>
          <w:type w:val="continuous"/>
        </w:sectPr>
      </w:pPr>
    </w:p>
    <w:bookmarkStart w:id="18" w:name="page19"/>
    <w:bookmarkEnd w:id="18"/>
    <w:p>
      <w:pPr>
        <w:jc w:val="both"/>
        <w:ind w:right="1779"/>
        <w:spacing w:after="0" w:line="237" w:lineRule="auto"/>
        <w:rPr>
          <w:sz w:val="20"/>
          <w:szCs w:val="20"/>
          <w:color w:val="auto"/>
        </w:rPr>
      </w:pPr>
      <w:r>
        <w:rPr>
          <w:rFonts w:ascii="Courier New" w:cs="Courier New" w:eastAsia="Courier New" w:hAnsi="Courier New"/>
          <w:sz w:val="18"/>
          <w:szCs w:val="18"/>
          <w:color w:val="auto"/>
        </w:rPr>
        <w:t>enhance competitiveness for future sales. Particularly during the second and third quarters of fiscal year 2007, the Company incurred high engineering costs to design and substantially improve the manufacturability of certain products for current and anticipated satellite payload programs. Such efforts account for the 61% and 122% increases in R&amp;D</w:t>
      </w:r>
    </w:p>
    <w:p>
      <w:pPr>
        <w:sectPr>
          <w:pgSz w:w="11900" w:h="16838" w:orient="portrait"/>
          <w:cols w:equalWidth="0" w:num="1">
            <w:col w:w="10219"/>
          </w:cols>
          <w:pgMar w:left="240" w:top="142" w:right="1440" w:bottom="1440" w:gutter="0" w:footer="0" w:header="0"/>
        </w:sectPr>
      </w:pPr>
    </w:p>
    <w:bookmarkStart w:id="19" w:name="page20"/>
    <w:bookmarkEnd w:id="19"/>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spending for the nine and three months ended January 31, 2007, respectively, compared to the same periods of fiscal year 2006. The Company also spent development money on new initiatives to design a ruggedized rubidium clock for secure military communications, enhance and miniaturize products for wireless communications, upgrade its GPS-based synchronization product line, and to develop enhanced network management equipment and software.</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spending for the nine and three months ended January 31, 2007, was 16% and 21% of revenues, respectively, compared to 11% and 8% of revenues, respectively, for the same periods of fiscal year 2006. The Company targets research and development spending at approximately 10% of sales,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(Loss) Profit</w:t>
      </w:r>
    </w:p>
    <w:p>
      <w:pPr>
        <w:ind w:left="2120"/>
        <w:spacing w:after="0"/>
        <w:tabs>
          <w:tab w:leader="none" w:pos="5680" w:val="left"/>
        </w:tabs>
        <w:rPr>
          <w:sz w:val="20"/>
          <w:szCs w:val="20"/>
          <w:color w:val="auto"/>
        </w:rPr>
      </w:pPr>
      <w:r>
        <w:rPr>
          <w:rFonts w:ascii="Courier New" w:cs="Courier New" w:eastAsia="Courier New" w:hAnsi="Courier New"/>
          <w:sz w:val="18"/>
          <w:szCs w:val="18"/>
          <w:color w:val="auto"/>
        </w:rPr>
        <w:t>Nine months</w:t>
      </w:r>
      <w:r>
        <w:rPr>
          <w:sz w:val="20"/>
          <w:szCs w:val="20"/>
          <w:color w:val="auto"/>
        </w:rPr>
        <w:tab/>
      </w:r>
      <w:r>
        <w:rPr>
          <w:rFonts w:ascii="Courier New" w:cs="Courier New" w:eastAsia="Courier New" w:hAnsi="Courier New"/>
          <w:sz w:val="16"/>
          <w:szCs w:val="16"/>
          <w:color w:val="auto"/>
        </w:rPr>
        <w:t>Three months</w:t>
      </w:r>
    </w:p>
    <w:p>
      <w:pPr>
        <w:ind w:left="1160"/>
        <w:spacing w:after="0"/>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3280"/>
        <w:spacing w:after="0" w:line="237" w:lineRule="auto"/>
        <w:rPr>
          <w:sz w:val="20"/>
          <w:szCs w:val="20"/>
          <w:color w:val="auto"/>
        </w:rPr>
      </w:pPr>
      <w:r>
        <w:rPr>
          <w:rFonts w:ascii="Courier New" w:cs="Courier New" w:eastAsia="Courier New" w:hAnsi="Courier New"/>
          <w:sz w:val="18"/>
          <w:szCs w:val="18"/>
          <w:color w:val="auto"/>
        </w:rPr>
        <w:t>Periods ended January 31,</w:t>
      </w:r>
    </w:p>
    <w:p>
      <w:pPr>
        <w:ind w:left="1280"/>
        <w:spacing w:after="0"/>
        <w:tabs>
          <w:tab w:leader="none" w:pos="2420" w:val="left"/>
          <w:tab w:leader="none" w:pos="3360" w:val="left"/>
          <w:tab w:leader="none" w:pos="4720" w:val="left"/>
          <w:tab w:leader="none" w:pos="5780" w:val="left"/>
          <w:tab w:leader="none" w:pos="7160" w:val="left"/>
        </w:tabs>
        <w:rPr>
          <w:sz w:val="20"/>
          <w:szCs w:val="20"/>
          <w:color w:val="auto"/>
        </w:rPr>
      </w:pPr>
      <w:r>
        <w:rPr>
          <w:rFonts w:ascii="Courier New" w:cs="Courier New" w:eastAsia="Courier New" w:hAnsi="Courier New"/>
          <w:sz w:val="18"/>
          <w:szCs w:val="18"/>
          <w:color w:val="auto"/>
        </w:rPr>
        <w:t>2007</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8"/>
          <w:szCs w:val="18"/>
          <w:color w:val="auto"/>
        </w:rPr>
        <w:t>2007</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6"/>
          <w:szCs w:val="16"/>
          <w:color w:val="auto"/>
        </w:rPr>
        <w:t>Change</w:t>
      </w:r>
    </w:p>
    <w:p>
      <w:pPr>
        <w:ind w:left="1280"/>
        <w:spacing w:after="0"/>
        <w:tabs>
          <w:tab w:leader="none" w:pos="2420" w:val="left"/>
          <w:tab w:leader="none" w:pos="3260" w:val="left"/>
          <w:tab w:leader="none" w:pos="4720" w:val="left"/>
          <w:tab w:leader="none" w:pos="5780" w:val="left"/>
          <w:tab w:leader="none" w:pos="6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960"/>
        <w:spacing w:after="0" w:line="237" w:lineRule="auto"/>
        <w:tabs>
          <w:tab w:leader="none" w:pos="2200" w:val="left"/>
          <w:tab w:leader="none" w:pos="4420" w:val="left"/>
          <w:tab w:leader="none" w:pos="5580" w:val="left"/>
          <w:tab w:leader="none" w:pos="6720" w:val="left"/>
          <w:tab w:leader="none" w:pos="7880" w:val="left"/>
        </w:tabs>
        <w:rPr>
          <w:sz w:val="20"/>
          <w:szCs w:val="20"/>
          <w:color w:val="auto"/>
        </w:rPr>
      </w:pPr>
      <w:r>
        <w:rPr>
          <w:rFonts w:ascii="Courier New" w:cs="Courier New" w:eastAsia="Courier New" w:hAnsi="Courier New"/>
          <w:sz w:val="18"/>
          <w:szCs w:val="18"/>
          <w:color w:val="auto"/>
        </w:rPr>
        <w:t>($1,002)</w:t>
      </w:r>
      <w:r>
        <w:rPr>
          <w:sz w:val="20"/>
          <w:szCs w:val="20"/>
          <w:color w:val="auto"/>
        </w:rPr>
        <w:tab/>
      </w:r>
      <w:r>
        <w:rPr>
          <w:rFonts w:ascii="Courier New" w:cs="Courier New" w:eastAsia="Courier New" w:hAnsi="Courier New"/>
          <w:sz w:val="18"/>
          <w:szCs w:val="18"/>
          <w:color w:val="auto"/>
        </w:rPr>
        <w:t>$1,379 ($2,381) NM</w:t>
      </w:r>
      <w:r>
        <w:rPr>
          <w:sz w:val="20"/>
          <w:szCs w:val="20"/>
          <w:color w:val="auto"/>
        </w:rPr>
        <w:tab/>
      </w:r>
      <w:r>
        <w:rPr>
          <w:rFonts w:ascii="Courier New" w:cs="Courier New" w:eastAsia="Courier New" w:hAnsi="Courier New"/>
          <w:sz w:val="18"/>
          <w:szCs w:val="18"/>
          <w:color w:val="auto"/>
        </w:rPr>
        <w:t>($1,712)</w:t>
      </w:r>
      <w:r>
        <w:rPr>
          <w:sz w:val="20"/>
          <w:szCs w:val="20"/>
          <w:color w:val="auto"/>
        </w:rPr>
        <w:tab/>
      </w:r>
      <w:r>
        <w:rPr>
          <w:rFonts w:ascii="Courier New" w:cs="Courier New" w:eastAsia="Courier New" w:hAnsi="Courier New"/>
          <w:sz w:val="18"/>
          <w:szCs w:val="18"/>
          <w:color w:val="auto"/>
        </w:rPr>
        <w:t>$1,212</w:t>
      </w:r>
      <w:r>
        <w:rPr>
          <w:sz w:val="20"/>
          <w:szCs w:val="20"/>
          <w:color w:val="auto"/>
        </w:rPr>
        <w:tab/>
      </w:r>
      <w:r>
        <w:rPr>
          <w:rFonts w:ascii="Courier New" w:cs="Courier New" w:eastAsia="Courier New" w:hAnsi="Courier New"/>
          <w:sz w:val="18"/>
          <w:szCs w:val="18"/>
          <w:color w:val="auto"/>
        </w:rPr>
        <w:t>($2,924)</w:t>
        <w:tab/>
        <w:t>NM</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During the nine and three month periods ended January 31, 2007, the Company recorded operating losses as compared to operating profits in the same periods of fiscal year 2006. This is primarily the result of the increased engineering costs discussed above which had the impact of increasing program costs and the level of research and development spending as well as delaying the recognition of revenue on certain long-term satellite payload programs. The Company expects that as such engineering costs abate its gross margins will improve, research and development spending will decline to its targeted rate and operating profits will increase.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(expense)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0" w:type="dxa"/>
            <w:vAlign w:val="bottom"/>
            <w:gridSpan w:val="2"/>
          </w:tcPr>
          <w:p>
            <w:pPr>
              <w:jc w:val="right"/>
              <w:ind w:right="952"/>
              <w:spacing w:after="0"/>
              <w:rPr>
                <w:sz w:val="20"/>
                <w:szCs w:val="20"/>
                <w:color w:val="auto"/>
              </w:rPr>
            </w:pPr>
            <w:r>
              <w:rPr>
                <w:rFonts w:ascii="Courier New" w:cs="Courier New" w:eastAsia="Courier New" w:hAnsi="Courier New"/>
                <w:sz w:val="18"/>
                <w:szCs w:val="18"/>
                <w:color w:val="auto"/>
                <w:w w:val="95"/>
              </w:rPr>
              <w:t>Nine months</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Three months</w:t>
            </w:r>
          </w:p>
        </w:tc>
        <w:tc>
          <w:tcPr>
            <w:tcW w:w="6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Periods ended January 31,</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060" w:type="dxa"/>
            <w:vAlign w:val="bottom"/>
          </w:tcPr>
          <w:p>
            <w:pPr>
              <w:jc w:val="right"/>
              <w:ind w:right="233"/>
              <w:spacing w:after="0" w:line="203" w:lineRule="exact"/>
              <w:rPr>
                <w:sz w:val="20"/>
                <w:szCs w:val="20"/>
                <w:color w:val="auto"/>
              </w:rPr>
            </w:pPr>
            <w:r>
              <w:rPr>
                <w:rFonts w:ascii="Courier New" w:cs="Courier New" w:eastAsia="Courier New" w:hAnsi="Courier New"/>
                <w:sz w:val="18"/>
                <w:szCs w:val="18"/>
                <w:color w:val="auto"/>
              </w:rPr>
              <w:t>2007</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Change</w:t>
            </w:r>
          </w:p>
        </w:tc>
        <w:tc>
          <w:tcPr>
            <w:tcW w:w="7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2007</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2006</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Change</w:t>
            </w:r>
          </w:p>
        </w:tc>
      </w:tr>
      <w:tr>
        <w:trPr>
          <w:trHeight w:val="203"/>
        </w:trPr>
        <w:tc>
          <w:tcPr>
            <w:tcW w:w="1900" w:type="dxa"/>
            <w:vAlign w:val="bottom"/>
          </w:tcPr>
          <w:p>
            <w:pPr>
              <w:spacing w:after="0"/>
              <w:rPr>
                <w:sz w:val="17"/>
                <w:szCs w:val="17"/>
                <w:color w:val="auto"/>
              </w:rPr>
            </w:pPr>
          </w:p>
        </w:tc>
        <w:tc>
          <w:tcPr>
            <w:tcW w:w="1060" w:type="dxa"/>
            <w:vAlign w:val="bottom"/>
          </w:tcPr>
          <w:p>
            <w:pPr>
              <w:jc w:val="right"/>
              <w:ind w:right="233"/>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Investment income</w:t>
            </w:r>
          </w:p>
        </w:tc>
        <w:tc>
          <w:tcPr>
            <w:tcW w:w="1060" w:type="dxa"/>
            <w:vAlign w:val="bottom"/>
          </w:tcPr>
          <w:p>
            <w:pPr>
              <w:jc w:val="right"/>
              <w:ind w:right="233"/>
              <w:spacing w:after="0"/>
              <w:rPr>
                <w:sz w:val="20"/>
                <w:szCs w:val="20"/>
                <w:color w:val="auto"/>
              </w:rPr>
            </w:pPr>
            <w:r>
              <w:rPr>
                <w:rFonts w:ascii="Courier New" w:cs="Courier New" w:eastAsia="Courier New" w:hAnsi="Courier New"/>
                <w:sz w:val="18"/>
                <w:szCs w:val="18"/>
                <w:color w:val="auto"/>
              </w:rPr>
              <w:t>$785</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$2,951</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($2,166)</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(73%)</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$206</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$285</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Morion</w:t>
            </w:r>
          </w:p>
        </w:tc>
        <w:tc>
          <w:tcPr>
            <w:tcW w:w="1060" w:type="dxa"/>
            <w:vAlign w:val="bottom"/>
          </w:tcPr>
          <w:p>
            <w:pPr>
              <w:jc w:val="right"/>
              <w:ind w:right="233"/>
              <w:spacing w:after="0" w:line="203" w:lineRule="exact"/>
              <w:rPr>
                <w:sz w:val="20"/>
                <w:szCs w:val="20"/>
                <w:color w:val="auto"/>
              </w:rPr>
            </w:pPr>
            <w:r>
              <w:rPr>
                <w:rFonts w:ascii="Courier New" w:cs="Courier New" w:eastAsia="Courier New" w:hAnsi="Courier New"/>
                <w:sz w:val="18"/>
                <w:szCs w:val="18"/>
                <w:color w:val="auto"/>
              </w:rPr>
              <w:t>566</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w:t>
            </w:r>
          </w:p>
        </w:tc>
        <w:tc>
          <w:tcPr>
            <w:tcW w:w="7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292</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194</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6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(74)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060" w:type="dxa"/>
            <w:vAlign w:val="bottom"/>
          </w:tcPr>
          <w:p>
            <w:pPr>
              <w:jc w:val="right"/>
              <w:ind w:right="233"/>
              <w:spacing w:after="0" w:line="203" w:lineRule="exact"/>
              <w:rPr>
                <w:sz w:val="20"/>
                <w:szCs w:val="20"/>
                <w:color w:val="auto"/>
              </w:rPr>
            </w:pPr>
            <w:r>
              <w:rPr>
                <w:rFonts w:ascii="Courier New" w:cs="Courier New" w:eastAsia="Courier New" w:hAnsi="Courier New"/>
                <w:sz w:val="18"/>
                <w:szCs w:val="18"/>
                <w:color w:val="auto"/>
              </w:rPr>
              <w:t>270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928</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(658)</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(71%)</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161</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900" w:type="dxa"/>
            <w:vAlign w:val="bottom"/>
          </w:tcPr>
          <w:p>
            <w:pPr>
              <w:spacing w:after="0"/>
              <w:rPr>
                <w:sz w:val="17"/>
                <w:szCs w:val="17"/>
                <w:color w:val="auto"/>
              </w:rPr>
            </w:pPr>
          </w:p>
        </w:tc>
        <w:tc>
          <w:tcPr>
            <w:tcW w:w="1060" w:type="dxa"/>
            <w:vAlign w:val="bottom"/>
          </w:tcPr>
          <w:p>
            <w:pPr>
              <w:jc w:val="right"/>
              <w:ind w:right="233"/>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060" w:type="dxa"/>
            <w:vAlign w:val="bottom"/>
          </w:tcPr>
          <w:p>
            <w:pPr>
              <w:jc w:val="right"/>
              <w:ind w:right="233"/>
              <w:spacing w:after="0" w:line="203" w:lineRule="exact"/>
              <w:rPr>
                <w:sz w:val="20"/>
                <w:szCs w:val="20"/>
                <w:color w:val="auto"/>
              </w:rPr>
            </w:pPr>
            <w:r>
              <w:rPr>
                <w:rFonts w:ascii="Courier New" w:cs="Courier New" w:eastAsia="Courier New" w:hAnsi="Courier New"/>
                <w:sz w:val="18"/>
                <w:szCs w:val="18"/>
                <w:color w:val="auto"/>
              </w:rPr>
              <w:t>$1,547</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$4,219</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($2,672)</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(63%)</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$650</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$616</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bl>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decrease in investment income for the nine months ended January 31, 2007, is due to realized gains of approximately $2.1 million recorded in the prior fiscal year on the sale of a portion of the shares of Reckson Associates Realty Corp. stock ("REIT"). Such shares were obtained during fiscal year 2005 upon the conversion of certain REIT units related to the Company's fiscal year 1998 sale and leaseback of its headquarters building. Similar gains were not recorded in the fiscal year 2007 periods or in the third quarter of fiscal year 2006. The decreased investment income in the three month period ended January 31, 2007 compared to the same period of fiscal 2006 is attributable to less cash invested in marketable securities.</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records equity income in Morion, Inc. based on its 36% ownership interest in Morion's outstanding shares. The fluctuation in equity income is due to higher profitability at Morion for the nine and three months ended January 31, 2007 as compared to the same periods of fiscal year 2006. Morion recorded higher revenues and increased profitability in each of the fiscal year 2007 periods compared to the same periods of fiscal year 2006.</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decrease in interest expense for the nine and three month periods ended</w:t>
      </w:r>
    </w:p>
    <w:p>
      <w:pPr>
        <w:sectPr>
          <w:pgSz w:w="11900" w:h="16838" w:orient="portrait"/>
          <w:cols w:equalWidth="0" w:num="1">
            <w:col w:w="10219"/>
          </w:cols>
          <w:pgMar w:left="240" w:top="919" w:right="1440" w:bottom="0" w:gutter="0" w:footer="0" w:header="0"/>
        </w:sectPr>
      </w:pPr>
    </w:p>
    <w:bookmarkStart w:id="20" w:name="page21"/>
    <w:bookmarkEnd w:id="20"/>
    <w:p>
      <w:pPr>
        <w:jc w:val="both"/>
        <w:ind w:right="1779"/>
        <w:spacing w:after="0" w:line="236" w:lineRule="auto"/>
        <w:rPr>
          <w:sz w:val="20"/>
          <w:szCs w:val="20"/>
          <w:color w:val="auto"/>
        </w:rPr>
      </w:pPr>
      <w:r>
        <w:rPr>
          <w:rFonts w:ascii="Courier New" w:cs="Courier New" w:eastAsia="Courier New" w:hAnsi="Courier New"/>
          <w:sz w:val="18"/>
          <w:szCs w:val="18"/>
          <w:color w:val="auto"/>
        </w:rPr>
        <w:t>January 31, 2007 primarily reflects a decrease in borrowings under the Company's line of credit during the fiscal year 2007 periods as compared to the same periods of fiscal year 2006.</w:t>
      </w:r>
    </w:p>
    <w:p>
      <w:pPr>
        <w:sectPr>
          <w:pgSz w:w="11900" w:h="16838" w:orient="portrait"/>
          <w:cols w:equalWidth="0" w:num="1">
            <w:col w:w="10219"/>
          </w:cols>
          <w:pgMar w:left="240" w:top="142"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Under the provisions of sale and leaseback accounting, a portion of the capital gain realized on the real estate transaction referred to above is deferred and recognized in income over the initial lease term. Under the caption "Other income" the Company recognized deferred gain of $265,000 and $88,000 for the nine and three months ended January 31, 2007 and 2006, respectively. In the second quarter of fiscal year 2006, a European subsidiary recorded a $680,000 gain on the sale of a building to the subsidiary's president. Other insignificant income and expense items are also recorded under this caption.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(loss)</w:t>
      </w:r>
    </w:p>
    <w:p>
      <w:pPr>
        <w:ind w:left="2120"/>
        <w:spacing w:after="0"/>
        <w:tabs>
          <w:tab w:leader="none" w:pos="5680" w:val="left"/>
        </w:tabs>
        <w:rPr>
          <w:sz w:val="20"/>
          <w:szCs w:val="20"/>
          <w:color w:val="auto"/>
        </w:rPr>
      </w:pPr>
      <w:r>
        <w:rPr>
          <w:rFonts w:ascii="Courier New" w:cs="Courier New" w:eastAsia="Courier New" w:hAnsi="Courier New"/>
          <w:sz w:val="18"/>
          <w:szCs w:val="18"/>
          <w:color w:val="auto"/>
        </w:rPr>
        <w:t>Nine months</w:t>
      </w:r>
      <w:r>
        <w:rPr>
          <w:sz w:val="20"/>
          <w:szCs w:val="20"/>
          <w:color w:val="auto"/>
        </w:rPr>
        <w:tab/>
      </w:r>
      <w:r>
        <w:rPr>
          <w:rFonts w:ascii="Courier New" w:cs="Courier New" w:eastAsia="Courier New" w:hAnsi="Courier New"/>
          <w:sz w:val="16"/>
          <w:szCs w:val="16"/>
          <w:color w:val="auto"/>
        </w:rPr>
        <w:t>Three months</w:t>
      </w:r>
    </w:p>
    <w:p>
      <w:pPr>
        <w:ind w:left="1280"/>
        <w:spacing w:after="0"/>
        <w:tabs>
          <w:tab w:leader="none" w:pos="4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3280"/>
        <w:spacing w:after="0" w:line="237" w:lineRule="auto"/>
        <w:rPr>
          <w:sz w:val="20"/>
          <w:szCs w:val="20"/>
          <w:color w:val="auto"/>
        </w:rPr>
      </w:pPr>
      <w:r>
        <w:rPr>
          <w:rFonts w:ascii="Courier New" w:cs="Courier New" w:eastAsia="Courier New" w:hAnsi="Courier New"/>
          <w:sz w:val="18"/>
          <w:szCs w:val="18"/>
          <w:color w:val="auto"/>
        </w:rPr>
        <w:t>Periods ended January 31,</w:t>
      </w:r>
    </w:p>
    <w:p>
      <w:pPr>
        <w:ind w:left="1280"/>
        <w:spacing w:after="0"/>
        <w:tabs>
          <w:tab w:leader="none" w:pos="2420" w:val="left"/>
          <w:tab w:leader="none" w:pos="3460" w:val="left"/>
          <w:tab w:leader="none" w:pos="4940" w:val="left"/>
          <w:tab w:leader="none" w:pos="5880" w:val="left"/>
          <w:tab w:leader="none" w:pos="7160" w:val="left"/>
        </w:tabs>
        <w:rPr>
          <w:sz w:val="20"/>
          <w:szCs w:val="20"/>
          <w:color w:val="auto"/>
        </w:rPr>
      </w:pPr>
      <w:r>
        <w:rPr>
          <w:rFonts w:ascii="Courier New" w:cs="Courier New" w:eastAsia="Courier New" w:hAnsi="Courier New"/>
          <w:sz w:val="18"/>
          <w:szCs w:val="18"/>
          <w:color w:val="auto"/>
        </w:rPr>
        <w:t>2007</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8"/>
          <w:szCs w:val="18"/>
          <w:color w:val="auto"/>
        </w:rPr>
        <w:t>2007</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6"/>
          <w:szCs w:val="16"/>
          <w:color w:val="auto"/>
        </w:rPr>
        <w:t>Change</w:t>
      </w:r>
    </w:p>
    <w:p>
      <w:pPr>
        <w:ind w:left="1280"/>
        <w:spacing w:after="0"/>
        <w:tabs>
          <w:tab w:leader="none" w:pos="2420" w:val="left"/>
          <w:tab w:leader="none" w:pos="3140" w:val="left"/>
          <w:tab w:leader="none" w:pos="4940" w:val="left"/>
          <w:tab w:leader="none" w:pos="5880" w:val="left"/>
          <w:tab w:leader="none" w:pos="6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1280"/>
        <w:spacing w:after="0" w:line="237" w:lineRule="auto"/>
        <w:tabs>
          <w:tab w:leader="none" w:pos="2200" w:val="left"/>
          <w:tab w:leader="none" w:pos="3040" w:val="left"/>
          <w:tab w:leader="none" w:pos="4840" w:val="left"/>
          <w:tab w:leader="none" w:pos="5780" w:val="left"/>
          <w:tab w:leader="none" w:pos="6620" w:val="left"/>
          <w:tab w:leader="none" w:pos="7880" w:val="left"/>
        </w:tabs>
        <w:rPr>
          <w:sz w:val="20"/>
          <w:szCs w:val="20"/>
          <w:color w:val="auto"/>
        </w:rPr>
      </w:pPr>
      <w:r>
        <w:rPr>
          <w:rFonts w:ascii="Courier New" w:cs="Courier New" w:eastAsia="Courier New" w:hAnsi="Courier New"/>
          <w:sz w:val="18"/>
          <w:szCs w:val="18"/>
          <w:color w:val="auto"/>
        </w:rPr>
        <w:t>$332</w:t>
      </w:r>
      <w:r>
        <w:rPr>
          <w:sz w:val="20"/>
          <w:szCs w:val="20"/>
          <w:color w:val="auto"/>
        </w:rPr>
        <w:tab/>
      </w:r>
      <w:r>
        <w:rPr>
          <w:rFonts w:ascii="Courier New" w:cs="Courier New" w:eastAsia="Courier New" w:hAnsi="Courier New"/>
          <w:sz w:val="18"/>
          <w:szCs w:val="18"/>
          <w:color w:val="auto"/>
        </w:rPr>
        <w:t>$3,722</w:t>
        <w:tab/>
        <w:t>($3,390) (91)%</w:t>
      </w:r>
      <w:r>
        <w:rPr>
          <w:sz w:val="20"/>
          <w:szCs w:val="20"/>
          <w:color w:val="auto"/>
        </w:rPr>
        <w:tab/>
      </w:r>
      <w:r>
        <w:rPr>
          <w:rFonts w:ascii="Courier New" w:cs="Courier New" w:eastAsia="Courier New" w:hAnsi="Courier New"/>
          <w:sz w:val="18"/>
          <w:szCs w:val="18"/>
          <w:color w:val="auto"/>
        </w:rPr>
        <w:t>($754)</w:t>
      </w:r>
      <w:r>
        <w:rPr>
          <w:sz w:val="20"/>
          <w:szCs w:val="20"/>
          <w:color w:val="auto"/>
        </w:rPr>
        <w:tab/>
      </w:r>
      <w:r>
        <w:rPr>
          <w:rFonts w:ascii="Courier New" w:cs="Courier New" w:eastAsia="Courier New" w:hAnsi="Courier New"/>
          <w:sz w:val="18"/>
          <w:szCs w:val="18"/>
          <w:color w:val="auto"/>
        </w:rPr>
        <w:t>$1,248</w:t>
        <w:tab/>
        <w:t>($2,002)</w:t>
      </w:r>
      <w:r>
        <w:rPr>
          <w:sz w:val="20"/>
          <w:szCs w:val="20"/>
          <w:color w:val="auto"/>
        </w:rPr>
        <w:tab/>
      </w:r>
      <w:r>
        <w:rPr>
          <w:rFonts w:ascii="Courier New" w:cs="Courier New" w:eastAsia="Courier New" w:hAnsi="Courier New"/>
          <w:sz w:val="18"/>
          <w:szCs w:val="18"/>
          <w:color w:val="auto"/>
        </w:rPr>
        <w:t>NM</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Net income (loss) for the nine and three months ended January 31, 2007, was lower than that realized in the same periods of fiscal year 2006 primarily as the result of the operating losses discussed above as well as nonoperating gains recognized in the prior year. As indicated above, the Company recognized a gain of $2.1 million on the sale of certain marketable securities and recorded a gain of $680,000 on the sale of a subsidiary's building during the nine months ended January 31, 2006. Higher than anticipated engineering costs and increased investment in research and development reduced profitability during the fiscal year 2007 periods compared to the same nine and three month periods ended January 31, 2006.</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The Company's European subsidiaries have available net operating loss carryforwards of approximately $2.4 million to offset future taxable income.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balance sheet continues to reflect a strong working capital position of $56 million at January 31, 2007, which is compared to $60 million at April 30, 2006. Included in working capital at January 31, 2007 is $17.9 million of cash, cash equivalents and marketable securities. The Company's current ratio at January 31, 2007 is 8.8 to 1.</w:t>
      </w:r>
    </w:p>
    <w:p>
      <w:pPr>
        <w:spacing w:after="0" w:line="209"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For the nine months ended January 31, 2007, the Company used $830,000 in cash from operating activities compared to $1.8 million used in operations in the comparable fiscal year 2006 period. This decrease in cash used from operating activities is due primarily to increases in the value of the Company's inventory. This increase was partially offset by collections on accounts receivable. For the full fiscal year 2007, the Company expects to continue to use cash in operating activities but, based on increased revenues and improving margins, that it will generate positive operating cash flow in fiscal year 2008.</w:t>
      </w:r>
    </w:p>
    <w:p>
      <w:pPr>
        <w:spacing w:after="0" w:line="186"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Net cash provided by investing activities for the nine months ended January 31, 2007, was $1.8 million, compared to a use of cash of $63,000 for the same period of fiscal year 2006. The principal source of cash was the sale or redemption of certain marketable securities aggregating $6.8 million, net of purchases of other marketable securities. The redemption of marketable securities was used to fund operations as well as to make an investment in an engineering company to provided additional resources in support of current operations. The Company also acquired capital equipment for approximately $1.7 million. The Company may continue to acquire or sell marketable securities as dictated by its investment strategies as well as by the cash requirements for its development activities. Capital equipment purchases for all of fiscal year 2007 are expected to be approximately $2.0 million. Internally generated cash is adequate to acquire this level of capital equipment.</w:t>
      </w:r>
    </w:p>
    <w:p>
      <w:pPr>
        <w:sectPr>
          <w:pgSz w:w="11900" w:h="16838" w:orient="portrait"/>
          <w:cols w:equalWidth="0" w:num="1">
            <w:col w:w="10219"/>
          </w:cols>
          <w:pgMar w:left="240" w:top="919" w:right="1440" w:bottom="767" w:gutter="0" w:footer="0" w:header="0"/>
        </w:sectPr>
      </w:pPr>
    </w:p>
    <w:bookmarkStart w:id="22" w:name="page23"/>
    <w:bookmarkEnd w:id="22"/>
    <w:p>
      <w:pPr>
        <w:jc w:val="center"/>
        <w:ind w:right="940"/>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84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940" w:firstLine="527"/>
        <w:spacing w:after="0" w:line="237" w:lineRule="auto"/>
        <w:rPr>
          <w:sz w:val="20"/>
          <w:szCs w:val="20"/>
          <w:color w:val="auto"/>
        </w:rPr>
      </w:pPr>
      <w:r>
        <w:rPr>
          <w:rFonts w:ascii="Courier New" w:cs="Courier New" w:eastAsia="Courier New" w:hAnsi="Courier New"/>
          <w:sz w:val="18"/>
          <w:szCs w:val="18"/>
          <w:color w:val="auto"/>
        </w:rPr>
        <w:t>Net cash used in financing activities for the nine months ended January 31, 2007, was $1.6 million compared to $689,000 during the comparable fiscal year 2006 period. Included in both fiscal periods is payment of the Company's semiannual dividend in the amount of $1.7 million. During the third quarter of fiscal year 2006, the Company obtained $1.0 million from its line of credit which was repaid prior to the end of that fiscal year.</w:t>
      </w:r>
    </w:p>
    <w:p>
      <w:pPr>
        <w:spacing w:after="0" w:line="210" w:lineRule="exact"/>
        <w:rPr>
          <w:sz w:val="20"/>
          <w:szCs w:val="20"/>
          <w:color w:val="auto"/>
        </w:rPr>
      </w:pPr>
    </w:p>
    <w:p>
      <w:pPr>
        <w:jc w:val="both"/>
        <w:ind w:right="940" w:firstLine="527"/>
        <w:spacing w:after="0" w:line="237" w:lineRule="auto"/>
        <w:rPr>
          <w:sz w:val="20"/>
          <w:szCs w:val="20"/>
          <w:color w:val="auto"/>
        </w:rPr>
      </w:pPr>
      <w:r>
        <w:rPr>
          <w:rFonts w:ascii="Courier New" w:cs="Courier New" w:eastAsia="Courier New" w:hAnsi="Courier New"/>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During the quarter ended January 31, 2007, the Company did not acquire any shares of its stock under this authorization.</w:t>
      </w:r>
    </w:p>
    <w:p>
      <w:pPr>
        <w:spacing w:after="0" w:line="210" w:lineRule="exact"/>
        <w:rPr>
          <w:sz w:val="20"/>
          <w:szCs w:val="20"/>
          <w:color w:val="auto"/>
        </w:rPr>
      </w:pPr>
    </w:p>
    <w:p>
      <w:pPr>
        <w:jc w:val="both"/>
        <w:ind w:right="940" w:firstLine="527"/>
        <w:spacing w:after="0" w:line="237" w:lineRule="auto"/>
        <w:rPr>
          <w:sz w:val="20"/>
          <w:szCs w:val="20"/>
          <w:color w:val="auto"/>
        </w:rPr>
      </w:pPr>
      <w:r>
        <w:rPr>
          <w:rFonts w:ascii="Courier New" w:cs="Courier New" w:eastAsia="Courier New" w:hAnsi="Courier New"/>
          <w:sz w:val="18"/>
          <w:szCs w:val="18"/>
          <w:color w:val="auto"/>
        </w:rPr>
        <w:t>During fiscal year 2007, the Company has made and intends to make a substantial investment of capital and technical resources to develop new products to meet the needs of the satellite payload market (both U.S. Government and commercial satellites), the telecommunication infrastructure market and the requirements for U.S. Government/DOD programs. The Company will continue to invest in more efficient product designs and manufacturing procedures. Where possible, the Company will secure partial customer funding for such development efforts but is targeting to spend its own funds at a rate of at least 10% of revenues to achieve its development goals. Internally generated cash will be adequate to fund these development efforts.</w:t>
      </w:r>
    </w:p>
    <w:p>
      <w:pPr>
        <w:spacing w:after="0" w:line="215" w:lineRule="exact"/>
        <w:rPr>
          <w:sz w:val="20"/>
          <w:szCs w:val="20"/>
          <w:color w:val="auto"/>
        </w:rPr>
      </w:pPr>
    </w:p>
    <w:p>
      <w:pPr>
        <w:jc w:val="both"/>
        <w:ind w:right="940" w:firstLine="527"/>
        <w:spacing w:after="0" w:line="236" w:lineRule="auto"/>
        <w:rPr>
          <w:sz w:val="20"/>
          <w:szCs w:val="20"/>
          <w:color w:val="auto"/>
        </w:rPr>
      </w:pPr>
      <w:r>
        <w:rPr>
          <w:rFonts w:ascii="Courier New" w:cs="Courier New" w:eastAsia="Courier New" w:hAnsi="Courier New"/>
          <w:sz w:val="18"/>
          <w:szCs w:val="18"/>
          <w:color w:val="auto"/>
        </w:rPr>
        <w:t>At January 31, 2007, the Company's backlog amounted to approximately $42 million compared to $36 million at April 30, 2006. Of this backlog, approximately 80% is realizable in the next twelve months.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Off-Balance Sheet Arrangements</w:t>
      </w:r>
    </w:p>
    <w:p>
      <w:pPr>
        <w:spacing w:after="0" w:line="207" w:lineRule="exact"/>
        <w:rPr>
          <w:sz w:val="20"/>
          <w:szCs w:val="20"/>
          <w:color w:val="auto"/>
        </w:rPr>
      </w:pPr>
    </w:p>
    <w:p>
      <w:pPr>
        <w:jc w:val="both"/>
        <w:ind w:right="940" w:firstLine="527"/>
        <w:spacing w:after="0" w:line="237" w:lineRule="auto"/>
        <w:rPr>
          <w:sz w:val="20"/>
          <w:szCs w:val="20"/>
          <w:color w:val="auto"/>
        </w:rPr>
      </w:pPr>
      <w:r>
        <w:rPr>
          <w:rFonts w:ascii="Courier New" w:cs="Courier New" w:eastAsia="Courier New" w:hAnsi="Courier New"/>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Contractual obligations</w:t>
      </w:r>
    </w:p>
    <w:p>
      <w:pPr>
        <w:ind w:left="42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120" w:type="dxa"/>
            <w:vAlign w:val="bottom"/>
          </w:tcPr>
          <w:p>
            <w:pPr>
              <w:ind w:left="320"/>
              <w:spacing w:after="0"/>
              <w:rPr>
                <w:sz w:val="20"/>
                <w:szCs w:val="20"/>
                <w:color w:val="auto"/>
              </w:rPr>
            </w:pPr>
            <w:r>
              <w:rPr>
                <w:rFonts w:ascii="Courier New" w:cs="Courier New" w:eastAsia="Courier New" w:hAnsi="Courier New"/>
                <w:sz w:val="18"/>
                <w:szCs w:val="18"/>
                <w:color w:val="auto"/>
              </w:rPr>
              <w:t>As of January 31, 2007</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3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Total</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Less than</w:t>
            </w: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Contractual Obligations</w:t>
            </w:r>
          </w:p>
        </w:tc>
        <w:tc>
          <w:tcPr>
            <w:tcW w:w="1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 Year</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 to 3 Years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 to 5 Years</w:t>
            </w: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Operating Lease Obligations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878</w:t>
            </w: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$368</w:t>
            </w:r>
          </w:p>
        </w:tc>
        <w:tc>
          <w:tcPr>
            <w:tcW w:w="16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$403</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$ 72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58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8,492*</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305</w:t>
            </w:r>
          </w:p>
        </w:tc>
        <w:tc>
          <w:tcPr>
            <w:tcW w:w="16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321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w:t>
            </w:r>
          </w:p>
        </w:tc>
      </w:tr>
      <w:tr>
        <w:trPr>
          <w:trHeight w:val="203"/>
        </w:trPr>
        <w:tc>
          <w:tcPr>
            <w:tcW w:w="3120" w:type="dxa"/>
            <w:vAlign w:val="bottom"/>
          </w:tcPr>
          <w:p>
            <w:pPr>
              <w:spacing w:after="0"/>
              <w:rPr>
                <w:sz w:val="17"/>
                <w:szCs w:val="17"/>
                <w:color w:val="auto"/>
              </w:rPr>
            </w:pPr>
          </w:p>
        </w:tc>
        <w:tc>
          <w:tcPr>
            <w:tcW w:w="17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9,370</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$673</w:t>
            </w:r>
          </w:p>
        </w:tc>
        <w:tc>
          <w:tcPr>
            <w:tcW w:w="16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$724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w:t>
            </w:r>
          </w:p>
        </w:tc>
      </w:tr>
      <w:tr>
        <w:trPr>
          <w:trHeight w:val="203"/>
        </w:trPr>
        <w:tc>
          <w:tcPr>
            <w:tcW w:w="3120" w:type="dxa"/>
            <w:vAlign w:val="bottom"/>
          </w:tcPr>
          <w:p>
            <w:pPr>
              <w:spacing w:after="0"/>
              <w:rPr>
                <w:sz w:val="17"/>
                <w:szCs w:val="17"/>
                <w:color w:val="auto"/>
              </w:rPr>
            </w:pPr>
          </w:p>
        </w:tc>
        <w:tc>
          <w:tcPr>
            <w:tcW w:w="178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940" w:firstLine="527"/>
        <w:spacing w:after="0" w:line="237" w:lineRule="auto"/>
        <w:rPr>
          <w:sz w:val="20"/>
          <w:szCs w:val="20"/>
          <w:color w:val="auto"/>
        </w:rPr>
      </w:pPr>
      <w:r>
        <w:rPr>
          <w:rFonts w:ascii="Courier New" w:cs="Courier New" w:eastAsia="Courier New" w:hAnsi="Courier New"/>
          <w:sz w:val="18"/>
          <w:szCs w:val="18"/>
          <w:color w:val="auto"/>
        </w:rPr>
        <w:t>*Deferred Compensation liability reflects payments due to current retirees receiving benefits. The amount of $7,689 in the more than 5 years column includes benefits due to participants in the plan who are not yet receiving benefits although some participants may opt to retire and begin receiving benefits within the next 5 years.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07" w:lineRule="exact"/>
        <w:rPr>
          <w:sz w:val="20"/>
          <w:szCs w:val="20"/>
          <w:color w:val="auto"/>
        </w:rPr>
      </w:pPr>
    </w:p>
    <w:p>
      <w:pPr>
        <w:jc w:val="both"/>
        <w:ind w:right="940" w:firstLine="527"/>
        <w:spacing w:after="0" w:line="271" w:lineRule="auto"/>
        <w:rPr>
          <w:sz w:val="20"/>
          <w:szCs w:val="20"/>
          <w:color w:val="auto"/>
        </w:rPr>
      </w:pPr>
      <w:r>
        <w:rPr>
          <w:rFonts w:ascii="Courier New" w:cs="Courier New" w:eastAsia="Courier New" w:hAnsi="Courier New"/>
          <w:sz w:val="16"/>
          <w:szCs w:val="16"/>
          <w:color w:val="auto"/>
        </w:rPr>
        <w:t>The Company is exposed to market risk related to changes in interest rates and market values of securities. The Company's investments in fixed income and equity securities were approximately $15.4 million and $96,000, respectively, at January 31, 2007.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 than</w:t>
      </w:r>
    </w:p>
    <w:p>
      <w:pPr>
        <w:spacing w:after="0" w:line="16" w:lineRule="exact"/>
        <w:rPr>
          <w:sz w:val="20"/>
          <w:szCs w:val="20"/>
          <w:color w:val="auto"/>
        </w:rPr>
      </w:pPr>
    </w:p>
    <w:p>
      <w:pPr>
        <w:ind w:left="320" w:hanging="215"/>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hanging="430"/>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w:t>
      </w:r>
    </w:p>
    <w:p>
      <w:pPr>
        <w:ind w:left="320"/>
        <w:spacing w:after="0" w:line="238" w:lineRule="auto"/>
        <w:rPr>
          <w:sz w:val="20"/>
          <w:szCs w:val="20"/>
          <w:color w:val="auto"/>
        </w:rPr>
      </w:pPr>
      <w:r>
        <w:rPr>
          <w:rFonts w:ascii="Courier New" w:cs="Courier New" w:eastAsia="Courier New" w:hAnsi="Courier New"/>
          <w:sz w:val="18"/>
          <w:szCs w:val="18"/>
          <w:color w:val="auto"/>
        </w:rPr>
        <w:t>7,689</w:t>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$7,724</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9380" w:space="320"/>
            <w:col w:w="940"/>
          </w:cols>
          <w:pgMar w:left="240" w:top="919" w:right="1019" w:bottom="0" w:gutter="0" w:footer="0" w:header="0"/>
        </w:sectPr>
      </w:pPr>
    </w:p>
    <w:bookmarkStart w:id="23" w:name="page24"/>
    <w:bookmarkEnd w:id="23"/>
    <w:p>
      <w:pPr>
        <w:jc w:val="both"/>
        <w:ind w:right="1779"/>
        <w:spacing w:after="0" w:line="237" w:lineRule="auto"/>
        <w:rPr>
          <w:sz w:val="20"/>
          <w:szCs w:val="20"/>
          <w:color w:val="auto"/>
        </w:rPr>
      </w:pPr>
      <w:r>
        <w:rPr>
          <w:rFonts w:ascii="Courier New" w:cs="Courier New" w:eastAsia="Courier New" w:hAnsi="Courier New"/>
          <w:sz w:val="18"/>
          <w:szCs w:val="18"/>
          <w:color w:val="auto"/>
        </w:rPr>
        <w:t>interest rates rise. Based on the Company's overall interest rate exposure at January 31, 2007, a 10% change in market interest rates would not have a material effect on the fair value of the Company's fixed income securities or results of operations.</w:t>
      </w:r>
    </w:p>
    <w:p>
      <w:pPr>
        <w:sectPr>
          <w:pgSz w:w="11900" w:h="16838" w:orient="portrait"/>
          <w:cols w:equalWidth="0" w:num="1">
            <w:col w:w="10219"/>
          </w:cols>
          <w:pgMar w:left="240" w:top="142" w:right="1440" w:bottom="1440" w:gutter="0" w:footer="0" w:header="0"/>
        </w:sectPr>
      </w:pPr>
    </w:p>
    <w:bookmarkStart w:id="24" w:name="page25"/>
    <w:bookmarkEnd w:id="24"/>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January 31, 2007, the amount related to foreign currency exchange rates is a $3,816,000 unrealized gain.</w:t>
      </w:r>
    </w:p>
    <w:p>
      <w:pPr>
        <w:spacing w:after="0" w:line="1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Controls and Procedures</w:t>
      </w:r>
    </w:p>
    <w:p>
      <w:pPr>
        <w:spacing w:after="0" w:line="202" w:lineRule="exact"/>
        <w:rPr>
          <w:sz w:val="20"/>
          <w:szCs w:val="20"/>
          <w:color w:val="auto"/>
        </w:rPr>
      </w:pPr>
    </w:p>
    <w:p>
      <w:pPr>
        <w:ind w:left="540"/>
        <w:spacing w:after="0"/>
        <w:tabs>
          <w:tab w:leader="none" w:pos="1780" w:val="left"/>
          <w:tab w:leader="none" w:pos="3260" w:val="left"/>
        </w:tabs>
        <w:rPr>
          <w:sz w:val="20"/>
          <w:szCs w:val="20"/>
          <w:color w:val="auto"/>
        </w:rPr>
      </w:pPr>
      <w:r>
        <w:rPr>
          <w:rFonts w:ascii="Courier New" w:cs="Courier New" w:eastAsia="Courier New" w:hAnsi="Courier New"/>
          <w:sz w:val="18"/>
          <w:szCs w:val="18"/>
          <w:color w:val="auto"/>
        </w:rPr>
        <w:t>Disclosure</w:t>
        <w:tab/>
        <w:t>Controls and</w:t>
      </w:r>
      <w:r>
        <w:rPr>
          <w:sz w:val="20"/>
          <w:szCs w:val="20"/>
          <w:color w:val="auto"/>
        </w:rPr>
        <w:tab/>
      </w:r>
      <w:r>
        <w:rPr>
          <w:rFonts w:ascii="Courier New" w:cs="Courier New" w:eastAsia="Courier New" w:hAnsi="Courier New"/>
          <w:sz w:val="16"/>
          <w:szCs w:val="16"/>
          <w:color w:val="auto"/>
        </w:rPr>
        <w:t>Procedures.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 to ensure that information required to be disclosed by the Company in the reports that it files or submits under the Exchange Act is recorded, processed, summarized and reported, within the time periods specified in the SEC's rules and forms and</w:t>
      </w:r>
    </w:p>
    <w:p>
      <w:pPr>
        <w:spacing w:after="0" w:line="13" w:lineRule="exact"/>
        <w:rPr>
          <w:sz w:val="20"/>
          <w:szCs w:val="20"/>
          <w:color w:val="auto"/>
        </w:rPr>
      </w:pPr>
    </w:p>
    <w:p>
      <w:pPr>
        <w:jc w:val="both"/>
        <w:ind w:right="177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ensure that information required to be disclosed by the Company in the reports that it submits under the Exchange Act is accumulated and communicated to its management, including the Company's principal executive and principal financial officers, or persons performing similar functions, as appropriate, to allow timely decisions regarding required disclosure.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Internal Control Over Financial Reporting.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 1A, 2, 3, 4 and 5 are omitted because they are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w:t>
      </w:r>
    </w:p>
    <w:p>
      <w:pPr>
        <w:spacing w:after="0" w:line="207" w:lineRule="exact"/>
        <w:rPr>
          <w:sz w:val="20"/>
          <w:szCs w:val="20"/>
          <w:color w:val="auto"/>
        </w:rPr>
      </w:pPr>
    </w:p>
    <w:p>
      <w:pPr>
        <w:ind w:left="960" w:right="2099" w:hanging="736"/>
        <w:spacing w:after="0" w:line="235" w:lineRule="auto"/>
        <w:rPr>
          <w:sz w:val="20"/>
          <w:szCs w:val="20"/>
          <w:color w:val="auto"/>
        </w:rPr>
      </w:pPr>
      <w:r>
        <w:rPr>
          <w:rFonts w:ascii="Courier New" w:cs="Courier New" w:eastAsia="Courier New" w:hAnsi="Courier New"/>
          <w:sz w:val="18"/>
          <w:szCs w:val="18"/>
          <w:color w:val="auto"/>
        </w:rPr>
        <w:t>31.1 - Certification by the Chief Executive Officer Pursuant to Section 302 of the Sarbanes-Oxley Act of 2002.</w:t>
      </w:r>
    </w:p>
    <w:p>
      <w:pPr>
        <w:spacing w:after="0" w:line="6" w:lineRule="exact"/>
        <w:rPr>
          <w:sz w:val="20"/>
          <w:szCs w:val="20"/>
          <w:color w:val="auto"/>
        </w:rPr>
      </w:pPr>
    </w:p>
    <w:p>
      <w:pPr>
        <w:ind w:left="960" w:right="2099" w:hanging="736"/>
        <w:spacing w:after="0" w:line="235" w:lineRule="auto"/>
        <w:rPr>
          <w:sz w:val="20"/>
          <w:szCs w:val="20"/>
          <w:color w:val="auto"/>
        </w:rPr>
      </w:pPr>
      <w:r>
        <w:rPr>
          <w:rFonts w:ascii="Courier New" w:cs="Courier New" w:eastAsia="Courier New" w:hAnsi="Courier New"/>
          <w:sz w:val="18"/>
          <w:szCs w:val="18"/>
          <w:color w:val="auto"/>
        </w:rPr>
        <w:t>31.2 - Certification by the Chief Financial Officer Pursuant to Section 302 of the Sarbanes-Oxley Act of 2002</w:t>
      </w:r>
    </w:p>
    <w:p>
      <w:pPr>
        <w:spacing w:after="0" w:line="6" w:lineRule="exact"/>
        <w:rPr>
          <w:sz w:val="20"/>
          <w:szCs w:val="20"/>
          <w:color w:val="auto"/>
        </w:rPr>
      </w:pPr>
    </w:p>
    <w:p>
      <w:pPr>
        <w:jc w:val="both"/>
        <w:ind w:left="960" w:right="2319" w:hanging="736"/>
        <w:spacing w:after="0" w:line="236" w:lineRule="auto"/>
        <w:rPr>
          <w:sz w:val="20"/>
          <w:szCs w:val="20"/>
          <w:color w:val="auto"/>
        </w:rPr>
      </w:pPr>
      <w:r>
        <w:rPr>
          <w:rFonts w:ascii="Courier New" w:cs="Courier New" w:eastAsia="Courier New" w:hAnsi="Courier New"/>
          <w:sz w:val="18"/>
          <w:szCs w:val="18"/>
          <w:color w:val="auto"/>
        </w:rPr>
        <w:t>32.1 - Certification by the Chief Executive Officer Pursuant to 18 U.S.C. Section 1350 Adopted Pursuant to Section 906 of the Sarbanes-Oxley Act of 2002.</w:t>
      </w:r>
    </w:p>
    <w:p>
      <w:pPr>
        <w:spacing w:after="0" w:line="6" w:lineRule="exact"/>
        <w:rPr>
          <w:sz w:val="20"/>
          <w:szCs w:val="20"/>
          <w:color w:val="auto"/>
        </w:rPr>
      </w:pPr>
    </w:p>
    <w:p>
      <w:pPr>
        <w:jc w:val="both"/>
        <w:ind w:left="960" w:right="2319" w:hanging="736"/>
        <w:spacing w:after="0" w:line="236" w:lineRule="auto"/>
        <w:rPr>
          <w:sz w:val="20"/>
          <w:szCs w:val="20"/>
          <w:color w:val="auto"/>
        </w:rPr>
      </w:pPr>
      <w:r>
        <w:rPr>
          <w:rFonts w:ascii="Courier New" w:cs="Courier New" w:eastAsia="Courier New" w:hAnsi="Courier New"/>
          <w:sz w:val="18"/>
          <w:szCs w:val="18"/>
          <w:color w:val="auto"/>
        </w:rPr>
        <w:t>32.2 - Certification by the Chief Financial Officer Pursuant to 18 U.S.C. Section 1350 Adopted Pursuant to Section 906 of the Sarbanes-Oxley Act of 2002.</w:t>
      </w:r>
    </w:p>
    <w:p>
      <w:pPr>
        <w:sectPr>
          <w:pgSz w:w="11900" w:h="16838" w:orient="portrait"/>
          <w:cols w:equalWidth="0" w:num="1">
            <w:col w:w="10219"/>
          </w:cols>
          <w:pgMar w:left="240" w:top="919" w:right="1440" w:bottom="1440" w:gutter="0" w:footer="0" w:header="0"/>
        </w:sectPr>
      </w:pPr>
    </w:p>
    <w:bookmarkStart w:id="25" w:name="page26"/>
    <w:bookmarkEnd w:id="2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FREQUENCY ELECTRONICS, INC.</w:t>
      </w:r>
    </w:p>
    <w:p>
      <w:pPr>
        <w:ind w:left="560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16, 2007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00"/>
        <w:spacing w:after="0"/>
        <w:tabs>
          <w:tab w:leader="none" w:pos="9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Alan Miller</w:t>
      </w:r>
    </w:p>
    <w:p>
      <w:pPr>
        <w:ind w:left="4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(principal financial officer</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and duly authorized officer)</w:t>
      </w:r>
    </w:p>
    <w:p>
      <w:pPr>
        <w:sectPr>
          <w:pgSz w:w="11900" w:h="16838" w:orient="portrait"/>
          <w:cols w:equalWidth="0" w:num="3">
            <w:col w:w="3920" w:space="720"/>
            <w:col w:w="220" w:space="0"/>
            <w:col w:w="5359"/>
          </w:cols>
          <w:pgMar w:left="240" w:top="1122" w:right="1440" w:bottom="1440" w:gutter="0" w:footer="0" w:header="0"/>
          <w:type w:val="continuous"/>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B. Bloch,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Martin Bloch</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16, 2007</w:t>
      </w:r>
    </w:p>
    <w:p>
      <w:pPr>
        <w:sectPr>
          <w:pgSz w:w="11900" w:h="16838" w:orient="portrait"/>
          <w:cols w:equalWidth="0" w:num="2">
            <w:col w:w="5400" w:space="720"/>
            <w:col w:w="4099"/>
          </w:cols>
          <w:pgMar w:left="240" w:top="919" w:right="1440" w:bottom="1440" w:gutter="0" w:footer="0" w:header="0"/>
          <w:type w:val="continuous"/>
        </w:sectPr>
      </w:pPr>
    </w:p>
    <w:bookmarkStart w:id="27" w:name="page28"/>
    <w:bookmarkEnd w:id="27"/>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Alan L. Miller,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Alan Miller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16, 2007</w:t>
      </w:r>
    </w:p>
    <w:p>
      <w:pPr>
        <w:sectPr>
          <w:pgSz w:w="11900" w:h="16838" w:orient="portrait"/>
          <w:cols w:equalWidth="0" w:num="2">
            <w:col w:w="5400" w:space="720"/>
            <w:col w:w="4099"/>
          </w:cols>
          <w:pgMar w:left="240" w:top="919" w:right="1440" w:bottom="1440" w:gutter="0" w:footer="0" w:header="0"/>
          <w:type w:val="continuous"/>
        </w:sectPr>
      </w:pPr>
    </w:p>
    <w:bookmarkStart w:id="28" w:name="page29"/>
    <w:bookmarkEnd w:id="28"/>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January 31, 2007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1060" w:right="1779" w:hanging="525"/>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Martin Bloch</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16, 2007</w:t>
      </w:r>
    </w:p>
    <w:p>
      <w:pPr>
        <w:spacing w:after="0" w:line="807" w:lineRule="exact"/>
        <w:rPr>
          <w:sz w:val="20"/>
          <w:szCs w:val="20"/>
          <w:color w:val="auto"/>
        </w:rPr>
      </w:pPr>
    </w:p>
    <w:p>
      <w:pPr>
        <w:sectPr>
          <w:pgSz w:w="11900" w:h="16838" w:orient="portrait"/>
          <w:cols w:equalWidth="0" w:num="2">
            <w:col w:w="5300" w:space="720"/>
            <w:col w:w="419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388"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0219"/>
          </w:cols>
          <w:pgMar w:left="240" w:top="919" w:right="1440" w:bottom="1440" w:gutter="0" w:footer="0" w:header="0"/>
          <w:type w:val="continuous"/>
        </w:sectPr>
      </w:pPr>
    </w:p>
    <w:bookmarkStart w:id="29" w:name="page30"/>
    <w:bookmarkEnd w:id="29"/>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January 31, 2007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1060" w:right="1779" w:hanging="525"/>
        <w:spacing w:after="0" w:line="235"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Alan Miller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March 16, 2007</w:t>
      </w:r>
    </w:p>
    <w:p>
      <w:pPr>
        <w:spacing w:after="0" w:line="807" w:lineRule="exact"/>
        <w:rPr>
          <w:sz w:val="20"/>
          <w:szCs w:val="20"/>
          <w:color w:val="auto"/>
        </w:rPr>
      </w:pPr>
    </w:p>
    <w:p>
      <w:pPr>
        <w:sectPr>
          <w:pgSz w:w="11900" w:h="16838" w:orient="portrait"/>
          <w:cols w:equalWidth="0" w:num="2">
            <w:col w:w="5080" w:space="720"/>
            <w:col w:w="441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388"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Roman"/>
      <w:start w:val="2"/>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2019-12-13T01:32:39Z</dcterms:created>
  <dcterms:modified xsi:type="dcterms:W3CDTF">2019-12-13T01:32:39Z</dcterms:modified>
</cp:coreProperties>
</file>