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163830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9" w:lineRule="exact"/>
        <w:rPr>
          <w:sz w:val="24"/>
          <w:szCs w:val="24"/>
          <w:color w:val="auto"/>
        </w:rPr>
      </w:pPr>
    </w:p>
    <w:p>
      <w:pPr>
        <w:ind w:left="1440" w:hanging="206"/>
        <w:spacing w:after="0"/>
        <w:tabs>
          <w:tab w:leader="none" w:pos="1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January 31,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jc w:val="center"/>
        <w:ind w:left="3520" w:right="1220" w:hanging="2296"/>
        <w:spacing w:after="0" w:line="500" w:lineRule="auto"/>
        <w:tabs>
          <w:tab w:leader="none" w:pos="143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5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No. 1-8061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FREQUENCY ELECTRONICS,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11-1986657</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55 CHARLES LINDBERGH BLVD., MITCHEL FIELD, NY</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11553</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516-794-4500</w:t>
            </w:r>
          </w:p>
        </w:tc>
        <w:tc>
          <w:tcPr>
            <w:tcW w:w="5500" w:type="dxa"/>
            <w:vAlign w:val="bottom"/>
          </w:tcPr>
          <w:p>
            <w:pPr>
              <w:spacing w:after="0"/>
              <w:rPr>
                <w:sz w:val="24"/>
                <w:szCs w:val="24"/>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$1.00 per share)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FEIM</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r>
    </w:tbl>
    <w:p>
      <w:pPr>
        <w:spacing w:after="0" w:line="17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93" w:right="339" w:bottom="1440" w:gutter="0" w:footer="0" w:header="0"/>
        </w:sectPr>
      </w:pP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4900" w:space="720"/>
            <w:col w:w="5620"/>
          </w:cols>
          <w:pgMar w:left="320" w:top="493"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registrant’s Common Stock, par value $1.00 per share, as of March 12, 2026 – 9,841,927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0" w:type="dxa"/>
            <w:vAlign w:val="bottom"/>
            <w:gridSpan w:val="9"/>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9"/>
              </w:rPr>
              <w:t>FREQUENCY ELECTRONICS, INC. and SUBSIDIARIES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0" w:type="dxa"/>
            <w:vAlign w:val="bottom"/>
            <w:gridSpan w:val="9"/>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5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 No.</w:t>
            </w:r>
          </w:p>
        </w:tc>
        <w:tc>
          <w:tcPr>
            <w:tcW w:w="0" w:type="dxa"/>
            <w:vAlign w:val="bottom"/>
          </w:tcPr>
          <w:p>
            <w:pPr>
              <w:spacing w:after="0"/>
              <w:rPr>
                <w:sz w:val="1"/>
                <w:szCs w:val="1"/>
                <w:color w:val="auto"/>
              </w:rPr>
            </w:pPr>
          </w:p>
        </w:tc>
      </w:tr>
      <w:tr>
        <w:trPr>
          <w:trHeight w:val="196"/>
        </w:trPr>
        <w:tc>
          <w:tcPr>
            <w:tcW w:w="10560" w:type="dxa"/>
            <w:vAlign w:val="bottom"/>
            <w:gridSpan w:val="19"/>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60" w:type="dxa"/>
            <w:vAlign w:val="bottom"/>
          </w:tcPr>
          <w:p>
            <w:pPr>
              <w:spacing w:after="0"/>
              <w:rPr>
                <w:sz w:val="24"/>
                <w:szCs w:val="24"/>
                <w:color w:val="auto"/>
              </w:rPr>
            </w:pPr>
          </w:p>
        </w:tc>
        <w:tc>
          <w:tcPr>
            <w:tcW w:w="2180" w:type="dxa"/>
            <w:vAlign w:val="bottom"/>
            <w:tcBorders>
              <w:bottom w:val="single" w:sz="8" w:color="0000EE"/>
            </w:tcBorders>
            <w:gridSpan w:val="8"/>
          </w:tcPr>
          <w:p>
            <w:pPr>
              <w:ind w:left="20"/>
              <w:spacing w:after="0"/>
              <w:rPr>
                <w:sz w:val="20"/>
                <w:szCs w:val="20"/>
                <w:color w:val="auto"/>
              </w:rPr>
            </w:pPr>
            <w:r>
              <w:rPr>
                <w:rFonts w:ascii="Times New Roman" w:cs="Times New Roman" w:eastAsia="Times New Roman" w:hAnsi="Times New Roman"/>
                <w:sz w:val="18"/>
                <w:szCs w:val="18"/>
                <w:color w:val="0000EE"/>
                <w:w w:val="98"/>
              </w:rPr>
              <w:t>Item 1 - Financial Statements:</w:t>
            </w:r>
          </w:p>
        </w:tc>
        <w:tc>
          <w:tcPr>
            <w:tcW w:w="8220" w:type="dxa"/>
            <w:vAlign w:val="bottom"/>
            <w:gridSpan w:val="10"/>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 January 31, 2026 (unaudited) and April 30, 2025</w:t>
            </w:r>
          </w:p>
        </w:tc>
        <w:tc>
          <w:tcPr>
            <w:tcW w:w="3600" w:type="dxa"/>
            <w:vAlign w:val="bottom"/>
            <w:gridSpan w:val="5"/>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9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 Three and Nine Months Ended January 31, 2026 and 2025 (unaudited)</w:t>
            </w:r>
          </w:p>
        </w:tc>
        <w:tc>
          <w:tcPr>
            <w:tcW w:w="1300" w:type="dxa"/>
            <w:vAlign w:val="bottom"/>
            <w:gridSpan w:val="2"/>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Nine Months Ended January 31, 2026 and 2025 (unaudited)</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1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Changes in Stockholders’ Equity – Three and Nine Months Ended January 31, 2026 and 2025</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9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5360" w:type="dxa"/>
            <w:vAlign w:val="bottom"/>
            <w:gridSpan w:val="6"/>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8-15</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104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EE"/>
              </w:rPr>
              <w:t>Item 2 - Management’s Discussion and Analysis of Financial Condition and Results of Operations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16-22</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5000" w:type="dxa"/>
            <w:vAlign w:val="bottom"/>
            <w:tcBorders>
              <w:top w:val="single" w:sz="8" w:color="0000EE"/>
              <w:bottom w:val="single" w:sz="8" w:color="0000EE"/>
            </w:tcBorders>
            <w:gridSpan w:val="11"/>
          </w:tcPr>
          <w:p>
            <w:pPr>
              <w:ind w:left="20"/>
              <w:spacing w:after="0"/>
              <w:rPr>
                <w:sz w:val="20"/>
                <w:szCs w:val="20"/>
                <w:color w:val="auto"/>
              </w:rPr>
            </w:pPr>
            <w:r>
              <w:rPr>
                <w:rFonts w:ascii="Times New Roman" w:cs="Times New Roman" w:eastAsia="Times New Roman" w:hAnsi="Times New Roman"/>
                <w:sz w:val="18"/>
                <w:szCs w:val="18"/>
                <w:color w:val="0000EE"/>
                <w:w w:val="99"/>
              </w:rPr>
              <w:t>Item 3 - Quantitative and Qualitative Disclosures About Market Risk</w:t>
            </w:r>
          </w:p>
        </w:tc>
        <w:tc>
          <w:tcPr>
            <w:tcW w:w="2080" w:type="dxa"/>
            <w:vAlign w:val="bottom"/>
            <w:tcBorders>
              <w:top w:val="single" w:sz="8" w:color="0000EE"/>
            </w:tcBorders>
            <w:gridSpan w:val="3"/>
          </w:tcPr>
          <w:p>
            <w:pPr>
              <w:spacing w:after="0"/>
              <w:rPr>
                <w:sz w:val="24"/>
                <w:szCs w:val="24"/>
                <w:color w:val="auto"/>
              </w:rPr>
            </w:pPr>
          </w:p>
        </w:tc>
        <w:tc>
          <w:tcPr>
            <w:tcW w:w="3320" w:type="dxa"/>
            <w:vAlign w:val="bottom"/>
            <w:gridSpan w:val="4"/>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2400" w:type="dxa"/>
            <w:vAlign w:val="bottom"/>
            <w:tcBorders>
              <w:bottom w:val="single" w:sz="8" w:color="0000EE"/>
            </w:tcBorders>
            <w:gridSpan w:val="9"/>
          </w:tcPr>
          <w:p>
            <w:pPr>
              <w:ind w:left="20"/>
              <w:spacing w:after="0"/>
              <w:rPr>
                <w:sz w:val="20"/>
                <w:szCs w:val="20"/>
                <w:color w:val="auto"/>
              </w:rPr>
            </w:pPr>
            <w:r>
              <w:rPr>
                <w:rFonts w:ascii="Times New Roman" w:cs="Times New Roman" w:eastAsia="Times New Roman" w:hAnsi="Times New Roman"/>
                <w:sz w:val="18"/>
                <w:szCs w:val="18"/>
                <w:color w:val="0000EE"/>
                <w:w w:val="98"/>
              </w:rPr>
              <w:t>Item 4 - Controls and Procedures</w:t>
            </w:r>
          </w:p>
        </w:tc>
        <w:tc>
          <w:tcPr>
            <w:tcW w:w="8000" w:type="dxa"/>
            <w:vAlign w:val="bottom"/>
            <w:gridSpan w:val="9"/>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453"/>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60" w:type="dxa"/>
            <w:vAlign w:val="bottom"/>
          </w:tcPr>
          <w:p>
            <w:pPr>
              <w:spacing w:after="0"/>
              <w:rPr>
                <w:sz w:val="24"/>
                <w:szCs w:val="24"/>
                <w:color w:val="auto"/>
              </w:rPr>
            </w:pPr>
          </w:p>
        </w:tc>
        <w:tc>
          <w:tcPr>
            <w:tcW w:w="1660" w:type="dxa"/>
            <w:vAlign w:val="bottom"/>
            <w:tcBorders>
              <w:bottom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0000EE"/>
                <w:w w:val="98"/>
              </w:rPr>
              <w:t>Item 1A - Risk Factors</w:t>
            </w:r>
          </w:p>
        </w:tc>
        <w:tc>
          <w:tcPr>
            <w:tcW w:w="8740" w:type="dxa"/>
            <w:vAlign w:val="bottom"/>
            <w:gridSpan w:val="12"/>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4980" w:type="dxa"/>
            <w:vAlign w:val="bottom"/>
            <w:tcBorders>
              <w:bottom w:val="single" w:sz="8" w:color="0000EE"/>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Item 2 - Unregistered Sales of Equity Securities and Use of Proceeds</w:t>
            </w:r>
          </w:p>
        </w:tc>
        <w:tc>
          <w:tcPr>
            <w:tcW w:w="5420" w:type="dxa"/>
            <w:vAlign w:val="bottom"/>
            <w:gridSpan w:val="8"/>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940" w:type="dxa"/>
            <w:vAlign w:val="bottom"/>
            <w:tcBorders>
              <w:bottom w:val="single" w:sz="8" w:color="0000EE"/>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Item 5 - Other Information</w:t>
            </w:r>
          </w:p>
        </w:tc>
        <w:tc>
          <w:tcPr>
            <w:tcW w:w="8460" w:type="dxa"/>
            <w:vAlign w:val="bottom"/>
            <w:gridSpan w:val="11"/>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0400" w:type="dxa"/>
            <w:vAlign w:val="bottom"/>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EE"/>
              </w:rPr>
              <w:t>Item 6 - Exhibits</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1220" w:type="dxa"/>
            <w:vAlign w:val="bottom"/>
            <w:tcBorders>
              <w:top w:val="single" w:sz="8" w:color="0000EE"/>
            </w:tcBorders>
            <w:gridSpan w:val="4"/>
          </w:tcPr>
          <w:p>
            <w:pPr>
              <w:ind w:left="20"/>
              <w:spacing w:after="0"/>
              <w:rPr>
                <w:sz w:val="20"/>
                <w:szCs w:val="20"/>
                <w:color w:val="auto"/>
              </w:rPr>
            </w:pPr>
            <w:r>
              <w:rPr>
                <w:rFonts w:ascii="Times New Roman" w:cs="Times New Roman" w:eastAsia="Times New Roman" w:hAnsi="Times New Roman"/>
                <w:sz w:val="18"/>
                <w:szCs w:val="18"/>
                <w:color w:val="0000EE"/>
              </w:rPr>
              <w:t>Signatures</w:t>
            </w:r>
          </w:p>
        </w:tc>
        <w:tc>
          <w:tcPr>
            <w:tcW w:w="9180" w:type="dxa"/>
            <w:vAlign w:val="bottom"/>
            <w:gridSpan w:val="14"/>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351"/>
        </w:trPr>
        <w:tc>
          <w:tcPr>
            <w:tcW w:w="160" w:type="dxa"/>
            <w:vAlign w:val="bottom"/>
            <w:tcBorders>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0"/>
        </w:trPr>
        <w:tc>
          <w:tcPr>
            <w:tcW w:w="6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638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6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3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FREQUENCY ELECTRONICS, INC. and SUBSIDIARIES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3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3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(In thousands, except par value)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6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0" w:type="dxa"/>
            <w:vAlign w:val="bottom"/>
          </w:tcPr>
          <w:p>
            <w:pPr>
              <w:spacing w:after="0"/>
              <w:rPr>
                <w:sz w:val="1"/>
                <w:szCs w:val="1"/>
                <w:color w:val="auto"/>
              </w:rPr>
            </w:pPr>
          </w:p>
        </w:tc>
      </w:tr>
      <w:tr>
        <w:trPr>
          <w:trHeight w:val="238"/>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380" w:type="dxa"/>
            <w:vAlign w:val="bottom"/>
            <w:vMerge w:val="restart"/>
          </w:tcPr>
          <w:p>
            <w:pPr>
              <w:jc w:val="center"/>
              <w:ind w:right="21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(UNAUDITED)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3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4,720</w:t>
            </w:r>
          </w:p>
        </w:tc>
        <w:tc>
          <w:tcPr>
            <w:tcW w:w="0" w:type="dxa"/>
            <w:vAlign w:val="bottom"/>
          </w:tcPr>
          <w:p>
            <w:pPr>
              <w:spacing w:after="0"/>
              <w:rPr>
                <w:sz w:val="1"/>
                <w:szCs w:val="1"/>
                <w:color w:val="auto"/>
              </w:rPr>
            </w:pPr>
          </w:p>
        </w:tc>
      </w:tr>
      <w:tr>
        <w:trPr>
          <w:trHeight w:val="216"/>
        </w:trPr>
        <w:tc>
          <w:tcPr>
            <w:tcW w:w="85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 of $102 at January 31, 2026 and $110 at April 30, 2025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10,723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5,914</w:t>
            </w:r>
          </w:p>
        </w:tc>
        <w:tc>
          <w:tcPr>
            <w:tcW w:w="0" w:type="dxa"/>
            <w:vAlign w:val="bottom"/>
          </w:tcPr>
          <w:p>
            <w:pPr>
              <w:spacing w:after="0"/>
              <w:rPr>
                <w:sz w:val="1"/>
                <w:szCs w:val="1"/>
                <w:color w:val="auto"/>
              </w:rPr>
            </w:pPr>
          </w:p>
        </w:tc>
      </w:tr>
      <w:tr>
        <w:trPr>
          <w:trHeight w:val="216"/>
        </w:trPr>
        <w:tc>
          <w:tcPr>
            <w:tcW w:w="85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17,914</w:t>
            </w:r>
          </w:p>
        </w:tc>
        <w:tc>
          <w:tcPr>
            <w:tcW w:w="0" w:type="dxa"/>
            <w:vAlign w:val="bottom"/>
          </w:tcPr>
          <w:p>
            <w:pPr>
              <w:spacing w:after="0"/>
              <w:rPr>
                <w:sz w:val="1"/>
                <w:szCs w:val="1"/>
                <w:color w:val="auto"/>
              </w:rPr>
            </w:pPr>
          </w:p>
        </w:tc>
      </w:tr>
      <w:tr>
        <w:trPr>
          <w:trHeight w:val="216"/>
        </w:trPr>
        <w:tc>
          <w:tcPr>
            <w:tcW w:w="85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25,834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23,487</w:t>
            </w:r>
          </w:p>
        </w:tc>
        <w:tc>
          <w:tcPr>
            <w:tcW w:w="0" w:type="dxa"/>
            <w:vAlign w:val="bottom"/>
          </w:tcPr>
          <w:p>
            <w:pPr>
              <w:spacing w:after="0"/>
              <w:rPr>
                <w:sz w:val="1"/>
                <w:szCs w:val="1"/>
                <w:color w:val="auto"/>
              </w:rPr>
            </w:pPr>
          </w:p>
        </w:tc>
      </w:tr>
      <w:tr>
        <w:trPr>
          <w:trHeight w:val="216"/>
        </w:trPr>
        <w:tc>
          <w:tcPr>
            <w:tcW w:w="85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993</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09"/>
        </w:trPr>
        <w:tc>
          <w:tcPr>
            <w:tcW w:w="8580" w:type="dxa"/>
            <w:vAlign w:val="bottom"/>
            <w:tcBorders>
              <w:top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6,955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6,188</w:t>
            </w:r>
          </w:p>
        </w:tc>
        <w:tc>
          <w:tcPr>
            <w:tcW w:w="0" w:type="dxa"/>
            <w:vAlign w:val="bottom"/>
          </w:tcPr>
          <w:p>
            <w:pPr>
              <w:spacing w:after="0"/>
              <w:rPr>
                <w:sz w:val="1"/>
                <w:szCs w:val="1"/>
                <w:color w:val="auto"/>
              </w:rPr>
            </w:pPr>
          </w:p>
        </w:tc>
      </w:tr>
      <w:tr>
        <w:trPr>
          <w:trHeight w:val="216"/>
        </w:trPr>
        <w:tc>
          <w:tcPr>
            <w:tcW w:w="8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12,045</w:t>
            </w:r>
          </w:p>
        </w:tc>
        <w:tc>
          <w:tcPr>
            <w:tcW w:w="0" w:type="dxa"/>
            <w:vAlign w:val="bottom"/>
          </w:tcPr>
          <w:p>
            <w:pPr>
              <w:spacing w:after="0"/>
              <w:rPr>
                <w:sz w:val="1"/>
                <w:szCs w:val="1"/>
                <w:color w:val="auto"/>
              </w:rPr>
            </w:pPr>
          </w:p>
        </w:tc>
      </w:tr>
      <w:tr>
        <w:trPr>
          <w:trHeight w:val="216"/>
        </w:trPr>
        <w:tc>
          <w:tcPr>
            <w:tcW w:w="8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Goodwill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8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surrender value of life insurance and assets held in trust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11,659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10,882</w:t>
            </w:r>
          </w:p>
        </w:tc>
        <w:tc>
          <w:tcPr>
            <w:tcW w:w="0" w:type="dxa"/>
            <w:vAlign w:val="bottom"/>
          </w:tcPr>
          <w:p>
            <w:pPr>
              <w:spacing w:after="0"/>
              <w:rPr>
                <w:sz w:val="1"/>
                <w:szCs w:val="1"/>
                <w:color w:val="auto"/>
              </w:rPr>
            </w:pPr>
          </w:p>
        </w:tc>
      </w:tr>
      <w:tr>
        <w:trPr>
          <w:trHeight w:val="216"/>
        </w:trPr>
        <w:tc>
          <w:tcPr>
            <w:tcW w:w="8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7,860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8,659</w:t>
            </w:r>
          </w:p>
        </w:tc>
        <w:tc>
          <w:tcPr>
            <w:tcW w:w="0" w:type="dxa"/>
            <w:vAlign w:val="bottom"/>
          </w:tcPr>
          <w:p>
            <w:pPr>
              <w:spacing w:after="0"/>
              <w:rPr>
                <w:sz w:val="1"/>
                <w:szCs w:val="1"/>
                <w:color w:val="auto"/>
              </w:rPr>
            </w:pPr>
          </w:p>
        </w:tc>
      </w:tr>
      <w:tr>
        <w:trPr>
          <w:trHeight w:val="216"/>
        </w:trPr>
        <w:tc>
          <w:tcPr>
            <w:tcW w:w="8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30"/>
        </w:trPr>
        <w:tc>
          <w:tcPr>
            <w:tcW w:w="8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23"/>
        </w:trPr>
        <w:tc>
          <w:tcPr>
            <w:tcW w:w="85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380" w:type="dxa"/>
            <w:vAlign w:val="bottom"/>
            <w:shd w:val="clear" w:color="auto" w:fill="CCEEFF"/>
          </w:tcPr>
          <w:p>
            <w:pPr>
              <w:jc w:val="center"/>
              <w:ind w:right="215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16"/>
        </w:trPr>
        <w:tc>
          <w:tcPr>
            <w:tcW w:w="85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5,899</w:t>
            </w:r>
          </w:p>
        </w:tc>
        <w:tc>
          <w:tcPr>
            <w:tcW w:w="0" w:type="dxa"/>
            <w:vAlign w:val="bottom"/>
          </w:tcPr>
          <w:p>
            <w:pPr>
              <w:spacing w:after="0"/>
              <w:rPr>
                <w:sz w:val="1"/>
                <w:szCs w:val="1"/>
                <w:color w:val="auto"/>
              </w:rPr>
            </w:pPr>
          </w:p>
        </w:tc>
      </w:tr>
      <w:tr>
        <w:trPr>
          <w:trHeight w:val="216"/>
        </w:trPr>
        <w:tc>
          <w:tcPr>
            <w:tcW w:w="85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provision accrual</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85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85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30"/>
        </w:trPr>
        <w:tc>
          <w:tcPr>
            <w:tcW w:w="85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9,889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13,607</w:t>
            </w:r>
          </w:p>
        </w:tc>
        <w:tc>
          <w:tcPr>
            <w:tcW w:w="0" w:type="dxa"/>
            <w:vAlign w:val="bottom"/>
          </w:tcPr>
          <w:p>
            <w:pPr>
              <w:spacing w:after="0"/>
              <w:rPr>
                <w:sz w:val="1"/>
                <w:szCs w:val="1"/>
                <w:color w:val="auto"/>
              </w:rPr>
            </w:pPr>
          </w:p>
        </w:tc>
      </w:tr>
      <w:tr>
        <w:trPr>
          <w:trHeight w:val="209"/>
        </w:trPr>
        <w:tc>
          <w:tcPr>
            <w:tcW w:w="8580" w:type="dxa"/>
            <w:vAlign w:val="bottom"/>
            <w:tcBorders>
              <w:top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7,782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7,933</w:t>
            </w:r>
          </w:p>
        </w:tc>
        <w:tc>
          <w:tcPr>
            <w:tcW w:w="0" w:type="dxa"/>
            <w:vAlign w:val="bottom"/>
          </w:tcPr>
          <w:p>
            <w:pPr>
              <w:spacing w:after="0"/>
              <w:rPr>
                <w:sz w:val="1"/>
                <w:szCs w:val="1"/>
                <w:color w:val="auto"/>
              </w:rPr>
            </w:pPr>
          </w:p>
        </w:tc>
      </w:tr>
      <w:tr>
        <w:trPr>
          <w:trHeight w:val="229"/>
        </w:trPr>
        <w:tc>
          <w:tcPr>
            <w:tcW w:w="8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 non-current portion</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6,729</w:t>
            </w:r>
          </w:p>
        </w:tc>
        <w:tc>
          <w:tcPr>
            <w:tcW w:w="0" w:type="dxa"/>
            <w:vAlign w:val="bottom"/>
          </w:tcPr>
          <w:p>
            <w:pPr>
              <w:spacing w:after="0"/>
              <w:rPr>
                <w:sz w:val="1"/>
                <w:szCs w:val="1"/>
                <w:color w:val="auto"/>
              </w:rPr>
            </w:pPr>
          </w:p>
        </w:tc>
      </w:tr>
      <w:tr>
        <w:trPr>
          <w:trHeight w:val="210"/>
        </w:trPr>
        <w:tc>
          <w:tcPr>
            <w:tcW w:w="8580" w:type="dxa"/>
            <w:vAlign w:val="bottom"/>
            <w:tcBorders>
              <w:bottom w:val="single" w:sz="8" w:color="CCEEFF"/>
            </w:tcBorders>
            <w:gridSpan w:val="4"/>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33,949</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 $1.00 par value; authorized 600 shares, no shares issued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580" w:type="dxa"/>
            <w:vAlign w:val="bottom"/>
            <w:gridSpan w:val="4"/>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$1.00 par value; authorized 20,000 shares, 9,896 shares issued and 9,840 shares outstanding at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January 31, 2026; 9,717 shares issued and 9,704 shares outstanding at April 30, 2025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9,896</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9,717</w:t>
            </w:r>
          </w:p>
        </w:tc>
        <w:tc>
          <w:tcPr>
            <w:tcW w:w="0" w:type="dxa"/>
            <w:vAlign w:val="bottom"/>
          </w:tcPr>
          <w:p>
            <w:pPr>
              <w:spacing w:after="0"/>
              <w:rPr>
                <w:sz w:val="1"/>
                <w:szCs w:val="1"/>
                <w:color w:val="auto"/>
              </w:rPr>
            </w:pPr>
          </w:p>
        </w:tc>
      </w:tr>
      <w:tr>
        <w:trPr>
          <w:trHeight w:val="216"/>
        </w:trPr>
        <w:tc>
          <w:tcPr>
            <w:tcW w:w="85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44,471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42,475</w:t>
            </w:r>
          </w:p>
        </w:tc>
        <w:tc>
          <w:tcPr>
            <w:tcW w:w="0" w:type="dxa"/>
            <w:vAlign w:val="bottom"/>
          </w:tcPr>
          <w:p>
            <w:pPr>
              <w:spacing w:after="0"/>
              <w:rPr>
                <w:sz w:val="1"/>
                <w:szCs w:val="1"/>
                <w:color w:val="auto"/>
              </w:rPr>
            </w:pPr>
          </w:p>
        </w:tc>
      </w:tr>
      <w:tr>
        <w:trPr>
          <w:trHeight w:val="216"/>
        </w:trPr>
        <w:tc>
          <w:tcPr>
            <w:tcW w:w="85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3,659</w:t>
            </w:r>
          </w:p>
        </w:tc>
        <w:tc>
          <w:tcPr>
            <w:tcW w:w="0" w:type="dxa"/>
            <w:vAlign w:val="bottom"/>
          </w:tcPr>
          <w:p>
            <w:pPr>
              <w:spacing w:after="0"/>
              <w:rPr>
                <w:sz w:val="1"/>
                <w:szCs w:val="1"/>
                <w:color w:val="auto"/>
              </w:rPr>
            </w:pPr>
          </w:p>
        </w:tc>
      </w:tr>
      <w:tr>
        <w:trPr>
          <w:trHeight w:val="198"/>
        </w:trPr>
        <w:tc>
          <w:tcPr>
            <w:tcW w:w="8580" w:type="dxa"/>
            <w:vAlign w:val="bottom"/>
            <w:gridSpan w:val="4"/>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reacquired and held in treasury - at cost (56 shares at January 31, 2026 and 13 shares at April 30,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shd w:val="clear" w:color="auto" w:fill="CCEEFF"/>
          </w:tcPr>
          <w:p>
            <w:pPr>
              <w:spacing w:after="0"/>
              <w:rPr>
                <w:sz w:val="21"/>
                <w:szCs w:val="21"/>
                <w:color w:val="auto"/>
              </w:rPr>
            </w:pPr>
          </w:p>
        </w:tc>
        <w:tc>
          <w:tcPr>
            <w:tcW w:w="63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9"/>
        </w:trPr>
        <w:tc>
          <w:tcPr>
            <w:tcW w:w="8580" w:type="dxa"/>
            <w:vAlign w:val="bottom"/>
            <w:tcBorders>
              <w:bottom w:val="single" w:sz="8" w:color="CCEEFF"/>
            </w:tcBorders>
            <w:gridSpan w:val="4"/>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60,243</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94,192</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9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16,890</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47,829</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49,825</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10,264</w:t>
            </w:r>
          </w:p>
        </w:tc>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10,642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29,585</w:t>
            </w:r>
          </w:p>
        </w:tc>
        <w:tc>
          <w:tcPr>
            <w:tcW w:w="36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27,222</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18,244</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3,593</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10,800</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1,763</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4,095</w:t>
            </w: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4,536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on investments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191</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562</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36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benefit for income taxes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(11,824)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36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(11,552)</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2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2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20,489</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income per share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0.16</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Diluted income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tcBorders>
              <w:bottom w:val="single" w:sz="8" w:color="CCEEFF"/>
            </w:tcBorders>
            <w:gridSpan w:val="2"/>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26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2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22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9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9,797</w:t>
            </w: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9,632</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9,760</w:t>
            </w:r>
          </w:p>
        </w:tc>
        <w:tc>
          <w:tcPr>
            <w:tcW w:w="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9,585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9,797</w:t>
            </w:r>
          </w:p>
        </w:tc>
        <w:tc>
          <w:tcPr>
            <w:tcW w:w="26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9,632</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9,760</w:t>
            </w:r>
          </w:p>
        </w:tc>
        <w:tc>
          <w:tcPr>
            <w:tcW w:w="22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9,589</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left="300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left="300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ind w:left="300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left="300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Non-cash charges 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fixed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 of dividend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treasury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Interest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3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Nine Months Ended January</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15601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ind w:left="38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15601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4,002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20,489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4,273</w:t>
            </w:r>
          </w:p>
        </w:tc>
        <w:tc>
          <w:tcPr>
            <w:tcW w:w="3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0" w:type="dxa"/>
            <w:vAlign w:val="bottom"/>
          </w:tcPr>
          <w:p>
            <w:pPr>
              <w:spacing w:after="0"/>
              <w:rPr>
                <w:sz w:val="1"/>
                <w:szCs w:val="1"/>
                <w:color w:val="auto"/>
              </w:rPr>
            </w:pPr>
          </w:p>
        </w:tc>
      </w:tr>
      <w:tr>
        <w:trPr>
          <w:trHeight w:val="248"/>
        </w:trPr>
        <w:tc>
          <w:tcPr>
            <w:tcW w:w="380" w:type="dxa"/>
            <w:vAlign w:val="bottom"/>
          </w:tcPr>
          <w:p>
            <w:pPr>
              <w:spacing w:after="0"/>
              <w:rPr>
                <w:sz w:val="21"/>
                <w:szCs w:val="21"/>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(9,054)</w:t>
            </w:r>
          </w:p>
        </w:tc>
        <w:tc>
          <w:tcPr>
            <w:tcW w:w="32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(14,124)</w:t>
            </w:r>
          </w:p>
        </w:tc>
        <w:tc>
          <w:tcPr>
            <w:tcW w:w="0" w:type="dxa"/>
            <w:vAlign w:val="bottom"/>
          </w:tcPr>
          <w:p>
            <w:pPr>
              <w:spacing w:after="0"/>
              <w:rPr>
                <w:sz w:val="1"/>
                <w:szCs w:val="1"/>
                <w:color w:val="auto"/>
              </w:rPr>
            </w:pPr>
          </w:p>
        </w:tc>
      </w:tr>
      <w:tr>
        <w:trPr>
          <w:trHeight w:val="209"/>
        </w:trPr>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(1,273</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655"/>
        </w:trPr>
        <w:tc>
          <w:tcPr>
            <w:tcW w:w="380" w:type="dxa"/>
            <w:vAlign w:val="bottom"/>
          </w:tcPr>
          <w:p>
            <w:pPr>
              <w:spacing w:after="0"/>
              <w:rPr>
                <w:sz w:val="24"/>
                <w:szCs w:val="24"/>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(2,254)</w:t>
            </w:r>
          </w:p>
        </w:tc>
        <w:tc>
          <w:tcPr>
            <w:tcW w:w="3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623"/>
        </w:trPr>
        <w:tc>
          <w:tcPr>
            <w:tcW w:w="380" w:type="dxa"/>
            <w:vAlign w:val="bottom"/>
          </w:tcPr>
          <w:p>
            <w:pPr>
              <w:spacing w:after="0"/>
              <w:rPr>
                <w:sz w:val="24"/>
                <w:szCs w:val="24"/>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(9,567)</w:t>
            </w:r>
          </w:p>
        </w:tc>
        <w:tc>
          <w:tcPr>
            <w:tcW w:w="0" w:type="dxa"/>
            <w:vAlign w:val="bottom"/>
          </w:tcPr>
          <w:p>
            <w:pPr>
              <w:spacing w:after="0"/>
              <w:rPr>
                <w:sz w:val="1"/>
                <w:szCs w:val="1"/>
                <w:color w:val="auto"/>
              </w:rPr>
            </w:pPr>
          </w:p>
        </w:tc>
      </w:tr>
      <w:tr>
        <w:trPr>
          <w:trHeight w:val="248"/>
        </w:trPr>
        <w:tc>
          <w:tcPr>
            <w:tcW w:w="380" w:type="dxa"/>
            <w:vAlign w:val="bottom"/>
          </w:tcPr>
          <w:p>
            <w:pPr>
              <w:spacing w:after="0"/>
              <w:rPr>
                <w:sz w:val="21"/>
                <w:szCs w:val="21"/>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(1,574)</w:t>
            </w:r>
          </w:p>
        </w:tc>
        <w:tc>
          <w:tcPr>
            <w:tcW w:w="32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09"/>
        </w:trPr>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(9,944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426"/>
        </w:trPr>
        <w:tc>
          <w:tcPr>
            <w:tcW w:w="380" w:type="dxa"/>
            <w:vAlign w:val="bottom"/>
          </w:tcPr>
          <w:p>
            <w:pPr>
              <w:spacing w:after="0"/>
              <w:rPr>
                <w:sz w:val="24"/>
                <w:szCs w:val="24"/>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(4,607)</w:t>
            </w:r>
          </w:p>
        </w:tc>
        <w:tc>
          <w:tcPr>
            <w:tcW w:w="3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(12,394)</w:t>
            </w:r>
          </w:p>
        </w:tc>
        <w:tc>
          <w:tcPr>
            <w:tcW w:w="0" w:type="dxa"/>
            <w:vAlign w:val="bottom"/>
          </w:tcPr>
          <w:p>
            <w:pPr>
              <w:spacing w:after="0"/>
              <w:rPr>
                <w:sz w:val="1"/>
                <w:szCs w:val="1"/>
                <w:color w:val="auto"/>
              </w:rPr>
            </w:pPr>
          </w:p>
        </w:tc>
      </w:tr>
      <w:tr>
        <w:trPr>
          <w:trHeight w:val="445"/>
        </w:trPr>
        <w:tc>
          <w:tcPr>
            <w:tcW w:w="380" w:type="dxa"/>
            <w:vAlign w:val="bottom"/>
          </w:tcPr>
          <w:p>
            <w:pPr>
              <w:spacing w:after="0"/>
              <w:rPr>
                <w:sz w:val="24"/>
                <w:szCs w:val="24"/>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6,085</w:t>
            </w:r>
          </w:p>
        </w:tc>
        <w:tc>
          <w:tcPr>
            <w:tcW w:w="320" w:type="dxa"/>
            <w:vAlign w:val="bottom"/>
          </w:tcPr>
          <w:p>
            <w:pPr>
              <w:spacing w:after="0"/>
              <w:rPr>
                <w:sz w:val="24"/>
                <w:szCs w:val="24"/>
                <w:color w:val="auto"/>
              </w:rPr>
            </w:pPr>
          </w:p>
        </w:tc>
        <w:tc>
          <w:tcPr>
            <w:tcW w:w="8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19,265</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329</w:t>
            </w:r>
          </w:p>
        </w:tc>
        <w:tc>
          <w:tcPr>
            <w:tcW w:w="22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310</w:t>
            </w:r>
          </w:p>
        </w:tc>
        <w:tc>
          <w:tcPr>
            <w:tcW w:w="20" w:type="dxa"/>
            <w:vAlign w:val="bottom"/>
            <w:tcBorders>
              <w:bottom w:val="single" w:sz="8" w:color="auto"/>
            </w:tcBorders>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8240" w:space="440"/>
            <w:col w:w="2520"/>
          </w:cols>
          <w:pgMar w:left="320" w:top="229"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and Nine Months Ended January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40" w:type="dxa"/>
            <w:vAlign w:val="bottom"/>
            <w:gridSpan w:val="6"/>
            <w:vMerge w:val="restart"/>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3"/>
                <w:szCs w:val="13"/>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22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1160" w:type="dxa"/>
            <w:vAlign w:val="bottom"/>
            <w:tcBorders>
              <w:top w:val="single" w:sz="8" w:color="auto"/>
            </w:tcBorders>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20" w:type="dxa"/>
            <w:vAlign w:val="bottom"/>
            <w:tcBorders>
              <w:top w:val="single" w:sz="8" w:color="auto"/>
            </w:tcBorders>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3"/>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2025</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9,716,999</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9,717</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42,475</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3,659</w:t>
            </w:r>
          </w:p>
        </w:tc>
        <w:tc>
          <w:tcPr>
            <w:tcW w:w="2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13,088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55,620</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Contribution of stock to 401(k) plan</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12,405</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54,866</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withheld on employee taxes on</w:t>
            </w: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21,910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(583)</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0"/>
                <w:szCs w:val="10"/>
                <w:color w:val="auto"/>
              </w:rPr>
            </w:pPr>
          </w:p>
        </w:tc>
        <w:tc>
          <w:tcPr>
            <w:tcW w:w="8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r>
        <w:trPr>
          <w:trHeight w:val="171"/>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vested equity awards</w:t>
            </w: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634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634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July 31, 2025</w:t>
            </w: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9,784,270</w:t>
            </w:r>
          </w:p>
        </w:tc>
        <w:tc>
          <w:tcPr>
            <w:tcW w:w="24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9,784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43,056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4,293</w:t>
            </w:r>
          </w:p>
        </w:tc>
        <w:tc>
          <w:tcPr>
            <w:tcW w:w="20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34,998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12"/>
                <w:szCs w:val="12"/>
                <w:color w:val="auto"/>
              </w:rPr>
            </w:pPr>
          </w:p>
        </w:tc>
        <w:tc>
          <w:tcPr>
            <w:tcW w:w="18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56,319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Contribution of stock to 401(k) plan</w:t>
            </w: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6,768</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27,308</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withheld on employee taxes on</w:t>
            </w: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10,219</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 equity awards</w:t>
            </w:r>
          </w:p>
        </w:tc>
        <w:tc>
          <w:tcPr>
            <w:tcW w:w="11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1,801</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October 31, 2025</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9,818,346</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9,818</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43,732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6,094</w:t>
            </w:r>
          </w:p>
        </w:tc>
        <w:tc>
          <w:tcPr>
            <w:tcW w:w="2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45,217</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58,455</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Contribution of stock to 401(k) plan</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7,442</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70,567</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(1,550)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435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withheld on employee taxes on</w:t>
            </w: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12,260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(616)</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0"/>
                <w:szCs w:val="10"/>
                <w:color w:val="auto"/>
              </w:rPr>
            </w:pPr>
          </w:p>
        </w:tc>
        <w:tc>
          <w:tcPr>
            <w:tcW w:w="8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171"/>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vested equity awards</w:t>
            </w: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1,567</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1,567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at January 31, 2026</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9,896,355</w:t>
            </w: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9,896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44,471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7,661</w:t>
            </w:r>
          </w:p>
        </w:tc>
        <w:tc>
          <w:tcPr>
            <w:tcW w:w="20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55,927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(1,785</w:t>
            </w:r>
          </w:p>
        </w:tc>
        <w:tc>
          <w:tcPr>
            <w:tcW w:w="14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spacing w:after="0"/>
              <w:rPr>
                <w:sz w:val="13"/>
                <w:szCs w:val="13"/>
                <w:color w:val="auto"/>
              </w:rPr>
            </w:pPr>
          </w:p>
        </w:tc>
        <w:tc>
          <w:tcPr>
            <w:tcW w:w="8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60,243</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and Nine Months Ended January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140" w:type="dxa"/>
            <w:vAlign w:val="bottom"/>
            <w:gridSpan w:val="6"/>
            <w:vMerge w:val="restart"/>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3"/>
                <w:szCs w:val="13"/>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1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22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8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38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2024</w:t>
            </w: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9,511,560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9,512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50,334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(20,027)</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39,816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Contribution of stock to 401(k) plan</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26,457</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27,815</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126"/>
        </w:trPr>
        <w:tc>
          <w:tcPr>
            <w:tcW w:w="23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withheld on employee taxes on</w:t>
            </w: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4,569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0"/>
                <w:szCs w:val="10"/>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71"/>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vested equity awards</w:t>
            </w: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 stock options and stock</w:t>
            </w: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appreciation rights - net of shares</w:t>
            </w: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1,819</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tendered for exercise price</w:t>
            </w:r>
          </w:p>
        </w:tc>
        <w:tc>
          <w:tcPr>
            <w:tcW w:w="11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payable</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(9,567)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(9,567)</w:t>
            </w: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2,430</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2,430</w:t>
            </w:r>
          </w:p>
        </w:tc>
        <w:tc>
          <w:tcPr>
            <w:tcW w:w="0" w:type="dxa"/>
            <w:vAlign w:val="bottom"/>
          </w:tcPr>
          <w:p>
            <w:pPr>
              <w:spacing w:after="0"/>
              <w:rPr>
                <w:sz w:val="1"/>
                <w:szCs w:val="1"/>
                <w:color w:val="auto"/>
              </w:rPr>
            </w:pPr>
          </w:p>
        </w:tc>
      </w:tr>
      <w:tr>
        <w:trPr>
          <w:trHeight w:val="142"/>
        </w:trPr>
        <w:tc>
          <w:tcPr>
            <w:tcW w:w="2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July 31, 2024</w:t>
            </w: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9,567,651</w:t>
            </w:r>
          </w:p>
        </w:tc>
        <w:tc>
          <w:tcPr>
            <w:tcW w:w="24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9,568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41,296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(17,597)</w:t>
            </w:r>
          </w:p>
        </w:tc>
        <w:tc>
          <w:tcPr>
            <w:tcW w:w="20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12"/>
                <w:szCs w:val="12"/>
                <w:color w:val="auto"/>
              </w:rPr>
            </w:pPr>
          </w:p>
        </w:tc>
        <w:tc>
          <w:tcPr>
            <w:tcW w:w="18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33,202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Contribution of stock to 401(k) plan</w:t>
            </w: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17,577</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32,127</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withheld on employee taxes on</w:t>
            </w: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7,893</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 equity awards</w:t>
            </w:r>
          </w:p>
        </w:tc>
        <w:tc>
          <w:tcPr>
            <w:tcW w:w="11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payable</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9,567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9,567</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paid</w:t>
            </w: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(9,567)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(9,567)</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2,654</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2,654</w:t>
            </w:r>
          </w:p>
        </w:tc>
        <w:tc>
          <w:tcPr>
            <w:tcW w:w="0" w:type="dxa"/>
            <w:vAlign w:val="bottom"/>
          </w:tcPr>
          <w:p>
            <w:pPr>
              <w:spacing w:after="0"/>
              <w:rPr>
                <w:sz w:val="1"/>
                <w:szCs w:val="1"/>
                <w:color w:val="auto"/>
              </w:rPr>
            </w:pPr>
          </w:p>
        </w:tc>
      </w:tr>
      <w:tr>
        <w:trPr>
          <w:trHeight w:val="142"/>
        </w:trPr>
        <w:tc>
          <w:tcPr>
            <w:tcW w:w="2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October 31, 2024</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9,617,355</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9,617</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41,683</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(14,943)</w:t>
            </w:r>
          </w:p>
        </w:tc>
        <w:tc>
          <w:tcPr>
            <w:tcW w:w="2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13,203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36,192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Contribution of stock to 401(k) plan</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7,850</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72,003</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26"/>
        </w:trPr>
        <w:tc>
          <w:tcPr>
            <w:tcW w:w="23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withheld on employee taxes on</w:t>
            </w: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11,802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0"/>
                <w:szCs w:val="10"/>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71"/>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vested equity awards</w:t>
            </w: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 stock options and stock</w:t>
            </w: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appreciation rights - net of shares</w:t>
            </w: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(2,737)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tendered for exercise price</w:t>
            </w:r>
          </w:p>
        </w:tc>
        <w:tc>
          <w:tcPr>
            <w:tcW w:w="11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15,405</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15,405</w:t>
            </w:r>
          </w:p>
        </w:tc>
        <w:tc>
          <w:tcPr>
            <w:tcW w:w="0" w:type="dxa"/>
            <w:vAlign w:val="bottom"/>
          </w:tcPr>
          <w:p>
            <w:pPr>
              <w:spacing w:after="0"/>
              <w:rPr>
                <w:sz w:val="1"/>
                <w:szCs w:val="1"/>
                <w:color w:val="auto"/>
              </w:rPr>
            </w:pPr>
          </w:p>
        </w:tc>
      </w:tr>
      <w:tr>
        <w:trPr>
          <w:trHeight w:val="156"/>
        </w:trPr>
        <w:tc>
          <w:tcPr>
            <w:tcW w:w="23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Balance at January 31, 2025</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9,697,208</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9,697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42,026</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462</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22,268</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(350</w:t>
            </w:r>
          </w:p>
        </w:tc>
        <w:tc>
          <w:tcPr>
            <w:tcW w:w="14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51,835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CONDENSED CONSOLIDATED FINANCIAL STATEMENTS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condensed consolidated financial position of the Company as of January 31, 2026 and the results of its operations, changes in stockholders’ equity for the three and nine months ended January 31, 2026 and 2025, and cash flows for the nine months ended January 31, 2026 and 2025. The April 30, 2025 condensed consolidated balance sheet was derived from audited financial statements. These financial statements are prepared in conformity with accounting principles generally accepted in the United States of America (“U.S. GAAP”). Certain information and footnote disclosures normally included in financial statements prepared in accordance with U.S. GAAP have been condensed or omitted. These condensed consolidated interim financial statements should be read in conjunction with the annual consolidated financial statements included in the Company’s Annual Report on Form 10-K for the fiscal year ended April 30, 2025, filed on July 18, 2025 with the Securities and Exchange Commission (the “Form 10-K”). The results of operations for such interim periods are not necessarily indicative of the operating results for the full fiscal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EARNINGS PER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Reconciliation of the weighted average shares outstanding for basic and diluted earnings per share (“EPS”)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2026 and 2025, respectively, were as follows: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Basic EPS shares outstanding (weighted average)</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Diluted EPS shares outstanding</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Periods ended January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20" w:type="dxa"/>
            <w:vAlign w:val="bottom"/>
            <w:tcBorders>
              <w:top w:val="single" w:sz="8" w:color="auto"/>
            </w:tcBorders>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440" w:type="dxa"/>
            <w:vAlign w:val="bottom"/>
            <w:tcBorders>
              <w:top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23"/>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21"/>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9,797,064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9,632,309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9,759,958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9,585,330</w:t>
            </w:r>
          </w:p>
        </w:tc>
      </w:tr>
      <w:tr>
        <w:trPr>
          <w:trHeight w:val="234"/>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9,797,064</w:t>
            </w:r>
          </w:p>
        </w:tc>
        <w:tc>
          <w:tcPr>
            <w:tcW w:w="2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9,632,309</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7"/>
              </w:rPr>
              <w:t>9,759,958</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9,588,826</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-462280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-179070</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229" w:right="339" w:bottom="1440" w:gutter="0" w:footer="0" w:header="0"/>
          <w:type w:val="continuous"/>
        </w:sect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January 31, 2026, and the three months ended January 31, 2025, there were no shares to exclude from the calculation of dilutive securities. The exercisable shares excluded for the nine months ended January 31, 2025 were 66,000 shares as their effect would be antidilutive.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22, 2024, the Company’s Board of Directors declared a special cash dividend of $1.00 per share of common stock. The special dividend was paid on August 29, 2024, to stockholders of record as of the close of business on August 8, 2024. The total amount of the special dividend payment was approximately $9.6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CONTRACT ASSETS AND LIABILITIES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Contract assets primarily relate to the Company’s rights to consideration for work completed but not billed at the reporting date on contracts with customers. Contract assets are transferred to accounts receivable when the rights become unconditional. Contract liabilities primarily relate to contracts where advance payments or deposits have been received, but performance obligations have not yet been satisfied, and therefore, revenue has not been recognized. During the three and nine months ended January 31, 2026, we recognized $1.6 million and $9.0 million, respectively, of our contract liabilities at April 30, 2025 as revenue. During the three and nine months ended January 31, 2025, we recognized $10.2 million and $26.2 million, respectively, of our contract liabilities at April 30, 2024 as revenue. If contract losses are anticipated, a loss provision is recorded for the full amount of such losses when they are determinable.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–EMPLOYEE BENEFIT PLANS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January 31, 2026, the Company made contributions of 7,442 and 26,615 shares, respectively, of its common stock to the Company’s profit-sharing plan and trust under Section 401(k) of the Internal Revenue Code. During the three and nine months ended January 31, 2025, the Company made contributions of 7,850 and 51,884 shares, respectively, of its common stock to the Company’s profit-sharing plan and trust under Section 401(k) of the Internal Revenue Code. Such contributions are in accordance with the Company’s discretionary match of employee voluntary contributions to this plan.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Deferred compensation expense charged to selling and administrative expenses during the three and nine months ended January 31, 2026, was approximately $131,000 and $396,000, respectively, inclusive of approximately $21,000 and 67,000, respectively, of interest expense. Payments made related to deferred compensation were approximately $180,000 and $546,000, respectively, for the same periods. Deferred compensation expense charged to selling and administrative expenses during the three and nine months ended January 31, 2025, was approximately $142,000 and $425,000, respectively, inclusive of approximately $26,000 and $79,000, respectively, of interest expense. Payments made related to deferred compensation were approximately $183,000 and $541,000, respectively, for the same periods.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whole-life insurance policies on the lives of certain participants covered by deferred compensation agreements have been placed in a trust. Upon the death of any insured participant, cash received from life insurance policies in excess of the Company’s deferred compensation obligations to the estate or beneficiaries of the deceased, are also placed in the trust. These assets belong to the Company until a change of control event, as defined in the trust agreement, should occur. At that time, the Company is required to add sufficient cash to the trust so as to match the deferred compensation liability described above. Such funds will be used to continue the deferred compensation arrangements following a change of control. The life insurance policies amounted to $7.3 million at January 31, 2026 and $7.0 million at April 30, 2025. The business account and U.S. debt securities within the trust are valued on a Level 1 basis and amounted to $3.9 million and $3.5 million at January 31, 2026 and April 30, 2025, respectively. The fixed income corporate debt securities within the trust are valued on a Level 2 basis and amounted to $0.5 million at January 31, 2026 and $0.4 million at April 30, 2025. Level 2 securities are valued at the closing prices and are consistent with quoted prices of similar assets reported in active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INVENTORIES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which are reported at the lower of cost or net realizable value,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60" w:type="dxa"/>
            <w:vAlign w:val="bottom"/>
          </w:tcPr>
          <w:p>
            <w:pPr>
              <w:spacing w:after="0"/>
              <w:rPr>
                <w:sz w:val="18"/>
                <w:szCs w:val="18"/>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38"/>
        </w:trPr>
        <w:tc>
          <w:tcPr>
            <w:tcW w:w="86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component parts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2"/>
              </w:rPr>
              <w:t>14,764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00" w:type="dxa"/>
            <w:vAlign w:val="bottom"/>
          </w:tcPr>
          <w:p>
            <w:pPr>
              <w:spacing w:after="0"/>
              <w:rPr>
                <w:sz w:val="18"/>
                <w:szCs w:val="18"/>
                <w:color w:val="auto"/>
              </w:rPr>
            </w:pP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10,392</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8,444</w:t>
            </w:r>
          </w:p>
        </w:tc>
        <w:tc>
          <w:tcPr>
            <w:tcW w:w="8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shd w:val="clear" w:color="auto" w:fill="CCEEFF"/>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2"/>
              </w:rPr>
              <w:t>25,834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RIGHT-OF-USE ASSETS AND LEASE LIABILITIES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leases primarily represent offices, warehouses, vehicles, manufacturing and research and development (“R&amp;D”) facilities, which expire at various times through 2030 and are operating leases. Contractual arrangements are evaluated at inception to determine if the agreement contains a lease. The leases contain renewal options, early termination, rent abatement, and escalation clauses that are factored into our determination of lease payments when appropriate. We include options to extend or terminate leases in the right-of-use (“ROU”) operating lease asset and liability when it is reasonably certain we will exercise these options. As of January 31, 2026, lease options were not included in the calculation of the ROU operating lease asset and liability.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elected the practical expedient for short-term leases which allows leases with terms of twelve months or less to be recorded on a straight-line basis over the lease term without being recognized on the consolidated balance sheet. The Company has also elected the practical expedient to account for lease and non-lease components as a single component.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ROU assets and liabilities recorded on the respective consolidated balance sheets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Operating lease liabilities, non-current portion</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2,145</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r>
      <w:tr>
        <w:trPr>
          <w:trHeight w:val="234"/>
        </w:trPr>
        <w:tc>
          <w:tcPr>
            <w:tcW w:w="400" w:type="dxa"/>
            <w:vAlign w:val="bottom"/>
          </w:tcPr>
          <w:p>
            <w:pPr>
              <w:spacing w:after="0"/>
              <w:rPr>
                <w:sz w:val="20"/>
                <w:szCs w:val="20"/>
                <w:color w:val="auto"/>
              </w:rPr>
            </w:pP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5,985</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6,729</w:t>
            </w:r>
          </w:p>
        </w:tc>
      </w:tr>
      <w:tr>
        <w:trPr>
          <w:trHeight w:val="223"/>
        </w:trPr>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3"/>
              </w:rPr>
              <w:t>8,130</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8,756</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229" w:right="339" w:bottom="1440" w:gutter="0" w:footer="0" w:header="0"/>
          <w:type w:val="continuous"/>
        </w:sect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Total operating lease expense was $0.6 million and $1.7 million for the three and nine months ended January 31, 2026, respectively, the majority of which is included in cost of revenues and the remaining amount in selling and administrative expenses on the unaudited condensed consolidated statements of operations. Total operating lease expense was $0.4 million and $1.4 million for the three and nine months ended January 31, 2025, respectively, the majority of which is included in cost of revenues and the remaining amount in selling and administrative expenses on the unaudited condensed consolidated statements of operations. During the nine months ended January 31, 2026, the Company recorded incremental ROU assets and lease liabilities of approximately $0.4 million arising from a new lease for FEI-NY, which commenced during the quarter ended October 31, 2025. There were no ROU assets or lease liabilities that were recorded for any leases that had not commenced as of January 31, 2026. During the nine months ended January 31, 2025, the Company did not record any incremental ROU assets and lease liabilities as there were no leases that commenced during the nine months ended January 31, 2025.</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maturities of lease liabilities at January 31, 2026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6740" w:type="dxa"/>
            <w:vAlign w:val="bottom"/>
            <w:gridSpan w:val="2"/>
          </w:tcPr>
          <w:p>
            <w:pPr>
              <w:jc w:val="right"/>
              <w:ind w:right="3590"/>
              <w:spacing w:after="0"/>
              <w:rPr>
                <w:sz w:val="20"/>
                <w:szCs w:val="20"/>
                <w:color w:val="auto"/>
              </w:rPr>
            </w:pPr>
            <w:r>
              <w:rPr>
                <w:rFonts w:ascii="Times New Roman" w:cs="Times New Roman" w:eastAsia="Times New Roman" w:hAnsi="Times New Roman"/>
                <w:sz w:val="18"/>
                <w:szCs w:val="18"/>
                <w:b w:val="1"/>
                <w:bCs w:val="1"/>
                <w:color w:val="auto"/>
              </w:rPr>
              <w:t>Fiscal Year Ending April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660" w:type="dxa"/>
            <w:vAlign w:val="bottom"/>
          </w:tcPr>
          <w:p>
            <w:pPr>
              <w:spacing w:after="0"/>
              <w:rPr>
                <w:sz w:val="20"/>
                <w:szCs w:val="20"/>
                <w:color w:val="auto"/>
              </w:rPr>
            </w:pPr>
          </w:p>
        </w:tc>
        <w:tc>
          <w:tcPr>
            <w:tcW w:w="6740" w:type="dxa"/>
            <w:vAlign w:val="bottom"/>
            <w:gridSpan w:val="2"/>
          </w:tcPr>
          <w:p>
            <w:pPr>
              <w:jc w:val="right"/>
              <w:ind w:right="4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6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67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2,063</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2,388</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2,535</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6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1,658</w:t>
            </w: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6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(1,172)</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6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6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(2,145)</w:t>
            </w:r>
          </w:p>
        </w:tc>
      </w:tr>
      <w:tr>
        <w:trPr>
          <w:trHeight w:val="223"/>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63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January 31, 2026 and 2025, the weighted-average remaining lease term for all operating leases was 4.15 years and 4.54 years, respectively. The Company does not generally have access to the rate implicit in the leases and therefore selected a rate that is reflective of companies with similar credit ratings for secured debt as the discount rate. The weighted average discount rate for operating leases as of January 31, 2026 and 2025, was 7.08% and 6.40%, respectively.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SEGMENT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75" w:lineRule="exact"/>
        <w:rPr>
          <w:rFonts w:ascii="Times New Roman" w:cs="Times New Roman" w:eastAsia="Times New Roman" w:hAnsi="Times New Roman"/>
          <w:sz w:val="18"/>
          <w:szCs w:val="18"/>
          <w:color w:val="auto"/>
        </w:rPr>
      </w:pPr>
    </w:p>
    <w:p>
      <w:pPr>
        <w:ind w:left="660" w:right="4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FEI-NY segment also includes the operations of the Company’s wholly owned subsidiary, FEI-Elcom. FEI-Elcom, in addition to its own product line, provides design and technical support for the FEI-NY segment’s communication satellite business.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U.S. market.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chief operating decision maker (“CODM”) views the business.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accounting policies of the two segments are the same as those described in “Note 1. Summary of Accounting Policies” to the consolidated financial statements included in the Form 10-K. Our Chief Executive Officer (“CEO”) serves as our CODM who evaluates the segment performance and allocates resources to them based on operating income which is defined as income before investment income, interest expense, other expenses, and income taxes. Operating income by segment is used to monitor segment results compared to prior periods, forecasted results, and the annual plan.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tables below present segment revenues, significant segment expenses, which consist of segment cost of revenues and segment R&amp;D expenses, and segment operating income for each reportable segment and on a consolidated basis as reported in the condensed consolidated statements of operations for the three and nine months ended January 31, 2026 and 2025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Periods ended January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40" w:type="dxa"/>
            <w:vAlign w:val="bottom"/>
          </w:tcPr>
          <w:p>
            <w:pPr>
              <w:spacing w:after="0"/>
              <w:rPr>
                <w:sz w:val="19"/>
                <w:szCs w:val="19"/>
                <w:color w:val="auto"/>
              </w:rPr>
            </w:pPr>
          </w:p>
        </w:tc>
        <w:tc>
          <w:tcPr>
            <w:tcW w:w="220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36,984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6,975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17,757</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13,858</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(2,336)</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(3,327)</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16,890</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22,149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20,054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10,273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cost of revenues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(2,837)</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Consolidated cost of revenues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10,264</w:t>
            </w:r>
          </w:p>
        </w:tc>
        <w:tc>
          <w:tcPr>
            <w:tcW w:w="2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29,585</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1,756</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research and development expenses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FEI-NY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FEI-Zyfer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intersegment operating income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Included in the determination of operating income is selling, general, and administrative expenses of $2.5 million and $2.6 million for the three months ended January 31, 2026 and 2025, respectively, for the FEI-NY segment, and $0.9 million and $0.6 million for the three months ended January 31, 2026 and 2025, respectively, for the FEI-Zyfer segment. Included in the determination of operating income is selling, general, and administrative expenses of $7.8 million and $7.2 million for the nine months ended January 31, 2026 and 2025, respectively, for the FEI-NY segment, and $2.5 million and $1.9 million for the nine months ended January 31, 2026 and 2025, respectively, for the FEI-Zyfer segment.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tables below present the identifiable assets of each reportable segment and on a consolidated basis as reported in the consolidated balance sheets as of January 31, 2026 and April 30, 2025 and the depreciation and amortization charges related to these identifiable assets for the three and nine months then ended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39,125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27,953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balances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27,341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30,887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identifiable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Periods ended January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18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FEI-NY</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498</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FEI-Zyfer</w:t>
            </w:r>
          </w:p>
        </w:tc>
        <w:tc>
          <w:tcPr>
            <w:tcW w:w="80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depreciation and amortization expense</w:t>
            </w:r>
          </w:p>
        </w:tc>
        <w:tc>
          <w:tcPr>
            <w:tcW w:w="80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Total revenue recognized over time as Percentage of Completion (“POC”) and Passage of Title (“POT”) was approximately $15.7 million and $1.2 million, respectively, of the $16.9 million reported for the three months ended January 31, 2026. Total revenue recognized over time as POC and POT was approximately $43.0 million and $4.8 million, respectively, of the $47.8 million reported for the nine months ended January 31, 2026. Total revenue recognized over time as POC and POT was approximately $17.7 million and $1.3 million, respectively, of the $18.9 million reported for the three months ended January 31, 2025. Total revenue recognized over time as POC and POT was approximately $47.3 million and $2.5 million, respectively, of the $49.8 million reported for the nine months ended January 31, 2025.</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amounts by segment and product line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Three Months Ended January 31,</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POC</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POT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POC</w:t>
            </w:r>
          </w:p>
        </w:tc>
        <w:tc>
          <w:tcPr>
            <w:tcW w:w="160" w:type="dxa"/>
            <w:vAlign w:val="bottom"/>
          </w:tcPr>
          <w:p>
            <w:pPr>
              <w:spacing w:after="0"/>
              <w:rPr>
                <w:sz w:val="16"/>
                <w:szCs w:val="16"/>
                <w:color w:val="auto"/>
              </w:rPr>
            </w:pPr>
          </w:p>
        </w:tc>
        <w:tc>
          <w:tcPr>
            <w:tcW w:w="116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POT</w:t>
            </w:r>
          </w:p>
        </w:tc>
        <w:tc>
          <w:tcPr>
            <w:tcW w:w="160" w:type="dxa"/>
            <w:vAlign w:val="bottom"/>
          </w:tcPr>
          <w:p>
            <w:pPr>
              <w:spacing w:after="0"/>
              <w:rPr>
                <w:sz w:val="16"/>
                <w:szCs w:val="16"/>
                <w:color w:val="auto"/>
              </w:rPr>
            </w:pPr>
          </w:p>
        </w:tc>
        <w:tc>
          <w:tcPr>
            <w:tcW w:w="9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6"/>
                <w:szCs w:val="16"/>
                <w:color w:val="auto"/>
              </w:rPr>
            </w:pPr>
          </w:p>
        </w:tc>
      </w:tr>
      <w:tr>
        <w:trPr>
          <w:trHeight w:val="238"/>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Revenue</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6,225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6,975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5,027</w:t>
            </w: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(2,336)</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(563)</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(563)</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15,706</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1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POC</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POT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POC</w:t>
            </w:r>
          </w:p>
        </w:tc>
        <w:tc>
          <w:tcPr>
            <w:tcW w:w="160" w:type="dxa"/>
            <w:vAlign w:val="bottom"/>
          </w:tcPr>
          <w:p>
            <w:pPr>
              <w:spacing w:after="0"/>
              <w:rPr>
                <w:sz w:val="16"/>
                <w:szCs w:val="16"/>
                <w:color w:val="auto"/>
              </w:rPr>
            </w:pPr>
          </w:p>
        </w:tc>
        <w:tc>
          <w:tcPr>
            <w:tcW w:w="116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POT</w:t>
            </w:r>
          </w:p>
        </w:tc>
        <w:tc>
          <w:tcPr>
            <w:tcW w:w="160" w:type="dxa"/>
            <w:vAlign w:val="bottom"/>
          </w:tcPr>
          <w:p>
            <w:pPr>
              <w:spacing w:after="0"/>
              <w:rPr>
                <w:sz w:val="16"/>
                <w:szCs w:val="16"/>
                <w:color w:val="auto"/>
              </w:rPr>
            </w:pPr>
          </w:p>
        </w:tc>
        <w:tc>
          <w:tcPr>
            <w:tcW w:w="9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6"/>
                <w:szCs w:val="16"/>
                <w:color w:val="auto"/>
              </w:rPr>
            </w:pPr>
          </w:p>
        </w:tc>
      </w:tr>
      <w:tr>
        <w:trPr>
          <w:trHeight w:val="238"/>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Revenue</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28,943</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14,028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17,757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12,338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13,858</w:t>
            </w: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(3,327)</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(1,017)</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(1,017)</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42,971</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49,825</w:t>
            </w:r>
          </w:p>
        </w:tc>
        <w:tc>
          <w:tcPr>
            <w:tcW w:w="1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8"/>
        </w:trPr>
        <w:tc>
          <w:tcPr>
            <w:tcW w:w="3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128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5620" w:type="dxa"/>
            <w:vAlign w:val="bottom"/>
            <w:gridSpan w:val="7"/>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20" w:type="dxa"/>
            <w:vAlign w:val="bottom"/>
            <w:gridSpan w:val="7"/>
          </w:tcPr>
          <w:p>
            <w:pPr>
              <w:jc w:val="right"/>
              <w:ind w:right="108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1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(Unaudited)</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Periods ended January 31,</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40" w:type="dxa"/>
            <w:vAlign w:val="bottom"/>
          </w:tcPr>
          <w:p>
            <w:pPr>
              <w:spacing w:after="0"/>
              <w:rPr>
                <w:sz w:val="19"/>
                <w:szCs w:val="19"/>
                <w:color w:val="auto"/>
              </w:rPr>
            </w:pPr>
          </w:p>
        </w:tc>
        <w:tc>
          <w:tcPr>
            <w:tcW w:w="220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 by product line:</w:t>
            </w:r>
          </w:p>
        </w:tc>
        <w:tc>
          <w:tcPr>
            <w:tcW w:w="29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80" w:type="dxa"/>
            <w:vAlign w:val="bottom"/>
            <w:gridSpan w:val="2"/>
            <w:vMerge w:val="continue"/>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revenue</w:t>
            </w:r>
          </w:p>
        </w:tc>
        <w:tc>
          <w:tcPr>
            <w:tcW w:w="31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11,190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non-space revenue</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12,478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7,370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31,230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commercial &amp; industrial revenue</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1,180</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29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16,890</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INVESTMENT IN MORION, INC.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an investment in Morion, Inc. (“Morion”), a privately-held Russian company, which manufactures high precision quartz resonators and crystal oscillators. The Company has also previously licensed certain technology to Morion.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investment consists of 4.6% of Morion’s outstanding shares. However, due to the Russia-Ukraine conflict and resulting sanctions, the future status of FEI’s investment in Morion became uncertain and accordingly, such investment was entirely written off in fiscal year 2022. Accordingly, the carrying value of this investment was $0 as of January 31, 2026 and April 30, 2025.</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January 31, 2026 and 2025, the Company did not acquire any product from Morion. During the three and nine months ended January 31, 2026 and 2025, the Company did not receive dividends from Morion.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purchases of materials from Morion consisted primarily of quartz crystal blanks, which were used in the fabrication of quartz resonators. However, on October 30, 2024, the U.S. Department of Treasury’s Office of Foreign Assets Control designated Morion as a Specially Designated National, resulting in the blocking of all Morion property and property interests. As a result, the Company has terminated all commercial relationships with Morion, including the licensing of technology to Morion and the purchase of any products from Morion. The Company has established alternate sources of supply with respect to items previously acquired from Morion. The Company is also capable of fabricating the crystal blanks in-house.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RESTRICTED CASH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January 31, 2026 and April 30, 2025, restricted cash consisted of approximately $1.4 million, in both periods, primarily related to a letter of credit required for contractual restrictions during the period of performance for one of the Company’s contracts. Restricted cash is classified as current or non-current based on the remaining performance period of the contract.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cash and cash equivalents and restricted cash from the condensed consolidated balance sheets to the condensed consolidated statements of cash flows is shown below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January 31,</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38"/>
        </w:trPr>
        <w:tc>
          <w:tcPr>
            <w:tcW w:w="86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1,365</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 and restricted cash</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RECENT ACCOUNTING PRONOUNCEMENTS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(“ASU 2023-09”). The amendments in ASU 2023-09 aim to enhance the transparency and decision usefulness of income tax disclosures. ASU 2023-09 will be effective for the Company’s Annual Report on Form 10-K for the year ending April 30, 2026, with early adoption permitted. The Company is currently evaluating the impact of this update on its consolidated financial statements.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Accounting Standard Update (ASU) No. 2024-03, Income Statement – Reporting Comprehensive Income – Expense Disaggregation Disclosures (Subtopic 220-40): Disaggregation of Income Statement Expenses. This ASU requires entities to disclose certain expenses, including purchases of inventory, employee compensation, depreciation, and intangible asset amortization, by caption. Additionally, entities must provide a qualitative description of the amounts remaining in relevant expense captions that are not separately disaggregated quantitatively. The amendments are effective for annual reporting periods beginning after December 15, 2026 and interim reporting periods beginning after December 15, 2027, with early adoption permitted. The Company is currently evaluating the impact this standard will have on the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DEFERRED INCOME TAXES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financial statements, which will result in taxable or deductible amounts in the future.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4, 2025, President Trump signed H.R.1, the One Big Beautiful Bill Act (“OBBBA”) into law. In accordance with U.S. GAAP, the Company accounted for the tax effects of changes in tax law in the period of enactment during the first quarter of fiscal year 2026. The OBBBA made changes to the U.S. tax code, including, but not limited to: (1) allowing taxpayers to fully deduct domestic research expenditures for tax years beginning after December 31, 2024, (2) provides a catch-up relief provision for taxpayers to accelerate deductions for unamortized domestic research expenditures,</w:t>
      </w:r>
    </w:p>
    <w:p>
      <w:pPr>
        <w:spacing w:after="0" w:line="3" w:lineRule="exact"/>
        <w:rPr>
          <w:sz w:val="20"/>
          <w:szCs w:val="20"/>
          <w:color w:val="auto"/>
        </w:rPr>
      </w:pPr>
    </w:p>
    <w:p>
      <w:pPr>
        <w:jc w:val="both"/>
        <w:ind w:firstLine="8"/>
        <w:spacing w:after="0" w:line="255"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permanent provision for 100% bonus depreciation deductions for most tangible personal property with a recovery period of 20 years or less, acquired and placed in service after January 19, 2025, and (4) for tax years beginning after December 31, 2024, restores Adjusted Taxable Income by adding back amortization and depreciation to calculate the limitation on interest deductions (effectively returning to EBITDA).</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required by the authoritative guidance on accounting for income taxes, we evaluate the realization of deferred tax assets on a jurisdictional basis at each reporting date. We consider all positive and negative evidence, including the reversal of deferred tax liabilities, projected future taxable income, tax planning strategies, and results of recent operations. Accounting for income taxes requires that a valuation allowance be established when it is more likely than not that all or a portion of the deferred tax assets will not be realized. In circumstances where there is sufficient negative evidence indicating that the deferred tax assets will not be realizable, we establish a valuation allowance. In general, the favorable research and expenditure provisions and permanent bonus depreciation provision will allow the Company to accelerate deductions and reduce cash taxes. The enactment of the OBBBA did not have a material impact on our provision or effective tax rate as of January 31, 2026. We continue to evaluate the OBBBA and its requirements, as well as its application to our business and its impact on cash taxes and our effective tax rate.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January 31, 2026, the Company maintains a valuation allowance of $1.3 million primarily against certain deferred tax assets, including state tax credits and capital losses because the realization of these tax attributes requires sufficient taxable income be sourced to the respective state jurisdiction and capital gain income is required to utilize capital losses. If these estimates and assumptions change in the future, the Company may be required to adjust its existing valuation allowance resulting in a change to deferred income tax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PRODUCT WARRANTIES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generally provides its customers with a one-year warranty regarding the manufactured quality and functionality of its products. The Company establishes warranty reserves based on its product history, current information on repair costs and annual sales levels. As of January 31, 2026 and April 30, 2025, respectively, changes in the carrying amount of accrued product warranty costs, reported in accrued expenses on the consolidated balance sheets, were as follows (in thousands):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beginning of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costs incurred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warranty accrual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end of year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6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38"/>
        </w:trPr>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1"/>
        </w:trPr>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ind w:left="760"/>
              <w:spacing w:after="0" w:line="191" w:lineRule="exact"/>
              <w:rPr>
                <w:sz w:val="20"/>
                <w:szCs w:val="20"/>
                <w:color w:val="auto"/>
              </w:rPr>
            </w:pPr>
            <w:r>
              <w:rPr>
                <w:rFonts w:ascii="Times New Roman" w:cs="Times New Roman" w:eastAsia="Times New Roman" w:hAnsi="Times New Roman"/>
                <w:sz w:val="18"/>
                <w:szCs w:val="18"/>
                <w:color w:val="auto"/>
                <w:w w:val="88"/>
              </w:rPr>
              <w:t>567</w:t>
            </w:r>
          </w:p>
        </w:tc>
        <w:tc>
          <w:tcPr>
            <w:tcW w:w="22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542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9"/>
        </w:trPr>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4"/>
        </w:trPr>
        <w:tc>
          <w:tcPr>
            <w:tcW w:w="100" w:type="dxa"/>
            <w:vAlign w:val="bottom"/>
          </w:tcPr>
          <w:p>
            <w:pPr>
              <w:spacing w:after="0"/>
              <w:rPr>
                <w:sz w:val="20"/>
                <w:szCs w:val="20"/>
                <w:color w:val="auto"/>
              </w:rPr>
            </w:pPr>
          </w:p>
        </w:tc>
        <w:tc>
          <w:tcPr>
            <w:tcW w:w="12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c>
          <w:tcPr>
            <w:tcW w:w="40" w:type="dxa"/>
            <w:vAlign w:val="bottom"/>
          </w:tcPr>
          <w:p>
            <w:pPr>
              <w:spacing w:after="0"/>
              <w:rPr>
                <w:sz w:val="20"/>
                <w:szCs w:val="20"/>
                <w:color w:val="auto"/>
              </w:rPr>
            </w:pP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88"/>
              </w:rPr>
              <w:t>544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567</w:t>
            </w:r>
          </w:p>
        </w:tc>
        <w:tc>
          <w:tcPr>
            <w:tcW w:w="40" w:type="dxa"/>
            <w:vAlign w:val="bottom"/>
          </w:tcPr>
          <w:p>
            <w:pPr>
              <w:spacing w:after="0"/>
              <w:rPr>
                <w:sz w:val="19"/>
                <w:szCs w:val="19"/>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-607695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-325120</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229" w:right="339" w:bottom="144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Harbor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Statement under the Private Securities Litigation Reform Act of 1995</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statements in this Quarterly Report on Form 10-Q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our inability to integrate operations and personnel, actions by significant customers or competitors, general domestic and international economic conditions, reliance on key customers, including the U.S government, continued acceptance of the Company’s products in the marketplace, competitive factors, new products and technological changes, product prices and raw material costs, dependence upon third-party vendors, other supply chain related issues, increasing costs for materials, operating related expenses, competitive developments, changes in manufacturing and transportation costs, the availability of capital, the outcome of any litigation and arbitration proceedings, and failure to maintain an effective system of internal controls over financial reporting. The factors listed above are not exhaustive. Other sections of this Form 10-Q and in Part I, Item 1A (Risk Factors) of the Company’s Annual Report on Form 10-K for the fiscal year ended April 30, 2025 (the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10-Q and any other public statement made by the Company or its management may turn out to be incorrect. The Company expressly disclaims any obligation to update or revise any forward-looking statements, whether as a result of new information, future events or otherwise,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its most critical accounting policies to be the recognition of revenue and costs on production contracts and the valuation of inventory. Both of these areas require the Company to make use of reasonable estimates including estimating the cost to complete a contract, the realizable value of its inventory and the market value of its products. Changes in estimates can have a material impact on the Company’s financial position and results of operations. The Company’s significant accounting policies did not change during the three and nine months ended January 31, 2026.</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Revenues are reported in operating results predominantly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regarding labor, outside services, materials, overhead costs,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materials based on percentage of usage over a ten-year period, obsolete items on a gradual basis over five years with no usage and costs incurred on programs for which production-level orders cannot be determined as probable. Such write-downs are based upon management’s experience and estimates for future business. Any changes arising from revised estimates are reflected in cost of revenues in the period the revision is made.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income taxes in the U.S. and significant judgment is required in determining our provision for income taxes, our deferred tax assets and liabilities and any valuation allowance recorded against our net deferred tax assets that are not more likely than not to be realized. We monitor the realizability of our deferred tax assets taking into account all relevant factors at each reporting period. In completing our assessment of realizability of our deferred tax assets, we consider our history of income (loss) measured at pre-tax income (loss) adjusted for permanent book-tax differences on a jurisdictional basis, volatility in actual earnings, excess tax benefits related to stock-based compensation in recent prior years and impacts of the timing of reversal of existing temporary differences. We also rely on our assessment of the Company’s projected future results of business operations, including uncertainty in future operating results relative to historical results, volatility in the market price of our common stock and its performance over time, variable macroeconomic conditions impacting our ability to forecast future taxable income, and changes in business that may affect the existence and magnitude of future taxable income. Our valuation allowance assessment is based on our best estimate of future results considering all available information.</w:t>
      </w:r>
    </w:p>
    <w:p>
      <w:pPr>
        <w:spacing w:after="0" w:line="19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provision for or benefit from income taxes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sets forth for the three and nine months ended January 31, 2026 and 2025, respectively, the percentage of consolidated revenues represented by certain items in the Company’s condensed consolidated statements of operations or notes to the condensed consolidated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76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7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Periods ended January 31,</w:t>
            </w:r>
          </w:p>
        </w:tc>
        <w:tc>
          <w:tcPr>
            <w:tcW w:w="7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76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8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31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76.4%</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69.8%</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31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41.3</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26.6</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37.1</w:t>
            </w:r>
          </w:p>
        </w:tc>
        <w:tc>
          <w:tcPr>
            <w:tcW w:w="36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31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1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14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60.8</w:t>
            </w:r>
          </w:p>
        </w:tc>
        <w:tc>
          <w:tcPr>
            <w:tcW w:w="1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56.2</w:t>
            </w:r>
          </w:p>
        </w:tc>
        <w:tc>
          <w:tcPr>
            <w:tcW w:w="1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61.9</w:t>
            </w: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0"/>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176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8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14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21.3</w:t>
            </w:r>
          </w:p>
        </w:tc>
        <w:tc>
          <w:tcPr>
            <w:tcW w:w="1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17.9</w:t>
            </w:r>
          </w:p>
        </w:tc>
        <w:tc>
          <w:tcPr>
            <w:tcW w:w="1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22.6</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1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10.4</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7.6</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8.5</w:t>
            </w:r>
          </w:p>
        </w:tc>
        <w:tc>
          <w:tcPr>
            <w:tcW w:w="360" w:type="dxa"/>
            <w:vAlign w:val="bottom"/>
          </w:tcPr>
          <w:p>
            <w:pPr>
              <w:spacing w:after="0"/>
              <w:rPr>
                <w:sz w:val="19"/>
                <w:szCs w:val="19"/>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7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1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0.6</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0.9</w:t>
            </w:r>
          </w:p>
        </w:tc>
        <w:tc>
          <w:tcPr>
            <w:tcW w:w="36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31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(62.5)</w:t>
            </w:r>
          </w:p>
        </w:tc>
        <w:tc>
          <w:tcPr>
            <w:tcW w:w="1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6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7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0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66"/>
        </w:trPr>
        <w:tc>
          <w:tcPr>
            <w:tcW w:w="740" w:type="dxa"/>
            <w:vAlign w:val="bottom"/>
            <w:tcBorders>
              <w:top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0"/>
        </w:trPr>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Periods ended January 31,</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2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4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r>
      <w:tr>
        <w:trPr>
          <w:trHeight w:val="209"/>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(2,212)</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3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6,975</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5,027</w:t>
            </w:r>
          </w:p>
        </w:tc>
        <w:tc>
          <w:tcPr>
            <w:tcW w:w="460" w:type="dxa"/>
            <w:vAlign w:val="bottom"/>
          </w:tcPr>
          <w:p>
            <w:pPr>
              <w:spacing w:after="0"/>
              <w:rPr>
                <w:sz w:val="18"/>
                <w:szCs w:val="18"/>
                <w:color w:val="auto"/>
              </w:rPr>
            </w:pPr>
          </w:p>
        </w:tc>
        <w:tc>
          <w:tcPr>
            <w:tcW w:w="6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1,948</w:t>
            </w:r>
          </w:p>
        </w:tc>
        <w:tc>
          <w:tcPr>
            <w:tcW w:w="340" w:type="dxa"/>
            <w:vAlign w:val="bottom"/>
          </w:tcPr>
          <w:p>
            <w:pPr>
              <w:spacing w:after="0"/>
              <w:rPr>
                <w:sz w:val="18"/>
                <w:szCs w:val="18"/>
                <w:color w:val="auto"/>
              </w:rPr>
            </w:pPr>
          </w:p>
        </w:tc>
        <w:tc>
          <w:tcPr>
            <w:tcW w:w="8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38.8</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17,757</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13,858</w:t>
            </w:r>
          </w:p>
        </w:tc>
        <w:tc>
          <w:tcPr>
            <w:tcW w:w="440" w:type="dxa"/>
            <w:vAlign w:val="bottom"/>
          </w:tcPr>
          <w:p>
            <w:pPr>
              <w:spacing w:after="0"/>
              <w:rPr>
                <w:sz w:val="18"/>
                <w:szCs w:val="18"/>
                <w:color w:val="auto"/>
              </w:rPr>
            </w:pPr>
          </w:p>
        </w:tc>
        <w:tc>
          <w:tcPr>
            <w:tcW w:w="6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3,899</w:t>
            </w:r>
          </w:p>
        </w:tc>
        <w:tc>
          <w:tcPr>
            <w:tcW w:w="36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28.1</w:t>
            </w:r>
          </w:p>
        </w:tc>
      </w:tr>
      <w:tr>
        <w:trPr>
          <w:trHeight w:val="230"/>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(2,336)</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(563)</w:t>
            </w:r>
          </w:p>
        </w:tc>
        <w:tc>
          <w:tcPr>
            <w:tcW w:w="4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(1,773)</w:t>
            </w: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314.9</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(3,327)</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(1,017)</w:t>
            </w:r>
          </w:p>
        </w:tc>
        <w:tc>
          <w:tcPr>
            <w:tcW w:w="4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3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200" w:type="dxa"/>
            <w:vAlign w:val="bottom"/>
            <w:shd w:val="clear" w:color="auto" w:fill="CCEEFF"/>
          </w:tcPr>
          <w:p>
            <w:pPr>
              <w:spacing w:after="0"/>
              <w:rPr>
                <w:sz w:val="19"/>
                <w:szCs w:val="19"/>
                <w:color w:val="auto"/>
              </w:rPr>
            </w:pPr>
          </w:p>
        </w:tc>
      </w:tr>
      <w:tr>
        <w:trPr>
          <w:trHeight w:val="223"/>
        </w:trPr>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16,890</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120" w:type="dxa"/>
            <w:vAlign w:val="bottom"/>
          </w:tcPr>
          <w:p>
            <w:pPr>
              <w:spacing w:after="0"/>
              <w:rPr>
                <w:sz w:val="19"/>
                <w:szCs w:val="19"/>
                <w:color w:val="auto"/>
              </w:rPr>
            </w:pPr>
          </w:p>
        </w:tc>
        <w:tc>
          <w:tcPr>
            <w:tcW w:w="46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(2,037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47,829</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49,825</w:t>
            </w:r>
          </w:p>
        </w:tc>
        <w:tc>
          <w:tcPr>
            <w:tcW w:w="120" w:type="dxa"/>
            <w:vAlign w:val="bottom"/>
          </w:tcPr>
          <w:p>
            <w:pPr>
              <w:spacing w:after="0"/>
              <w:rPr>
                <w:sz w:val="19"/>
                <w:szCs w:val="19"/>
                <w:color w:val="auto"/>
              </w:rPr>
            </w:pPr>
          </w:p>
        </w:tc>
        <w:tc>
          <w:tcPr>
            <w:tcW w:w="44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three months ended January 31, 2026, revenues from commercial and U.S. Government communication satellite programs accounted for approximately 25% of consolidated revenues compared to approximately 59% of consolidated revenues during this same period in the prior fiscal year. Revenues are recognized primarily over time under the percentage-of-completion (“POC”) method. Revenues from the satellite market are recorded in the FEI-NY segment. Revenues from non-space U.S. Government/Department of Defense (“DOD”) customers, which are recorded in both the FEI-NY and FEI-Zyfer segments, accounted for approximately 74% of consolidated revenues for the three months ended January 31, 2026 compared to approximately 39% of consolidated revenue during the same period in the prior fiscal year. Other commercial and industrial revenues for the three months ended January 31, 2026, accounted for approximately 1% of consolidated revenue compared to 2% in the same period of the prior fiscal year.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revenue for the three months ended January 31, 2026 were lower than the revenues in the prior period partly as a result of certain space programs in the FEI-NY segment during the prior fiscal year that were expedited during that period due to very aggressive schedules. In addition, several new space bookings anticipated for the three months ended January 31, 2026 have been delayed and are now anticipated in fourth quarter of fiscal 2026.</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nine months ended January 31, 2026, revenues from commercial and U.S. Government communication satellite programs accounted for approximately 32% of consolidated revenues compared to approximately 58% of consolidated revenues during this same period in the prior fiscal year. Revenues from non-space U.S. Government/DOD customers accounted for approximately 65% of consolidated revenues for the nine months ended January 31, 2026 compared to approximately 39% of consolidated revenue during the same period in the prior fiscal year. Other commercial and industrial revenues for the nine months ended January 31, 2026 and 2025 accounted for approximately 3% of consolidated revenue. The change in revenue for the nine months ended January 31, 2026 compared to the same period in the last fiscal year was driven by the changes noted above for the three months ended January 31, 2026.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66"/>
        </w:trPr>
        <w:tc>
          <w:tcPr>
            <w:tcW w:w="108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0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Periods ended January 31,</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10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10"/>
        </w:trPr>
        <w:tc>
          <w:tcPr>
            <w:tcW w:w="1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(1,659)</w:t>
            </w:r>
          </w:p>
        </w:tc>
        <w:tc>
          <w:tcPr>
            <w:tcW w:w="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(4,359)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4"/>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margin rate</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w:t>
            </w:r>
          </w:p>
        </w:tc>
        <w:tc>
          <w:tcPr>
            <w:tcW w:w="1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43.8%</w:t>
            </w: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45.4%</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and nine months ended January 31, 2026, both gross margin (“GM”) and GM Rate decreased compared to the same periods in the prior fiscal year. The decrease in GM and GM Rate were attributable to a change in the mix of high margin production satellite programs in the prior year periods versus lower margin programs with significant non-recurring engineering (“NRE”) effort during the three and nine months ended January 31, 2026.</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General, and Administrative Expenses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6"/>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Periods ended January 31,</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09"/>
        </w:trPr>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213</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1,186</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January 31, 2026 and 2025, selling, general, and administrative (“SG&amp;A”) expenses were approximately 21% and 18%, respectively of consolidated revenues. For the nine months ended January 31, 2026 and 2025, SG&amp;A expenses were approximately 23% and 19%, respectively, of consolidated revenues. The increase in SG&amp;A expenses during the three months ended January 31, 2026 was due to fluctuations in the various expense accounts that make up SG&amp;A. For the nine months ended January 31, 2026 an increase in payroll related expenses, including stock-based compensation, and investments in the future growth of the Company, including expansion into Quantum sensing, including the opening of a Colorado facility, resulted in increased SG&amp;A expenses. These increased SG&amp;A expenses are expected to continue through the remainder of fiscal year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Periods ended January 31,</w:t>
            </w: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09"/>
        </w:trPr>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3"/>
              </w:rPr>
              <w:t>1,436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327</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(441)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expenditures represent investments intended to keep the Company’s products at the leading edge of time and frequency technology and enhance future competitiveness. Fluctuations in R&amp;D expenditures will occur in some periods due to current operational needs supporting ongoing programs. The Company plans to continue to invest in R&amp;D in the future to keep its products at the state of the art.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Periods ended January 31,</w:t>
            </w: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10"/>
        </w:trPr>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3"/>
              </w:rPr>
              <w:t>3,469</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(2,199)</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(63.4)%</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(5,104)</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60.4%</w:t>
            </w: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January 31, 2026, operating income decreased compared to the prior fiscal year periods due to lower revenue, gross margin and increased SG&amp;A as described above.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542"/>
        </w:trPr>
        <w:tc>
          <w:tcPr>
            <w:tcW w:w="128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40" w:type="dxa"/>
            <w:vAlign w:val="bottom"/>
            <w:gridSpan w:val="1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FREQUENCY ELECTRONICS, INC. and SUBSIDIARIES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(Continued)</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91"/>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Other Income (Expense), net</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66"/>
        </w:trPr>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Periods ended January 31,</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r>
      <w:tr>
        <w:trPr>
          <w:trHeight w:val="209"/>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6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560" w:type="dxa"/>
            <w:vAlign w:val="bottom"/>
          </w:tcPr>
          <w:p>
            <w:pPr>
              <w:spacing w:after="0"/>
              <w:rPr>
                <w:sz w:val="18"/>
                <w:szCs w:val="18"/>
                <w:color w:val="auto"/>
              </w:rPr>
            </w:pPr>
          </w:p>
        </w:tc>
        <w:tc>
          <w:tcPr>
            <w:tcW w:w="5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7,600.0%</w:t>
            </w:r>
          </w:p>
        </w:tc>
      </w:tr>
      <w:tr>
        <w:trPr>
          <w:trHeight w:val="223"/>
        </w:trPr>
        <w:tc>
          <w:tcPr>
            <w:tcW w:w="1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170</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46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418</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income (expense), net is derived from various sources. The other income (expense), net can come from reclaiming of metal, refunds, interest on deferred trust assets, or the sale of a fixed asset. Interest expense is related to the deferred compensation payments made to retired employees. The majority of the approximately $0.2 million and $0.6 million of investment income for the three and nine months ended January 31, 2026, respectively, was from interest income and unrealized gains on assets held in the Frequency Electronics, Inc. Deferred Compensation Trust.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Benefit for Income Tax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8"/>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Periods ended January 31,</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1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(127)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11,697</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11,317</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445"/>
        </w:trPr>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9"/>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7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Periods ended January 31,</w:t>
            </w: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84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2026</w:t>
            </w:r>
          </w:p>
        </w:tc>
        <w:tc>
          <w:tcPr>
            <w:tcW w:w="2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19"/>
                <w:szCs w:val="19"/>
                <w:color w:val="auto"/>
              </w:rPr>
            </w:pPr>
          </w:p>
        </w:tc>
      </w:tr>
      <w:tr>
        <w:trPr>
          <w:trHeight w:val="210"/>
        </w:trPr>
        <w:tc>
          <w:tcPr>
            <w:tcW w:w="34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 on pre-tax book income:</w:t>
            </w: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4, 2025, President Trump signed the OBBBA into law. In accordance with U.S. GAAP, the Company accounted for the tax effects of changes in tax law in the period of enactment during the first quarter of fiscal year 2026. The OBBBA made changes to the U.S. tax code, including, but not limited to: (1) allowing taxpayers to fully deduct domestic research expenditures for tax years beginning after December 31, 2024, (2) provides a catch-up relief provision for taxpayers to accelerate deductions for unamortized domestic research expenditures, (3) includes a permanent provision for 100% bonus depreciation deductions for most tangible personal property with a recovery period of 20 years or less, acquired and placed in service after January 19, 2025, and (4) for tax years beginning after December 31, 2024, restores Adjusted Taxable Income by adding back amortization and depreciation to calculate the limitation on interest deductions (effectively returning to EBITDA).</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estimated annual effective tax rate for the fiscal year ending April 30, 2026 is 25.10%. This calculation reflects an estimated income tax expense based on our current fiscal year annual pretax income forecast which includes non-deductible expenses, estimated research and development credits, and state income taxes. The estimate of the annual effective tax rate is based on evaluations of possible future events and may be subject to revision in future reporting periods.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ending January 31, 2026, the Company recorded an income tax benefit of $127,246 which includes a discrete income tax benefit of $568,117. The discrete income tax benefit is primarily due to stock compensation windfall deductions. The calculation of the overall income tax provision consists of current U.S. federal and state income taxes. For the three months ended January 31, 2025, the Company recorded an income tax benefit of $11.8 million which included a discrete income tax benefit of $11.9 million. The discrete income tax benefit in the comparable period is primarily due to the release of the valuation allowance.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nine months ended January 31, 2026, the Company recorded an income tax benefit of $235,161 which includes a discrete tax benefit of $1,180,802. The discrete income tax benefit is primarily due to stock compensation windfall deductions and a remeasurement of the net deferred tax asset due to a new state filing. The calculation of the overall income tax provision consists of current U.S. federal and state income taxes. For the nine months ended January 31, 2025, the Company recorded an income tax benefit of $11.6 million which includes a discrete tax income benefit of $11.9 million. The discrete income tax benefit in the comparable period is primarily due to the release of the valuation allowance.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three months ended January 31, 2026 was an income tax benefit of 8.84% on pretax income of $1.4 million compared to an income tax benefit of 330.2% on pretax income of $3.6 million in the comparable prior fiscal year period. The effective tax rate for the three months ended January 31, 2026 differs from the U.S. federal statutory rate of 21% primarily due to non-deductible expenses, state income taxes, R&amp;D credits and discrete items.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nine months ended January 31, 2026 was an income tax benefit of 6.24% on pretax income of $3.8 million compared to an income benefit of 129.3% on pretax income of $8.9 million in the comparable prior fiscal year period. The effective tax rate for the nine months ended January 31, 2026 differs from the U.S. federal statutory rate of 21% primarily due to non-deductible expenses, state income taxes, R&amp;D credits and discrete items.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consolidated balance sheets continue to reflect a strong working capital position of approximately $32.4 million at January 31, 2026 and approximately $29.7 million at April 30, 2025. Included in working capital at January 31, 2026 and April 30, 2025 was $0.1 million and $4.7 million, respectively, of cash and cash equivalents. The Company’s current ratio was 2.6 to 1 at January 31, 2026 compared to 2.3 to 1 as of April 30, 2025.</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January 31, 2026 and 2025 was approximately $0.8 million and net and $1.3 million, respectively. The increase in net cash used in operating activities in the first nine months of fiscal 2026 as compared to the prior fiscal year period was primarily due to timing of billings and cash collections and a decrease in net income. For the nine months ended January 31, 2026 and 2025, the Company incurred approximately $4.3 million and $4.2 million, respectively, of non-cash operating expenses including amortization of ROU assets, depreciation and amortization, inventory net realizable value adjustments, deferred compensation, and accruals for employee benefit programs. For the nine months ended January 31, 2026 and 2025, the non-cash operating expenses does not include amounts related to the deferred tax assets which are approximately $0.2 million and $11.8 million, respectively.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January 31, 2026 and 2025 was approximately $2.3 million and $1.2 million, respectively, all relating to purchases of capital expenditures.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January 31, 2026 was $1.6 million, all related to purchase of treasury stock. Net cash used in financing activities for the nine months ended January 31, 2025 was $9.9 million, of which $9.6 million was related to the payout of a special cash dividend of $1.00 per share of common stock paid on August 29, 2024.</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March 2005, the Company’s Board of Directors authorized the repurchase of up to $5.0 million worth of shares of the Company’s common stock. On September 9, 2025, the Company’s Board of Directors approved a new share repurchase authorization in the amount of $20.0 million. Under this new share repurchase authorization, the Company’s shares of common stock may be purchased on a discretionary basis from time to time, subject to general business and market conditions and other investment opportunities, through open market purchases, privately negotiated transactions or other means. This repurchase program may be suspended or discontinued at any time without notice. The new share repurchase authorization replaced the Company’s existing share repurchase authorization under which approximately $0.6 million remained. This new share repurchase authorization does not have an expiration date.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January 31, 2026, the Company acquired 12,260 shares of the Company’s common stock at a weighted average share price of $50.22 per share. The Company acquired these shares to satisfy tax withholding requirements upon the vesting of previously granted RSU awards. As of January 31, 2026, the Company had repurchased approximately $1.0 million of its common stock out of the $20.0 million authorized under the new share repurchase authorization. During the three months ended January 31, 2025, the Company repurchased 11,802 shares of the Company’s outstanding common stock at a weighted average share price of $18.26 per share.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continue to expend resources for R&amp;D to develop, improve and acquire products for space applications, guidance and targeting systems, and communication systems that management believes will result in future growth and profitability. The Company anticipates securing additional customer funding for a portion of its R&amp;D activities and will allocate internal funds depending on market conditions and identification of new opportunities. The Company expects internally generated cash will be adequate to fund these R&amp;D efforts. The Company may also pursue acquisitions to expand its range of products and may use internally generated cash and external funding in connection with such acquisitions.</w:t>
      </w:r>
    </w:p>
    <w:p>
      <w:pPr>
        <w:sectPr>
          <w:pgSz w:w="11900" w:h="16838" w:orient="portrait"/>
          <w:cols w:equalWidth="0" w:num="1">
            <w:col w:w="11240"/>
          </w:cols>
          <w:pgMar w:left="320" w:top="229" w:right="339" w:bottom="1440" w:gutter="0" w:footer="0" w:header="0"/>
        </w:sect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January 31, 2026, the Company’s consolidated funded backlog was approximately $83 million compared to approximately $70 million at April 30, 2025. Approximately 69% of the backlog, as of January 31, 2026, is expected to be realized in the next twelve months. The Company excludes from backlog any contracts or awards for which it has not received authorization to proceed. On fixed price contracts, the Company excludes any unfunded portion. Over time, as partially funded contracts become fully funded, the Company will add the additional funding to its backlog. The backlog is subject to change for various reasons, including possible cancellation of orders, change orders, terms of the contracts and other factors beyond the Company’s control. Accordingly, the backlog is not necessarily indicative of future revenues or profits (losses) which may be realized when the results of such contracts are reported.</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believes that its liquidity is adequate to meet its short-term operating and investment needs through at least March 17, 2027 and its long-term operation and investment needs for the foreseeable future thereafter.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that have or are reasonably likely to have a current or future effect on the Company’s financial condition, revenues or expenses, results of operations, liquidity, capital expenditures, or capital resources that is material to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 to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January 31, 2026, the Company’s disclosure controls and procedures were effective at a reasonable assurance level.</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Rules 13a-15(f) and 15d-15(f) under the Exchange Act) during the fiscal quarter ended January 31, 2026 that has materially affected, or are reasonably likely to materially affect, the Company’s internal control over financial reporting.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disclosed in “Item 1A. Risk Factors” in the Form 10-K, there are a number of risks and uncertainties that could have a material adverse effect on the Company’s business, financial position, results of operations and/or cash flows. There are no material updates or changes to the Company’s risk factors since the filing of the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Repurchases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share repurchase activity for the quarter ended January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of</w:t>
            </w:r>
          </w:p>
        </w:tc>
        <w:tc>
          <w:tcPr>
            <w:tcW w:w="10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dollar</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value of</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 that</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as part of</w:t>
            </w:r>
          </w:p>
        </w:tc>
        <w:tc>
          <w:tcPr>
            <w:tcW w:w="10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may yet be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number of</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publicly</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purchased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price paid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 or</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 or</w:t>
            </w: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 (2)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program</w:t>
            </w:r>
          </w:p>
        </w:tc>
        <w:tc>
          <w:tcPr>
            <w:tcW w:w="10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program</w:t>
            </w:r>
          </w:p>
        </w:tc>
      </w:tr>
      <w:tr>
        <w:trPr>
          <w:trHeight w:val="210"/>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1 - 30, 2025</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19,614,110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1 - 31, 2025</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19,614,110</w:t>
            </w:r>
          </w:p>
        </w:tc>
        <w:tc>
          <w:tcPr>
            <w:tcW w:w="80" w:type="dxa"/>
            <w:vAlign w:val="bottom"/>
          </w:tcPr>
          <w:p>
            <w:pPr>
              <w:spacing w:after="0"/>
              <w:rPr>
                <w:sz w:val="18"/>
                <w:szCs w:val="18"/>
                <w:color w:val="auto"/>
              </w:rPr>
            </w:pPr>
          </w:p>
        </w:tc>
      </w:tr>
      <w:tr>
        <w:trPr>
          <w:trHeight w:val="22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1 - 31, 2026</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19,009,026</w:t>
            </w:r>
          </w:p>
        </w:tc>
        <w:tc>
          <w:tcPr>
            <w:tcW w:w="80" w:type="dxa"/>
            <w:vAlign w:val="bottom"/>
            <w:shd w:val="clear" w:color="auto" w:fill="CCEEFF"/>
          </w:tcPr>
          <w:p>
            <w:pPr>
              <w:spacing w:after="0"/>
              <w:rPr>
                <w:sz w:val="19"/>
                <w:szCs w:val="19"/>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12,260</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19,009,026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5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9, 2025, the Company’s Board of Directors approved a new share repurchase authorization in the amount of $20.0 million. Under this new share repurchase authorization, the Company’s shares of common stock may be purchased on a discretionary basis from time to time, subject to general business and market conditions and other investment opportunities, through open market purchases, privately negotiated transactions or other means. This repurchase program may be suspended or discontinued at any time without notice. The new share repurchase authorization replaced the Company’s prior share repurchase authorization under which approximately $0.6 million remained. This new share repurchase authorization does not have an expiration date.</w:t>
      </w:r>
    </w:p>
    <w:p>
      <w:pPr>
        <w:spacing w:after="0" w:line="18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withheld with respect to stock-based awards to satisfy required tax withholding obligations for the months of November 2025 and January 2026. There were no shares withheld or otherwise repurchased during the month of December 2025.</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January 31, 2026, no director or officer of the Company adopted or terminated a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229"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31.1 -</w:t>
      </w:r>
      <w:r>
        <w:rPr>
          <w:sz w:val="20"/>
          <w:szCs w:val="20"/>
          <w:color w:val="auto"/>
        </w:rPr>
        <w:tab/>
      </w:r>
      <w:r>
        <w:rPr>
          <w:rFonts w:ascii="Times New Roman" w:cs="Times New Roman" w:eastAsia="Times New Roman" w:hAnsi="Times New Roman"/>
          <w:sz w:val="18"/>
          <w:szCs w:val="18"/>
          <w:u w:val="single" w:color="auto"/>
          <w:color w:val="0000EE"/>
        </w:rPr>
        <w:t>Certification by the Chief Executive Officer pursuant to Rule 13a-14(a) or 15d-14(a) under the Securities Exchange Act of 1934, as adopted pursuant to Section 302 of the Sarbanes-Oxley Act of 2002.</w:t>
      </w:r>
    </w:p>
    <w:p>
      <w:pPr>
        <w:spacing w:after="0" w:line="162"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31.2 -</w:t>
      </w:r>
      <w:r>
        <w:rPr>
          <w:sz w:val="20"/>
          <w:szCs w:val="20"/>
          <w:color w:val="auto"/>
        </w:rPr>
        <w:tab/>
      </w:r>
      <w:r>
        <w:rPr>
          <w:rFonts w:ascii="Times New Roman" w:cs="Times New Roman" w:eastAsia="Times New Roman" w:hAnsi="Times New Roman"/>
          <w:sz w:val="18"/>
          <w:szCs w:val="18"/>
          <w:u w:val="single" w:color="auto"/>
          <w:color w:val="0000EE"/>
        </w:rPr>
        <w:t>Certification by the Chief Financial Officer pursuant to Rule 13a-14(a) or 15d-14(a) under the Securities Exchange Act of 1934, as adopted pursuant to Section 302 of the Sarbanes-Oxley Act of 2002.</w:t>
      </w:r>
    </w:p>
    <w:p>
      <w:pPr>
        <w:spacing w:after="0" w:line="162"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32 -</w:t>
      </w:r>
      <w:r>
        <w:rPr>
          <w:sz w:val="20"/>
          <w:szCs w:val="20"/>
          <w:color w:val="auto"/>
        </w:rPr>
        <w:tab/>
      </w:r>
      <w:r>
        <w:rPr>
          <w:rFonts w:ascii="Times New Roman" w:cs="Times New Roman" w:eastAsia="Times New Roman" w:hAnsi="Times New Roman"/>
          <w:sz w:val="18"/>
          <w:szCs w:val="18"/>
          <w:u w:val="single" w:color="auto"/>
          <w:color w:val="0000EE"/>
        </w:rPr>
        <w:t>Certifications by the Chief Executive Officer and Chief Financial Officer pursuant to 18 U.S.C. Section 1350, as adopted pursuant to Section 906 of the Sarbanes-Oxley Act of 2002.</w:t>
      </w:r>
    </w:p>
    <w:p>
      <w:pPr>
        <w:spacing w:after="0" w:line="162" w:lineRule="exact"/>
        <w:rPr>
          <w:sz w:val="20"/>
          <w:szCs w:val="20"/>
          <w:color w:val="auto"/>
        </w:rPr>
      </w:pPr>
    </w:p>
    <w:p>
      <w:pPr>
        <w:jc w:val="both"/>
        <w:ind w:left="580" w:hanging="566"/>
        <w:spacing w:after="0" w:line="258" w:lineRule="auto"/>
        <w:tabs>
          <w:tab w:leader="none" w:pos="560" w:val="left"/>
        </w:tabs>
        <w:rPr>
          <w:sz w:val="20"/>
          <w:szCs w:val="20"/>
          <w:color w:val="auto"/>
        </w:rPr>
      </w:pPr>
      <w:r>
        <w:rPr>
          <w:rFonts w:ascii="Times New Roman" w:cs="Times New Roman" w:eastAsia="Times New Roman" w:hAnsi="Times New Roman"/>
          <w:sz w:val="18"/>
          <w:szCs w:val="18"/>
          <w:color w:val="auto"/>
        </w:rPr>
        <w:t>101 -</w:t>
        <w:tab/>
        <w:t>The following materials from the Frequency Electronics, Inc. Quarterly Report on Form 10-Q for the quarter ended January 31, 2026 formatted in eXtensible Business Reporting Language (XBRL): (i) Cover Page, (ii) Condensed Consolidated Balance Sheets, (iii) Condensed Consolidated Statements of Operations and Comprehensive Income (Loss), (iv) Condensed Consolidated Statements of Cash Flows, (v) Condensed Consolidated Statements of Changes in Stockholders’ Equity and (vi) Notes to Condensed Consolidated Financial Statements. The instance document does not appear in the Interactive Data File because its XBRL tags are embedded within Inline XBRL document.</w:t>
      </w:r>
    </w:p>
    <w:p>
      <w:pPr>
        <w:spacing w:after="0" w:line="18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104 -</w:t>
        <w:tab/>
        <w:t>Cover Page Interaction Data File (formatted as inline XBRL and contained in Exhibit 101).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40" w:type="dxa"/>
            <w:vAlign w:val="bottom"/>
            <w:gridSpan w:val="2"/>
          </w:tcPr>
          <w:p>
            <w:pPr>
              <w:ind w:left="3380"/>
              <w:spacing w:after="0"/>
              <w:rPr>
                <w:sz w:val="20"/>
                <w:szCs w:val="20"/>
                <w:color w:val="auto"/>
              </w:rPr>
            </w:pPr>
            <w:r>
              <w:rPr>
                <w:rFonts w:ascii="Times New Roman" w:cs="Times New Roman" w:eastAsia="Times New Roman" w:hAnsi="Times New Roman"/>
                <w:sz w:val="18"/>
                <w:szCs w:val="18"/>
                <w:b w:val="1"/>
                <w:bCs w:val="1"/>
                <w:color w:val="auto"/>
              </w:rPr>
              <w:t>FREQUENCY ELECTRONICS,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17, 2026</w:t>
            </w:r>
          </w:p>
        </w:tc>
        <w:tc>
          <w:tcPr>
            <w:tcW w:w="764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By: /s/ Thomas McClelland</w:t>
            </w:r>
          </w:p>
        </w:tc>
      </w:tr>
      <w:tr>
        <w:trPr>
          <w:trHeight w:val="191"/>
        </w:trPr>
        <w:tc>
          <w:tcPr>
            <w:tcW w:w="36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McClelland</w:t>
            </w:r>
          </w:p>
        </w:tc>
      </w:tr>
      <w:tr>
        <w:trPr>
          <w:trHeight w:val="216"/>
        </w:trPr>
        <w:tc>
          <w:tcPr>
            <w:tcW w:w="36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6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600" w:type="dxa"/>
            <w:vAlign w:val="bottom"/>
          </w:tcPr>
          <w:p>
            <w:pPr>
              <w:spacing w:after="0"/>
              <w:rPr>
                <w:sz w:val="24"/>
                <w:szCs w:val="24"/>
                <w:color w:val="auto"/>
              </w:rPr>
            </w:pPr>
          </w:p>
        </w:tc>
        <w:tc>
          <w:tcPr>
            <w:tcW w:w="764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By: /s/ Steven L. Bernstein</w:t>
            </w:r>
          </w:p>
        </w:tc>
      </w:tr>
      <w:tr>
        <w:trPr>
          <w:trHeight w:val="191"/>
        </w:trPr>
        <w:tc>
          <w:tcPr>
            <w:tcW w:w="36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Steven L. Bernstein</w:t>
            </w:r>
          </w:p>
        </w:tc>
      </w:tr>
      <w:tr>
        <w:trPr>
          <w:trHeight w:val="216"/>
        </w:trPr>
        <w:tc>
          <w:tcPr>
            <w:tcW w:w="36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r>
      <w:tr>
        <w:trPr>
          <w:trHeight w:val="234"/>
        </w:trPr>
        <w:tc>
          <w:tcPr>
            <w:tcW w:w="36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547"/>
        </w:trPr>
        <w:tc>
          <w:tcPr>
            <w:tcW w:w="3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25</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McClelland,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McClelland</w:t>
            </w:r>
          </w:p>
        </w:tc>
        <w:tc>
          <w:tcPr>
            <w:tcW w:w="226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7"/>
              </w:rPr>
              <w:t>March 17, 2026</w:t>
            </w:r>
          </w:p>
        </w:tc>
      </w:tr>
      <w:tr>
        <w:trPr>
          <w:trHeight w:val="191"/>
        </w:trPr>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McClelland</w:t>
            </w:r>
          </w:p>
        </w:tc>
        <w:tc>
          <w:tcPr>
            <w:tcW w:w="2260" w:type="dxa"/>
            <w:vAlign w:val="bottom"/>
          </w:tcPr>
          <w:p>
            <w:pPr>
              <w:spacing w:after="0"/>
              <w:rPr>
                <w:sz w:val="16"/>
                <w:szCs w:val="16"/>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260" w:type="dxa"/>
            <w:vAlign w:val="bottom"/>
          </w:tcPr>
          <w:p>
            <w:pPr>
              <w:spacing w:after="0"/>
              <w:rPr>
                <w:sz w:val="18"/>
                <w:szCs w:val="18"/>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60" w:type="dxa"/>
            <w:vAlign w:val="bottom"/>
          </w:tcPr>
          <w:p>
            <w:pPr>
              <w:spacing w:after="0"/>
              <w:rPr>
                <w:sz w:val="20"/>
                <w:szCs w:val="20"/>
                <w:color w:val="auto"/>
              </w:rPr>
            </w:pPr>
          </w:p>
        </w:tc>
      </w:tr>
    </w:tbl>
    <w:p>
      <w:pPr>
        <w:sectPr>
          <w:pgSz w:w="11900" w:h="16838" w:orient="portrait"/>
          <w:cols w:equalWidth="0" w:num="1">
            <w:col w:w="11240"/>
          </w:cols>
          <w:pgMar w:left="320" w:top="11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Bernstein,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Bernstein</w:t>
            </w:r>
          </w:p>
        </w:tc>
        <w:tc>
          <w:tcPr>
            <w:tcW w:w="226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7"/>
              </w:rPr>
              <w:t>March 17, 2026</w:t>
            </w:r>
          </w:p>
        </w:tc>
      </w:tr>
      <w:tr>
        <w:trPr>
          <w:trHeight w:val="191"/>
        </w:trPr>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L. Bernstein</w:t>
            </w:r>
          </w:p>
        </w:tc>
        <w:tc>
          <w:tcPr>
            <w:tcW w:w="2260" w:type="dxa"/>
            <w:vAlign w:val="bottom"/>
          </w:tcPr>
          <w:p>
            <w:pPr>
              <w:spacing w:after="0"/>
              <w:rPr>
                <w:sz w:val="16"/>
                <w:szCs w:val="16"/>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2260" w:type="dxa"/>
            <w:vAlign w:val="bottom"/>
          </w:tcPr>
          <w:p>
            <w:pPr>
              <w:spacing w:after="0"/>
              <w:rPr>
                <w:sz w:val="18"/>
                <w:szCs w:val="18"/>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60" w:type="dxa"/>
            <w:vAlign w:val="bottom"/>
          </w:tcPr>
          <w:p>
            <w:pPr>
              <w:spacing w:after="0"/>
              <w:rPr>
                <w:sz w:val="20"/>
                <w:szCs w:val="20"/>
                <w:color w:val="auto"/>
              </w:rPr>
            </w:pPr>
          </w:p>
        </w:tc>
      </w:tr>
    </w:tbl>
    <w:p>
      <w:pPr>
        <w:sectPr>
          <w:pgSz w:w="11900" w:h="16838" w:orient="portrait"/>
          <w:cols w:equalWidth="0" w:num="1">
            <w:col w:w="11240"/>
          </w:cols>
          <w:pgMar w:left="320" w:top="11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CEO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January 31, 2026 as filed with the Securities and Exchange Commission on the date hereof (the “Report”), I, Thomas McClelland, President and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00" w:hanging="244"/>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McClelland</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17, 2026</w:t>
            </w:r>
          </w:p>
        </w:tc>
      </w:tr>
      <w:tr>
        <w:trPr>
          <w:trHeight w:val="191"/>
        </w:trPr>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McClelland</w:t>
            </w:r>
          </w:p>
        </w:tc>
        <w:tc>
          <w:tcPr>
            <w:tcW w:w="226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260" w:type="dxa"/>
            <w:vAlign w:val="bottom"/>
          </w:tcPr>
          <w:p>
            <w:pPr>
              <w:spacing w:after="0"/>
              <w:rPr>
                <w:sz w:val="20"/>
                <w:szCs w:val="20"/>
                <w:color w:val="auto"/>
              </w:rPr>
            </w:pPr>
          </w:p>
        </w:tc>
      </w:tr>
      <w:tr>
        <w:trPr>
          <w:trHeight w:val="432"/>
        </w:trPr>
        <w:tc>
          <w:tcPr>
            <w:tcW w:w="4500" w:type="dxa"/>
            <w:vAlign w:val="bottom"/>
          </w:tcPr>
          <w:p>
            <w:pPr>
              <w:spacing w:after="0"/>
              <w:rPr>
                <w:sz w:val="24"/>
                <w:szCs w:val="24"/>
                <w:color w:val="auto"/>
              </w:rPr>
            </w:pPr>
          </w:p>
        </w:tc>
        <w:tc>
          <w:tcPr>
            <w:tcW w:w="2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CFO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January 31, 2026 as filed with the Securities and Exchange Commission on the date hereof (the “Report”), I, Steven L. Bernstein, Chief Financial Officer, Secretary and Treasurer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00" w:hanging="244"/>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Bernstein</w:t>
            </w:r>
          </w:p>
        </w:tc>
        <w:tc>
          <w:tcPr>
            <w:tcW w:w="226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7"/>
              </w:rPr>
              <w:t>March 17, 2026</w:t>
            </w:r>
          </w:p>
        </w:tc>
      </w:tr>
      <w:tr>
        <w:trPr>
          <w:trHeight w:val="191"/>
        </w:trPr>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L. Bernstein</w:t>
            </w:r>
          </w:p>
        </w:tc>
        <w:tc>
          <w:tcPr>
            <w:tcW w:w="226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226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2026-03-17T11:26:29Z</dcterms:created>
  <dcterms:modified xsi:type="dcterms:W3CDTF">2026-03-17T11:26:29Z</dcterms:modified>
</cp:coreProperties>
</file>