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980" w:right="3940" w:hanging="486"/>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31, 2010</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980" w:hanging="486"/>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w:t>
      </w:r>
    </w:p>
    <w:p>
      <w:pPr>
        <w:spacing w:after="0" w:line="16" w:lineRule="exact"/>
        <w:rPr>
          <w:sz w:val="24"/>
          <w:szCs w:val="24"/>
          <w:color w:val="auto"/>
        </w:rPr>
      </w:pPr>
    </w:p>
    <w:p>
      <w:pPr>
        <w:ind w:left="980"/>
        <w:spacing w:after="0"/>
        <w:rPr>
          <w:sz w:val="20"/>
          <w:szCs w:val="20"/>
          <w:color w:val="auto"/>
        </w:rPr>
      </w:pPr>
      <w:r>
        <w:rPr>
          <w:rFonts w:ascii="Arial" w:cs="Arial" w:eastAsia="Arial" w:hAnsi="Arial"/>
          <w:sz w:val="18"/>
          <w:szCs w:val="18"/>
          <w:color w:val="auto"/>
        </w:rPr>
        <w:t>EXCHANGE ACT OF 1934</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260" w:type="dxa"/>
            <w:vAlign w:val="bottom"/>
          </w:tcPr>
          <w:p>
            <w:pPr>
              <w:jc w:val="center"/>
              <w:ind w:right="670"/>
              <w:spacing w:after="0"/>
              <w:rPr>
                <w:sz w:val="20"/>
                <w:szCs w:val="20"/>
                <w:color w:val="auto"/>
              </w:rPr>
            </w:pPr>
            <w:r>
              <w:rPr>
                <w:rFonts w:ascii="Arial" w:cs="Arial" w:eastAsia="Arial" w:hAnsi="Arial"/>
                <w:sz w:val="18"/>
                <w:szCs w:val="18"/>
                <w:color w:val="auto"/>
                <w:w w:val="93"/>
              </w:rPr>
              <w:t>(State or other jurisdiction of</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60" w:type="dxa"/>
            <w:vAlign w:val="bottom"/>
          </w:tcPr>
          <w:p>
            <w:pPr>
              <w:jc w:val="center"/>
              <w:ind w:right="670"/>
              <w:spacing w:after="0"/>
              <w:rPr>
                <w:sz w:val="20"/>
                <w:szCs w:val="20"/>
                <w:color w:val="auto"/>
              </w:rPr>
            </w:pPr>
            <w:r>
              <w:rPr>
                <w:rFonts w:ascii="Arial" w:cs="Arial" w:eastAsia="Arial" w:hAnsi="Arial"/>
                <w:sz w:val="18"/>
                <w:szCs w:val="18"/>
                <w:color w:val="auto"/>
                <w:w w:val="93"/>
              </w:rPr>
              <w:t>incorporation or organization)</w:t>
            </w:r>
          </w:p>
        </w:tc>
        <w:tc>
          <w:tcPr>
            <w:tcW w:w="3740" w:type="dxa"/>
            <w:vAlign w:val="bottom"/>
          </w:tcPr>
          <w:p>
            <w:pPr>
              <w:spacing w:after="0"/>
              <w:rPr>
                <w:sz w:val="20"/>
                <w:szCs w:val="20"/>
                <w:color w:val="auto"/>
              </w:rPr>
            </w:pPr>
          </w:p>
        </w:tc>
      </w:tr>
      <w:tr>
        <w:trPr>
          <w:trHeight w:val="445"/>
        </w:trPr>
        <w:tc>
          <w:tcPr>
            <w:tcW w:w="6260" w:type="dxa"/>
            <w:vAlign w:val="bottom"/>
          </w:tcPr>
          <w:p>
            <w:pPr>
              <w:jc w:val="center"/>
              <w:ind w:right="670"/>
              <w:spacing w:after="0"/>
              <w:rPr>
                <w:sz w:val="20"/>
                <w:szCs w:val="20"/>
                <w:color w:val="auto"/>
              </w:rPr>
            </w:pPr>
            <w:r>
              <w:rPr>
                <w:rFonts w:ascii="Arial" w:cs="Arial" w:eastAsia="Arial" w:hAnsi="Arial"/>
                <w:sz w:val="18"/>
                <w:szCs w:val="18"/>
                <w:b w:val="1"/>
                <w:bCs w:val="1"/>
                <w:color w:val="auto"/>
              </w:rPr>
              <w:t>55 CHARLES LINDBERGH BLVD., MITCHEL FIELD, N.Y.</w:t>
            </w:r>
          </w:p>
        </w:tc>
        <w:tc>
          <w:tcPr>
            <w:tcW w:w="3740" w:type="dxa"/>
            <w:vAlign w:val="bottom"/>
          </w:tcPr>
          <w:p>
            <w:pPr>
              <w:jc w:val="right"/>
              <w:ind w:right="1010"/>
              <w:spacing w:after="0"/>
              <w:rPr>
                <w:sz w:val="20"/>
                <w:szCs w:val="20"/>
                <w:color w:val="auto"/>
              </w:rPr>
            </w:pPr>
            <w:r>
              <w:rPr>
                <w:rFonts w:ascii="Arial" w:cs="Arial" w:eastAsia="Arial" w:hAnsi="Arial"/>
                <w:sz w:val="18"/>
                <w:szCs w:val="18"/>
                <w:b w:val="1"/>
                <w:bCs w:val="1"/>
                <w:color w:val="auto"/>
              </w:rPr>
              <w:t>11553</w:t>
            </w:r>
          </w:p>
        </w:tc>
      </w:tr>
      <w:tr>
        <w:trPr>
          <w:trHeight w:val="230"/>
        </w:trPr>
        <w:tc>
          <w:tcPr>
            <w:tcW w:w="626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r>
        <w:trPr>
          <w:trHeight w:val="459"/>
        </w:trPr>
        <w:tc>
          <w:tcPr>
            <w:tcW w:w="62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74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ind w:left="4060" w:right="3680" w:hanging="3891"/>
        <w:spacing w:after="0" w:line="24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x (do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March 10, 2010 – 8,187,453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6120" w:type="dxa"/>
            <w:vAlign w:val="bottom"/>
          </w:tcPr>
          <w:p>
            <w:pPr>
              <w:jc w:val="center"/>
              <w:ind w:right="5190"/>
              <w:spacing w:after="0"/>
              <w:rPr>
                <w:sz w:val="20"/>
                <w:szCs w:val="20"/>
                <w:color w:val="auto"/>
              </w:rPr>
            </w:pPr>
            <w:r>
              <w:rPr>
                <w:rFonts w:ascii="Arial" w:cs="Arial" w:eastAsia="Arial" w:hAnsi="Arial"/>
                <w:sz w:val="18"/>
                <w:szCs w:val="18"/>
                <w:color w:val="auto"/>
              </w:rPr>
              <w:t>INDEX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120" w:type="dxa"/>
            <w:vAlign w:val="bottom"/>
          </w:tcPr>
          <w:p>
            <w:pPr>
              <w:ind w:left="5400"/>
              <w:spacing w:after="0"/>
              <w:rPr>
                <w:sz w:val="20"/>
                <w:szCs w:val="20"/>
                <w:color w:val="auto"/>
              </w:rPr>
            </w:pPr>
            <w:r>
              <w:rPr>
                <w:rFonts w:ascii="Arial" w:cs="Arial" w:eastAsia="Arial" w:hAnsi="Arial"/>
                <w:sz w:val="18"/>
                <w:szCs w:val="18"/>
                <w:color w:val="auto"/>
                <w:w w:val="93"/>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1 - Financial Statements:</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Balance Sheets -</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January 31, 2010 and April 30, 2009</w:t>
            </w:r>
          </w:p>
        </w:tc>
        <w:tc>
          <w:tcPr>
            <w:tcW w:w="6120" w:type="dxa"/>
            <w:vAlign w:val="bottom"/>
            <w:shd w:val="clear" w:color="auto" w:fill="CCFFCC"/>
          </w:tcPr>
          <w:p>
            <w:pPr>
              <w:jc w:val="center"/>
              <w:ind w:left="52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Operations</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Nine Months Ended January 31, 2010 and 2009</w:t>
            </w:r>
          </w:p>
        </w:tc>
        <w:tc>
          <w:tcPr>
            <w:tcW w:w="6120" w:type="dxa"/>
            <w:vAlign w:val="bottom"/>
            <w:shd w:val="clear" w:color="auto" w:fill="CCFFCC"/>
          </w:tcPr>
          <w:p>
            <w:pPr>
              <w:jc w:val="center"/>
              <w:ind w:left="523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Operations</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Three Months Ended January 31, 2010 and 2009</w:t>
            </w:r>
          </w:p>
        </w:tc>
        <w:tc>
          <w:tcPr>
            <w:tcW w:w="6120" w:type="dxa"/>
            <w:vAlign w:val="bottom"/>
            <w:shd w:val="clear" w:color="auto" w:fill="CCFFCC"/>
          </w:tcPr>
          <w:p>
            <w:pPr>
              <w:jc w:val="center"/>
              <w:ind w:left="52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Cash Flows</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Nine Months Ended January 31, 2010 and 2009</w:t>
            </w:r>
          </w:p>
        </w:tc>
        <w:tc>
          <w:tcPr>
            <w:tcW w:w="6120" w:type="dxa"/>
            <w:vAlign w:val="bottom"/>
            <w:shd w:val="clear" w:color="auto" w:fill="CCFFCC"/>
          </w:tcPr>
          <w:p>
            <w:pPr>
              <w:jc w:val="center"/>
              <w:ind w:left="523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Notes to Condensed Consolidated Financial Statements</w:t>
            </w:r>
          </w:p>
        </w:tc>
        <w:tc>
          <w:tcPr>
            <w:tcW w:w="6120" w:type="dxa"/>
            <w:vAlign w:val="bottom"/>
            <w:shd w:val="clear" w:color="auto" w:fill="CCFFCC"/>
          </w:tcPr>
          <w:p>
            <w:pPr>
              <w:jc w:val="center"/>
              <w:ind w:left="5230"/>
              <w:spacing w:after="0"/>
              <w:rPr>
                <w:sz w:val="20"/>
                <w:szCs w:val="20"/>
                <w:color w:val="auto"/>
              </w:rPr>
            </w:pPr>
            <w:r>
              <w:rPr>
                <w:rFonts w:ascii="Arial" w:cs="Arial" w:eastAsia="Arial" w:hAnsi="Arial"/>
                <w:sz w:val="18"/>
                <w:szCs w:val="18"/>
                <w:color w:val="auto"/>
                <w:w w:val="88"/>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2 - Management's Discussion and Analysis of</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Financial Condition and Results of Operations</w:t>
            </w:r>
          </w:p>
        </w:tc>
        <w:tc>
          <w:tcPr>
            <w:tcW w:w="6120" w:type="dxa"/>
            <w:vAlign w:val="bottom"/>
            <w:shd w:val="clear" w:color="auto" w:fill="CCFFCC"/>
          </w:tcPr>
          <w:p>
            <w:pPr>
              <w:jc w:val="center"/>
              <w:ind w:left="5250"/>
              <w:spacing w:after="0"/>
              <w:rPr>
                <w:sz w:val="20"/>
                <w:szCs w:val="20"/>
                <w:color w:val="auto"/>
              </w:rPr>
            </w:pPr>
            <w:r>
              <w:rPr>
                <w:rFonts w:ascii="Arial" w:cs="Arial" w:eastAsia="Arial" w:hAnsi="Arial"/>
                <w:sz w:val="18"/>
                <w:szCs w:val="18"/>
                <w:color w:val="auto"/>
                <w:w w:val="91"/>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4"/>
              </w:rPr>
              <w:t>Item 3 – Quantitative and Qualitative Disclosures About Market Risk</w:t>
            </w:r>
          </w:p>
        </w:tc>
        <w:tc>
          <w:tcPr>
            <w:tcW w:w="6120" w:type="dxa"/>
            <w:vAlign w:val="bottom"/>
            <w:shd w:val="clear" w:color="auto" w:fill="CCFFCC"/>
          </w:tcPr>
          <w:p>
            <w:pPr>
              <w:jc w:val="center"/>
              <w:ind w:left="52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4T- Controls and Procedures</w:t>
            </w:r>
          </w:p>
        </w:tc>
        <w:tc>
          <w:tcPr>
            <w:tcW w:w="6120" w:type="dxa"/>
            <w:vAlign w:val="bottom"/>
            <w:shd w:val="clear" w:color="auto" w:fill="CCFFCC"/>
          </w:tcPr>
          <w:p>
            <w:pPr>
              <w:jc w:val="center"/>
              <w:ind w:left="5250"/>
              <w:spacing w:after="0"/>
              <w:rPr>
                <w:sz w:val="20"/>
                <w:szCs w:val="20"/>
                <w:color w:val="auto"/>
              </w:rPr>
            </w:pPr>
            <w:r>
              <w:rPr>
                <w:rFonts w:ascii="Arial" w:cs="Arial" w:eastAsia="Arial" w:hAnsi="Arial"/>
                <w:sz w:val="18"/>
                <w:szCs w:val="18"/>
                <w:color w:val="auto"/>
                <w:w w:val="91"/>
              </w:rPr>
              <w:t>19-20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6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6 - Exhibits</w:t>
            </w:r>
          </w:p>
        </w:tc>
        <w:tc>
          <w:tcPr>
            <w:tcW w:w="6120" w:type="dxa"/>
            <w:vAlign w:val="bottom"/>
            <w:shd w:val="clear" w:color="auto" w:fill="CCFFCC"/>
          </w:tcPr>
          <w:p>
            <w:pPr>
              <w:jc w:val="center"/>
              <w:ind w:left="52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Signatures</w:t>
            </w:r>
          </w:p>
        </w:tc>
        <w:tc>
          <w:tcPr>
            <w:tcW w:w="6120" w:type="dxa"/>
            <w:vAlign w:val="bottom"/>
            <w:shd w:val="clear" w:color="auto" w:fill="CCFFCC"/>
          </w:tcPr>
          <w:p>
            <w:pPr>
              <w:jc w:val="center"/>
              <w:ind w:left="525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Exhibits</w:t>
            </w:r>
          </w:p>
        </w:tc>
        <w:tc>
          <w:tcPr>
            <w:tcW w:w="6120" w:type="dxa"/>
            <w:vAlign w:val="bottom"/>
            <w:shd w:val="clear" w:color="auto" w:fill="CCFFCC"/>
          </w:tcPr>
          <w:p>
            <w:pPr>
              <w:jc w:val="center"/>
              <w:ind w:left="5250"/>
              <w:spacing w:after="0"/>
              <w:rPr>
                <w:sz w:val="20"/>
                <w:szCs w:val="20"/>
                <w:color w:val="auto"/>
              </w:rPr>
            </w:pPr>
            <w:r>
              <w:rPr>
                <w:rFonts w:ascii="Arial" w:cs="Arial" w:eastAsia="Arial" w:hAnsi="Arial"/>
                <w:sz w:val="18"/>
                <w:szCs w:val="18"/>
                <w:color w:val="auto"/>
                <w:w w:val="91"/>
              </w:rPr>
              <w:t>22-25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120" w:type="dxa"/>
            <w:vAlign w:val="bottom"/>
          </w:tcPr>
          <w:p>
            <w:pPr>
              <w:jc w:val="center"/>
              <w:ind w:right="5210"/>
              <w:spacing w:after="0"/>
              <w:rPr>
                <w:sz w:val="20"/>
                <w:szCs w:val="20"/>
                <w:color w:val="auto"/>
              </w:rPr>
            </w:pPr>
            <w:r>
              <w:rPr>
                <w:rFonts w:ascii="Arial" w:cs="Arial" w:eastAsia="Arial" w:hAnsi="Arial"/>
                <w:sz w:val="18"/>
                <w:szCs w:val="18"/>
                <w:color w:val="auto"/>
                <w:w w:val="90"/>
              </w:rPr>
              <w:t>2 of 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80" w:type="dxa"/>
            <w:vAlign w:val="bottom"/>
            <w:tcBorders>
              <w:bottom w:val="single" w:sz="8" w:color="808080"/>
            </w:tcBorders>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4"/>
              </w:rPr>
              <w:t>FREQUENCY ELECTRONICS, INC. and SUBSIDIARIES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88"/>
              </w:rPr>
              <w:t>Condensed Consolidated Balance Sheets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jc w:val="center"/>
              <w:ind w:left="2550"/>
              <w:spacing w:after="0"/>
              <w:rPr>
                <w:sz w:val="20"/>
                <w:szCs w:val="20"/>
                <w:color w:val="auto"/>
              </w:rPr>
            </w:pPr>
            <w:r>
              <w:rPr>
                <w:rFonts w:ascii="Arial" w:cs="Arial" w:eastAsia="Arial" w:hAnsi="Arial"/>
                <w:sz w:val="18"/>
                <w:szCs w:val="18"/>
                <w:color w:val="auto"/>
                <w:w w:val="89"/>
              </w:rPr>
              <w:t>__________________________</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w w:val="89"/>
              </w:rPr>
              <w:t>January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6"/>
              </w:rPr>
              <w:t>April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spacing w:after="0" w:line="201" w:lineRule="exact"/>
              <w:rPr>
                <w:sz w:val="20"/>
                <w:szCs w:val="20"/>
                <w:color w:val="auto"/>
              </w:rPr>
            </w:pPr>
            <w:r>
              <w:rPr>
                <w:rFonts w:ascii="Arial" w:cs="Arial" w:eastAsia="Arial" w:hAnsi="Arial"/>
                <w:sz w:val="18"/>
                <w:szCs w:val="18"/>
                <w:color w:val="auto"/>
                <w:w w:val="97"/>
              </w:rPr>
              <w:t>(UNAUDITED)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(NOTE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7"/>
          </w:tcPr>
          <w:p>
            <w:pPr>
              <w:jc w:val="right"/>
              <w:ind w:right="100"/>
              <w:spacing w:after="0"/>
              <w:rPr>
                <w:sz w:val="20"/>
                <w:szCs w:val="20"/>
                <w:color w:val="auto"/>
              </w:rPr>
            </w:pPr>
            <w:r>
              <w:rPr>
                <w:rFonts w:ascii="Arial" w:cs="Arial" w:eastAsia="Arial" w:hAnsi="Arial"/>
                <w:sz w:val="18"/>
                <w:szCs w:val="18"/>
                <w:color w:val="auto"/>
                <w:w w:val="90"/>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6,504</w:t>
            </w:r>
          </w:p>
        </w:tc>
        <w:tc>
          <w:tcPr>
            <w:tcW w:w="1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for doubtful accounts of $285 at January 31, 2010 and April 30, 2009</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9,924</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28,585</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Income taxes receivable and refundable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864</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7,016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8,784</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in and loans receivable from affiliates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81,746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Short-term credit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Accrued liabilities and 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7,461</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Lease obligation – noncurrent</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18,212</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Preferred stock - $1.00 par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 $1.00 par value</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5,096</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63,682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1"/>
              </w:rPr>
              <w:t>Common stock reacquired and held in treasury -at cost, 976,487 shares at January 31, 2010 and 1,021,159 shares at</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April 30, 2009</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(4,799)</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63,534</w:t>
            </w:r>
          </w:p>
        </w:tc>
        <w:tc>
          <w:tcPr>
            <w:tcW w:w="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59,166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81,746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580" w:type="dxa"/>
            <w:vAlign w:val="bottom"/>
            <w:gridSpan w:val="2"/>
          </w:tcPr>
          <w:p>
            <w:pPr>
              <w:jc w:val="center"/>
              <w:ind w:right="950"/>
              <w:spacing w:after="0"/>
              <w:rPr>
                <w:sz w:val="20"/>
                <w:szCs w:val="20"/>
                <w:color w:val="auto"/>
              </w:rPr>
            </w:pPr>
            <w:r>
              <w:rPr>
                <w:rFonts w:ascii="Arial" w:cs="Arial" w:eastAsia="Arial" w:hAnsi="Arial"/>
                <w:sz w:val="18"/>
                <w:szCs w:val="18"/>
                <w:color w:val="auto"/>
                <w:w w:val="94"/>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580" w:type="dxa"/>
            <w:vAlign w:val="bottom"/>
            <w:gridSpan w:val="2"/>
          </w:tcPr>
          <w:p>
            <w:pPr>
              <w:jc w:val="center"/>
              <w:ind w:right="95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580" w:type="dxa"/>
            <w:vAlign w:val="bottom"/>
            <w:gridSpan w:val="2"/>
          </w:tcPr>
          <w:p>
            <w:pPr>
              <w:jc w:val="center"/>
              <w:ind w:right="930"/>
              <w:spacing w:after="0"/>
              <w:rPr>
                <w:sz w:val="20"/>
                <w:szCs w:val="20"/>
                <w:color w:val="auto"/>
              </w:rPr>
            </w:pPr>
            <w:r>
              <w:rPr>
                <w:rFonts w:ascii="Arial" w:cs="Arial" w:eastAsia="Arial" w:hAnsi="Arial"/>
                <w:sz w:val="18"/>
                <w:szCs w:val="18"/>
                <w:color w:val="auto"/>
                <w:w w:val="90"/>
              </w:rPr>
              <w:t>Nine Months Ended January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580" w:type="dxa"/>
            <w:vAlign w:val="bottom"/>
            <w:gridSpan w:val="2"/>
          </w:tcPr>
          <w:p>
            <w:pPr>
              <w:jc w:val="center"/>
              <w:ind w:right="95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580" w:type="dxa"/>
            <w:vAlign w:val="bottom"/>
            <w:gridSpan w:val="2"/>
            <w:shd w:val="clear" w:color="auto" w:fill="CCFFCC"/>
          </w:tcPr>
          <w:p>
            <w:pPr>
              <w:ind w:left="5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36,360</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revenues</w:t>
            </w:r>
          </w:p>
        </w:tc>
        <w:tc>
          <w:tcPr>
            <w:tcW w:w="5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13,117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7,948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income (loss)</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loss</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Impairment of investment in affiliate</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w w:val="92"/>
              </w:rPr>
              <w:t>Income (Loss) before benefit for income taxes</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 (loss)</w:t>
            </w:r>
          </w:p>
        </w:tc>
        <w:tc>
          <w:tcPr>
            <w:tcW w:w="5580" w:type="dxa"/>
            <w:vAlign w:val="bottom"/>
            <w:gridSpan w:val="2"/>
            <w:shd w:val="clear" w:color="auto" w:fill="CCFFCC"/>
          </w:tcPr>
          <w:p>
            <w:pPr>
              <w:ind w:left="5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2,574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FFCC"/>
            </w:tcBorders>
          </w:tcPr>
          <w:p>
            <w:pPr>
              <w:spacing w:after="0"/>
              <w:rPr>
                <w:sz w:val="18"/>
                <w:szCs w:val="18"/>
                <w:color w:val="auto"/>
              </w:rPr>
            </w:pPr>
          </w:p>
        </w:tc>
        <w:tc>
          <w:tcPr>
            <w:tcW w:w="5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per common share</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Basic</w:t>
            </w:r>
          </w:p>
        </w:tc>
        <w:tc>
          <w:tcPr>
            <w:tcW w:w="5580" w:type="dxa"/>
            <w:vAlign w:val="bottom"/>
            <w:gridSpan w:val="2"/>
          </w:tcPr>
          <w:p>
            <w:pPr>
              <w:ind w:left="5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580" w:type="dxa"/>
            <w:vAlign w:val="bottom"/>
            <w:gridSpan w:val="2"/>
            <w:shd w:val="clear" w:color="auto" w:fill="CCFFCC"/>
          </w:tcPr>
          <w:p>
            <w:pPr>
              <w:ind w:left="5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FFCC"/>
            </w:tcBorders>
          </w:tcPr>
          <w:p>
            <w:pPr>
              <w:spacing w:after="0"/>
              <w:rPr>
                <w:sz w:val="18"/>
                <w:szCs w:val="18"/>
                <w:color w:val="auto"/>
              </w:rPr>
            </w:pPr>
          </w:p>
        </w:tc>
        <w:tc>
          <w:tcPr>
            <w:tcW w:w="53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5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Basic</w:t>
            </w: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8,176,638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8,381,424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34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8,197,367</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8,381,424</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94"/>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40" w:type="dxa"/>
            <w:vAlign w:val="bottom"/>
            <w:gridSpan w:val="2"/>
          </w:tcPr>
          <w:p>
            <w:pPr>
              <w:jc w:val="center"/>
              <w:ind w:right="670"/>
              <w:spacing w:after="0"/>
              <w:rPr>
                <w:sz w:val="20"/>
                <w:szCs w:val="20"/>
                <w:color w:val="auto"/>
              </w:rPr>
            </w:pPr>
            <w:r>
              <w:rPr>
                <w:rFonts w:ascii="Arial" w:cs="Arial" w:eastAsia="Arial" w:hAnsi="Arial"/>
                <w:sz w:val="18"/>
                <w:szCs w:val="18"/>
                <w:color w:val="auto"/>
                <w:w w:val="89"/>
              </w:rPr>
              <w:t>Three Months Ended January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840" w:type="dxa"/>
            <w:vAlign w:val="bottom"/>
            <w:gridSpan w:val="2"/>
            <w:shd w:val="clear" w:color="auto" w:fill="CCFFCC"/>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12,524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5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4,422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2,608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income (loss)</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income</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Impairment of investment in affiliate</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Income before benefit for income taxes</w:t>
            </w:r>
          </w:p>
        </w:tc>
        <w:tc>
          <w:tcPr>
            <w:tcW w:w="56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5840" w:type="dxa"/>
            <w:vAlign w:val="bottom"/>
            <w:gridSpan w:val="2"/>
            <w:shd w:val="clear" w:color="auto" w:fill="CCFFCC"/>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2,049</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56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Basic</w:t>
            </w:r>
          </w:p>
        </w:tc>
        <w:tc>
          <w:tcPr>
            <w:tcW w:w="58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840" w:type="dxa"/>
            <w:vAlign w:val="bottom"/>
            <w:gridSpan w:val="2"/>
            <w:shd w:val="clear" w:color="auto" w:fill="CCFFCC"/>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56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Basic</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8,184,627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8,097,899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6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8,222,574</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8,097,899</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4"/>
              </w:rPr>
              <w:t>FREQUENCY ELECTRONICS, INC. and SUBSIDIARIES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89"/>
              </w:rPr>
              <w:t>Condensed Consolidated Statements of Cash Flows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90"/>
              </w:rPr>
              <w:t>Nine Months Ended January 31,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1"/>
              </w:rPr>
              <w:t>(Unaudited)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2,574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(income) charges to earnings, net</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3,844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sale of marketable securities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marketable securities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Receipt of loan payment from affiliate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fixed assets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FFCC"/>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short-term credit obligations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Debt payments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stock for treasury</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FFCC"/>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4,911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6,504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Interest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2010 and the results of its operations and cash flows for the nine and three months ended January 31, 2010 and 2009. The April 30, 2009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2009 Annual Report to Stockholders on Form 10-K. The results of operations for such interim periods are not necessarily indicative of the operating results for the full fiscal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jc w:val="center"/>
              <w:ind w:right="2810"/>
              <w:spacing w:after="0"/>
              <w:rPr>
                <w:sz w:val="20"/>
                <w:szCs w:val="20"/>
                <w:color w:val="auto"/>
              </w:rPr>
            </w:pPr>
            <w:r>
              <w:rPr>
                <w:rFonts w:ascii="Arial" w:cs="Arial" w:eastAsia="Arial" w:hAnsi="Arial"/>
                <w:sz w:val="18"/>
                <w:szCs w:val="18"/>
                <w:color w:val="auto"/>
                <w:w w:val="95"/>
              </w:rPr>
              <w:t>NOTE B - EARNINGS PER SHARE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60" w:type="dxa"/>
            <w:vAlign w:val="bottom"/>
            <w:gridSpan w:val="9"/>
          </w:tcPr>
          <w:p>
            <w:pPr>
              <w:ind w:left="500"/>
              <w:spacing w:after="0"/>
              <w:rPr>
                <w:sz w:val="20"/>
                <w:szCs w:val="20"/>
                <w:color w:val="auto"/>
              </w:rPr>
            </w:pPr>
            <w:r>
              <w:rPr>
                <w:rFonts w:ascii="Arial" w:cs="Arial" w:eastAsia="Arial" w:hAnsi="Arial"/>
                <w:sz w:val="18"/>
                <w:szCs w:val="18"/>
                <w:color w:val="auto"/>
                <w:w w:val="95"/>
              </w:rPr>
              <w:t>Reconciliation of the weighted average shares outstanding for basic and diluted Earnings Per Share are as follows: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Periods ended January 31,</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1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20" w:type="dxa"/>
            <w:vAlign w:val="bottom"/>
            <w:shd w:val="clear" w:color="auto" w:fill="CCFFCC"/>
          </w:tcPr>
          <w:p>
            <w:pPr>
              <w:jc w:val="center"/>
              <w:ind w:right="3330"/>
              <w:spacing w:after="0"/>
              <w:rPr>
                <w:sz w:val="20"/>
                <w:szCs w:val="20"/>
                <w:color w:val="auto"/>
              </w:rPr>
            </w:pPr>
            <w:r>
              <w:rPr>
                <w:rFonts w:ascii="Arial" w:cs="Arial" w:eastAsia="Arial" w:hAnsi="Arial"/>
                <w:sz w:val="18"/>
                <w:szCs w:val="18"/>
                <w:color w:val="auto"/>
                <w:w w:val="89"/>
              </w:rPr>
              <w:t>(weighted average)</w:t>
            </w:r>
          </w:p>
        </w:tc>
        <w:tc>
          <w:tcPr>
            <w:tcW w:w="13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8,176,638</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8,381,424</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8,184,627</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8,097,899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20,729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37,947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vMerge w:val="continue"/>
          </w:tcPr>
          <w:p>
            <w:pPr>
              <w:spacing w:after="0"/>
              <w:rPr>
                <w:sz w:val="20"/>
                <w:szCs w:val="20"/>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8,197,367</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8,381,424</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8,222,574</w:t>
            </w:r>
          </w:p>
        </w:tc>
        <w:tc>
          <w:tcPr>
            <w:tcW w:w="1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8,097,899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***Dilutive securities are excluded for the nine- and three-month periods ended January 31, 2009 since the inclusion of such shares would be antidilutive.</w:t>
      </w:r>
    </w:p>
    <w:p>
      <w:pPr>
        <w:spacing w:after="0" w:line="2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with an exercise price in excess of the average market price of the Company’s common shares during the periods presented. The inclusion of such options in the computation of earnings per share would have been antidilutive. The number of excluded options were:</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70"/>
              <w:spacing w:after="0" w:line="201" w:lineRule="exact"/>
              <w:rPr>
                <w:sz w:val="20"/>
                <w:szCs w:val="20"/>
                <w:color w:val="auto"/>
              </w:rPr>
            </w:pPr>
            <w:r>
              <w:rPr>
                <w:rFonts w:ascii="Arial" w:cs="Arial" w:eastAsia="Arial" w:hAnsi="Arial"/>
                <w:sz w:val="18"/>
                <w:szCs w:val="18"/>
                <w:color w:val="auto"/>
                <w:w w:val="91"/>
              </w:rPr>
              <w:t>Periods ended January 31,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excluded</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1,347,775</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1,073,719</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1,066,775</w:t>
            </w:r>
          </w:p>
        </w:tc>
        <w:tc>
          <w:tcPr>
            <w:tcW w:w="12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1,073,719</w:t>
            </w:r>
          </w:p>
        </w:tc>
      </w:tr>
      <w:tr>
        <w:trPr>
          <w:trHeight w:val="27"/>
        </w:trPr>
        <w:tc>
          <w:tcPr>
            <w:tcW w:w="20" w:type="dxa"/>
            <w:vAlign w:val="bottom"/>
          </w:tcPr>
          <w:p>
            <w:pPr>
              <w:spacing w:after="0"/>
              <w:rPr>
                <w:sz w:val="2"/>
                <w:szCs w:val="2"/>
                <w:color w:val="auto"/>
              </w:rPr>
            </w:pPr>
          </w:p>
        </w:tc>
        <w:tc>
          <w:tcPr>
            <w:tcW w:w="5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w:t>
      </w:r>
    </w:p>
    <w:p>
      <w:pPr>
        <w:spacing w:after="0" w:line="25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At January 31, 2010 and April 30, 2009 costs and estimated earnings in excess of billings on uncompleted contracts accounted for on the percentage of completion basis were approximately $2,667,000 and $2,193,000, respectively. Such amounts represent revenue recognized on long-term contracts that had not been billed at the balance sheet dates. Such amounts are billed pursuant to contract terms. During the nine and three months ended January 31, 2010, the revenue recognized under percentage of completion contracts was $14.4 million and $4.7 million, respectively. For the same periods of fiscal year 2009, the Company recognized percentage of completion revenue of $14.6 million and $5.1 million,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Inventories, which are reported at the lower of cost or market at January 31, 2010 and April 30, 2009, respectively, consist of the following:</w:t>
      </w: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87"/>
              </w:rPr>
              <w:t>January 31, 2010</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April 30, 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Arial" w:cs="Arial" w:eastAsia="Arial" w:hAnsi="Arial"/>
                <w:sz w:val="18"/>
                <w:szCs w:val="18"/>
                <w:color w:val="auto"/>
                <w:w w:val="97"/>
              </w:rPr>
              <w:t>(In thousands)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11,935</w:t>
            </w:r>
          </w:p>
        </w:tc>
        <w:tc>
          <w:tcPr>
            <w:tcW w:w="6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Work in progress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Borders>
              <w:bottom w:val="single" w:sz="8" w:color="CCFFCC"/>
            </w:tcBorders>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28,585</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January 31, 2010 and April 30, 2009, approximately $18.0 million and $18.0 million, respectively, of total inventory is located in the United States, approximately $9.7 million and $6.8 million, respectively, is located in Belgium and $900,000 and $1.2 million, respectively, is located in China.</w:t>
      </w:r>
    </w:p>
    <w:p>
      <w:pPr>
        <w:spacing w:after="0" w:line="17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reached an agreement with a customer and received $650,000 representing a portion of the cost of certain unique inventory items that the customer no longer requires. The Company recorded this amount as a reduction to cost of goods sold during the nine month period ended January 31, 2010. During the nine- and three-month periods ended January 31, 2010, the Company wrote down inventory with an aggregate value of $950,000 and $150,000, respectively. In the same periods of fiscal year 2009, the Company wrote down inventory with an aggregate value of $1.45 million and $650,000, respectively. All written down inventory remains the property of the Company and may be sold or disposed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nine months ended January 31, 2010 and 2009, comprehensive income (loss) is composed of (in thousands):</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2,574</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Change in market value of marketable securities</w:t>
            </w: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tax effect of change in market value of marketable securities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00" w:type="dxa"/>
            <w:vAlign w:val="bottom"/>
            <w:shd w:val="clear" w:color="auto" w:fill="CCFFCC"/>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3,770</w:t>
            </w:r>
          </w:p>
        </w:tc>
        <w:tc>
          <w:tcPr>
            <w:tcW w:w="2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3" w:lineRule="exact"/>
        <w:rPr>
          <w:sz w:val="20"/>
          <w:szCs w:val="20"/>
          <w:color w:val="auto"/>
        </w:rPr>
      </w:pPr>
    </w:p>
    <w:p>
      <w:pPr>
        <w:jc w:val="both"/>
        <w:ind w:left="660" w:hanging="490"/>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9" w:lineRule="exact"/>
        <w:rPr>
          <w:rFonts w:ascii="Arial" w:cs="Arial" w:eastAsia="Arial" w:hAnsi="Arial"/>
          <w:sz w:val="18"/>
          <w:szCs w:val="18"/>
          <w:color w:val="auto"/>
        </w:rPr>
      </w:pPr>
    </w:p>
    <w:p>
      <w:pPr>
        <w:ind w:left="660" w:hanging="490"/>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which functions primarily as a manufacturing facility for the FEI-NY segment.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color w:val="auto"/>
                <w:w w:val="92"/>
              </w:rPr>
              <w:t>Nine months</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9"/>
          </w:tcPr>
          <w:p>
            <w:pPr>
              <w:jc w:val="right"/>
              <w:ind w:right="540"/>
              <w:spacing w:after="0" w:line="201" w:lineRule="exact"/>
              <w:rPr>
                <w:sz w:val="20"/>
                <w:szCs w:val="20"/>
                <w:color w:val="auto"/>
              </w:rPr>
            </w:pPr>
            <w:r>
              <w:rPr>
                <w:rFonts w:ascii="Arial" w:cs="Arial" w:eastAsia="Arial" w:hAnsi="Arial"/>
                <w:sz w:val="18"/>
                <w:szCs w:val="18"/>
                <w:color w:val="auto"/>
                <w:w w:val="89"/>
              </w:rPr>
              <w:t>Periods ended January 31,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2009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FEI-NY</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21,382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28,104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7,368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7,708</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shd w:val="clear" w:color="auto" w:fill="CCFFCC"/>
          </w:tcPr>
          <w:p>
            <w:pPr>
              <w:spacing w:after="0"/>
              <w:rPr>
                <w:sz w:val="2"/>
                <w:szCs w:val="2"/>
                <w:color w:val="auto"/>
              </w:rPr>
            </w:pPr>
          </w:p>
        </w:tc>
        <w:tc>
          <w:tcPr>
            <w:tcW w:w="15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Consolidated revenues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36,360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40,297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12,524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1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885</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operating income (loss)</w:t>
            </w:r>
          </w:p>
        </w:tc>
        <w:tc>
          <w:tcPr>
            <w:tcW w:w="1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1,215</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6"/>
          </w:tcPr>
          <w:p>
            <w:pPr>
              <w:ind w:left="60"/>
              <w:spacing w:after="0"/>
              <w:rPr>
                <w:sz w:val="20"/>
                <w:szCs w:val="20"/>
                <w:color w:val="auto"/>
              </w:rPr>
            </w:pPr>
            <w:r>
              <w:rPr>
                <w:rFonts w:ascii="Arial" w:cs="Arial" w:eastAsia="Arial" w:hAnsi="Arial"/>
                <w:sz w:val="18"/>
                <w:szCs w:val="18"/>
                <w:color w:val="auto"/>
                <w:w w:val="96"/>
              </w:rPr>
              <w:t>January 31, 2010</w:t>
            </w:r>
          </w:p>
        </w:tc>
        <w:tc>
          <w:tcPr>
            <w:tcW w:w="1120" w:type="dxa"/>
            <w:vAlign w:val="bottom"/>
            <w:gridSpan w:val="4"/>
          </w:tcPr>
          <w:p>
            <w:pPr>
              <w:ind w:left="60"/>
              <w:spacing w:after="0"/>
              <w:rPr>
                <w:sz w:val="20"/>
                <w:szCs w:val="20"/>
                <w:color w:val="auto"/>
              </w:rPr>
            </w:pPr>
            <w:r>
              <w:rPr>
                <w:rFonts w:ascii="Arial" w:cs="Arial" w:eastAsia="Arial" w:hAnsi="Arial"/>
                <w:sz w:val="18"/>
                <w:szCs w:val="18"/>
                <w:color w:val="auto"/>
                <w:w w:val="93"/>
              </w:rPr>
              <w:t>April 30, 2009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FEI-NY</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39,773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39,658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20,333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5,720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8,672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intercompany balances</w:t>
            </w:r>
          </w:p>
        </w:tc>
        <w:tc>
          <w:tcPr>
            <w:tcW w:w="15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(16,613)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(17,853)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32,533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29,828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54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81,746</w:t>
            </w:r>
          </w:p>
        </w:tc>
        <w:tc>
          <w:tcPr>
            <w:tcW w:w="120" w:type="dxa"/>
            <w:vAlign w:val="bottom"/>
            <w:tcBorders>
              <w:bottom w:val="single" w:sz="8" w:color="CCFFCC"/>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77,920</w:t>
            </w:r>
          </w:p>
        </w:tc>
        <w:tc>
          <w:tcPr>
            <w:tcW w:w="100" w:type="dxa"/>
            <w:vAlign w:val="bottom"/>
            <w:tcBorders>
              <w:bottom w:val="single" w:sz="8" w:color="CCFFCC"/>
            </w:tcBorders>
            <w:shd w:val="clear" w:color="auto" w:fill="CCFFCC"/>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has an equity interest in two strategically important companies: Elcom Technologies, Inc. (“Elcom”) and Morion Inc. (“Morion”). During the nine and three month periods ended January 31, 2010 and 2009, the Company acquired technical services from Elcom, purchased crystal oscillator products from Morion and sold certain of its products to both companies. The Company also receives interest from Elcom under a convertible note receivable. The table below summarizes these transactions: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80" w:type="dxa"/>
            <w:vAlign w:val="bottom"/>
            <w:tcBorders>
              <w:bottom w:val="single" w:sz="8" w:color="auto"/>
            </w:tcBorders>
            <w:gridSpan w:val="6"/>
          </w:tcPr>
          <w:p>
            <w:pPr>
              <w:jc w:val="right"/>
              <w:ind w:right="49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19"/>
                <w:szCs w:val="19"/>
                <w:color w:val="auto"/>
              </w:rPr>
            </w:pPr>
          </w:p>
        </w:tc>
      </w:tr>
      <w:tr>
        <w:trPr>
          <w:trHeight w:val="202"/>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center"/>
              <w:ind w:right="220"/>
              <w:spacing w:after="0" w:line="201" w:lineRule="exact"/>
              <w:rPr>
                <w:sz w:val="20"/>
                <w:szCs w:val="20"/>
                <w:color w:val="auto"/>
              </w:rPr>
            </w:pPr>
            <w:r>
              <w:rPr>
                <w:rFonts w:ascii="Arial" w:cs="Arial" w:eastAsia="Arial" w:hAnsi="Arial"/>
                <w:sz w:val="18"/>
                <w:szCs w:val="18"/>
                <w:color w:val="auto"/>
                <w:w w:val="87"/>
              </w:rPr>
              <w:t>Periods ended January 31,</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12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Elcom</w:t>
            </w:r>
          </w:p>
        </w:tc>
        <w:tc>
          <w:tcPr>
            <w:tcW w:w="19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r>
      <w:tr>
        <w:trPr>
          <w:trHeight w:val="216"/>
        </w:trPr>
        <w:tc>
          <w:tcPr>
            <w:tcW w:w="3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Morion</w:t>
            </w:r>
          </w:p>
        </w:tc>
        <w:tc>
          <w:tcPr>
            <w:tcW w:w="12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6"/>
              </w:rPr>
              <w:t>222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 to:</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Elcom</w:t>
            </w:r>
          </w:p>
        </w:tc>
        <w:tc>
          <w:tcPr>
            <w:tcW w:w="1920" w:type="dxa"/>
            <w:vAlign w:val="bottom"/>
            <w:gridSpan w:val="2"/>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w:t>
            </w: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Morion</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 receivable</w:t>
            </w:r>
          </w:p>
        </w:tc>
        <w:tc>
          <w:tcPr>
            <w:tcW w:w="1920" w:type="dxa"/>
            <w:vAlign w:val="bottom"/>
            <w:gridSpan w:val="2"/>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measures the current market value of Elcom based on comparisons to comparable companies as well as Elcom’s forecasts of future financial results. In fiscal year 2010, the Company determined that its investment was impaired and for the nine and three months ended January 31, 2010, recorded impairment charges in the amount $550,000 and $350,000, respectively. During the second quarter of fiscal year 2009, the Company repurchased from Elcom 29,651 shares of the Company’s outstanding common stock at an aggregate cost of approximately $150,000. The amount paid was at the market value of the Company’s common stock on the date of purchase.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2010 and April 30, 2009 are as follows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rPr>
              <w:t>January 31, 2010</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7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9,658</w:t>
            </w:r>
          </w:p>
        </w:tc>
        <w:tc>
          <w:tcPr>
            <w:tcW w:w="10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9,802</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10,108</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10,408</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color w:val="auto"/>
              </w:rPr>
              <w:t>April 30, 2009</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7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10,165</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9,640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10,615</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9,998</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0" w:type="dxa"/>
            <w:vAlign w:val="bottom"/>
            <w:gridSpan w:val="4"/>
          </w:tcPr>
          <w:p>
            <w:pPr>
              <w:jc w:val="right"/>
              <w:ind w:right="23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8"/>
                <w:szCs w:val="18"/>
                <w:color w:val="auto"/>
              </w:rPr>
              <w:t>12 Months or more</w:t>
            </w:r>
          </w:p>
        </w:tc>
        <w:tc>
          <w:tcPr>
            <w:tcW w:w="2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Borders>
              <w:top w:val="single" w:sz="8" w:color="auto"/>
            </w:tcBorders>
          </w:tcPr>
          <w:p>
            <w:pPr>
              <w:jc w:val="right"/>
              <w:ind w:right="99"/>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Unrealized</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500"/>
              <w:spacing w:after="0" w:line="201" w:lineRule="exact"/>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80"/>
              <w:spacing w:after="0" w:line="201" w:lineRule="exact"/>
              <w:rPr>
                <w:sz w:val="20"/>
                <w:szCs w:val="20"/>
                <w:color w:val="auto"/>
              </w:rPr>
            </w:pPr>
            <w:r>
              <w:rPr>
                <w:rFonts w:ascii="Arial" w:cs="Arial" w:eastAsia="Arial" w:hAnsi="Arial"/>
                <w:sz w:val="18"/>
                <w:szCs w:val="18"/>
                <w:color w:val="auto"/>
                <w:w w:val="96"/>
              </w:rPr>
              <w:t>Fair</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282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auto"/>
              </w:rPr>
              <w:t>January 31, 2010</w:t>
            </w:r>
          </w:p>
        </w:tc>
        <w:tc>
          <w:tcPr>
            <w:tcW w:w="840" w:type="dxa"/>
            <w:vAlign w:val="bottom"/>
            <w:tcBorders>
              <w:top w:val="single" w:sz="8" w:color="auto"/>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960" w:type="dxa"/>
            <w:vAlign w:val="bottom"/>
            <w:tcBorders>
              <w:top w:val="single" w:sz="8" w:color="auto"/>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840" w:type="dxa"/>
            <w:vAlign w:val="bottom"/>
            <w:tcBorders>
              <w:top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180" w:type="dxa"/>
            <w:vAlign w:val="bottom"/>
            <w:tcBorders>
              <w:right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1040" w:type="dxa"/>
            <w:vAlign w:val="bottom"/>
            <w:tcBorders>
              <w:top w:val="single" w:sz="8" w:color="auto"/>
            </w:tcBorders>
            <w:shd w:val="clear" w:color="auto" w:fill="CCFFCC"/>
          </w:tcPr>
          <w:p>
            <w:pPr>
              <w:spacing w:after="0"/>
              <w:rPr>
                <w:sz w:val="4"/>
                <w:szCs w:val="4"/>
                <w:color w:val="auto"/>
              </w:rPr>
            </w:pPr>
          </w:p>
        </w:tc>
        <w:tc>
          <w:tcPr>
            <w:tcW w:w="180" w:type="dxa"/>
            <w:vAlign w:val="bottom"/>
            <w:tcBorders>
              <w:top w:val="single" w:sz="8" w:color="auto"/>
            </w:tcBorders>
            <w:shd w:val="clear" w:color="auto" w:fill="CCFFCC"/>
          </w:tcPr>
          <w:p>
            <w:pPr>
              <w:spacing w:after="0"/>
              <w:rPr>
                <w:sz w:val="4"/>
                <w:szCs w:val="4"/>
                <w:color w:val="auto"/>
              </w:rPr>
            </w:pPr>
          </w:p>
        </w:tc>
        <w:tc>
          <w:tcPr>
            <w:tcW w:w="1600" w:type="dxa"/>
            <w:vAlign w:val="bottom"/>
            <w:tcBorders>
              <w:top w:val="single" w:sz="8" w:color="CCFFCC"/>
            </w:tcBorders>
            <w:shd w:val="clear" w:color="auto" w:fill="CCFFCC"/>
          </w:tcPr>
          <w:p>
            <w:pPr>
              <w:spacing w:after="0"/>
              <w:rPr>
                <w:sz w:val="4"/>
                <w:szCs w:val="4"/>
                <w:color w:val="auto"/>
              </w:rPr>
            </w:pPr>
          </w:p>
        </w:tc>
        <w:tc>
          <w:tcPr>
            <w:tcW w:w="84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960" w:type="dxa"/>
            <w:vAlign w:val="bottom"/>
            <w:tcBorders>
              <w:top w:val="single" w:sz="8" w:color="CCFFCC"/>
            </w:tcBorders>
            <w:shd w:val="clear" w:color="auto" w:fill="CCFFCC"/>
          </w:tcPr>
          <w:p>
            <w:pPr>
              <w:spacing w:after="0"/>
              <w:rPr>
                <w:sz w:val="4"/>
                <w:szCs w:val="4"/>
                <w:color w:val="auto"/>
              </w:rPr>
            </w:pPr>
          </w:p>
        </w:tc>
        <w:tc>
          <w:tcPr>
            <w:tcW w:w="80" w:type="dxa"/>
            <w:vAlign w:val="bottom"/>
            <w:tcBorders>
              <w:top w:val="single" w:sz="8" w:color="CCFFCC"/>
            </w:tcBorders>
            <w:shd w:val="clear" w:color="auto" w:fill="CCFFCC"/>
          </w:tcPr>
          <w:p>
            <w:pPr>
              <w:spacing w:after="0"/>
              <w:rPr>
                <w:sz w:val="4"/>
                <w:szCs w:val="4"/>
                <w:color w:val="auto"/>
              </w:rPr>
            </w:pPr>
          </w:p>
        </w:tc>
        <w:tc>
          <w:tcPr>
            <w:tcW w:w="12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840" w:type="dxa"/>
            <w:vAlign w:val="bottom"/>
            <w:tcBorders>
              <w:top w:val="single" w:sz="8" w:color="CCFFCC"/>
            </w:tcBorders>
            <w:shd w:val="clear" w:color="auto" w:fill="CCFFCC"/>
          </w:tcPr>
          <w:p>
            <w:pPr>
              <w:spacing w:after="0"/>
              <w:rPr>
                <w:sz w:val="4"/>
                <w:szCs w:val="4"/>
                <w:color w:val="auto"/>
              </w:rPr>
            </w:pPr>
          </w:p>
        </w:tc>
        <w:tc>
          <w:tcPr>
            <w:tcW w:w="12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92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right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82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92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82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April 30, 2009</w:t>
            </w:r>
          </w:p>
        </w:tc>
        <w:tc>
          <w:tcPr>
            <w:tcW w:w="8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0" w:type="dxa"/>
            <w:vAlign w:val="bottom"/>
            <w:tcBorders>
              <w:top w:val="single" w:sz="8" w:color="CCFFCC"/>
            </w:tcBorders>
            <w:shd w:val="clear" w:color="auto" w:fill="CCFFCC"/>
          </w:tcPr>
          <w:p>
            <w:pPr>
              <w:spacing w:after="0"/>
              <w:rPr>
                <w:sz w:val="4"/>
                <w:szCs w:val="4"/>
                <w:color w:val="auto"/>
              </w:rPr>
            </w:pPr>
          </w:p>
        </w:tc>
        <w:tc>
          <w:tcPr>
            <w:tcW w:w="1040" w:type="dxa"/>
            <w:vAlign w:val="bottom"/>
            <w:tcBorders>
              <w:top w:val="single" w:sz="8" w:color="auto"/>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600" w:type="dxa"/>
            <w:vAlign w:val="bottom"/>
            <w:tcBorders>
              <w:top w:val="single" w:sz="8" w:color="CCFFCC"/>
            </w:tcBorders>
            <w:shd w:val="clear" w:color="auto" w:fill="CCFFCC"/>
          </w:tcPr>
          <w:p>
            <w:pPr>
              <w:spacing w:after="0"/>
              <w:rPr>
                <w:sz w:val="4"/>
                <w:szCs w:val="4"/>
                <w:color w:val="auto"/>
              </w:rPr>
            </w:pPr>
          </w:p>
        </w:tc>
        <w:tc>
          <w:tcPr>
            <w:tcW w:w="84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960" w:type="dxa"/>
            <w:vAlign w:val="bottom"/>
            <w:tcBorders>
              <w:top w:val="single" w:sz="8" w:color="CCFFCC"/>
            </w:tcBorders>
            <w:shd w:val="clear" w:color="auto" w:fill="CCFFCC"/>
          </w:tcPr>
          <w:p>
            <w:pPr>
              <w:spacing w:after="0"/>
              <w:rPr>
                <w:sz w:val="4"/>
                <w:szCs w:val="4"/>
                <w:color w:val="auto"/>
              </w:rPr>
            </w:pPr>
          </w:p>
        </w:tc>
        <w:tc>
          <w:tcPr>
            <w:tcW w:w="80" w:type="dxa"/>
            <w:vAlign w:val="bottom"/>
            <w:tcBorders>
              <w:top w:val="single" w:sz="8" w:color="CCFFCC"/>
            </w:tcBorders>
            <w:shd w:val="clear" w:color="auto" w:fill="CCFFCC"/>
          </w:tcPr>
          <w:p>
            <w:pPr>
              <w:spacing w:after="0"/>
              <w:rPr>
                <w:sz w:val="4"/>
                <w:szCs w:val="4"/>
                <w:color w:val="auto"/>
              </w:rPr>
            </w:pPr>
          </w:p>
        </w:tc>
        <w:tc>
          <w:tcPr>
            <w:tcW w:w="12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840" w:type="dxa"/>
            <w:vAlign w:val="bottom"/>
            <w:tcBorders>
              <w:top w:val="single" w:sz="8" w:color="CCFFCC"/>
            </w:tcBorders>
            <w:shd w:val="clear" w:color="auto" w:fill="CCFFCC"/>
          </w:tcPr>
          <w:p>
            <w:pPr>
              <w:spacing w:after="0"/>
              <w:rPr>
                <w:sz w:val="4"/>
                <w:szCs w:val="4"/>
                <w:color w:val="auto"/>
              </w:rPr>
            </w:pPr>
          </w:p>
        </w:tc>
        <w:tc>
          <w:tcPr>
            <w:tcW w:w="12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92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right w:val="single" w:sz="8" w:color="CCFFCC"/>
            </w:tcBorders>
            <w:shd w:val="clear" w:color="auto" w:fill="CCFFCC"/>
          </w:tcPr>
          <w:p>
            <w:pPr>
              <w:spacing w:after="0"/>
              <w:rPr>
                <w:sz w:val="4"/>
                <w:szCs w:val="4"/>
                <w:color w:val="auto"/>
              </w:rPr>
            </w:pPr>
          </w:p>
        </w:tc>
        <w:tc>
          <w:tcPr>
            <w:tcW w:w="200" w:type="dxa"/>
            <w:vAlign w:val="bottom"/>
            <w:tcBorders>
              <w:top w:val="single" w:sz="8" w:color="CCFFCC"/>
            </w:tcBorders>
            <w:shd w:val="clear" w:color="auto" w:fill="CCFFCC"/>
          </w:tcPr>
          <w:p>
            <w:pPr>
              <w:spacing w:after="0"/>
              <w:rPr>
                <w:sz w:val="4"/>
                <w:szCs w:val="4"/>
                <w:color w:val="auto"/>
              </w:rPr>
            </w:pPr>
          </w:p>
        </w:tc>
        <w:tc>
          <w:tcPr>
            <w:tcW w:w="82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920" w:type="dxa"/>
            <w:vAlign w:val="bottom"/>
            <w:tcBorders>
              <w:top w:val="single" w:sz="8" w:color="CCFFCC"/>
            </w:tcBorders>
            <w:shd w:val="clear" w:color="auto" w:fill="CCFFCC"/>
          </w:tcPr>
          <w:p>
            <w:pPr>
              <w:spacing w:after="0"/>
              <w:rPr>
                <w:sz w:val="4"/>
                <w:szCs w:val="4"/>
                <w:color w:val="auto"/>
              </w:rPr>
            </w:pPr>
          </w:p>
        </w:tc>
        <w:tc>
          <w:tcPr>
            <w:tcW w:w="100" w:type="dxa"/>
            <w:vAlign w:val="bottom"/>
            <w:tcBorders>
              <w:top w:val="single" w:sz="8" w:color="CCFFCC"/>
            </w:tcBorders>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2010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nine and three month periods ended January 31, 2010, the Company redeemed an available-for-sale security in the amount of $500,000 and realized a loss of $7,000 on the transaction which is included in the determination of net income for those periods. During the nine and three month periods ended January 31, 2009, the Company sold available-for-sale securities with a market value of $1,036,000 and realized a gain of approximately $22,000 in those periods.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January 31, 2010 are as follows, at cost (in thousands):</w:t>
      </w:r>
    </w:p>
    <w:p>
      <w:pPr>
        <w:spacing w:after="0" w:line="33"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560" w:type="dxa"/>
            <w:vAlign w:val="bottom"/>
            <w:shd w:val="clear" w:color="auto" w:fill="CCFFCC"/>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9,658</w:t>
            </w:r>
          </w:p>
        </w:tc>
        <w:tc>
          <w:tcPr>
            <w:tcW w:w="60" w:type="dxa"/>
            <w:vAlign w:val="bottom"/>
          </w:tcPr>
          <w:p>
            <w:pPr>
              <w:spacing w:after="0"/>
              <w:rPr>
                <w:sz w:val="18"/>
                <w:szCs w:val="18"/>
                <w:color w:val="auto"/>
              </w:rPr>
            </w:pPr>
          </w:p>
        </w:tc>
      </w:tr>
      <w:tr>
        <w:trPr>
          <w:trHeight w:val="223"/>
        </w:trPr>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56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16"/>
        </w:trPr>
        <w:tc>
          <w:tcPr>
            <w:tcW w:w="5320" w:type="dxa"/>
            <w:vAlign w:val="bottom"/>
          </w:tcPr>
          <w:p>
            <w:pPr>
              <w:spacing w:after="0"/>
              <w:rPr>
                <w:sz w:val="18"/>
                <w:szCs w:val="18"/>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w:t>
            </w:r>
          </w:p>
        </w:tc>
        <w:tc>
          <w:tcPr>
            <w:tcW w:w="60" w:type="dxa"/>
            <w:vAlign w:val="bottom"/>
          </w:tcPr>
          <w:p>
            <w:pPr>
              <w:spacing w:after="0"/>
              <w:rPr>
                <w:sz w:val="18"/>
                <w:szCs w:val="18"/>
                <w:color w:val="auto"/>
              </w:rPr>
            </w:pPr>
          </w:p>
        </w:tc>
      </w:tr>
      <w:tr>
        <w:trPr>
          <w:trHeight w:val="21"/>
        </w:trPr>
        <w:tc>
          <w:tcPr>
            <w:tcW w:w="5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380" w:right="20" w:hanging="971"/>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800" w:hanging="171"/>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October 2009, the FASB issued authoritative guidance on revenue recognition that will become effective for the Company beginning May 1, 2010, with earlier adoption permitted. Under the new guidance on arrangements that include software elements, tangible products that have software components that are essential to the functionality of the tangible product will no longer be within the scope of the software revenue recognition guidance, and software-enabled products will now be subject to other relevant revenue recognition guidance. Additionally, the FASB issued authoritative guidance on revenue arrangements with multiple 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price method affects the timing and amount of revenue recognition. In the event that early adoption is elected, the Company would be required to determine the relative selling price for all deliverables in a multiple element arrangement based on the hierarchy identified in the new standard. The Company would also be required to apply the standard retrospectively to the beginning of the year and to the comparable prior period for disclosure purposes. The Company is currently evaluating the impact this new guidance may have on its condensed consolidated financial statements. Early adoption of the standard is unlikely.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June 2009, the FASB issued authoritative guidance codifying a single source of authoritative nongovernmental U.S. GAAP. This guidance does not change current U.S. GAAP, but is intended to simplify user access to all authoritative U.S. GAAP by providing all authoritative literature related to a</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particular topic in one place. All existing accounting standard documents will be superseded and all other </w:t>
      </w:r>
      <w:r>
        <w:rPr>
          <w:rFonts w:ascii="Arial" w:cs="Arial" w:eastAsia="Arial" w:hAnsi="Arial"/>
          <w:sz w:val="20"/>
          <w:szCs w:val="20"/>
          <w:color w:val="auto"/>
        </w:rPr>
        <w:t>accounting literature not included in the</w:t>
      </w:r>
      <w:r>
        <w:rPr>
          <w:rFonts w:ascii="Arial" w:cs="Arial" w:eastAsia="Arial" w:hAnsi="Arial"/>
          <w:sz w:val="17"/>
          <w:szCs w:val="17"/>
          <w:color w:val="auto"/>
        </w:rPr>
        <w:t xml:space="preserve"> </w:t>
      </w:r>
      <w:r>
        <w:rPr>
          <w:rFonts w:ascii="Arial" w:cs="Arial" w:eastAsia="Arial" w:hAnsi="Arial"/>
          <w:sz w:val="20"/>
          <w:szCs w:val="20"/>
          <w:color w:val="auto"/>
        </w:rPr>
        <w:t>FASB Codification will be considered non-authoritative. These provisions were effective for interim and annual periods ending after September 15, 2009 and, accordingly, are effective for the Company in the current fiscal reporting period. The adoption of this pronouncement did not have an impact on the Company’s condensed consolidated financial statements, but will impact its financial reporting process by eliminating all references to pre-codification standards. On the effective date, the Codification superseded all then-existing non-SEC accounting and reporting standards, and all other non-grandfathered non-SEC accounting literature not included in the Codification became non-authoritative.</w:t>
      </w:r>
    </w:p>
    <w:p>
      <w:pPr>
        <w:spacing w:after="0" w:line="20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2009, the FASB issued guidelines on subsequent event accounting which establishes general standards of accounting for, and requires disclosure of, events that occur after the balance sheet date but before financial statements are issued or are available to be issued. The Company adopted these amendments effective May 1, 2009.</w:t>
      </w:r>
    </w:p>
    <w:p>
      <w:pPr>
        <w:spacing w:after="0" w:line="20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April 2009, the FASB issued new guidance on the recognition of other-than-temporary impairments of investments in debt securities and provides new presentation and disclosure requirements for other-than-temporary impairments of investments in debt and equity securities. The Company adopted these provisions during the first quarter of fiscal year 2010. The adoption did not have a material effect on its consolidated financial statements.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April 2009, the FASB issued guidance which requires disclosures about fair value of financial instruments in interim and annual financial statements. The new requirements were effective for interim periods ending after June 15, 2009 and the Company adopted these requirements in the first quarter of fiscal year 2010. The adoption did not have a material effect on its consolidated financial statements.</w:t>
      </w:r>
    </w:p>
    <w:p>
      <w:pPr>
        <w:spacing w:after="0" w:line="2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September 2006, the FASB issued guidance which defines fair value, establishes a framework for measuring fair value and expands disclosures about fair value measurements. This guidance is contained in ASC Topic 820, “Fair Value Measurements and Disclosures” (“ASC Topic 820”). In February 2008, the FASB deferred the effective date to January 1, 2009 for all nonfinancial assets and liabilities, except for those that are recognized or disclosed at fair value on a recurring basis (that is, at least annually). The Company adopted the provisions of ASC Topic 820 in fiscal year 2009. With the adoption of new accounting rules, fair value is now determined as an exit price, representing the price that would be received in an orderly transaction between market participants based on the highest and best use of the asset rather than as the result of an internally-generated cash flow analysis. In April 2009, the FASB issued additional guidance for estimating fair value in accordance with ASC Topic 820. The additional guidance addresses determining fair value when the volume and level of activity for an asset or liability have significantly decreased and identifying transactions that are not orderly. The Company adopted the provision of this guidance during its first quarter of fiscal year 2010, ended July 31, 2009. The adoption did not have a material effect on its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5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November 2009, the United States enacted legislation which permits corporations to carryback net operating losses up to 5 years versus the previous 2-year limitation. As a result, the Company filed a claim to carryback the entire amount of its fiscal year 2009 tax loss to an earlier year, thus realizing a tax benefit of approximately $2.9 million. Before this legislation was enacted, the Company anticipated receiving a tax benefit of approximately $800,000 and recorded a receivable on that basis. Due to the change in tax law, during the nine and three month periods ended January 31, 2010, the Company is recording a tax benefit of $1.97 million of which $2.1 million is attributable to the effect of the new law. During the nine months ended January 31, 2010, the Company recorded an income tax provision of approximately $180,000, or approximately 30% of pre-tax income. A portion of this provision was deferred and is offset by a reduction in the valuation allowance on deferred tax assets that was established in prior years. As of January 31, 2010, the valuation allowance is approximately $6.7 million and may continue to be reduced as the Company realizes pre-tax profits in future periods.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nine month period ended January 31, 2010, the Company made a contribution of 44,672 shares of its common stock held in treasury to the Company’s profit sharing plan and trust under section 401(k) of the Internal Revenue Code. Such contribution is in accordance with the Company’s discretionary match of employee voluntary contributions to this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In accordance with current accounting standards, the Company has evaluated subsequent events through the time of filing of this Form 10-Q.</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2009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The Company writes down the value of slow-moving and obsolete inventory items based upon management’s experience and expectations for future business. Any write downs are reflected in cost of sales in the period the write downs are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2010 and 2009 the percentage of consolidated revenues represented by certain items in the Company’s consolidated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0" w:type="dxa"/>
            <w:vAlign w:val="bottom"/>
            <w:gridSpan w:val="3"/>
          </w:tcPr>
          <w:p>
            <w:pPr>
              <w:ind w:left="1000"/>
              <w:spacing w:after="0"/>
              <w:rPr>
                <w:sz w:val="20"/>
                <w:szCs w:val="20"/>
                <w:color w:val="auto"/>
              </w:rPr>
            </w:pPr>
            <w:r>
              <w:rPr>
                <w:rFonts w:ascii="Arial" w:cs="Arial" w:eastAsia="Arial" w:hAnsi="Arial"/>
                <w:sz w:val="18"/>
                <w:szCs w:val="18"/>
                <w:color w:val="auto"/>
                <w:w w:val="96"/>
              </w:rPr>
              <w:t>Nine months</w:t>
            </w:r>
          </w:p>
        </w:tc>
        <w:tc>
          <w:tcPr>
            <w:tcW w:w="214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w w:val="92"/>
              </w:rPr>
              <w:t>Periods ended January 31,</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w w:val="93"/>
              </w:rPr>
              <w:t>Three months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2009</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3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9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6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19.1</w:t>
            </w:r>
          </w:p>
        </w:tc>
        <w:tc>
          <w:tcPr>
            <w:tcW w:w="9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9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(4.3)</w:t>
            </w:r>
          </w:p>
        </w:tc>
        <w:tc>
          <w:tcPr>
            <w:tcW w:w="90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32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260" w:type="dxa"/>
            <w:vAlign w:val="bottom"/>
            <w:tcBorders>
              <w:top w:val="single" w:sz="8" w:color="CCFFC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76.8</w:t>
            </w:r>
          </w:p>
        </w:tc>
        <w:tc>
          <w:tcPr>
            <w:tcW w:w="9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64.7</w:t>
            </w:r>
          </w:p>
        </w:tc>
        <w:tc>
          <w:tcPr>
            <w:tcW w:w="4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80" w:type="dxa"/>
            <w:vAlign w:val="bottom"/>
            <w:shd w:val="clear" w:color="auto" w:fill="CCFFC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Gross Margin</w:t>
            </w:r>
          </w:p>
        </w:tc>
        <w:tc>
          <w:tcPr>
            <w:tcW w:w="1340" w:type="dxa"/>
            <w:vAlign w:val="bottom"/>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23.2</w:t>
            </w:r>
          </w:p>
        </w:tc>
        <w:tc>
          <w:tcPr>
            <w:tcW w:w="9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21.8</w:t>
            </w:r>
          </w:p>
        </w:tc>
        <w:tc>
          <w:tcPr>
            <w:tcW w:w="9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20.8</w:t>
            </w:r>
          </w:p>
        </w:tc>
        <w:tc>
          <w:tcPr>
            <w:tcW w:w="4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Operating Income (Loss)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(6.2)</w:t>
            </w:r>
          </w:p>
        </w:tc>
        <w:tc>
          <w:tcPr>
            <w:tcW w:w="9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Pretax Income (Loss)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(5.6)</w:t>
            </w:r>
          </w:p>
        </w:tc>
        <w:tc>
          <w:tcPr>
            <w:tcW w:w="9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w:t>
            </w:r>
          </w:p>
        </w:tc>
        <w:tc>
          <w:tcPr>
            <w:tcW w:w="90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w:t>
            </w:r>
          </w:p>
        </w:tc>
        <w:tc>
          <w:tcPr>
            <w:tcW w:w="4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0" w:type="dxa"/>
            <w:vAlign w:val="bottom"/>
            <w:gridSpan w:val="3"/>
          </w:tcPr>
          <w:p>
            <w:pPr>
              <w:ind w:left="900"/>
              <w:spacing w:after="0"/>
              <w:rPr>
                <w:sz w:val="20"/>
                <w:szCs w:val="20"/>
                <w:color w:val="auto"/>
              </w:rPr>
            </w:pPr>
            <w:r>
              <w:rPr>
                <w:rFonts w:ascii="Arial" w:cs="Arial" w:eastAsia="Arial" w:hAnsi="Arial"/>
                <w:sz w:val="18"/>
                <w:szCs w:val="18"/>
                <w:color w:val="auto"/>
              </w:rPr>
              <w:t>14 of 21</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07"/>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Nine months</w:t>
            </w:r>
          </w:p>
        </w:tc>
        <w:tc>
          <w:tcPr>
            <w:tcW w:w="4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w:t>
            </w: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60" w:type="dxa"/>
            <w:vAlign w:val="bottom"/>
            <w:gridSpan w:val="6"/>
          </w:tcPr>
          <w:p>
            <w:pPr>
              <w:jc w:val="right"/>
              <w:ind w:right="340"/>
              <w:spacing w:after="0" w:line="201" w:lineRule="exact"/>
              <w:rPr>
                <w:sz w:val="20"/>
                <w:szCs w:val="20"/>
                <w:color w:val="auto"/>
              </w:rPr>
            </w:pPr>
            <w:r>
              <w:rPr>
                <w:rFonts w:ascii="Arial" w:cs="Arial" w:eastAsia="Arial" w:hAnsi="Arial"/>
                <w:sz w:val="18"/>
                <w:szCs w:val="18"/>
                <w:color w:val="auto"/>
              </w:rPr>
              <w:t>Periods ended January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28.1</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(6.7)</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51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2.5</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020" w:type="dxa"/>
            <w:vAlign w:val="bottom"/>
            <w:gridSpan w:val="2"/>
          </w:tcPr>
          <w:p>
            <w:pPr>
              <w:jc w:val="right"/>
              <w:ind w:right="450"/>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40.3</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(4.0)</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13.2</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(0.7)</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decrease in revenues for the nine and three month periods ended January 31, 2010 compared to the same periods of fiscal year 2009, was the result of lower revenues from wireless infrastructure products and sales of other commercial products recorded in the FEI-NY segment. These lower revenues were partially offset by increased sales from the Company’s US5G productline for the U.S. domestic wireline market which are generated by the FEI-Zyfer segment. Revenues from satellite payload programs were moderately lower in the fiscal year 2010 periods compared to the same periods of fiscal year 2009. Revenues from U.S. Government space programs have increased by 7% year-over-year but these increases were offset by continued low levels of activity in commercial satellite space programs. Revenues from U.S. Government/DOD non-space programs, which are recorded in the FEI-NY and FEI-Zyfer segments, increased by more than 25% year-over-year and accounted for approximately 25% of consolidated revenue in the fiscal year 2010 periods compared to less than 20% in the fiscal year 2009 periods. During the remainder of fiscal year 2010, the Company expects revenues from wireless telecommunication infrastructure products and satellite programs to remain at approximately the same levels as the first nine months of the year but expects to realize increased revenues from wireline telecommunication products and from U.S. Government/DOD non-space programs.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Nine months</w:t>
            </w: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Three months</w:t>
            </w: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5"/>
          </w:tcPr>
          <w:p>
            <w:pPr>
              <w:jc w:val="right"/>
              <w:ind w:right="240"/>
              <w:spacing w:after="0" w:line="201" w:lineRule="exact"/>
              <w:rPr>
                <w:sz w:val="20"/>
                <w:szCs w:val="20"/>
                <w:color w:val="auto"/>
              </w:rPr>
            </w:pPr>
            <w:r>
              <w:rPr>
                <w:rFonts w:ascii="Arial" w:cs="Arial" w:eastAsia="Arial" w:hAnsi="Arial"/>
                <w:sz w:val="18"/>
                <w:szCs w:val="18"/>
                <w:color w:val="auto"/>
              </w:rPr>
              <w:t>Periods ended January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2009</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9,365</w:t>
            </w:r>
          </w:p>
        </w:tc>
        <w:tc>
          <w:tcPr>
            <w:tcW w:w="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w w:val="97"/>
              </w:rPr>
              <w:t>3,752</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88"/>
              </w:rPr>
              <w:t>40% $4,422</w:t>
            </w: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3,459</w:t>
            </w:r>
          </w:p>
        </w:tc>
        <w:tc>
          <w:tcPr>
            <w:tcW w:w="30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963</w:t>
            </w:r>
          </w:p>
        </w:tc>
        <w:tc>
          <w:tcPr>
            <w:tcW w:w="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20"/>
                <w:szCs w:val="20"/>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improvement in gross margins for the nine and three month periods ended January 31, 2010, are primarily due to increased gross margin rates. The gross margin rates recorded in the fiscal year 2010 periods approach the Company’s targeted rates. The rates recorded in the fiscal year 2009 periods were much lower than the Company’s targets due primarily to higher levels of engineering and manufacturing costs on certain satellite payload programs that were completed during fiscal year 2009. During the nine-month period ended January 31, 2010, the Company reached an agreement with a customer and received $650,000 representing a portion of the cost of certain unique inventory items that the customer no longer requires and recorded this amount as a reduction to cost of goods sold during the period. During the nine and three-month periods ended January 31, 2010, the Company wrote down inventory, including the unique items, with an aggregate value of $950,000 and $150,000, respectively. This is compared to writedowns of $1.45 million and $650,000 for the same periods of fiscal year 2009. The Company anticipates that its gross margin rates for the remainder of fiscal year 2010 will be comparable to the current periods but will show significant improvement over the prior fiscal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Nine months</w:t>
            </w:r>
          </w:p>
        </w:tc>
        <w:tc>
          <w:tcPr>
            <w:tcW w:w="1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Three months</w:t>
            </w:r>
          </w:p>
        </w:tc>
        <w:tc>
          <w:tcPr>
            <w:tcW w:w="1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gridSpan w:val="2"/>
          </w:tcPr>
          <w:p>
            <w:pPr>
              <w:ind w:left="780"/>
              <w:spacing w:after="0" w:line="201" w:lineRule="exact"/>
              <w:rPr>
                <w:sz w:val="20"/>
                <w:szCs w:val="20"/>
                <w:color w:val="auto"/>
              </w:rPr>
            </w:pPr>
            <w:r>
              <w:rPr>
                <w:rFonts w:ascii="Arial" w:cs="Arial" w:eastAsia="Arial" w:hAnsi="Arial"/>
                <w:sz w:val="18"/>
                <w:szCs w:val="18"/>
                <w:color w:val="auto"/>
                <w:w w:val="89"/>
              </w:rPr>
              <w:t>Periods ended</w:t>
            </w:r>
          </w:p>
        </w:tc>
        <w:tc>
          <w:tcPr>
            <w:tcW w:w="8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January 31,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2010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FFCC"/>
          </w:tcPr>
          <w:p>
            <w:pPr>
              <w:jc w:val="right"/>
              <w:ind w:right="103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7,948</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8,797</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(849)</w:t>
            </w:r>
          </w:p>
        </w:tc>
        <w:tc>
          <w:tcPr>
            <w:tcW w:w="1420" w:type="dxa"/>
            <w:vAlign w:val="bottom"/>
            <w:gridSpan w:val="3"/>
            <w:shd w:val="clear" w:color="auto" w:fill="CCFFCC"/>
          </w:tcPr>
          <w:p>
            <w:pPr>
              <w:jc w:val="right"/>
              <w:ind w:right="390"/>
              <w:spacing w:after="0"/>
              <w:rPr>
                <w:sz w:val="20"/>
                <w:szCs w:val="20"/>
                <w:color w:val="auto"/>
              </w:rPr>
            </w:pPr>
            <w:r>
              <w:rPr>
                <w:rFonts w:ascii="Arial" w:cs="Arial" w:eastAsia="Arial" w:hAnsi="Arial"/>
                <w:sz w:val="18"/>
                <w:szCs w:val="18"/>
                <w:color w:val="auto"/>
              </w:rPr>
              <w:t>(10)% $</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7"/>
              </w:rPr>
              <w:t>2,608</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2,845</w:t>
            </w:r>
          </w:p>
        </w:tc>
        <w:tc>
          <w:tcPr>
            <w:tcW w:w="66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(237)</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18"/>
                <w:szCs w:val="18"/>
                <w:color w:val="auto"/>
              </w:rPr>
            </w:pPr>
          </w:p>
        </w:tc>
      </w:tr>
      <w:tr>
        <w:trPr>
          <w:trHeight w:val="60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2"/>
              </w:rPr>
              <w:t>15 of 21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For the nine and three months ended January 31, 2010, selling and administrative expenses were 22% and 21%, respectively, of consolidated revenues. This is compared to 22% in each of the same periods of fiscal year 2009. Although the Company’s target for such expenses is not to exceed 20% of revenues, since many of the costs are relatively fixed, lower revenues result in a higher ratio of expenses to revenues. The decrease in expenses in the fiscal year 2010 periods compared to the same periods of fiscal year 2009 are primarily due to declines in personnel costs through a reduction in force and reduced deferred compensation expense. These decreases were partially offset by higher professional fees and accruals for incentive compensation based on operating profits. For the final quarter of fiscal year 2010, the Company expects selling and administrative expenses to be incurred at approximately the same rate in both dollars and as a percentage of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Nine months</w:t>
            </w: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Three months</w:t>
            </w: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2"/>
        </w:trPr>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89"/>
              </w:rPr>
              <w:t>Periods ended</w:t>
            </w:r>
          </w:p>
        </w:tc>
        <w:tc>
          <w:tcPr>
            <w:tcW w:w="1460" w:type="dxa"/>
            <w:vAlign w:val="bottom"/>
            <w:gridSpan w:val="4"/>
          </w:tcPr>
          <w:p>
            <w:pPr>
              <w:jc w:val="right"/>
              <w:ind w:right="620"/>
              <w:spacing w:after="0" w:line="201" w:lineRule="exact"/>
              <w:rPr>
                <w:sz w:val="20"/>
                <w:szCs w:val="20"/>
                <w:color w:val="auto"/>
              </w:rPr>
            </w:pPr>
            <w:r>
              <w:rPr>
                <w:rFonts w:ascii="Arial" w:cs="Arial" w:eastAsia="Arial" w:hAnsi="Arial"/>
                <w:sz w:val="18"/>
                <w:szCs w:val="18"/>
                <w:color w:val="auto"/>
                <w:w w:val="87"/>
              </w:rPr>
              <w:t>January 31,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7"/>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1200" w:type="dxa"/>
            <w:vAlign w:val="bottom"/>
            <w:shd w:val="clear" w:color="auto" w:fill="CCFFCC"/>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3,954</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3,068</w:t>
            </w:r>
          </w:p>
        </w:tc>
        <w:tc>
          <w:tcPr>
            <w:tcW w:w="6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886</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29% $</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66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rPr>
              <w:t>671</w:t>
            </w:r>
          </w:p>
        </w:tc>
        <w:tc>
          <w:tcPr>
            <w:tcW w:w="6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Research and development expenditures represent investments that keep the Company’s products at the leading edge of time and frequency technology and enhance competitiveness for future revenues. Research and development spending for the nine and three-month periods ended January 31, 2010 was 11% and 12% of revenues, respectively, compared to 8% and 6% of revenues for the same periods of fiscal year 2009, respectively. The increased spending in fiscal year 2010, resulted from intensive activities in the areas of satellite payload product development and improving the technology of the Company’s new wireline synchronization equipment. In addition, the Company continues to conduct development activities on customer-funded programs the cost of which appears in cost of revenues, thus reducing the level of internal research and development spending. The Company targets research and development spending at approximately 10% of revenues,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For the remainder of fiscal year 2010, the Company anticipates that internal research and development spending will be approximately 10% of revenues. Internally generated cash and cash reserves are adequate to fund these development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Nine months</w:t>
            </w:r>
          </w:p>
        </w:tc>
        <w:tc>
          <w:tcPr>
            <w:tcW w:w="1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Three months</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gridSpan w:val="2"/>
          </w:tcPr>
          <w:p>
            <w:pPr>
              <w:ind w:left="880"/>
              <w:spacing w:after="0" w:line="201" w:lineRule="exact"/>
              <w:rPr>
                <w:sz w:val="20"/>
                <w:szCs w:val="20"/>
                <w:color w:val="auto"/>
              </w:rPr>
            </w:pPr>
            <w:r>
              <w:rPr>
                <w:rFonts w:ascii="Arial" w:cs="Arial" w:eastAsia="Arial" w:hAnsi="Arial"/>
                <w:sz w:val="18"/>
                <w:szCs w:val="18"/>
                <w:color w:val="auto"/>
                <w:w w:val="93"/>
              </w:rPr>
              <w:t>Periods ended</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82"/>
              </w:rPr>
              <w:t>January 31,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1,215</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(2,500)</w:t>
            </w:r>
          </w:p>
        </w:tc>
        <w:tc>
          <w:tcPr>
            <w:tcW w:w="500" w:type="dxa"/>
            <w:vAlign w:val="bottom"/>
            <w:shd w:val="clear" w:color="auto" w:fill="CCFFCC"/>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3,715</w:t>
            </w:r>
          </w:p>
        </w:tc>
        <w:tc>
          <w:tcPr>
            <w:tcW w:w="1460" w:type="dxa"/>
            <w:vAlign w:val="bottom"/>
            <w:gridSpan w:val="3"/>
            <w:shd w:val="clear" w:color="auto" w:fill="CCFFCC"/>
          </w:tcPr>
          <w:p>
            <w:pPr>
              <w:jc w:val="right"/>
              <w:ind w:right="550"/>
              <w:spacing w:after="0"/>
              <w:rPr>
                <w:sz w:val="20"/>
                <w:szCs w:val="20"/>
                <w:color w:val="auto"/>
              </w:rPr>
            </w:pPr>
            <w:r>
              <w:rPr>
                <w:rFonts w:ascii="Arial" w:cs="Arial" w:eastAsia="Arial" w:hAnsi="Arial"/>
                <w:sz w:val="18"/>
                <w:szCs w:val="18"/>
                <w:color w:val="auto"/>
              </w:rPr>
              <w:t>NM $</w:t>
            </w:r>
          </w:p>
        </w:tc>
        <w:tc>
          <w:tcPr>
            <w:tcW w:w="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314</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(215)</w:t>
            </w:r>
          </w:p>
        </w:tc>
        <w:tc>
          <w:tcPr>
            <w:tcW w:w="66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529</w:t>
            </w: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Improved gross margin rates and lower operating expenses in the fiscal year 2010 periods enabled the Company to record operating income for the nine and three-month periods ended January 31, 2010, compared to the same periods of fiscal year 2009. The Company anticipates that at the current level of business and having implemented certain cost saving measures, that it can sustain operating income at this level. As the Company gains additional business through increased bookings on its current product lines and expands its product offerings through research and development efforts, operating income is expected to further improve. The Company anticipates that it will generate operating income for the full fiscal year 2010.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Nine months</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Three months</w:t>
            </w: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gridSpan w:val="6"/>
          </w:tcPr>
          <w:p>
            <w:pPr>
              <w:jc w:val="right"/>
              <w:ind w:right="340"/>
              <w:spacing w:after="0" w:line="201" w:lineRule="exact"/>
              <w:rPr>
                <w:sz w:val="20"/>
                <w:szCs w:val="20"/>
                <w:color w:val="auto"/>
              </w:rPr>
            </w:pPr>
            <w:r>
              <w:rPr>
                <w:rFonts w:ascii="Arial" w:cs="Arial" w:eastAsia="Arial" w:hAnsi="Arial"/>
                <w:sz w:val="18"/>
                <w:szCs w:val="18"/>
                <w:color w:val="auto"/>
              </w:rPr>
              <w:t>Periods ended January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526</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(126)</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w:t>
            </w:r>
          </w:p>
        </w:tc>
        <w:tc>
          <w:tcPr>
            <w:tcW w:w="5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( 12)</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Equity (loss)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1040" w:type="dxa"/>
            <w:vAlign w:val="bottom"/>
            <w:gridSpan w:val="2"/>
          </w:tcPr>
          <w:p>
            <w:pPr>
              <w:jc w:val="right"/>
              <w:ind w:right="450"/>
              <w:spacing w:after="0"/>
              <w:rPr>
                <w:sz w:val="20"/>
                <w:szCs w:val="20"/>
                <w:color w:val="auto"/>
              </w:rPr>
            </w:pPr>
            <w:r>
              <w:rPr>
                <w:rFonts w:ascii="Arial" w:cs="Arial" w:eastAsia="Arial" w:hAnsi="Arial"/>
                <w:sz w:val="18"/>
                <w:szCs w:val="18"/>
                <w:color w:val="auto"/>
              </w:rPr>
              <w:t>(51)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(550)</w:t>
            </w:r>
          </w:p>
        </w:tc>
        <w:tc>
          <w:tcPr>
            <w:tcW w:w="840" w:type="dxa"/>
            <w:vAlign w:val="bottom"/>
            <w:tcBorders>
              <w:right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(350)</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18"/>
                <w:szCs w:val="18"/>
                <w:color w:val="auto"/>
              </w:rPr>
            </w:pPr>
          </w:p>
        </w:tc>
        <w:tc>
          <w:tcPr>
            <w:tcW w:w="1040" w:type="dxa"/>
            <w:vAlign w:val="bottom"/>
            <w:gridSpan w:val="2"/>
          </w:tcPr>
          <w:p>
            <w:pPr>
              <w:jc w:val="right"/>
              <w:ind w:right="510"/>
              <w:spacing w:after="0"/>
              <w:rPr>
                <w:sz w:val="20"/>
                <w:szCs w:val="20"/>
                <w:color w:val="auto"/>
              </w:rPr>
            </w:pPr>
            <w:r>
              <w:rPr>
                <w:rFonts w:ascii="Arial" w:cs="Arial" w:eastAsia="Arial" w:hAnsi="Arial"/>
                <w:sz w:val="18"/>
                <w:szCs w:val="18"/>
                <w:color w:val="auto"/>
              </w:rPr>
              <w:t>166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(287)</w:t>
            </w:r>
          </w:p>
        </w:tc>
        <w:tc>
          <w:tcPr>
            <w:tcW w:w="840" w:type="dxa"/>
            <w:vAlign w:val="bottom"/>
            <w:tcBorders>
              <w:right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(55)</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18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320" w:type="dxa"/>
            <w:vAlign w:val="bottom"/>
            <w:tcBorders>
              <w:right w:val="single" w:sz="8" w:color="CCFFCC"/>
            </w:tcBorders>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CCFFCC"/>
          </w:tcPr>
          <w:p>
            <w:pPr>
              <w:spacing w:after="0"/>
              <w:rPr>
                <w:sz w:val="2"/>
                <w:szCs w:val="2"/>
                <w:color w:val="auto"/>
              </w:rPr>
            </w:pPr>
          </w:p>
        </w:tc>
        <w:tc>
          <w:tcPr>
            <w:tcW w:w="5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( 611)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50"/>
              <w:spacing w:after="0"/>
              <w:rPr>
                <w:sz w:val="20"/>
                <w:szCs w:val="20"/>
                <w:color w:val="auto"/>
              </w:rPr>
            </w:pPr>
            <w:r>
              <w:rPr>
                <w:rFonts w:ascii="Arial" w:cs="Arial" w:eastAsia="Arial" w:hAnsi="Arial"/>
                <w:sz w:val="18"/>
                <w:szCs w:val="18"/>
                <w:color w:val="auto"/>
              </w:rPr>
              <w:t>(848)</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(530)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bl>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 levels and the timing of purchases or sales of securities.</w:t>
      </w:r>
    </w:p>
    <w:p>
      <w:pPr>
        <w:spacing w:after="0" w:line="1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equity (loss) income in the fiscal year 2010 and 2009 periods represent the Company’s share of the quarterly income or loss recorded by Elcom Technologies in which the Company owns a 25% interest. In addition, the Company measured the current market value of Elcom based on comparisons to comparable companies as well as Elcom’s forecasts of future financial results and determined that its investment was impaired. Consequently, during the nine and three month periods ended January 31, 2010, the Company recorded impairment charges in the amount of $550,000 and $350,000, respectively, in addition to its equity share in Elcom’s quarterly income or loss.</w:t>
      </w:r>
    </w:p>
    <w:p>
      <w:pPr>
        <w:spacing w:after="0" w:line="21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decrease in interest expense for the nine and three month periods ended January 31, 2010, resulted from both a decrease in borrowings under the Company’s line of credit as well as a lower rate of interest charged on such borrowings compared to the same periods ended January 31, 2009.</w:t>
      </w:r>
    </w:p>
    <w:p>
      <w:pPr>
        <w:spacing w:after="0" w:line="15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Under the provisions of sale and leaseback accounting, a portion of the capital gain realized on a fiscal year 2005 real estate transaction is deferred and recognized in income over the initial lease term. Under the caption “Other income, net” the Company recognized deferred gain of $236,000 and $59,000 for the nine and three months ended January 31, 2009, respectively. Since the gain was fully amortized during fiscal year 2009, comparable income was not recorded in the periods ended January 31, 2010. In the fiscal year 2010 periods, other expense included royalty expense and certain foreign currency exchange losses at the Company’s overseas subsidiaries. Other insignificant income and expense items are also recorded under this caption.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3"/>
              </w:rPr>
              <w:t>Income Tax Benefit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Nine months</w:t>
            </w:r>
          </w:p>
        </w:tc>
        <w:tc>
          <w:tcPr>
            <w:tcW w:w="1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0"/>
              </w:rPr>
              <w:t>Three months</w:t>
            </w:r>
          </w:p>
        </w:tc>
        <w:tc>
          <w:tcPr>
            <w:tcW w:w="1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00" w:type="dxa"/>
            <w:vAlign w:val="bottom"/>
            <w:gridSpan w:val="6"/>
          </w:tcPr>
          <w:p>
            <w:pPr>
              <w:jc w:val="center"/>
              <w:ind w:left="430"/>
              <w:spacing w:after="0" w:line="201" w:lineRule="exact"/>
              <w:rPr>
                <w:sz w:val="20"/>
                <w:szCs w:val="20"/>
                <w:color w:val="auto"/>
              </w:rPr>
            </w:pPr>
            <w:r>
              <w:rPr>
                <w:rFonts w:ascii="Arial" w:cs="Arial" w:eastAsia="Arial" w:hAnsi="Arial"/>
                <w:sz w:val="18"/>
                <w:szCs w:val="18"/>
                <w:color w:val="auto"/>
                <w:w w:val="88"/>
              </w:rPr>
              <w:t>Periods ended January 31,</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(1,970)</w:t>
            </w:r>
          </w:p>
        </w:tc>
        <w:tc>
          <w:tcPr>
            <w:tcW w:w="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(696)</w:t>
            </w:r>
          </w:p>
        </w:tc>
        <w:tc>
          <w:tcPr>
            <w:tcW w:w="4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(1,274)</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183% $</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(1,970)</w:t>
            </w:r>
          </w:p>
        </w:tc>
        <w:tc>
          <w:tcPr>
            <w:tcW w:w="7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FFCC"/>
          </w:tcPr>
          <w:p>
            <w:pPr>
              <w:jc w:val="right"/>
              <w:ind w:right="440"/>
              <w:spacing w:after="0"/>
              <w:rPr>
                <w:sz w:val="20"/>
                <w:szCs w:val="20"/>
                <w:color w:val="auto"/>
              </w:rPr>
            </w:pPr>
            <w:r>
              <w:rPr>
                <w:rFonts w:ascii="Arial" w:cs="Arial" w:eastAsia="Arial" w:hAnsi="Arial"/>
                <w:sz w:val="18"/>
                <w:szCs w:val="18"/>
                <w:color w:val="auto"/>
              </w:rPr>
              <w:t>(19)  $</w:t>
            </w:r>
          </w:p>
        </w:tc>
        <w:tc>
          <w:tcPr>
            <w:tcW w:w="128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91"/>
              </w:rPr>
              <w:t>(1,951)</w:t>
            </w:r>
          </w:p>
        </w:tc>
        <w:tc>
          <w:tcPr>
            <w:tcW w:w="7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November 2009, the United States enacted legislation which permits corporations to carryback net operating losses up to 5 years versus the previous 2-year limitation. As a result, the Company filed a claim to carryback the entire amount of its fiscal year 2009 tax loss to an earlier year, thus realizing a tax benefit of approximately $2.9 million. Before this legislation was enacted, the Company anticipated receiving a tax benefit of approximately $800,000 and recorded a receivable on that basis. Due to the change in tax law, during the nine and three month periods ended January 31, 2010, the Company is recording a tax benefit of $1.97 million of which $2.1 million is attributable to the effect of the new law. During the nine months ended January 31, 2010, the Company recorded an income tax provision of approximately $180,000, or approximately 30% of pre-tax income. A portion of this provision was deferred and is offset by a reduction in the valuation allowance on deferred tax assets that was established in prior years. As of January 31, 2010, the valuation allowance is approximately $6.7 million and may continue to be reduced as the Company realizes pre-tax profits in future periods.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2009, the Company’s European subsidiaries had available net operating loss carryforwards of approximately $1.1 million, which will offset future taxable income. The domestic U.S. tax loss carryforward for state income tax purposes is approximately $7.3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(Loss)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Nine months</w:t>
            </w:r>
          </w:p>
        </w:tc>
        <w:tc>
          <w:tcPr>
            <w:tcW w:w="1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Three months</w:t>
            </w:r>
          </w:p>
        </w:tc>
        <w:tc>
          <w:tcPr>
            <w:tcW w:w="1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2"/>
          </w:tcPr>
          <w:p>
            <w:pPr>
              <w:ind w:left="860"/>
              <w:spacing w:after="0" w:line="201" w:lineRule="exact"/>
              <w:rPr>
                <w:sz w:val="20"/>
                <w:szCs w:val="20"/>
                <w:color w:val="auto"/>
              </w:rPr>
            </w:pPr>
            <w:r>
              <w:rPr>
                <w:rFonts w:ascii="Arial" w:cs="Arial" w:eastAsia="Arial" w:hAnsi="Arial"/>
                <w:sz w:val="18"/>
                <w:szCs w:val="18"/>
                <w:color w:val="auto"/>
                <w:w w:val="98"/>
              </w:rPr>
              <w:t>Periods ended</w:t>
            </w:r>
          </w:p>
        </w:tc>
        <w:tc>
          <w:tcPr>
            <w:tcW w:w="1160" w:type="dxa"/>
            <w:vAlign w:val="bottom"/>
            <w:gridSpan w:val="3"/>
          </w:tcPr>
          <w:p>
            <w:pPr>
              <w:jc w:val="right"/>
              <w:ind w:right="330"/>
              <w:spacing w:after="0" w:line="201" w:lineRule="exact"/>
              <w:rPr>
                <w:sz w:val="20"/>
                <w:szCs w:val="20"/>
                <w:color w:val="auto"/>
              </w:rPr>
            </w:pPr>
            <w:r>
              <w:rPr>
                <w:rFonts w:ascii="Arial" w:cs="Arial" w:eastAsia="Arial" w:hAnsi="Arial"/>
                <w:sz w:val="18"/>
                <w:szCs w:val="18"/>
                <w:color w:val="auto"/>
                <w:w w:val="76"/>
              </w:rPr>
              <w:t>January 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FFCC"/>
          </w:tcPr>
          <w:p>
            <w:pPr>
              <w:jc w:val="right"/>
              <w:ind w:right="79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2,574</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(1,567)</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4,141</w:t>
            </w:r>
          </w:p>
        </w:tc>
        <w:tc>
          <w:tcPr>
            <w:tcW w:w="94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NM $</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2,049</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w:t>
            </w: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1,950</w:t>
            </w:r>
          </w:p>
        </w:tc>
        <w:tc>
          <w:tcPr>
            <w:tcW w:w="7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improvement in net income (loss) for the nine and three months ended January 31, 2010, were primarily the result of the $2.0 million tax benefit as described above. In addition, due to improved gross margin rates and reduced operating expenses the Company generated pretax profits in the fiscal year 2010 periods compared to a pretax loss for the nine month period ended January 31, 2009 and $80,000 pretax income for the three-month period then ended. The fiscal year 2009 results were negatively impacted by the higher engineering costs on certain satellite payload programs which were completed during that fiscal year. The Company expects to realize improved gross and operating margins in the final quarter of fiscal year 2010 and anticipates that it will report a profit for the full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$54 million at January 31, 2010, compared to working capital of $48 million at April 30, 2009. Included in working capital at January 31, 2010 is $16.9 million of cash, cash equivalents and marketable securities. The Company’s current ratio at January 31, 2010 is 8.2 to 1.</w:t>
      </w:r>
    </w:p>
    <w:p>
      <w:pPr>
        <w:spacing w:after="0" w:line="20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nine months ended January 31, 2010, the Company had positive cash flow from operating activities of $3.1 million compared to $5.3 million provided by operations in the comparable fiscal year 2009 period. The primary sources of cash in the fiscal year 2010 period were profitable operations, the collection of accounts receivable and net of reductions in operating liabilities. During the fiscal year 2010 period, the Company incurred over $3.7 million of non-cash operating expenses, such as depreciation and amortization and accruals for employee benefit programs. These non-cash expenses are comparable to the prior year. In the nine month period ended January 31, 2009, operating cash flow was diminished by the $1.6 million net loss for the period. For the balance of fiscal year 2010, the Company expects to generate positive cash flow from operating activities.</w:t>
      </w:r>
    </w:p>
    <w:p>
      <w:pPr>
        <w:spacing w:after="0" w:line="20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provided by investing activities for the nine months ended January 31, 2010, was $203,000 compared to a $6.0 million use of cash for the same period of fiscal year 2009. During the fiscal year 2010 period, a $500,000 marketable security was redeemed and the Company received $220,000 on repayment of a note from an affiliate. These inflows were offset by the acquisition of capital equipment in the amount of $517,000. In the prior fiscal year, the Company invested $5.6 million in marketable securities, net of $1.0 million in proceeds from the sale of certain marketable securities, and acquired additional fixed assets for $423,000. The Company may continue to acquire or sell marketable securities as dictated by its investment strategies as well as by the cash requirements for its development activities. Capital equipment purchases for all of fiscal year 2010 are expected to be less than $1.0 million. Internally generated cash is adequate to acquire this level of capital equipment.</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financing activities for the nine months ended January 31, 2010, was $1.3 million compared to $7.3 million used during the comparable fiscal year 2009 period. The fiscal year 2010 activity consisted solely of payments against the Company’s capital lease obligation and paydown of the Company’s line of credit with a financial institution. During the first nine months of fiscal year 2009, the Company repurchased over 725,000 shares of its common stock at an average per share price of $4.29, or approximately $3.1 million. In addition, during fiscal year 2009, the Company had net borrowings of $4.0 million against its line of credit and made principal payments of $163,000 against a long-term capital lease.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2010, the Company has repurchased approximately $4 million of its common stock out of the $5 million authorization.</w:t>
      </w:r>
    </w:p>
    <w:p>
      <w:pPr>
        <w:spacing w:after="0" w:line="19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2010,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January 31, 2010, the Company's consolidated backlog amounted to approximately $32 million. Approximately 70% of this backlog is expected to be realized in the next twelve months. Included in the backlog at January 31, 2010 is approximately $9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for the reasons discussed below, as of January 31, 2010,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disclosed in its Form 10-K for the year ended April 30, 2009, the Company has identified several material weaknesses in its internal control over financial reporting. While the Company did not conduct a full assessment of the effectiveness of internal controls over financial reporting at January 31, 2010, for the three quarters of fiscal year 2010, there were no substantial changes made to the Company’s internal control over financial reporting since management’s assessment of April 30, 2009, and therefore the weaknesses previously identified by management continued to exist at January 31, 2010. Please refer to the Company’s Annual Report on Form 10-K for the year ended April 30, 2009 for a more detailed discussion of the weaknesses previously identified by management.</w:t>
      </w:r>
    </w:p>
    <w:p>
      <w:pPr>
        <w:spacing w:after="0" w:line="22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January 31, 2010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52" w:lineRule="exact"/>
        <w:rPr>
          <w:sz w:val="20"/>
          <w:szCs w:val="20"/>
          <w:color w:val="auto"/>
        </w:rPr>
      </w:pPr>
    </w:p>
    <w:p>
      <w:pPr>
        <w:ind w:left="1380" w:right="1720" w:hanging="553"/>
        <w:spacing w:after="0" w:line="258" w:lineRule="auto"/>
        <w:rPr>
          <w:sz w:val="20"/>
          <w:szCs w:val="20"/>
          <w:color w:val="auto"/>
        </w:rPr>
      </w:pPr>
      <w:r>
        <w:rPr>
          <w:rFonts w:ascii="Arial" w:cs="Arial" w:eastAsia="Arial" w:hAnsi="Arial"/>
          <w:sz w:val="18"/>
          <w:szCs w:val="18"/>
          <w:color w:val="auto"/>
        </w:rPr>
        <w:t>31.1 - Certification by the Chief Executive Officer pursuant to Rule 13a-14(a) or 15d-14(a) under the Securities Exchange Act of 1934, as adopted pursuant to Section 302 of the Sarbanes-Oxley Act of 2002.</w:t>
      </w:r>
    </w:p>
    <w:p>
      <w:pPr>
        <w:spacing w:after="0" w:line="1" w:lineRule="exact"/>
        <w:rPr>
          <w:sz w:val="20"/>
          <w:szCs w:val="20"/>
          <w:color w:val="auto"/>
        </w:rPr>
      </w:pPr>
    </w:p>
    <w:p>
      <w:pPr>
        <w:ind w:left="1380" w:right="1760" w:hanging="553"/>
        <w:spacing w:after="0" w:line="250" w:lineRule="auto"/>
        <w:rPr>
          <w:sz w:val="20"/>
          <w:szCs w:val="20"/>
          <w:color w:val="auto"/>
        </w:rPr>
      </w:pPr>
      <w:r>
        <w:rPr>
          <w:rFonts w:ascii="Arial" w:cs="Arial" w:eastAsia="Arial" w:hAnsi="Arial"/>
          <w:sz w:val="18"/>
          <w:szCs w:val="18"/>
          <w:color w:val="auto"/>
        </w:rPr>
        <w:t>31.2 - Certification by the Chief Financial Officer pursuant to Rule 13a-14(a) or 15d-14(a) under the Securities Exchange Act of 1934, as adopted pursuant to Section 302 of the Sarbanes-Oxley Act of 2002.</w:t>
      </w:r>
    </w:p>
    <w:p>
      <w:pPr>
        <w:spacing w:after="0" w:line="1" w:lineRule="exact"/>
        <w:rPr>
          <w:sz w:val="20"/>
          <w:szCs w:val="20"/>
          <w:color w:val="auto"/>
        </w:rPr>
      </w:pPr>
    </w:p>
    <w:p>
      <w:pPr>
        <w:ind w:left="1380" w:right="1680" w:hanging="553"/>
        <w:spacing w:after="0" w:line="250" w:lineRule="auto"/>
        <w:rPr>
          <w:sz w:val="20"/>
          <w:szCs w:val="20"/>
          <w:color w:val="auto"/>
        </w:rPr>
      </w:pPr>
      <w:r>
        <w:rPr>
          <w:rFonts w:ascii="Arial" w:cs="Arial" w:eastAsia="Arial" w:hAnsi="Arial"/>
          <w:sz w:val="18"/>
          <w:szCs w:val="18"/>
          <w:color w:val="auto"/>
        </w:rPr>
        <w:t>32.1 - Certification by the Chief Executive Officer pursuant to 18 U.S.C. Section 1350, as adopted pursuant to Section 906 of the Sarbanes-Oxley Act of 2002.</w:t>
      </w:r>
    </w:p>
    <w:p>
      <w:pPr>
        <w:spacing w:after="0" w:line="1" w:lineRule="exact"/>
        <w:rPr>
          <w:sz w:val="20"/>
          <w:szCs w:val="20"/>
          <w:color w:val="auto"/>
        </w:rPr>
      </w:pPr>
    </w:p>
    <w:p>
      <w:pPr>
        <w:ind w:left="1380" w:right="1720" w:hanging="553"/>
        <w:spacing w:after="0" w:line="261" w:lineRule="auto"/>
        <w:rPr>
          <w:sz w:val="20"/>
          <w:szCs w:val="20"/>
          <w:color w:val="auto"/>
        </w:rPr>
      </w:pPr>
      <w:r>
        <w:rPr>
          <w:rFonts w:ascii="Arial" w:cs="Arial" w:eastAsia="Arial" w:hAnsi="Arial"/>
          <w:sz w:val="18"/>
          <w:szCs w:val="18"/>
          <w:color w:val="auto"/>
        </w:rPr>
        <w:t>32.2 - Certification by the Chief Financial Officer pursuant to 18 U.S.C. Section 1350, as adopted pursuant to Section 906 of the Sarbanes-Oxley Act of 2002.</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March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Signing on behalf of the registrant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principal financial officer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80"/>
        <w:spacing w:after="0"/>
        <w:tabs>
          <w:tab w:leader="none" w:pos="742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March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40"/>
        <w:spacing w:after="0"/>
        <w:tabs>
          <w:tab w:leader="none" w:pos="480" w:val="left"/>
          <w:tab w:leader="none" w:pos="7420" w:val="left"/>
        </w:tabs>
        <w:rPr>
          <w:sz w:val="20"/>
          <w:szCs w:val="20"/>
          <w:color w:val="auto"/>
        </w:rPr>
      </w:pPr>
      <w:r>
        <w:rPr>
          <w:rFonts w:ascii="Arial" w:cs="Arial" w:eastAsia="Arial" w:hAnsi="Arial"/>
          <w:sz w:val="18"/>
          <w:szCs w:val="18"/>
          <w:color w:val="auto"/>
        </w:rPr>
        <w:t>/s/</w:t>
        <w:tab/>
        <w:t>Alan Miller</w:t>
      </w:r>
      <w:r>
        <w:rPr>
          <w:sz w:val="20"/>
          <w:szCs w:val="20"/>
          <w:color w:val="auto"/>
        </w:rPr>
        <w:tab/>
      </w:r>
      <w:r>
        <w:rPr>
          <w:rFonts w:ascii="Arial" w:cs="Arial" w:eastAsia="Arial" w:hAnsi="Arial"/>
          <w:sz w:val="16"/>
          <w:szCs w:val="16"/>
          <w:color w:val="auto"/>
        </w:rPr>
        <w:t>March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2010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40" w:hanging="332"/>
        <w:spacing w:after="0"/>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00"/>
        <w:spacing w:after="0"/>
        <w:tabs>
          <w:tab w:leader="none" w:pos="420" w:val="left"/>
          <w:tab w:leader="none" w:pos="7420" w:val="left"/>
        </w:tabs>
        <w:rPr>
          <w:sz w:val="20"/>
          <w:szCs w:val="20"/>
          <w:color w:val="auto"/>
        </w:rPr>
      </w:pPr>
      <w:r>
        <w:rPr>
          <w:rFonts w:ascii="Arial" w:cs="Arial" w:eastAsia="Arial" w:hAnsi="Arial"/>
          <w:sz w:val="18"/>
          <w:szCs w:val="18"/>
          <w:color w:val="auto"/>
        </w:rPr>
        <w:t>/s/</w:t>
        <w:tab/>
        <w:t>Martin Bloch</w:t>
      </w:r>
      <w:r>
        <w:rPr>
          <w:sz w:val="20"/>
          <w:szCs w:val="20"/>
          <w:color w:val="auto"/>
        </w:rPr>
        <w:tab/>
      </w:r>
      <w:r>
        <w:rPr>
          <w:rFonts w:ascii="Arial" w:cs="Arial" w:eastAsia="Arial" w:hAnsi="Arial"/>
          <w:sz w:val="16"/>
          <w:szCs w:val="16"/>
          <w:color w:val="auto"/>
        </w:rPr>
        <w:t>March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2010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40"/>
        <w:spacing w:after="0"/>
        <w:tabs>
          <w:tab w:leader="none" w:pos="460" w:val="left"/>
          <w:tab w:leader="none" w:pos="7420" w:val="left"/>
        </w:tabs>
        <w:rPr>
          <w:sz w:val="20"/>
          <w:szCs w:val="20"/>
          <w:color w:val="auto"/>
        </w:rPr>
      </w:pPr>
      <w:r>
        <w:rPr>
          <w:rFonts w:ascii="Arial" w:cs="Arial" w:eastAsia="Arial" w:hAnsi="Arial"/>
          <w:sz w:val="18"/>
          <w:szCs w:val="18"/>
          <w:color w:val="auto"/>
        </w:rPr>
        <w:t>/s/</w:t>
        <w:tab/>
        <w:t>Alan Miller</w:t>
      </w:r>
      <w:r>
        <w:rPr>
          <w:sz w:val="20"/>
          <w:szCs w:val="20"/>
          <w:color w:val="auto"/>
        </w:rPr>
        <w:tab/>
      </w:r>
      <w:r>
        <w:rPr>
          <w:rFonts w:ascii="Arial" w:cs="Arial" w:eastAsia="Arial" w:hAnsi="Arial"/>
          <w:sz w:val="16"/>
          <w:szCs w:val="16"/>
          <w:color w:val="auto"/>
        </w:rPr>
        <w:t>March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2"/>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2019-12-09T23:55:56Z</dcterms:created>
  <dcterms:modified xsi:type="dcterms:W3CDTF">2019-12-09T23:55:56Z</dcterms:modified>
</cp:coreProperties>
</file>