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0"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25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For the Quarterly Period ended July 31, 2022</w:t>
      </w:r>
    </w:p>
    <w:p>
      <w:pPr>
        <w:spacing w:after="0" w:line="27"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p>
      <w:pPr>
        <w:ind w:left="3180"/>
        <w:spacing w:after="0"/>
        <w:tabs>
          <w:tab w:leader="none" w:pos="65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3402965</wp:posOffset>
            </wp:positionH>
            <wp:positionV relativeFrom="paragraph">
              <wp:posOffset>-7620</wp:posOffset>
            </wp:positionV>
            <wp:extent cx="1545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20"/>
        </w:trPr>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340" w:type="dxa"/>
            <w:vAlign w:val="bottom"/>
          </w:tcPr>
          <w:p>
            <w:pPr>
              <w:spacing w:after="0"/>
              <w:rPr>
                <w:sz w:val="18"/>
                <w:szCs w:val="18"/>
                <w:color w:val="auto"/>
              </w:rPr>
            </w:pPr>
          </w:p>
        </w:tc>
        <w:tc>
          <w:tcPr>
            <w:tcW w:w="56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0" w:type="dxa"/>
            <w:vAlign w:val="bottom"/>
          </w:tcPr>
          <w:p>
            <w:pPr>
              <w:spacing w:after="0"/>
              <w:rPr>
                <w:sz w:val="20"/>
                <w:szCs w:val="20"/>
                <w:color w:val="auto"/>
              </w:rPr>
            </w:pPr>
          </w:p>
        </w:tc>
        <w:tc>
          <w:tcPr>
            <w:tcW w:w="568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4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88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11553</w:t>
            </w:r>
          </w:p>
        </w:tc>
        <w:tc>
          <w:tcPr>
            <w:tcW w:w="8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6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FEIM</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1" w:right="479" w:bottom="144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380" w:space="720"/>
            <w:col w:w="4860"/>
          </w:cols>
          <w:pgMar w:left="460" w:top="371" w:right="47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September 13, 2022 – 9,313,509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1"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gridSpan w:val="8"/>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gridSpan w:val="8"/>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10180" w:type="dxa"/>
            <w:vAlign w:val="bottom"/>
            <w:gridSpan w:val="16"/>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 Financial Statements:</w:t>
            </w:r>
          </w:p>
        </w:tc>
        <w:tc>
          <w:tcPr>
            <w:tcW w:w="752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 July 31, 2022 (unaudited) and April 30, 2022</w:t>
            </w:r>
          </w:p>
        </w:tc>
        <w:tc>
          <w:tcPr>
            <w:tcW w:w="300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Three Months Ended July 31, 2022 and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Three Months Ended July 31, 2022 and 2021 (unaudited)</w:t>
            </w:r>
          </w:p>
        </w:tc>
        <w:tc>
          <w:tcPr>
            <w:tcW w:w="148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5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Three Months Ended July 31, 2022 and 2021</w:t>
            </w:r>
          </w:p>
        </w:tc>
        <w:tc>
          <w:tcPr>
            <w:tcW w:w="840" w:type="dxa"/>
            <w:vAlign w:val="bottom"/>
            <w:gridSpan w:val="2"/>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360" w:type="dxa"/>
            <w:vAlign w:val="bottom"/>
            <w:gridSpan w:val="14"/>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360" w:type="dxa"/>
            <w:vAlign w:val="bottom"/>
            <w:gridSpan w:val="14"/>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92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EE"/>
              </w:rPr>
              <w:t>-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16-22</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58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rPr>
              <w:t>- Quantitative and Qualitative Disclosures About Market Risk</w:t>
            </w:r>
          </w:p>
        </w:tc>
        <w:tc>
          <w:tcPr>
            <w:tcW w:w="262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1900" w:type="dxa"/>
            <w:vAlign w:val="bottom"/>
            <w:tcBorders>
              <w:top w:val="single" w:sz="8" w:color="0000EE"/>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9"/>
              </w:rPr>
              <w:t>- Controls and Procedures</w:t>
            </w:r>
          </w:p>
        </w:tc>
        <w:tc>
          <w:tcPr>
            <w:tcW w:w="2580" w:type="dxa"/>
            <w:vAlign w:val="bottom"/>
            <w:tcBorders>
              <w:top w:val="single" w:sz="8" w:color="0000EE"/>
            </w:tcBorders>
          </w:tcPr>
          <w:p>
            <w:pPr>
              <w:spacing w:after="0"/>
              <w:rPr>
                <w:sz w:val="24"/>
                <w:szCs w:val="24"/>
                <w:color w:val="auto"/>
              </w:rPr>
            </w:pPr>
          </w:p>
        </w:tc>
        <w:tc>
          <w:tcPr>
            <w:tcW w:w="472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53"/>
        </w:trPr>
        <w:tc>
          <w:tcPr>
            <w:tcW w:w="101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92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EE"/>
              </w:rPr>
              <w:t>-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8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80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$111 at July 31, 2022 and April 30,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income taxes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82,833</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 trade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provision accrual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M)</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9,315 shares issued and 9,314 shares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at July 31, 2022; 9,298 shares issued and 9,297 shares outstanding at April 30, 2022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(20,120)</w:t>
            </w:r>
          </w:p>
        </w:tc>
        <w:tc>
          <w:tcPr>
            <w:tcW w:w="0" w:type="dxa"/>
            <w:vAlign w:val="bottom"/>
          </w:tcPr>
          <w:p>
            <w:pPr>
              <w:spacing w:after="0"/>
              <w:rPr>
                <w:sz w:val="1"/>
                <w:szCs w:val="1"/>
                <w:color w:val="auto"/>
              </w:rPr>
            </w:pPr>
          </w:p>
        </w:tc>
      </w:tr>
      <w:tr>
        <w:trPr>
          <w:trHeight w:val="198"/>
        </w:trPr>
        <w:tc>
          <w:tcPr>
            <w:tcW w:w="7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cost (1 share at July 31, 2022 and April 30, 2022)</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82,833</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49"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8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6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(3,117)</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68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(0.33)</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7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tc>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6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8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(3,117)</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w:t>
            </w: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w:t>
            </w:r>
          </w:p>
        </w:tc>
        <w:tc>
          <w:tcPr>
            <w:tcW w:w="2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net of tax</w:t>
            </w:r>
          </w:p>
        </w:tc>
        <w:tc>
          <w:tcPr>
            <w:tcW w:w="2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unrealized gain on marketable securities, net of tax</w:t>
            </w: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2760" w:type="dxa"/>
            <w:vAlign w:val="bottom"/>
          </w:tcPr>
          <w:p>
            <w:pPr>
              <w:spacing w:after="0"/>
              <w:rPr>
                <w:sz w:val="18"/>
                <w:szCs w:val="18"/>
                <w:color w:val="auto"/>
              </w:rPr>
            </w:pPr>
          </w:p>
        </w:tc>
        <w:tc>
          <w:tcPr>
            <w:tcW w:w="9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(3,103)</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700" w:type="dxa"/>
            <w:vAlign w:val="bottom"/>
            <w:gridSpan w:val="5"/>
          </w:tcPr>
          <w:p>
            <w:pPr>
              <w:jc w:val="center"/>
              <w:ind w:left="213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14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09"/>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(3,117)</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fixed assets and other assets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Borders>
              <w:right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refunded during the period for:</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July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Treasury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920" w:type="dxa"/>
            <w:vAlign w:val="bottom"/>
          </w:tcPr>
          <w:p>
            <w:pPr>
              <w:spacing w:after="0"/>
              <w:rPr>
                <w:sz w:val="18"/>
                <w:szCs w:val="18"/>
                <w:color w:val="auto"/>
              </w:rPr>
            </w:pPr>
          </w:p>
        </w:tc>
        <w:tc>
          <w:tcPr>
            <w:tcW w:w="17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(at cost)</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9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9,298,178</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(20,120)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46,688</w:t>
            </w:r>
          </w:p>
        </w:tc>
        <w:tc>
          <w:tcPr>
            <w:tcW w:w="100" w:type="dxa"/>
            <w:vAlign w:val="bottom"/>
            <w:shd w:val="clear" w:color="auto" w:fill="CCEEFF"/>
          </w:tcPr>
          <w:p>
            <w:pPr>
              <w:spacing w:after="0"/>
              <w:rPr>
                <w:sz w:val="17"/>
                <w:szCs w:val="17"/>
                <w:color w:val="auto"/>
              </w:rPr>
            </w:pPr>
          </w:p>
        </w:tc>
      </w:tr>
      <w:tr>
        <w:trPr>
          <w:trHeight w:val="18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r>
      <w:tr>
        <w:trPr>
          <w:trHeight w:val="19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7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18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income,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(3,117)</w:t>
            </w:r>
          </w:p>
        </w:tc>
      </w:tr>
      <w:tr>
        <w:trPr>
          <w:trHeight w:val="20"/>
        </w:trPr>
        <w:tc>
          <w:tcPr>
            <w:tcW w:w="29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July 31,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9,314,886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58,036</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(23,237)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43,682</w:t>
            </w:r>
          </w:p>
        </w:tc>
        <w:tc>
          <w:tcPr>
            <w:tcW w:w="100" w:type="dxa"/>
            <w:vAlign w:val="bottom"/>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3"/>
        </w:trPr>
        <w:tc>
          <w:tcPr>
            <w:tcW w:w="2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Treasury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920" w:type="dxa"/>
            <w:vAlign w:val="bottom"/>
          </w:tcPr>
          <w:p>
            <w:pPr>
              <w:spacing w:after="0"/>
              <w:rPr>
                <w:sz w:val="18"/>
                <w:szCs w:val="18"/>
                <w:color w:val="auto"/>
              </w:rPr>
            </w:pPr>
          </w:p>
        </w:tc>
        <w:tc>
          <w:tcPr>
            <w:tcW w:w="17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(at cost)</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9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9,226,268</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57,355</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55,409</w:t>
            </w:r>
          </w:p>
        </w:tc>
        <w:tc>
          <w:tcPr>
            <w:tcW w:w="100" w:type="dxa"/>
            <w:vAlign w:val="bottom"/>
            <w:shd w:val="clear" w:color="auto" w:fill="CCEEFF"/>
          </w:tcPr>
          <w:p>
            <w:pPr>
              <w:spacing w:after="0"/>
              <w:rPr>
                <w:sz w:val="17"/>
                <w:szCs w:val="17"/>
                <w:color w:val="auto"/>
              </w:rPr>
            </w:pPr>
          </w:p>
        </w:tc>
      </w:tr>
      <w:tr>
        <w:trPr>
          <w:trHeight w:val="18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r>
      <w:tr>
        <w:trPr>
          <w:trHeight w:val="19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76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r>
      <w:tr>
        <w:trPr>
          <w:trHeight w:val="18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income,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(1,575)</w:t>
            </w:r>
          </w:p>
        </w:tc>
      </w:tr>
      <w:tr>
        <w:trPr>
          <w:trHeight w:val="20"/>
        </w:trPr>
        <w:tc>
          <w:tcPr>
            <w:tcW w:w="29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July 31, 2021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9,247,019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57,533</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(13,032)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54,112</w:t>
            </w:r>
          </w:p>
        </w:tc>
        <w:tc>
          <w:tcPr>
            <w:tcW w:w="100" w:type="dxa"/>
            <w:vAlign w:val="bottom"/>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July 31, 2022 and the results of its operations, changes in stockholders’ equity for the three months ended July 31, 2022 and 2021, and cash flows for the three months ended July 31, 2022 and 2021. The April 30, 2022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2022, filed on July 14, 2022 with the Securities and Exchange Commission (the “Form 10-K”). The results of operations for such interim periods are not necessarily indicative of the operating results for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and Other Macroeconomic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full impact of the COVID-19 pandemic continues to evolve as of the date of this report. As such, it is uncertain as to the full magnitude that the pandemic may ultimately have on the Company’s financial condition, liquidity, and future financial results. For the three months ended July 31, 2022, the Company has been impacted by employee absenteeism related to direct or indirect effects of the COVID-19 pandemic, delays in the receipt of anticipated new contracts from customers administratively affected by the pandemic and limited availability or delivery delays of parts and materials from vendors affected by the pandemic. FEI-Zyfer’s operations were particularly affected as evidenced by decreases in sales and gross margin during fiscal year 2022, which continued during the three months ended July 31, 2022. Management is actively monitoring the impact of the global situation on its financial condition, liquidity, operations, suppliers, industry, and workforce. Given the continuing changing dynamics of the COVID-19 pandemic the Company is not able to estimate the potential adverse effects on its operations, financial condition, or liquidity for the remainder of fiscal year 2023. As of July 31, 2022, the Company has returned to essentially normal operations and will continue to follow federal and state guidelines with an emphasis on employee safety.</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faces various future COVID-19 related risks, and risks resulting from geopolitical conflicts.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negatively impacted. If faced with any of these factors, the Company may be unable to perform fully on its contracts and costs may increase. These cost increases may not be fully recoverable or adequately covered by insurance. Due to continuing geopolitical circumstances resulting in increased inflation, energy and commodity prices may continue escalating which may adversely affect the Company’s financial results. Also, certain Company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(LOSS) PER SHARE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(loss) per share for the three-months ended July 31, 2022 and 2021, respectively, were as follows:</w:t>
      </w:r>
    </w:p>
    <w:p>
      <w:pPr>
        <w:sectPr>
          <w:pgSz w:w="11900" w:h="16838" w:orient="portrait"/>
          <w:cols w:equalWidth="0" w:num="1">
            <w:col w:w="10960"/>
          </w:cols>
          <w:pgMar w:left="46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17145</wp:posOffset>
            </wp:positionV>
            <wp:extent cx="557212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7"/>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9,307,939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9,192,571</w:t>
            </w:r>
          </w:p>
        </w:tc>
      </w:tr>
      <w:tr>
        <w:trPr>
          <w:trHeight w:val="234"/>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9,307,939</w:t>
            </w:r>
          </w:p>
        </w:tc>
        <w:tc>
          <w:tcPr>
            <w:tcW w:w="1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9,192,571</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920" w:space="720"/>
            <w:col w:w="4320"/>
          </w:cols>
          <w:pgMar w:left="460" w:top="121" w:right="479" w:bottom="1440" w:gutter="0" w:footer="0" w:header="0"/>
          <w:type w:val="continuous"/>
        </w:sectPr>
      </w:pPr>
    </w:p>
    <w:p>
      <w:pPr>
        <w:jc w:val="both"/>
        <w:ind w:firstLine="646"/>
        <w:spacing w:after="0" w:line="266" w:lineRule="auto"/>
        <w:tabs>
          <w:tab w:leader="none" w:pos="8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three-months ended July 31, 2022 and 2021, dilutive securities are excluded from the calculation of earnings per share since the inclusion of such shares would be antidilutive due to the net loss for those periods. The exercisable shares excluded for the three-months ended July 31, 2022 and 2021 were 357,125 shares and 372,000 shares,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(LIABILITIES) ASSETS, NET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July 31, 2022 and April 30, 2022, contract (liabilities) assets, net,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80" w:type="dxa"/>
            <w:vAlign w:val="bottom"/>
          </w:tcPr>
          <w:p>
            <w:pPr>
              <w:spacing w:after="0"/>
              <w:rPr>
                <w:sz w:val="20"/>
                <w:szCs w:val="20"/>
                <w:color w:val="auto"/>
              </w:rPr>
            </w:pPr>
          </w:p>
        </w:tc>
      </w:tr>
      <w:tr>
        <w:trPr>
          <w:trHeight w:val="209"/>
        </w:trPr>
        <w:tc>
          <w:tcPr>
            <w:tcW w:w="3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w w:val="74"/>
              </w:rPr>
              <w:t>thousands)</w:t>
            </w:r>
          </w:p>
        </w:tc>
        <w:tc>
          <w:tcPr>
            <w:tcW w:w="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(12,837)</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(12,218)</w:t>
            </w:r>
          </w:p>
        </w:tc>
      </w:tr>
      <w:tr>
        <w:trPr>
          <w:trHeight w:val="20"/>
        </w:trPr>
        <w:tc>
          <w:tcPr>
            <w:tcW w:w="3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asset</w:t>
            </w:r>
          </w:p>
        </w:tc>
        <w:tc>
          <w:tcPr>
            <w:tcW w:w="2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Such amounts represent revenue recognized on long-term contracts that have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dates. Revenue on these long-term contracts are accounted for on the percentage-of-completion (“POC”) basis. During the three months ended July 31, 2022 and 2021, revenue recognized under POC contracts was approximately $7.9 million and $12.4 million, respectively. If contract losses are anticipated, a loss provision is recorded for the full amount of such losses when they are determinable. Contract losses of approximately $1.2 million and $16,000 were recorded for the three months ended July 31, 2022 and 2021,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–STOCK TRANSACTIONS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July 31, 2022, the Company made contributions of 16,708 shares of its common stock to the Company’s profit-sharing plan and trust under Section 401(k) of the Internal Revenue Code. Such contributions are in accordance with the Company’s discretionary match of employee voluntary contributions to this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 NET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8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w w:val="74"/>
              </w:rPr>
              <w:t>thousands)</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Inventory reserves included in inventory were $7.7 million and $7.5 million as of July 31, 2022 and April 30, 2022, respectively. Reserve amounts relate to raw materials and component parts and work in progress.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and manufacturing and R&amp;D facilities which expire at various times through 2029 and are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12 months or less to be recorded on a straight-line basis over the lease term without being recognized on the consolidated balance sheet.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ROU assets and liabilities recorded on the respective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32"/>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Pr>
          <w:p>
            <w:pPr>
              <w:spacing w:after="0"/>
              <w:rPr>
                <w:sz w:val="20"/>
                <w:szCs w:val="20"/>
                <w:color w:val="auto"/>
              </w:rPr>
            </w:pPr>
          </w:p>
        </w:tc>
        <w:tc>
          <w:tcPr>
            <w:tcW w:w="3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4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42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operating lease expense was $481,000 and $506,000 for the three-months ended July 31, 2022 and 2021, respectively, the majority of which is included in cost of revenues and the remaining amount in selling and administrative expenses on the unaudited condensed consolidated statements of operations.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four fiscal years and total of the remaining fiscal years to the operating lease liabilities recorded on the unaudited condensed consolidated balance sheet as of July 31, 2022:</w:t>
      </w:r>
    </w:p>
    <w:p>
      <w:pPr>
        <w:spacing w:after="0" w:line="158"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Fiscal Year Ending April 30,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tcBorders>
              <w:bottom w:val="single" w:sz="8" w:color="auto"/>
            </w:tcBorders>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in thousands</w:t>
            </w:r>
            <w:r>
              <w:rPr>
                <w:rFonts w:ascii="Times New Roman" w:cs="Times New Roman" w:eastAsia="Times New Roman" w:hAnsi="Times New Roman"/>
                <w:sz w:val="18"/>
                <w:szCs w:val="18"/>
                <w:b w:val="1"/>
                <w:bCs w:val="1"/>
                <w:color w:val="auto"/>
                <w:w w:val="99"/>
              </w:rPr>
              <w:t>)</w:t>
            </w: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July 31, 2022, the weighted-average remaining lease term for all operating leases was 6.15 years. The Company does not generally have access to the rate implicit in the leases and therefore utilized the Company’s borrowing rate as the discount rate. The weighted average discount rate for operating leases as of July 31, 2022 was 6.18%.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100" w:hanging="679"/>
        <w:spacing w:after="0" w:line="257"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Times New Roman" w:cs="Times New Roman" w:eastAsia="Times New Roman" w:hAnsi="Times New Roman"/>
          <w:sz w:val="18"/>
          <w:szCs w:val="18"/>
          <w:color w:val="auto"/>
        </w:rPr>
      </w:pPr>
    </w:p>
    <w:p>
      <w:pPr>
        <w:ind w:left="1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81" w:lineRule="exact"/>
        <w:rPr>
          <w:rFonts w:ascii="Times New Roman" w:cs="Times New Roman" w:eastAsia="Times New Roman" w:hAnsi="Times New Roman"/>
          <w:sz w:val="18"/>
          <w:szCs w:val="18"/>
          <w:color w:val="auto"/>
        </w:rPr>
      </w:pPr>
    </w:p>
    <w:p>
      <w:pPr>
        <w:jc w:val="both"/>
        <w:ind w:left="1100" w:hanging="679"/>
        <w:spacing w:after="0" w:line="261"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the “Summary of Significant Accounting Policies” in the fiscal year-end financial statements included in the Form 10-K.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consolidated statements of operations or the consolidated balance sheets for each of the periods (in thousands):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6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loss</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413"/>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64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Total revenue recognized over time as POC and Passage of Title (“POT”) were approximately $8.0 million and $0.3 million, respectively, of the $8.2 million reported for the three months ended July 31, 2022. Total revenue recognized over time as POC and POT were approximately $12.4 million and $0.6 million, respectively, of the $13.0 million reported for the three months ended July 31, 2021. The amounts by segment and product line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color w:val="auto"/>
                <w:w w:val="99"/>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POT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r>
      <w:tr>
        <w:trPr>
          <w:trHeight w:val="209"/>
        </w:trPr>
        <w:tc>
          <w:tcPr>
            <w:tcW w:w="260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FEI-NY</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00" w:type="dxa"/>
            <w:vAlign w:val="bottom"/>
            <w:shd w:val="clear" w:color="auto" w:fill="CCEEFF"/>
          </w:tcPr>
          <w:p>
            <w:pPr>
              <w:spacing w:after="0"/>
              <w:rPr>
                <w:sz w:val="18"/>
                <w:szCs w:val="18"/>
                <w:color w:val="auto"/>
              </w:rPr>
            </w:pPr>
          </w:p>
        </w:tc>
      </w:tr>
      <w:tr>
        <w:trPr>
          <w:trHeight w:val="216"/>
        </w:trPr>
        <w:tc>
          <w:tcPr>
            <w:tcW w:w="2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FEI-Zyfer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18"/>
                <w:szCs w:val="18"/>
                <w:color w:val="auto"/>
              </w:rPr>
            </w:pPr>
          </w:p>
        </w:tc>
      </w:tr>
      <w:tr>
        <w:trPr>
          <w:trHeight w:val="216"/>
        </w:trPr>
        <w:tc>
          <w:tcPr>
            <w:tcW w:w="2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Intersegment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26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00" w:type="dxa"/>
            <w:vAlign w:val="bottom"/>
          </w:tcPr>
          <w:p>
            <w:pPr>
              <w:spacing w:after="0"/>
              <w:rPr>
                <w:sz w:val="18"/>
                <w:szCs w:val="18"/>
                <w:color w:val="auto"/>
              </w:rPr>
            </w:pPr>
          </w:p>
        </w:tc>
      </w:tr>
      <w:tr>
        <w:trPr>
          <w:trHeight w:val="20"/>
        </w:trPr>
        <w:tc>
          <w:tcPr>
            <w:tcW w:w="2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6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10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 held Russian company, which manufactures high precision quartz resonators and crystal oscillators. The Company has also licensed certain technology to Morion. During the three months ended July 31, 2022 and 2021, the Company acquired product from Morion in the aggregate amount of approximately $0 and $85,000, respectively. During the three months ended July 31, 2022 and 2021, the Company did not receive dividends from Morion.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accounts for its investment in Morion on the cost basis. Morion is a less than wholly 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current Russia-Ukraine conflict and resulting sanctions, the future status of the Company’s equity investment in Morion is uncertain. In response to these conditions, in connection with the preparation of the audited financial statements included in the Form 10-K, the Company impaired its investment in Morion in full. The impairment of $796,000 is included in other income (expense), net, in the Consolidated Statements of Operations for the fiscal year ended April 30, 2022. The likelihood of future sales to, purchases, and dividend payments from Morion is questionable.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OF FINANCIAL INSTRUMENTS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July 31, 2022 and April 30, 2022, respectively,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Fair Market</w:t>
            </w:r>
          </w:p>
        </w:tc>
        <w:tc>
          <w:tcPr>
            <w:tcW w:w="100" w:type="dxa"/>
            <w:vAlign w:val="bottom"/>
          </w:tcPr>
          <w:p>
            <w:pPr>
              <w:spacing w:after="0"/>
              <w:rPr>
                <w:sz w:val="16"/>
                <w:szCs w:val="16"/>
                <w:color w:val="auto"/>
              </w:rPr>
            </w:pPr>
          </w:p>
        </w:tc>
      </w:t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4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shd w:val="clear" w:color="auto" w:fill="CCEEFF"/>
          </w:tcPr>
          <w:p>
            <w:pPr>
              <w:spacing w:after="0"/>
              <w:rPr>
                <w:sz w:val="21"/>
                <w:szCs w:val="21"/>
                <w:color w:val="auto"/>
              </w:rPr>
            </w:pPr>
          </w:p>
        </w:tc>
      </w:tr>
      <w:tr>
        <w:trPr>
          <w:trHeight w:val="197"/>
        </w:trPr>
        <w:tc>
          <w:tcPr>
            <w:tcW w:w="310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87"/>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Fair Market</w:t>
            </w:r>
          </w:p>
        </w:tc>
      </w:t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2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31, 2022</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413"/>
        </w:trPr>
        <w:tc>
          <w:tcPr>
            <w:tcW w:w="4400" w:type="dxa"/>
            <w:vAlign w:val="bottom"/>
            <w:tcBorders>
              <w:top w:val="single" w:sz="8" w:color="CCEEFF"/>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April 30, 2022</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2022 were other-than-temporary due to market volatility of the security’s fair value, analysts’ expectations and the Company’s ability to hold the securities for a period of time sufficient to allow for any anticipated recoveries in market value.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2022, the Company sold or redeemed available-for-sale securities of approximately $1.0 million realizing losses of approximately $20,000.</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Maturities of fixed income securities classified as available-for-sale at July 31, 2022 were as follows, at cost (in thousands):</w:t>
      </w:r>
    </w:p>
    <w:p>
      <w:pPr>
        <w:spacing w:after="0" w:line="243"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40" w:type="dxa"/>
            <w:vAlign w:val="bottom"/>
          </w:tcPr>
          <w:p>
            <w:pPr>
              <w:spacing w:after="0"/>
              <w:rPr>
                <w:sz w:val="18"/>
                <w:szCs w:val="18"/>
                <w:color w:val="auto"/>
              </w:rPr>
            </w:pPr>
          </w:p>
        </w:tc>
      </w:tr>
      <w:tr>
        <w:trPr>
          <w:trHeight w:val="21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w:t>
            </w: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10"/>
        </w:trPr>
        <w:tc>
          <w:tcPr>
            <w:tcW w:w="392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4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levels of the fair value hierarchy are described below:</w:t>
      </w:r>
    </w:p>
    <w:p>
      <w:pPr>
        <w:spacing w:after="0" w:line="225" w:lineRule="exact"/>
        <w:rPr>
          <w:sz w:val="20"/>
          <w:szCs w:val="20"/>
          <w:color w:val="auto"/>
        </w:rPr>
      </w:pPr>
    </w:p>
    <w:p>
      <w:pPr>
        <w:ind w:left="1200" w:right="20" w:hanging="984"/>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220"/>
        <w:spacing w:after="0"/>
        <w:tabs>
          <w:tab w:leader="none" w:pos="11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220"/>
        <w:spacing w:after="0"/>
        <w:tabs>
          <w:tab w:leader="none" w:pos="11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 Level 2 securities are valued at the closing prices and are consistent with quoted prices of similar assets reported in active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3"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17"/>
          <w:szCs w:val="17"/>
          <w:color w:val="auto"/>
        </w:rPr>
        <w:t xml:space="preserve">In January 2017, the Financial Accounting Standards Board (“FASB”) issued ASU No. 2017-04,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Goodwill and Other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350): Simplifying the Test for Goodwill Impairment </w:t>
      </w:r>
      <w:r>
        <w:rPr>
          <w:rFonts w:ascii="Times New Roman" w:cs="Times New Roman" w:eastAsia="Times New Roman" w:hAnsi="Times New Roman"/>
          <w:sz w:val="17"/>
          <w:szCs w:val="17"/>
          <w:color w:val="auto"/>
        </w:rPr>
        <w:t>(“ASU 2017-04”), which simplifies how an entity is required to test goodwill for impairment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 when adopted in fiscal year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CREDIT FACILITY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July 31, 2022, the Company had available credit with UBS Bank USA at variable terms based on its securities holdings under an advisory arrangement, under which no borrowings have been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VALUATION ALLOWANCE ON DEFERRED TAX ASSETS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July 31, 2022, and April 30, 2022,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COMMITMENTS AND CONTINGENCIES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25, 2021, to resolve previously disclosed disputes with Martin B. Bloch the former Chief Scientist of the Company and a former member of the Company’s Board of Directors, the Company entered into the Agreement on Material Terms of Settlement (the “Settlement Terms”), dated August 25, 2021, between and among the Company, Jonathan Brolin, Lance W. Lord, Russell M. Sarachek, Richard Schwartz and Stanton D. Sloane, each in their capacity as members of the Company’s Board of Directors (the “Director Defendants”), and the Compensation Committee of the Company’s Board of Directors, in its capacity as administrator under the deferred compensation agreements, and Mr. Bloch and certain members of Mr. Bloch’s family. Under the Settlement Terms, in full and complete settlement of all claims asserted and all sums sought by Mr. Bloch in the litigation and arbitration proceedings, the Company agreed to pay Mr. Bloch $6 million on or before September 24, 2021.</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Consistent with the Settlement Terms, on September 21, 2021, the Company, the Director of Defendants, the Company’s Compensation Committee and Mr. Bloch and certain members of Mr. Bloch’s family entered into a formal written settlement agreement, providing for the Company’s payment of $6 million in full and complete settlement of all claims asserted and all sums sought by Mr. Bloch in the litigation and arbitration proceedings. This settlement agreement concluded all previously disclosed disputes between Mr. Bloch and the Company, the Director Defendants and the Company’s Compensation Committee. Prior to the termination of Mr. Bloch’s employment and commencement of the litigation and arbitration proceedings, the Company had been regularly accruing amounts pertaining to Mr. Bloch’s post-employment deferred compensation retirement benefits. As of July 31, 2021, the Company had accrued $6 million for deferred compensation and contingent liability in connection with the settlement with Mr. Bloch. The settlement resulted in a net expense of $650,000 to the Company and eliminated further legal expenses with respect to the dispute between Mr. Bloch and the Company. This net expense for financial statement purposes was recognized in selling and administrative expenses on the condensed consolidated statements of operations during the three months ended July 31, 2021.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Part I, Item 1A (Risk Factors) of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included in the Form 10-K.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months ended July 31, 2022.</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 The Company evaluates the amount of development risk associated with new contracts which entail the development of new or significantly modified products and incorporates additional costs to cover these risks. These are estimates based on the Company’s best judgement, but because this entails estimations based on products not heretofore developed, there is risk that the estimates may ultimately prove to be incorrect and that costs are impacted.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Update and CARES Act</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The full impact of the COVID-19 pandemic continues to evolve as of the date of this report. As such, it is uncertain as to the full magnitude that the pandemic may ultimately have on the Company’s financial condition, liquidity, and future financial results. For the three months ended July 31, 2022, the Company had been impacted by employee absenteeism related to direct or indirect effects of the COVID-19 pandemic, delays in the receipt of anticipated new contracts from customers administratively affected by the pandemic and limited availability or delivery delays of parts and materials from vendors affected by the pandemic. FEI-Zyfer’s operations were particularly affected as evidenced by decreases in sales and gross margin during fiscal year 2022, which continued during the three months ended July 31, 2022. Management is actively monitoring the impact of the global situation on its financial condition, liquidity, operations, suppliers, industry, and workforce. Given the continuing changing dynamics of the COVID-19 pandemic the Company is not able to estimate the potential adverse effects on its operations, financial condition, or liquidity for the remainder of fiscal year 2023. As of July 31, 2022, the Company has returned to essentially normal operations and will continue to follow federal and state guidelines with an emphasis on employee safety.</w:t>
      </w:r>
    </w:p>
    <w:p>
      <w:pPr>
        <w:spacing w:after="0" w:line="194"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faces various future COVID-19 related risks.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negatively impacted. If faced with any of these factors, the Company may be unable to perform fully on its contracts and costs may increase. These cost increases may not be fully recoverable or adequately covered by insurance. For example, in the latter part of fiscal year 2021, the Company experienced some operational disruptions due to the need to vacate certain areas of the facilities for cleaning and disinfecting resulting from employees being potentially exposed to COVID-19 or following positive COVID-19 test results. Also, certain Company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months ended July 31, 2022 and 2021, respectively, the percentage of consolidated revenues represented by certain items in the Company’s condensed consolidated statements of operations or notes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gridSpan w:val="10"/>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78.4%</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Three months ended July 31,</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FEI-Zyfer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(4,751)</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July 31, 2022 revenues from commercial and U.S. Government communication satellite programs accounted for approximately 42% of consolidated revenues compared to approximately 52% of consolidated revenues during this same period in the prior fiscal year. Revenues are recognized primarily under the POC method. Revenues from the satellite market are recorded in the FEI-NY segment. Revenues from non-space U.S. Government/Department of Defense (“DOD”) customers, which are recorded in both the FEI-NY and FEI-Zyfer segments, accounted for approximately 50% of consolidated revenues for the three months ended July, 31, 2022 compared to approximately 42% of consolidated revenue during the same period in the prior fiscal year. Other commercial and industrial revenues for the three months ended July 31, 2022 accounted for approximately 8% of consolidated revenue compare to 6% in the same period of the prior fiscal year. The decrease in revenue for this quarter was due to delay in contract awards, delays in meeting program milestones, and funding limitations. It is believed that these issues are only temporary timing issues and we expect revenue to increase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Margin</w:t>
      </w:r>
    </w:p>
    <w:p>
      <w:pPr>
        <w:spacing w:after="0" w:line="22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80" w:type="dxa"/>
            <w:vAlign w:val="bottom"/>
            <w:gridSpan w:val="6"/>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0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392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4,062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(4,067)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(100.1)%</w:t>
            </w:r>
          </w:p>
        </w:tc>
      </w:tr>
      <w:tr>
        <w:trPr>
          <w:trHeight w:val="234"/>
        </w:trPr>
        <w:tc>
          <w:tcPr>
            <w:tcW w:w="3920" w:type="dxa"/>
            <w:vAlign w:val="bottom"/>
            <w:gridSpan w:val="2"/>
          </w:tcPr>
          <w:p>
            <w:pPr>
              <w:jc w:val="right"/>
              <w:ind w:right="3170"/>
              <w:spacing w:after="0"/>
              <w:rPr>
                <w:sz w:val="20"/>
                <w:szCs w:val="20"/>
                <w:color w:val="auto"/>
              </w:rPr>
            </w:pPr>
            <w:r>
              <w:rPr>
                <w:rFonts w:ascii="Times New Roman" w:cs="Times New Roman" w:eastAsia="Times New Roman" w:hAnsi="Times New Roman"/>
                <w:sz w:val="18"/>
                <w:szCs w:val="18"/>
                <w:color w:val="auto"/>
                <w:w w:val="96"/>
              </w:rPr>
              <w:t>GM Rate</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three-month period ended July 31, 2022, gross margin and GM Rate decreased compared to the same period in the prior fiscal year. The decrease in gross margin and GM Rate was due to increased engineering costs on development phase programs that experienced particularly complex technical challenges, as well as cost impacts on several programs resulting from supply chain problems. Gross margin was also affected by under absorption of costs due to the decrease in sales this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1,992</w:t>
            </w:r>
          </w:p>
        </w:tc>
        <w:tc>
          <w:tcPr>
            <w:tcW w:w="92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4,394</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(2,402)</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July 31, 2022 and 2021, selling, and administrative (“SG&amp;A”) expenses were approximately 24% and 34%, respectively, of consolidated revenues. The decrease in SG&amp;A expenses for the three months ended July 31, 2022 as compared to the prior year period is largely due to the decrease in professional fees, as well as a one-time reduction to stock option expense related to forfeitures and deferred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1,110</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(245)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The R&amp;D rate for the three-month period ended July 31, 2022 was 14% of sales compared to 10% of sales for the same period of the prior fiscal year. R&amp;D decreases for the first quarter of fiscal year 2023 are related to a focus on projects currently in the production phase. The Company plans to continue to invest in R&amp;D in the future to keep its products at the state of the art.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Loss</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(1,687)</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(1,420)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84.2%</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July 31, 2022, operating losses resulted largely from the decrease in revenue coupled with the additional cost mentioned above in the gross margin section.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0"/>
        </w:trPr>
        <w:tc>
          <w:tcPr>
            <w:tcW w:w="220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22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57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200" w:type="dxa"/>
            <w:vAlign w:val="bottom"/>
            <w:shd w:val="clear" w:color="auto" w:fill="CCEEFF"/>
          </w:tcPr>
          <w:p>
            <w:pPr>
              <w:spacing w:after="0" w:line="20" w:lineRule="exact"/>
              <w:rPr>
                <w:sz w:val="1"/>
                <w:szCs w:val="1"/>
                <w:color w:val="auto"/>
              </w:rPr>
            </w:pPr>
          </w:p>
        </w:tc>
        <w:tc>
          <w:tcPr>
            <w:tcW w:w="35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0"/>
        </w:trPr>
        <w:tc>
          <w:tcPr>
            <w:tcW w:w="2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w w:val="97"/>
              </w:rPr>
              <w:t>Income Tax Provision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0"/>
        </w:trPr>
        <w:tc>
          <w:tcPr>
            <w:tcW w:w="1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32"/>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r>
      <w:tr>
        <w:trPr>
          <w:trHeight w:val="210"/>
        </w:trPr>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2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Effective tax rate on pre-tax book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2023 is 0%.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2022, the Company recorded a discrete income tax provision of $1,000 related to an accrual of interest for unrecognized tax benefits. For the three months ended July 31, 2021, the Company recorded an income tax provision of $1,000, consisting of a discrete income tax provision of $2,000.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July 31, 2022 was an income tax provision of (0.0)% on pretax loss of $3.1 million compared to an income tax provision of (0.1)% on pretax loss of $1.6 million in the comparable prior fiscal year period. The effective tax rate for the three months ended July 31, 2022 differs from the U.S. federal statutory rate of 21% primarily due to domestic losses for which the Company is not recognizing an income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 continues to reflect a strong working capital position of approximately $30.9 million at July 31, 2022 and $34.2 million at April 30, 2022. Included in working capital at July 31, 2022 and April 30, 2022 was $17.5 million and $21.5 million, respectively, consisting of cash, cash equivalents, and marketable securities. The Company’s current ratio at July 31, 2022 was 2.3 to 1 compared to 2.5 to 1 as of April 30, 2022.</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three-month periods ended July 31, 2022 and 2021 was approximately $3.6 million and $828,000, respectively. The decrease in cash flow in the first quarter of fiscal 2023 was mainly due to an increase in net loss offset by a decrease in non-cash adjustments and inventory. For the three-month periods ended July 31, 2022 and 2021, the Company incurred approximately $816,000 and $708,000, respectively, of non-cash operating expenses including ROU assets and liabilities for leases, loss provision accrual, depreciation and amortization, inventory reserve adjustments, deferred compensation, and accruals for employee benefit programs. During the current fiscal year, the Company billed milestones on certain newer contracts that require longer lead times to procure materials and parts required to complete the projects. It has not been determined if this will occur going forward on new contracts or if it is specifically related to the current projects.</w:t>
      </w:r>
    </w:p>
    <w:p>
      <w:pPr>
        <w:spacing w:after="0" w:line="18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three-month periods ended July 31, 2022 and 2021 was approximately $741,000 and $78,000, respectively. During the three months ended July 31, 2022 marketable securities were sold or redeemed in the amount of $1.0 million compared to $1.1 million for the same period of fiscal year 2022. During the three months ended July 31, 2022 approximately $1.3 million of marketable securities were purchased compared to $676,000 for the same period of fiscal year 2022. The Company acquired property, plant and equipment in the amount of approximately $465,000 and $504,000 for the three-month periods ended July 31, 2022 and 2021, respectively. The Company may continue to invest in cash equivalents as dictated by its investment strategy.</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was no cash used in financing activities for the three months ended July 31, 2022 and 2021.</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 million worth of shares of its common stock when appropriate opportunities arise. As of July 31, 2022, the Company has repurchased approximately $4 million of its common stock out of the $5 million authorization. For the three months ended July 31, 2022 and 2021 there were no repurchases of shares.</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July 31, 2022, the Company’s consolidated funded backlog was approximately $40 million, the same as at April 30, 2022, the end of fiscal year 2022. Approximately 81% of this backlog is expected to be realized in the next twelve months. As of July 31, 2022, there were no amounts included in backlog under cost-plus fixed-fee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operating and investment needs through at least September 14, 2023 and the foreseeable future.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July 31, 2022, the Company’s disclosure controls and procedures were effective at a reasonable assurance level.</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during the three months ended July 31, 2022 to which this report relates that have materially affected, or are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280" w:type="dxa"/>
            <w:vAlign w:val="bottom"/>
            <w:gridSpan w:val="3"/>
          </w:tcPr>
          <w:p>
            <w:pPr>
              <w:ind w:left="2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0" w:type="dxa"/>
            <w:vAlign w:val="bottom"/>
          </w:tcPr>
          <w:p>
            <w:pPr>
              <w:spacing w:after="0"/>
              <w:rPr>
                <w:sz w:val="1"/>
                <w:szCs w:val="1"/>
                <w:color w:val="auto"/>
              </w:rPr>
            </w:pPr>
          </w:p>
        </w:tc>
      </w:tr>
      <w:tr>
        <w:trPr>
          <w:trHeight w:val="175"/>
        </w:trPr>
        <w:tc>
          <w:tcPr>
            <w:tcW w:w="1680" w:type="dxa"/>
            <w:vAlign w:val="bottom"/>
            <w:gridSpan w:val="4"/>
            <w:vMerge w:val="continue"/>
          </w:tcPr>
          <w:p>
            <w:pPr>
              <w:spacing w:after="0"/>
              <w:rPr>
                <w:sz w:val="15"/>
                <w:szCs w:val="15"/>
                <w:color w:val="auto"/>
              </w:rPr>
            </w:pPr>
          </w:p>
        </w:tc>
        <w:tc>
          <w:tcPr>
            <w:tcW w:w="4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31.1 -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31.2 -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July 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2022 formatted in eXtensible Business Reporting Language (XBRL): (i) Cover Page, (ii) Condensed Consolidated Balance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Sheets, (iii) Condensed Consolidated Statements of Operations and Comprehensive Loss, (iv) Condensed Consolidated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of Cash Flows, (v) Condensed Consolidated Statements of Changes in Stockholders’ Equity and (vi) Notes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The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Inline XBRL document.</w:t>
            </w:r>
          </w:p>
        </w:tc>
        <w:tc>
          <w:tcPr>
            <w:tcW w:w="0" w:type="dxa"/>
            <w:vAlign w:val="bottom"/>
          </w:tcPr>
          <w:p>
            <w:pPr>
              <w:spacing w:after="0"/>
              <w:rPr>
                <w:sz w:val="1"/>
                <w:szCs w:val="1"/>
                <w:color w:val="auto"/>
              </w:rPr>
            </w:pPr>
          </w:p>
        </w:tc>
      </w:tr>
      <w:tr>
        <w:trPr>
          <w:trHeight w:val="43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0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September 14, 2022</w:t>
      </w:r>
      <w:r>
        <w:rPr>
          <w:sz w:val="20"/>
          <w:szCs w:val="20"/>
          <w:color w:val="auto"/>
        </w:rPr>
        <w:tab/>
      </w:r>
      <w:r>
        <w:rPr>
          <w:rFonts w:ascii="Times New Roman" w:cs="Times New Roman" w:eastAsia="Times New Roman" w:hAnsi="Times New Roman"/>
          <w:sz w:val="17"/>
          <w:szCs w:val="17"/>
          <w:b w:val="1"/>
          <w:bCs w:val="1"/>
          <w:color w:val="auto"/>
        </w:rPr>
        <w:t>FREQUENCY ELECTRONICS, INC.</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17145</wp:posOffset>
            </wp:positionV>
            <wp:extent cx="2434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Interim President and Chief Executive Officer and</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Scientist</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17145</wp:posOffset>
            </wp:positionV>
            <wp:extent cx="2434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60" w:top="121" w:right="47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120" w:type="dxa"/>
            <w:vAlign w:val="bottom"/>
          </w:tcPr>
          <w:p>
            <w:pPr>
              <w:spacing w:after="0"/>
              <w:rPr>
                <w:sz w:val="18"/>
                <w:szCs w:val="18"/>
                <w:color w:val="auto"/>
              </w:rPr>
            </w:pPr>
          </w:p>
        </w:tc>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September 14, 2022</w:t>
            </w:r>
          </w:p>
        </w:tc>
      </w:tr>
      <w:tr>
        <w:trPr>
          <w:trHeight w:val="21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2020" w:type="dxa"/>
            <w:vAlign w:val="bottom"/>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 and Chief Scientist</w:t>
            </w:r>
          </w:p>
        </w:tc>
        <w:tc>
          <w:tcPr>
            <w:tcW w:w="2020" w:type="dxa"/>
            <w:vAlign w:val="bottom"/>
          </w:tcPr>
          <w:p>
            <w:pPr>
              <w:spacing w:after="0"/>
              <w:rPr>
                <w:sz w:val="18"/>
                <w:szCs w:val="18"/>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bl>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200" w:type="dxa"/>
            <w:vAlign w:val="bottom"/>
          </w:tcPr>
          <w:p>
            <w:pPr>
              <w:spacing w:after="0"/>
              <w:rPr>
                <w:sz w:val="18"/>
                <w:szCs w:val="18"/>
                <w:color w:val="auto"/>
              </w:rPr>
            </w:pPr>
          </w:p>
        </w:tc>
        <w:tc>
          <w:tcPr>
            <w:tcW w:w="240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September 14, 2022</w:t>
            </w:r>
          </w:p>
        </w:tc>
      </w:tr>
      <w:tr>
        <w:trPr>
          <w:trHeight w:val="21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40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400" w:type="dxa"/>
            <w:vAlign w:val="bottom"/>
          </w:tcPr>
          <w:p>
            <w:pPr>
              <w:spacing w:after="0"/>
              <w:rPr>
                <w:sz w:val="18"/>
                <w:szCs w:val="18"/>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400" w:type="dxa"/>
            <w:vAlign w:val="bottom"/>
          </w:tcPr>
          <w:p>
            <w:pPr>
              <w:spacing w:after="0"/>
              <w:rPr>
                <w:sz w:val="20"/>
                <w:szCs w:val="20"/>
                <w:color w:val="auto"/>
              </w:rPr>
            </w:pPr>
          </w:p>
        </w:tc>
      </w:tr>
    </w:tbl>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July 31, 2022 as filed with the Securities and Exchange Commission on the date hereof (the “Report”), I, Thomas McClelland, Interim President and Chief Executive Officer and Chief Scientist of the Company, certify, pursuant to 18 U.S.C. Section 1350, as adopted pursuant to Section 906 of the Sarbanes-Oxley Act of 2002, that to my knowledge:</w:t>
      </w:r>
    </w:p>
    <w:p>
      <w:pPr>
        <w:spacing w:after="0" w:line="180" w:lineRule="exact"/>
        <w:rPr>
          <w:sz w:val="20"/>
          <w:szCs w:val="20"/>
          <w:color w:val="auto"/>
        </w:rPr>
      </w:pPr>
    </w:p>
    <w:p>
      <w:pPr>
        <w:ind w:left="960" w:hanging="30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140" w:type="dxa"/>
            <w:vAlign w:val="bottom"/>
          </w:tcPr>
          <w:p>
            <w:pPr>
              <w:spacing w:after="0"/>
              <w:rPr>
                <w:sz w:val="17"/>
                <w:szCs w:val="17"/>
                <w:color w:val="auto"/>
              </w:rPr>
            </w:pPr>
          </w:p>
        </w:tc>
        <w:tc>
          <w:tcPr>
            <w:tcW w:w="21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September 14, 2022</w:t>
            </w:r>
          </w:p>
        </w:tc>
      </w:tr>
      <w:tr>
        <w:trPr>
          <w:trHeight w:val="218"/>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2100" w:type="dxa"/>
            <w:vAlign w:val="bottom"/>
          </w:tcPr>
          <w:p>
            <w:pPr>
              <w:spacing w:after="0"/>
              <w:rPr>
                <w:sz w:val="18"/>
                <w:szCs w:val="18"/>
                <w:color w:val="auto"/>
              </w:rPr>
            </w:pPr>
          </w:p>
        </w:tc>
      </w:tr>
      <w:tr>
        <w:trPr>
          <w:trHeight w:val="23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 and Chief Scientist</w:t>
            </w:r>
          </w:p>
        </w:tc>
        <w:tc>
          <w:tcPr>
            <w:tcW w:w="210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July 31, 2022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500" w:type="dxa"/>
            <w:vAlign w:val="bottom"/>
          </w:tcPr>
          <w:p>
            <w:pPr>
              <w:spacing w:after="0"/>
              <w:rPr>
                <w:sz w:val="18"/>
                <w:szCs w:val="18"/>
                <w:color w:val="auto"/>
              </w:rPr>
            </w:pPr>
          </w:p>
        </w:tc>
        <w:tc>
          <w:tcPr>
            <w:tcW w:w="27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8"/>
              </w:rPr>
              <w:t>September 14, 2022</w:t>
            </w:r>
          </w:p>
        </w:tc>
      </w:tr>
      <w:tr>
        <w:trPr>
          <w:trHeight w:val="218"/>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720" w:type="dxa"/>
            <w:vAlign w:val="bottom"/>
          </w:tcPr>
          <w:p>
            <w:pPr>
              <w:spacing w:after="0"/>
              <w:rPr>
                <w:sz w:val="18"/>
                <w:szCs w:val="18"/>
                <w:color w:val="auto"/>
              </w:rPr>
            </w:pPr>
          </w:p>
        </w:tc>
      </w:t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72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2022-09-14T16:21:29Z</dcterms:created>
  <dcterms:modified xsi:type="dcterms:W3CDTF">2022-09-14T16:21:29Z</dcterms:modified>
</cp:coreProperties>
</file>