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0"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25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For the Quarterly Period ended January 31, 2023</w:t>
      </w:r>
    </w:p>
    <w:p>
      <w:pPr>
        <w:spacing w:after="0" w:line="27"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199"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12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5"/>
              </w:rPr>
              <w:t>to</w:t>
            </w:r>
          </w:p>
        </w:tc>
      </w:tr>
      <w:tr>
        <w:trPr>
          <w:trHeight w:val="453"/>
        </w:trPr>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w w:val="99"/>
              </w:rPr>
              <w:t>Commission File No. 1-8061</w:t>
            </w:r>
          </w:p>
        </w:tc>
        <w:tc>
          <w:tcPr>
            <w:tcW w:w="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4276725</wp:posOffset>
            </wp:positionH>
            <wp:positionV relativeFrom="paragraph">
              <wp:posOffset>-299720</wp:posOffset>
            </wp:positionV>
            <wp:extent cx="714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20"/>
        </w:trPr>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56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6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880" w:type="dxa"/>
            <w:vAlign w:val="bottom"/>
          </w:tcPr>
          <w:p>
            <w:pPr>
              <w:spacing w:after="0"/>
              <w:rPr>
                <w:sz w:val="24"/>
                <w:szCs w:val="24"/>
                <w:color w:val="auto"/>
              </w:rPr>
            </w:pPr>
          </w:p>
        </w:tc>
        <w:tc>
          <w:tcPr>
            <w:tcW w:w="1980" w:type="dxa"/>
            <w:vAlign w:val="bottom"/>
            <w:gridSpan w:val="2"/>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11553</w:t>
            </w:r>
          </w:p>
        </w:tc>
        <w:tc>
          <w:tcPr>
            <w:tcW w:w="880" w:type="dxa"/>
            <w:vAlign w:val="bottom"/>
          </w:tcPr>
          <w:p>
            <w:pPr>
              <w:spacing w:after="0"/>
              <w:rPr>
                <w:sz w:val="24"/>
                <w:szCs w:val="24"/>
                <w:color w:val="auto"/>
              </w:rPr>
            </w:pPr>
          </w:p>
        </w:tc>
      </w:tr>
      <w:tr>
        <w:trPr>
          <w:trHeight w:val="20"/>
        </w:trPr>
        <w:tc>
          <w:tcPr>
            <w:tcW w:w="480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FEIM</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1" w:right="479" w:bottom="1440" w:gutter="0" w:footer="0" w:header="0"/>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380" w:space="720"/>
            <w:col w:w="4860"/>
          </w:cols>
          <w:pgMar w:left="460" w:top="371" w:right="47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March 14, 2023 – 9,353,440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1"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40" w:type="dxa"/>
            <w:vAlign w:val="bottom"/>
            <w:gridSpan w:val="8"/>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40" w:type="dxa"/>
            <w:vAlign w:val="bottom"/>
            <w:gridSpan w:val="8"/>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10160" w:type="dxa"/>
            <w:vAlign w:val="bottom"/>
            <w:gridSpan w:val="18"/>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1 - Financial Statements:</w:t>
            </w:r>
          </w:p>
        </w:tc>
        <w:tc>
          <w:tcPr>
            <w:tcW w:w="750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 January 31, 2023 (unaudited) and April 30, 2022 (as revised)</w:t>
            </w:r>
          </w:p>
        </w:tc>
        <w:tc>
          <w:tcPr>
            <w:tcW w:w="184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 Three and Nine Months Ended January</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31, 2023 and 2022 (unaudited)</w:t>
            </w:r>
          </w:p>
        </w:tc>
        <w:tc>
          <w:tcPr>
            <w:tcW w:w="26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Nine Months Ended January 31, 2023 and 2022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Three and Nine Months Ended January 31, 2023 and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2022 (unaudited)</w:t>
            </w:r>
          </w:p>
        </w:tc>
        <w:tc>
          <w:tcPr>
            <w:tcW w:w="28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918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EE"/>
              </w:rPr>
              <w:t>- 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16-22</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580" w:type="dxa"/>
            <w:vAlign w:val="bottom"/>
            <w:tcBorders>
              <w:top w:val="single" w:sz="8" w:color="0000EE"/>
            </w:tcBorders>
            <w:gridSpan w:val="10"/>
          </w:tcPr>
          <w:p>
            <w:pPr>
              <w:ind w:left="20"/>
              <w:spacing w:after="0"/>
              <w:rPr>
                <w:sz w:val="20"/>
                <w:szCs w:val="20"/>
                <w:color w:val="auto"/>
              </w:rPr>
            </w:pPr>
            <w:r>
              <w:rPr>
                <w:rFonts w:ascii="Times New Roman" w:cs="Times New Roman" w:eastAsia="Times New Roman" w:hAnsi="Times New Roman"/>
                <w:sz w:val="18"/>
                <w:szCs w:val="18"/>
                <w:color w:val="0000EE"/>
              </w:rPr>
              <w:t>- Quantitative and Qualitative Disclosures About Market Risk</w:t>
            </w:r>
          </w:p>
        </w:tc>
        <w:tc>
          <w:tcPr>
            <w:tcW w:w="260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1900" w:type="dxa"/>
            <w:vAlign w:val="bottom"/>
            <w:tcBorders>
              <w:top w:val="single" w:sz="8" w:color="0000EE"/>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w w:val="99"/>
              </w:rPr>
              <w:t>- Controls and Procedures</w:t>
            </w:r>
          </w:p>
        </w:tc>
        <w:tc>
          <w:tcPr>
            <w:tcW w:w="2580" w:type="dxa"/>
            <w:vAlign w:val="bottom"/>
            <w:tcBorders>
              <w:top w:val="single" w:sz="8" w:color="0000EE"/>
            </w:tcBorders>
            <w:gridSpan w:val="2"/>
          </w:tcPr>
          <w:p>
            <w:pPr>
              <w:spacing w:after="0"/>
              <w:rPr>
                <w:sz w:val="24"/>
                <w:szCs w:val="24"/>
                <w:color w:val="auto"/>
              </w:rPr>
            </w:pPr>
          </w:p>
        </w:tc>
        <w:tc>
          <w:tcPr>
            <w:tcW w:w="470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53"/>
        </w:trPr>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Item 1A – Risk Factors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118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rPr>
              <w:t>- Exhibits</w:t>
            </w:r>
          </w:p>
        </w:tc>
        <w:tc>
          <w:tcPr>
            <w:tcW w:w="8000" w:type="dxa"/>
            <w:vAlign w:val="bottom"/>
            <w:gridSpan w:val="11"/>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60" w:type="dxa"/>
            <w:vAlign w:val="bottom"/>
            <w:gridSpan w:val="13"/>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0" w:type="dxa"/>
            <w:vAlign w:val="bottom"/>
          </w:tcPr>
          <w:p>
            <w:pPr>
              <w:spacing w:after="0"/>
              <w:rPr>
                <w:sz w:val="1"/>
                <w:szCs w:val="1"/>
                <w:color w:val="auto"/>
              </w:rPr>
            </w:pPr>
          </w:p>
        </w:tc>
      </w:tr>
      <w:tr>
        <w:trPr>
          <w:trHeight w:val="238"/>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80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(As Revised)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$111 at</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January 31, 2023 and April 30, 2022</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income taxes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75,243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 trade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provision accrual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9,354 shares issued and 9,353 shares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at January 31, 2023; 9,298 shares issued and 9,297 shares outstanding at April 30, 2022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(20,120)</w:t>
            </w:r>
          </w:p>
        </w:tc>
        <w:tc>
          <w:tcPr>
            <w:tcW w:w="0" w:type="dxa"/>
            <w:vAlign w:val="bottom"/>
          </w:tcPr>
          <w:p>
            <w:pPr>
              <w:spacing w:after="0"/>
              <w:rPr>
                <w:sz w:val="1"/>
                <w:szCs w:val="1"/>
                <w:color w:val="auto"/>
              </w:rPr>
            </w:pPr>
          </w:p>
        </w:tc>
      </w:tr>
      <w:tr>
        <w:trPr>
          <w:trHeight w:val="198"/>
        </w:trPr>
        <w:tc>
          <w:tcPr>
            <w:tcW w:w="7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cost (1 share at January 31, 2023 and April 30, 2022)</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75,243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49"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 January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 January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(expense) income, net</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6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(5,747)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 before</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w:t>
            </w:r>
          </w:p>
        </w:tc>
        <w:tc>
          <w:tcPr>
            <w:tcW w:w="4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(losses) included in net income, net of tax</w:t>
            </w:r>
          </w:p>
        </w:tc>
        <w:tc>
          <w:tcPr>
            <w:tcW w:w="4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 unrealized gain (loss) on marketable securities, net of tax</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360" w:type="dxa"/>
            <w:vAlign w:val="bottom"/>
            <w:gridSpan w:val="11"/>
          </w:tcPr>
          <w:p>
            <w:pPr>
              <w:jc w:val="center"/>
              <w:ind w:left="247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314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0" w:type="dxa"/>
            <w:vAlign w:val="bottom"/>
          </w:tcPr>
          <w:p>
            <w:pPr>
              <w:spacing w:after="0"/>
              <w:rPr>
                <w:sz w:val="1"/>
                <w:szCs w:val="1"/>
                <w:color w:val="auto"/>
              </w:rPr>
            </w:pPr>
          </w:p>
        </w:tc>
      </w:tr>
      <w:tr>
        <w:trPr>
          <w:trHeight w:val="209"/>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(5,747)</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fixed assets and other assets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Dividend</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800" w:type="dxa"/>
            <w:vAlign w:val="bottom"/>
            <w:tcBorders>
              <w:right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refunded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Nine Months Ended January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7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9,298,178</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(20,120)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92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(3,117)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July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9,314,886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58,036</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(23,237)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9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stock appreciation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rights - net of shares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tendered for exercise price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9,334,268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58,153</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(25,551)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9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net of tax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January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9,353,941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48,893</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(25,867)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9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Nine Months Ended January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7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9,226,268</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57,355</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(11,457)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92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(1,575)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July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9,247,019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57,533</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(13,032)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9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stock appreciation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rights - net of shares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tendered for exercise price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9,264,326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57,693</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(12,535)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9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stock appreciation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rights - net of shares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tendered for exercise price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(735)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January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9,284,516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57,834</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(13,270)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9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January 31, 2023 and the results of its operations, changes in stockholders’ equity for the three and nine months ended January 31, 2023 and 2022, and cash flows for the nine months ended January 31, 2023 and 2022. The April 30, 2022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and Amended Annual Report on Form 10-K and Form 10-K/A for the fiscal year ended April 30, 2022, filed on July 14, 2022 and December 20, 2022, respectively, with the Securities and Exchange Commission (the “Form 10-K” and the “Form 10-K/A”). The results of operations for such interim periods are not necessarily indicative of the operating results for the full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and Other Macroeconomic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full impact of the COVID-19 pandemic continues to evolve as of the date of this report. As such, it is uncertain as to the full magnitude that the pandemic may ultimately have on the Company’s financial condition, liquidity, and future financial results. For three and the nine months ended January 31, 2023, the Company has been impacted by employee absenteeism related to direct or indirect effects of the COVID-19 pandemic, delays in the receipt of anticipated new contracts from customers administratively affected by the pandemic and limited availability or delivery delays of parts and materials from vendors affected by the pandemic. FEI-Zyfer’s operations were particularly affected as evidenced by decreases in sales and gross margin during fiscal year 2022, which continued during the three and nine months ended January 31, 2023. Management is actively monitoring the impact of the global situation on its financial condition, liquidity, operations, suppliers, industry, and workforce. Given the continuing changing dynamics of the COVID-19 pandemic the Company is not able to estimate the potential adverse effects on its operations, financial condition, or liquidity for the remainder of fiscal year 2023. The Company has returned to essentially normal operations at its various locations; however, the Company continues to follow federal and state guidelines with an emphasis on employee safety.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continue to face future COVID-19 related risks, and risks resulting from geopolitical conflicts. The Company is dependent on its workforce to design and manufacture its products. If significant portions of the Company’s workforce are unable to work effectively, or if the U.S. Government, and/or other customers or supplier operations are curtailed due to illness, quarantines, government actions, facility closures, or other restrictions, the Company’s operations may be negatively impacted. If faced with any of these factors, the Company may be unable to perform fully on its contracts and costs may increase. These cost increases may not be fully recoverable or adequately covered by insurance. For example, in the latter part of fiscal year 2021, the Company experienced some operation disruptions due to the need to vacate certain areas of the facilities for cleaning and disinfecting resulting from employees being potentially exposed to COVID-19 or following positive COVID-19 test results. Also, certain Company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impacts of the COVID-19 pandemic, the Company’s financial condition, liquidity, and future financial results may also be affected by other macroeconomic factors. For example, due to continuing geopolitical circumstances resulting in increased inflation, energy and commodity prices may continue escalating which may adversely affect the Company’s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(LOSS)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earnings (loss) per share (“EPS”) for the three and nine months ended January 31, 2023 and 2022, respectively, were as follows:</w:t>
      </w:r>
    </w:p>
    <w:p>
      <w:pPr>
        <w:sectPr>
          <w:pgSz w:w="11900" w:h="16838" w:orient="portrait"/>
          <w:cols w:equalWidth="0" w:num="1">
            <w:col w:w="10960"/>
          </w:cols>
          <w:pgMar w:left="46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Basic EPS Shares outstanding (weighted average)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Periods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Borders>
              <w:top w:val="single" w:sz="8" w:color="auto"/>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Borders>
              <w:top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09"/>
        </w:trPr>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407"/>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9,349,198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9,278,840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9,327,828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9,257,107</w:t>
            </w:r>
          </w:p>
        </w:tc>
      </w:tr>
      <w:tr>
        <w:trPr>
          <w:trHeight w:val="234"/>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9,349,198</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9,278,840</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9,327,828</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9,257,107</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-445135</wp:posOffset>
            </wp:positionV>
            <wp:extent cx="696087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-161925</wp:posOffset>
            </wp:positionV>
            <wp:extent cx="696087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120" w:space="720"/>
            <w:col w:w="5120"/>
          </w:cols>
          <w:pgMar w:left="460" w:top="121" w:right="4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20" w:firstLine="646"/>
        <w:spacing w:after="0" w:line="261" w:lineRule="auto"/>
        <w:tabs>
          <w:tab w:leader="none" w:pos="8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January 31, 2023 and 2022, dilutive securities are excluded from the calculation of earnings per share since the inclusion of such shares would be antidilutive due to the net loss for those periods. The exercisable shares excluded for the three and nine months ended January 31, 2023 was 243,625 options, respectively. The exercisable shares excluded for the three and nine months ended January 31, 2022 was 223,000 options,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(LIABILITIES) ASSETS, NET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January 31, 2023 and April 30, 2022, contract (liabilities) assets, net,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January 31, 2023</w:t>
            </w: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191"/>
        </w:trPr>
        <w:tc>
          <w:tcPr>
            <w:tcW w:w="34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b w:val="1"/>
                <w:bCs w:val="1"/>
                <w:color w:val="auto"/>
              </w:rPr>
              <w:t>(As Revised)</w:t>
            </w:r>
          </w:p>
        </w:tc>
        <w:tc>
          <w:tcPr>
            <w:tcW w:w="80" w:type="dxa"/>
            <w:vAlign w:val="bottom"/>
          </w:tcPr>
          <w:p>
            <w:pPr>
              <w:spacing w:after="0"/>
              <w:rPr>
                <w:sz w:val="16"/>
                <w:szCs w:val="16"/>
                <w:color w:val="auto"/>
              </w:rPr>
            </w:pPr>
          </w:p>
        </w:tc>
      </w:tr>
      <w:tr>
        <w:trPr>
          <w:trHeight w:val="234"/>
        </w:trPr>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(18,737)</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(11,098)</w:t>
            </w:r>
          </w:p>
        </w:tc>
      </w:tr>
      <w:tr>
        <w:trPr>
          <w:trHeight w:val="20"/>
        </w:trPr>
        <w:tc>
          <w:tcPr>
            <w:tcW w:w="3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asset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(2,241)</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Such amounts represent revenue recognized on long-term contracts that have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dates. Revenue on these long-term contracts are accounted for on the percentage-of-completion (“POC”) basis. During the three and nine months ended January 31, 2023, revenue recognized under POC contracts was approximately $10.2 million and $26.8 million, respectively. During the three and nine months ended January 31, 2022, revenue recognized under POC contracts was approximately $11.8 million and $36.4 million, respectively. If contract losses are anticipated, a loss provision is recorded for the full amount of such losses when they are determinable. Contract losses of approximately $537,000, offset by a loss reduction of approximately $1.0 million, mostly related to additional funding, were recorded for the three months ended January 31, 2023. Contract losses of approximately $1.5 million were recorded for the nine months ended January 31, 2023. Contract losses of approximately $171,000 and $218,000 were recorded for the three and nine months ended January 31, 2022,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–STOCK TRANSACTIONS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nine-month periods ended January 31, 2023, the Company made contributions of 7,597 and 42,937 shares, respectively, of its common stock to the Company’s profit-sharing plan and trust under Section 401(k) of the Internal Revenue Code. Such contributions are in accordance with the Company’s discretionary match of employee voluntary contributions to this plan.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December 20, 2022, the Board of Directors of the Company declared a special cash dividend of $1.00 per share of common stock. The dividend was paid on January 26, 2023, to stockholders of record as of the close of business on January 6, 2023. The total amount of the special dividend payment was $9.4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 NET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January 31, 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w w:val="74"/>
              </w:rPr>
              <w:t>thousands)</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Inventory reserves included in inventory were $8.0 million and $7.5 million as of January 31, 2023 and April 30, 2022, respectively. Reserve amounts relate to raw materials and component parts and work in progress.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and manufacturing and Research and Development (“R&amp;D”) facilities which expire at various times through 2029 and are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12 months or less to be recorded on a straight-line basis over the lease term without being recognized on the consolidated balance sheets.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ROU assets and liabilities recorded on the respective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4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32"/>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Pr>
          <w:p>
            <w:pPr>
              <w:spacing w:after="0"/>
              <w:rPr>
                <w:sz w:val="20"/>
                <w:szCs w:val="20"/>
                <w:color w:val="auto"/>
              </w:rPr>
            </w:pPr>
          </w:p>
        </w:tc>
        <w:tc>
          <w:tcPr>
            <w:tcW w:w="3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8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9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Right-of-Use assets leases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3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Lease liability, 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9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8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operating lease expense was $472,000 and $1.4 million for the three and nine months ended January 31, 2023, respectively, the majority of which is included in cost of revenues and the remaining amount in selling and administrative expenses on the unaudited condensed consolidated statements of operations. Total operating lease expense was $500,000 and $1.5 million for the three and nine months ended January 31, 2022, respectively, the majority of which is included in cost of revenues and the remaining amount in selling and administrative expenses in the condensed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four fiscal years and total of the remaining fiscal years to the operating lease liabilities recorded on the unaudited condensed consolidated balance sheet as of January 31,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Ending April 30,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tbl>
      <w:tblPr>
        <w:tblLayout w:type="fixed"/>
        <w:tblInd w:w="326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0" w:type="dxa"/>
            <w:vAlign w:val="bottom"/>
          </w:tcPr>
          <w:p>
            <w:pPr>
              <w:spacing w:after="0"/>
              <w:rPr>
                <w:sz w:val="18"/>
                <w:szCs w:val="18"/>
                <w:color w:val="auto"/>
              </w:rPr>
            </w:pP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2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0" w:type="dxa"/>
            <w:vAlign w:val="bottom"/>
          </w:tcPr>
          <w:p>
            <w:pPr>
              <w:spacing w:after="0"/>
              <w:rPr>
                <w:sz w:val="18"/>
                <w:szCs w:val="18"/>
                <w:color w:val="auto"/>
              </w:rPr>
            </w:pPr>
          </w:p>
        </w:tc>
      </w:tr>
      <w:tr>
        <w:trPr>
          <w:trHeight w:val="21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2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 w:type="dxa"/>
            <w:vAlign w:val="bottom"/>
          </w:tcPr>
          <w:p>
            <w:pPr>
              <w:spacing w:after="0"/>
              <w:rPr>
                <w:sz w:val="18"/>
                <w:szCs w:val="18"/>
                <w:color w:val="auto"/>
              </w:rPr>
            </w:pPr>
          </w:p>
        </w:tc>
      </w:tr>
      <w:tr>
        <w:trPr>
          <w:trHeight w:val="22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0" w:type="dxa"/>
            <w:vAlign w:val="bottom"/>
          </w:tcPr>
          <w:p>
            <w:pPr>
              <w:spacing w:after="0"/>
              <w:rPr>
                <w:sz w:val="19"/>
                <w:szCs w:val="19"/>
                <w:color w:val="auto"/>
              </w:rPr>
            </w:pP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2023, the weighted-average remaining lease term for all operating leases was 5.79 years. The Company does not generally have access to the rate implicit in the leases and therefore utilized the Company’s borrowing rate as the discount rate. The Company selected a rate that is reflective of companies with similar credit ratings for secured debt. The weighted average discount rate for operating leases as of January 31, 2023 was 6.21%.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100" w:right="20" w:hanging="679"/>
        <w:spacing w:after="0" w:line="257"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Times New Roman" w:cs="Times New Roman" w:eastAsia="Times New Roman" w:hAnsi="Times New Roman"/>
          <w:sz w:val="18"/>
          <w:szCs w:val="18"/>
          <w:color w:val="auto"/>
        </w:rPr>
      </w:pPr>
    </w:p>
    <w:p>
      <w:pPr>
        <w:ind w:left="11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81" w:lineRule="exact"/>
        <w:rPr>
          <w:rFonts w:ascii="Times New Roman" w:cs="Times New Roman" w:eastAsia="Times New Roman" w:hAnsi="Times New Roman"/>
          <w:sz w:val="18"/>
          <w:szCs w:val="18"/>
          <w:color w:val="auto"/>
        </w:rPr>
      </w:pPr>
    </w:p>
    <w:p>
      <w:pPr>
        <w:jc w:val="both"/>
        <w:ind w:left="1100" w:right="20" w:hanging="679"/>
        <w:spacing w:after="0" w:line="261"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the “Summary of Accounting Policies” in the fiscal year-end financial statements included in the Form 10-K/A. The Company evaluates the performance of its segments and allocates resources to them based on operating profit (loss), which is defined as income before investment (expense) income, interest expense, other income (expense), and taxes. All acquired assets, including intangible assets, are included in the assets of both reporting segments.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condensed consolidated statements of operations or the consolidated balance sheets for each of the periods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January 31, 2022</w:t>
            </w:r>
          </w:p>
        </w:tc>
        <w:tc>
          <w:tcPr>
            <w:tcW w:w="22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auto"/>
              </w:rPr>
              <w:t>Identifiable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(As Revised)</w:t>
            </w: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39,899</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33,476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75,243</w:t>
            </w:r>
          </w:p>
        </w:tc>
        <w:tc>
          <w:tcPr>
            <w:tcW w:w="120" w:type="dxa"/>
            <w:vAlign w:val="bottom"/>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8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revenue recognized over time as POC and Passage of Title (“POT”) was approximately $10.2 million and $0.4 million, respectively, of the $10.6 million reported for the three months ended January 31, 2023. Total revenue recognized over time as POC and POT was approximately $26.8 million and $1.0 million, respectively, of the $27.8 million reported for the nine months ended January 31, 2023. Total revenue recognized over time as POC and POT was approximately $11.8 million and $0.5 million, respectively, of the $12.2 million reported for the three months ended January 31, 2022. Total revenue recognized over time as POC and POT was approximately $36.4 million and $1.7 million, respectively, of the $38.1 million reported for the nine months ended January 31, 2022. The amounts by segment and product line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POT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POC</w:t>
            </w:r>
          </w:p>
        </w:tc>
        <w:tc>
          <w:tcPr>
            <w:tcW w:w="8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r>
      <w:tr>
        <w:trPr>
          <w:trHeight w:val="209"/>
        </w:trPr>
        <w:tc>
          <w:tcPr>
            <w:tcW w:w="26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FEI-NY</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shd w:val="clear" w:color="auto" w:fill="CCEEFF"/>
          </w:tcPr>
          <w:p>
            <w:pPr>
              <w:spacing w:after="0"/>
              <w:rPr>
                <w:sz w:val="18"/>
                <w:szCs w:val="18"/>
                <w:color w:val="auto"/>
              </w:rPr>
            </w:pPr>
          </w:p>
        </w:tc>
      </w:tr>
      <w:tr>
        <w:trPr>
          <w:trHeight w:val="216"/>
        </w:trPr>
        <w:tc>
          <w:tcPr>
            <w:tcW w:w="2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FEI-Zyfer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8"/>
                <w:szCs w:val="18"/>
                <w:color w:val="auto"/>
              </w:rPr>
            </w:pPr>
          </w:p>
        </w:tc>
      </w:tr>
      <w:tr>
        <w:trPr>
          <w:trHeight w:val="216"/>
        </w:trPr>
        <w:tc>
          <w:tcPr>
            <w:tcW w:w="2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Intersegment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26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00" w:type="dxa"/>
            <w:vAlign w:val="bottom"/>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6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1" w:right="4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5320" w:type="dxa"/>
            <w:vAlign w:val="bottom"/>
            <w:gridSpan w:val="15"/>
          </w:tcPr>
          <w:p>
            <w:pPr>
              <w:ind w:left="12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gridSpan w:val="13"/>
          </w:tcPr>
          <w:p>
            <w:pPr>
              <w:jc w:val="right"/>
              <w:ind w:right="9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(Unaudited)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POT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POC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POT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FEI-NY</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FEI-Zyfer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6"/>
          </w:tcPr>
          <w:p>
            <w:pPr>
              <w:jc w:val="right"/>
              <w:ind w:right="82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21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 held Russian company, which manufactures high precision quartz resonators and crystal oscillators. The Company has also licensed certain technology to Morion. During the three and nine months ended January 31, 2023, the Company acquired product from Morion in the aggregate amount of approximately $55,000 and $86,000, respectively. During the three and nine months ended January 31, 2022, the Company acquired product from Morion in the aggregate amount of approximately $95,000 and $215,000, respectively. During the nine months ended January 31, 2022, the Company received dividends from Morion in the amount of approximately $123,000, which is included in other income, net in the condensed consolidated statements of operations as part of the FEI-NY segment.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accounts for its investment in Morion on the cost basis. Morion is a less than wholly 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current Russia-Ukraine conflict and resulting sanctions, the future status of the Company’s equity investment in Morion is uncertain. In response to these conditions, in connection with the preparation of the audited financial statements included in the Form 10-K/A, the Company impaired its investment in Morion in full. The impairment of $796,000 is included in other income (expense), net, in the consolidated statements of operations for the fiscal year ended April 30, 2022. The likelihood of future sales to, purchases from, and dividend payments from Morion is questionable.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OF FINANCIAL INSTRUMENTS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cost, gross unrealized gains, gross unrealized losses, and fair market value of available-for-sale securities at January 31, 2023 and April 30, 2022, respectively,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January 31, 2023</w:t>
            </w: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Fair Market</w:t>
            </w:r>
          </w:p>
        </w:tc>
        <w:tc>
          <w:tcPr>
            <w:tcW w:w="100" w:type="dxa"/>
            <w:vAlign w:val="bottom"/>
          </w:tcPr>
          <w:p>
            <w:pPr>
              <w:spacing w:after="0"/>
              <w:rPr>
                <w:sz w:val="16"/>
                <w:szCs w:val="16"/>
                <w:color w:val="auto"/>
              </w:rPr>
            </w:pPr>
          </w:p>
        </w:tc>
      </w:tr>
      <w:tr>
        <w:trPr>
          <w:trHeight w:val="238"/>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3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Fair Market</w:t>
            </w:r>
          </w:p>
        </w:tc>
        <w:tc>
          <w:tcPr>
            <w:tcW w:w="100" w:type="dxa"/>
            <w:vAlign w:val="bottom"/>
          </w:tcPr>
          <w:p>
            <w:pPr>
              <w:spacing w:after="0"/>
              <w:rPr>
                <w:sz w:val="16"/>
                <w:szCs w:val="16"/>
                <w:color w:val="auto"/>
              </w:rPr>
            </w:pPr>
          </w:p>
        </w:tc>
      </w:tr>
      <w:tr>
        <w:trPr>
          <w:trHeight w:val="238"/>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2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31, 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3080" w:type="dxa"/>
            <w:vAlign w:val="bottom"/>
            <w:tcBorders>
              <w:top w:val="single" w:sz="8" w:color="CCEEFF"/>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April 30, 2022</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liquidated all holdings related to Marketable Securities during the three months ended January 31, 2023.</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January 31, 2023, the Company sold or redeemed available-for-sale securities of approximately $9.8 million and $11.0 million, respectively, realizing losses of approximately $763,000 and $784,000, respectively, during the respective periods ended January 31,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levels of the fair value hierarchy are described below:</w:t>
      </w:r>
    </w:p>
    <w:p>
      <w:pPr>
        <w:spacing w:after="0" w:line="225" w:lineRule="exact"/>
        <w:rPr>
          <w:sz w:val="20"/>
          <w:szCs w:val="20"/>
          <w:color w:val="auto"/>
        </w:rPr>
      </w:pPr>
    </w:p>
    <w:p>
      <w:pPr>
        <w:ind w:left="1200" w:right="20" w:hanging="984"/>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unadjusted quoted prices for identical assets or liabilities in active markets that the Company has the ability to access.</w:t>
      </w:r>
    </w:p>
    <w:p>
      <w:pPr>
        <w:spacing w:after="0" w:line="162" w:lineRule="exact"/>
        <w:rPr>
          <w:sz w:val="20"/>
          <w:szCs w:val="20"/>
          <w:color w:val="auto"/>
        </w:rPr>
      </w:pPr>
    </w:p>
    <w:p>
      <w:pPr>
        <w:ind w:left="220"/>
        <w:spacing w:after="0"/>
        <w:tabs>
          <w:tab w:leader="none" w:pos="11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ind w:left="220"/>
        <w:spacing w:after="0"/>
        <w:tabs>
          <w:tab w:leader="none" w:pos="11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were valued on a Level 1 basis. The Company’s fixed income corporate debt securities and certificates of deposit were valued on a Level 2 basis. Level 2 securities are valued at the closing prices and are consistent with quoted prices of similar assets reported in active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3"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January 2017, the Financial Accounting Standards Board (“FASB”) issued ASU No. 2017-04,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Goodwill and Other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350): Simplifying the Test for Goodwill Impairment </w:t>
      </w:r>
      <w:r>
        <w:rPr>
          <w:rFonts w:ascii="Times New Roman" w:cs="Times New Roman" w:eastAsia="Times New Roman" w:hAnsi="Times New Roman"/>
          <w:sz w:val="17"/>
          <w:szCs w:val="17"/>
          <w:color w:val="auto"/>
        </w:rPr>
        <w:t>(“ASU 2017-04”), which simplifies how an entity is required to test goodwill for impairment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 when adopted in fiscal year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CREDIT FACILITY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January 31, 2023, the Company retired its credit facility with UBS Bank USA. The Company is considering a new facility, but has sufficient cash to fund its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–DEFERRED INCOME TAXES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January 31, 2023, and April 30, 2022,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Part I, Item 1A (Risk Factors) of the Form 10-K/A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nine months ended January 31, 2023.</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9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 The Company evaluates the amount of development risk associated with new contracts which entail the development of new or significantly modified products and incorporates additional costs to cover these risks. These are estimates based on the Company’s best judgement, but because this entails estimations based on products not heretofore developed, there is risk that the estimates may ultimately prove to be incorrect and that costs are impacted.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Contract costs include all direct material, direct labor, manufacturing overhead and other direct and indirect costs related to contract performance. Selling, general and administrative costs are charged to expense as incurred.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estimates for future business. Any changes arising from revised estimates are reflected in cost of revenues in the period the revision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Update, and Other Macroeconomic Factors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Refer to Footnote A in the accompanying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three and nine months ended January 31, 2023 and 2022, respectively, the percentage of consolidated revenues represented by certain items in the Company’s condensed consolidated statements of operations or notes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13"/>
          </w:tcPr>
          <w:p>
            <w:pPr>
              <w:ind w:left="20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79.3%</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6"/>
          </w:tcPr>
          <w:p>
            <w:pPr>
              <w:jc w:val="right"/>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Periods ended January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(2,435)</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27,773</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38,136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(10,363)</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January 31, 2023 revenues from commercial and U.S. Government communication satellite programs accounted for approximately 47% of consolidated revenues compared to approximately 62% of consolidated revenues during this same period in the prior fiscal year. Revenues are recognized primarily under the POC method. Revenues from the satellite market are recorded in the FEI-NY segment. Revenues from non-space U.S. Government/Department of Defense (“DOD”) customers, which are recorded in both the FEI-NY and FEI-Zyfer segments, accounted for approximately 47% of consolidated revenues for the three months ended January, 31, 2023 compared to approximately 35% of consolidated revenue during the same period in the prior fiscal year. Other commercial and industrial revenues for the three months ended January 31, 2023 accounted for approximately 6% of consolidated revenue compared to 3% in the same period of the prior fiscal year. The decrease in revenue for the three months ended January 31, 2023 was mainly due to timing of the various production phases for products in the satellite market.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January 31, 2023 revenues from commercial and U.S. Government communication satellite programs accounted for approximately 46% of consolidated revenues compared to approximately 55% of consolidated revenues during this same period in the prior fiscal year. Revenues from non-space U.S. Government/DOD customers accounted for approximately 47% of consolidated revenues for the nine months ended January 31, 2023 compared to approximately 39% of consolidated revenue during the same period of fiscal year 2022. Other commercial and industrial revenues for the nine months ended January 31, 2023 accounted for approximately 7% of consolidated revenue compared to approximately 6% for the nine months ended January 31, 2022. The decrease in revenue for the nine months ended January 31, 2023 was predominately in the satellite market, however, the decline in revenue from non-space U.S. Government/DOD customers also contributed to the decrease in revenue. The decrease is partly due to timing of awards of contracts as well as technical difficulties that were reported at the end of our prior fiscal year, which have been mostly resolved.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10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225</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(7,582)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4"/>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GM Rate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January 31, 2023, gross margin and GM Rate increased compared to the same respective periods in the prior fiscal year. The increase in the gross margin and GM Rate was due to higher engineering costs associated with programs in their development phase in the prior year period versus their production phase during the current year period. For the nine months ended January 31, 2023, gross margin and GM Rate decreased compared to the same period in the prior fiscal year. The decrease in gross margin and GM Rate was due to increased engineering costs on development phase programs that experienced particularly complex technical challenges that have since been resolved, minor technical challenges that have been, or will be, resolved reasonably quickly, and the negative cost impacts on some programs due to supply chain delays, influenced by COVID during the nine months ended January 31, 2023. Gross margin was also negatively affected by under absorption of costs due to the decrease in sales during the three month and nine month periods ended January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1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(475)</w:t>
            </w:r>
          </w:p>
        </w:tc>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(16.8)%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11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 (3,254)</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(33.8)%</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January 31, 2023 and 2022, selling, general, and administrative (“SG&amp;A”) expenses were approximately 22% and 23%, respectively, of consolidated revenues. The decrease in SG&amp;A expenses for the three months ended January 31, 2023 as compared to the prior year period was largely due to a decrease in payroll and associated costs related to the previously announced workforce reduction.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January 31, 2023 and 2022, SG&amp;A expenses were approximately 23% and 25%, respectively, of consolidated revenues. The decrease in SG&amp;A expenses for the nine months ended January 31, 2023 as compared to the prior year period was largely due to decrease in professional fees, as well as a one-time reduction to deferred compensation expense. The Company continues to monitor expenses looking for additional cost-effective reductions going forward.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(346)</w:t>
            </w:r>
          </w:p>
        </w:tc>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(30.6)%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1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 (1,369)</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(35.5)%</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R&amp;D expenditures represent investments intended to keep the Company’s products at the leading edge of time and frequency technology and enhance future competitiveness. The R&amp;D rate for the three-month period ended January 31, 2023 was 7% of sales compared to 9% of sales for the same period of the prior fiscal year. The R&amp;D rate for the nine-month period ended January 31, 2023 was 9% of sales compared to 10% of sales for the same period of the prior fiscal year. The decrease in R&amp;D expenditures for both periods of fiscal year 2023 was primarily due to the resolution of fiscal 2022 technical challenges to projects that are now in the production phase. The Company plans to continue to invest in R&amp;D in the future to keep its products at the state of the 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(Loss)</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6"/>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1,046</w:t>
            </w:r>
          </w:p>
        </w:tc>
        <w:tc>
          <w:tcPr>
            <w:tcW w:w="10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  $</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(5,065)</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(2,106)</w:t>
            </w:r>
          </w:p>
        </w:tc>
        <w:tc>
          <w:tcPr>
            <w:tcW w:w="11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(2,959)</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January 31, 2023, operating income increased due to a combination of increased gross margin, and the effects of the changes management has instituted. For the nine months ended January 31, 2023, operating income decreased due to the previously disclosed decrease in sales and gross margin in the first two quarters of the current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Periods ended January 31,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1"/>
        </w:trPr>
        <w:tc>
          <w:tcPr>
            <w:tcW w:w="22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Investment (expense)</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3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(795)</w:t>
            </w:r>
          </w:p>
        </w:tc>
        <w:tc>
          <w:tcPr>
            <w:tcW w:w="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NM</w:t>
            </w: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0"/>
        </w:trPr>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3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Investment (expense) income is derived primarily from the Company’s holdings and sale of marketable securities. During the three months ended January 31, 2023, the Company liquidated its holdings and as a result there was an approximate $784,000 loss recognized.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 Provision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1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32"/>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Periods ended January 31,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r>
      <w:tr>
        <w:trPr>
          <w:trHeight w:val="209"/>
        </w:trPr>
        <w:tc>
          <w:tcPr>
            <w:tcW w:w="3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 on pre-tax book loss: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2023 is 0.01%.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31, 2023, the Company recorded a discrete income tax provision of $3,345 primarily related to an accrual of interest for unrecognized tax benefits. For the three months ended January 31, 2022, the Company recorded an income tax provision of $894.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January 31, 2023, the Company recorded a discrete income tax provision of $5,812 primarily related to an accrual of interest for unrecognized tax benefits. For the nine months ended January 31, 2022, the Company recorded an income tax provision of $3,144.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January 31, 2023 was an income tax provision of (1.1)% on pretax loss of $313,000 compared to an income tax provision of (0.1)% on pretax loss of $734,000 in the comparable prior fiscal year period. The effective tax rate for the three months ended January 31, 2023 differs from the U.S. federal statutory rate of 21% primarily due to domestic losses for which the Company is not recognizing an income tax benefit.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nine months ended January 31, 2023 was an income tax provision of (0.1)% on pretax loss of $5.7 million compared to an income tax provision of (0.2)% on pretax loss of $1.8 million in the comparable prior fiscal year period. The effective tax rate for the nine months ended January 31, 2023 differs from the U.S. federal statutory rate of 21% primarily due to domestic losses for which the Company is not recognizing an income tax benefit.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(the “Act”) was signed into U.S. law on August 16, 2022. The Act includes various tax provisions, including an excise tax on stock repurchases, expanded tax credits for clean energy incentives, and a corporate alternative minimum tax that generally applies to U.S. corporations with average adjusted annual financial statement income over a three-year period in excess of $1 billion. The Company does not expect the Act to materially impact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continue to reflect a strong working capital position of approximately $20.0 million at January 31, 2023 and $34.2 million at April 30, 2022. Included in working capital at January 31, 2023 and April 30, 2022 was $12.9 million and $21.5 million, respectively, consisting of cash, cash equivalents, and marketable securities. The Company’s current ratio at January 31, 2023 was 1.7 to 1 compared to 2.6 to 1 as of April 30,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nine-month period ended January 31, 2023 was approximately $1.9 million and net cash provided by operating activities for the nine-month period ended January 31, 2022 was approximately $4.0 million. The decrease in operating cash flow in the first nine months of fiscal 2023 was mainly due to an increase in net loss and contract liabilities, partially offset by a decrease in non-cash adjustments and contract assets. For the nine-month periods ended January 31, 2023 and 2022, the Company incurred approximately $2.7 million and $2.9 million, respectively, of non-cash operating expenses including ROU assets and liabilities for leases, loss provision accrual, depreciation and amortization, inventory reserve adjustments, deferred compensation, and accruals for employee benefit programs.</w:t>
      </w:r>
    </w:p>
    <w:p>
      <w:pPr>
        <w:spacing w:after="0" w:line="18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for the nine-month period ended January 31, 2023 was approximately $8.7 million compared to net cash used in investing activities of approximately $1.6 million for the nine-month period ended January 31, 2022. During the nine months ended January 31, 2023, marketable securities were sold or redeemed in the amount of $11.0 million compared to $1.7 million for the same period of fiscal year 2022. During the nine months ended January 31, 2023 approximately $1.4 million of marketable securities were purchased compared to $1.9 million for the same period of fiscal year 2022. The Company acquired property, plant, and equipment in the amount of approximately $886,000 and $1.5 million for the nine-month periods ended January 31, 2023 and 2022, respectively.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 for the nine months ended January 31, 2023 was approximately $9.4 million related to a dividend payout.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cash used in or provided by financing activities for the nine months ended January 31, 2022.</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 million worth of shares of its common stock when appropriate opportunities arise. As of January 31, 2023, the Company has repurchased approximately $4 million of its common stock out of the $5 million authorization. For the nine months ended January 31, 2023 and 2022 there were no repurchases of shares.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continue to expend resources for research and development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January 31, 2023, the Company’s consolidated funded backlog was approximately $54 million compared to $40 million at April 30, 2022, the end of fiscal year 2022. Approximately 82% of this backlog is expected to be realized in the next twelve months. As of January 31, 2023, there were no amounts included in backlog under cost-plus fixed-fee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operating and investment needs through at least March 17, 2024 and the foreseeable future.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because of the material weaknesses in internal control over financial reporting disclosed below, as of January 31, 2023, the Company’s disclosure controls and procedures were not effective at a reasonable assurance level.</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April 30, 2022. In making this assessment, management used the criteria established in Internal Control—Integrated Framework (2013) issued by the Committee of Sponsoring Organizations of the Treadway Commission. Based on this evaluation, the Company’s management initially concluded and disclosed in the Company’s Annual Report on Form 10-K for the fiscal year ended April 30, 2022, filed on July 14, 2022 with the SEC (the “Form 10-K”) that the Company’s internal control over financial reporting was effective as of April 30, 2022.</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However, for the reasons discussed below, management conducted a re-assessment of the effectiveness of the Company’s internal control over financial reporting. In conducting its re-assessment of the effectiveness of the Company’s internal control over financial reporting, management concluded that the Company’s internal control over financial reporting was not effective as of April 30, 2022, because of the material weaknesses in internal control over financial reporting discussed below.</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disclosed in the Company’s Current Report on Form 8-K filed on December 16, 2022, in the course of preparing the unaudited condensed consolidated financial statements for the fiscal quarter ended October 31, 2022, the Company identified errors related to the calculations and presentation of contract assets and contract liabilities in the Form 10-K.</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Following the identification of these prior errors, management re-evaluated the Company’s internal control over financial reporting as of April 30, 2022 and identified material weaknesses in the following areas:</w:t>
      </w:r>
    </w:p>
    <w:p>
      <w:pPr>
        <w:spacing w:after="0" w:line="162" w:lineRule="exact"/>
        <w:rPr>
          <w:sz w:val="20"/>
          <w:szCs w:val="20"/>
          <w:color w:val="auto"/>
        </w:rPr>
      </w:pPr>
    </w:p>
    <w:p>
      <w:pPr>
        <w:jc w:val="both"/>
        <w:ind w:firstLine="646"/>
        <w:spacing w:after="0" w:line="258" w:lineRule="auto"/>
        <w:tabs>
          <w:tab w:leader="none" w:pos="12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previously corrected as of April 30, 2022, historically, through April 30, 2022, the Company had presented contract assets and contract liabilities on a net basis on the consolidated balance sheets whereas ASC 606-10-45-1 requires gross presentation. In addition, a formula error was identified whereby the Company had not been grouping contracts assets and contract liabilities properly on a project-by-project basis. As a result, management has concluded that the Company did not effectively design and maintain controls over the completeness and accuracy of the gross presentation of contract assets and contract liabilities and thus a material weakness was identified;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6"/>
        <w:spacing w:after="0" w:line="255" w:lineRule="auto"/>
        <w:tabs>
          <w:tab w:leader="none" w:pos="12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above, as of April 30, 2021 the Company had presented contract assets and contract liabilities on a net basis on the consolidated balance sheets whereas ASC 606-10-45-1 requires gross presentation. During the process of completing the Company’s Form 10-K, management corrected the contract assets and contract liabilities balances in the April 30, 2021 column of the consolidated balance sheet to present them gross as opposed to net as previously filed. However, this should have been identified as a correction of a prior period error and assessed accordingly to determine whether or not a restatement was needed and whether the error was the result of a deficiency in the Company’s internal control over financial reporting. As a result, management has concluded that the Company did not have an adequate control in place for identifying and assessing financial statement errors and thus a material weakness was identified.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disclosed in the Current Report on Form 8-K filed on December 16, 2022, by the Company, on December 14, 2022, the Company concluded that the items noted above constituted material weaknesses in the Company’s internal control over financial reporting as of April 30, 2022 and continued to exist as of January 31, 2023.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Remediation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remediate the material weaknesses described above, the Company is pursuing the following remediation steps:</w:t>
      </w:r>
    </w:p>
    <w:p>
      <w:pPr>
        <w:spacing w:after="0" w:line="225" w:lineRule="exact"/>
        <w:rPr>
          <w:sz w:val="20"/>
          <w:szCs w:val="20"/>
          <w:color w:val="auto"/>
        </w:rPr>
      </w:pPr>
    </w:p>
    <w:p>
      <w:pPr>
        <w:jc w:val="both"/>
        <w:ind w:left="960" w:hanging="314"/>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update, as necessary, the design and documentation of its internal control policies and procedures with respect to its internal control over financial reporting. The Company plans to implement additional formulas and comparative reviews of financial information as a result of issues identified in its policies and procedures as promptly as practical and to satisfy documentation requirements under Section 404 of the Sarbanes-Oxley Act.</w:t>
      </w:r>
    </w:p>
    <w:p>
      <w:pPr>
        <w:spacing w:after="0" w:line="179" w:lineRule="exact"/>
        <w:rPr>
          <w:rFonts w:ascii="Times New Roman" w:cs="Times New Roman" w:eastAsia="Times New Roman" w:hAnsi="Times New Roman"/>
          <w:sz w:val="18"/>
          <w:szCs w:val="18"/>
          <w:color w:val="auto"/>
        </w:rPr>
      </w:pPr>
    </w:p>
    <w:p>
      <w:pPr>
        <w:jc w:val="both"/>
        <w:ind w:left="960" w:hanging="31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internal control over financial reporting is properly designed, documented and operating effectively by (i) enhancing the design of existing control activities and/or implementing additional control activities, as needed, (ii) monitoring the operating effectiveness of those controls, and (iii) ensuring that documentation exists to evidence the performance of those controls.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believes that its remediation plan will be sufficient to remediate the identified material weaknesses and strengthen its internal control over financial reporting. However, by April 30, 2023, the Company’s next annual reporting date, there may not be sufficient time for the Company to remediate all material weaknesses or, if remediated, to test the operating effectiveness of the remediated controls. As the Company continues to evaluate, and works to improve, its internal control over financial reporting, management may determine that additional measures to address control deficiencies or modifications to the remediation plan are necessary. The Company cannot assure you, however, when it will remediate such weaknesses, nor can it be certain whether additional actions will be required or the costs of any such actions. Moreover, the Company cannot assure you that additional material weaknesses will not arise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implementing certain changes in its internal control over financial reporting to remediate the material weaknesses described above. Other than the implementation of the remediation plan discussed above, which began in the fiscal quarter ended January 31, 2023, there has been no change in the Company’s internal control over financial reporting during the fiscal quarter ended January 31, 2023, that has materially affected, or is reasonably likely to materially affect, its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Form 10-K/A, there are a number of risks and uncertainties that could have a material adverse effect on the Company’s business, financial position, results of operations and/or cash flows. There are no material updates or changes to the Company’s risk factors since the filing of the Form 10-K/A.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4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12"/>
        </w:trPr>
        <w:tc>
          <w:tcPr>
            <w:tcW w:w="580" w:type="dxa"/>
            <w:vAlign w:val="bottom"/>
          </w:tcPr>
          <w:p>
            <w:pPr>
              <w:spacing w:after="0"/>
              <w:rPr>
                <w:sz w:val="24"/>
                <w:szCs w:val="24"/>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31.1 -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Certifications by the Chief Executive Officer and Chief Financial Officer pursuant to 18 U.S.C. Section 1350, as adopted</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r>
      <w:tr>
        <w:trPr>
          <w:trHeight w:val="20"/>
        </w:trPr>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434"/>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the Frequency Electronics, Inc. Quarterly Report on Form 10-Q for the quarter ended January 31,</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2023 formatted in eXtensible Business Reporting Language (XBRL): (i) Cover Page, (ii) Condensed Consolidated Balance</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Sheets, (iii) Condensed Consolidated Statements of Operations and Comprehensive Loss, (iv) Condensed Consolidated</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 of Cash Flows, (v) Condensed Consolidated Statements of Changes in Stockholders’ Equity and (vi) Notes to</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The instance document does not appear in the Interactive Data File because its</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Inline XBRL document.</w:t>
            </w:r>
          </w:p>
        </w:tc>
      </w:tr>
      <w:tr>
        <w:trPr>
          <w:trHeight w:val="43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Interaction Data File (formatted as inline XBRL and contained in Exhibit 101).</w:t>
            </w:r>
          </w:p>
        </w:tc>
      </w:tr>
      <w:tr>
        <w:trPr>
          <w:trHeight w:val="648"/>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17, 2023</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-19050</wp:posOffset>
            </wp:positionV>
            <wp:extent cx="1957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-7620</wp:posOffset>
            </wp:positionV>
            <wp:extent cx="1954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121" w:right="47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3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7"/>
              </w:rPr>
              <w:t>March 17, 2023</w:t>
            </w:r>
          </w:p>
        </w:tc>
      </w:tr>
      <w:tr>
        <w:trPr>
          <w:trHeight w:val="21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340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40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0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308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97"/>
              </w:rPr>
              <w:t>March 17, 2023</w:t>
            </w:r>
          </w:p>
        </w:tc>
      </w:tr>
      <w:tr>
        <w:trPr>
          <w:trHeight w:val="21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308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308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08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January 31, 2023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5420" w:type="dxa"/>
            <w:vAlign w:val="bottom"/>
          </w:tcPr>
          <w:p>
            <w:pPr>
              <w:ind w:left="4280"/>
              <w:spacing w:after="0"/>
              <w:rPr>
                <w:sz w:val="20"/>
                <w:szCs w:val="20"/>
                <w:color w:val="auto"/>
              </w:rPr>
            </w:pPr>
            <w:r>
              <w:rPr>
                <w:rFonts w:ascii="Times New Roman" w:cs="Times New Roman" w:eastAsia="Times New Roman" w:hAnsi="Times New Roman"/>
                <w:sz w:val="18"/>
                <w:szCs w:val="18"/>
                <w:color w:val="auto"/>
                <w:w w:val="97"/>
              </w:rPr>
              <w:t>March 17, 2023</w:t>
            </w:r>
          </w:p>
        </w:tc>
      </w:tr>
      <w:tr>
        <w:trPr>
          <w:trHeight w:val="218"/>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5420" w:type="dxa"/>
            <w:vAlign w:val="bottom"/>
          </w:tcPr>
          <w:p>
            <w:pPr>
              <w:spacing w:after="0"/>
              <w:rPr>
                <w:sz w:val="18"/>
                <w:szCs w:val="18"/>
                <w:color w:val="auto"/>
              </w:rPr>
            </w:pP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42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January 31, 2023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2280" w:type="dxa"/>
            <w:vAlign w:val="bottom"/>
          </w:tcPr>
          <w:p>
            <w:pPr>
              <w:spacing w:after="0"/>
              <w:rPr>
                <w:sz w:val="18"/>
                <w:szCs w:val="18"/>
                <w:color w:val="auto"/>
              </w:rPr>
            </w:pPr>
          </w:p>
        </w:tc>
        <w:tc>
          <w:tcPr>
            <w:tcW w:w="310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97"/>
              </w:rPr>
              <w:t>March 17, 2023</w:t>
            </w:r>
          </w:p>
        </w:tc>
      </w:tr>
      <w:tr>
        <w:trPr>
          <w:trHeight w:val="218"/>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3100" w:type="dxa"/>
            <w:vAlign w:val="bottom"/>
          </w:tcPr>
          <w:p>
            <w:pPr>
              <w:spacing w:after="0"/>
              <w:rPr>
                <w:sz w:val="18"/>
                <w:szCs w:val="18"/>
                <w:color w:val="auto"/>
              </w:rPr>
            </w:pPr>
          </w:p>
        </w:tc>
      </w:tr>
      <w:tr>
        <w:trPr>
          <w:trHeight w:val="234"/>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31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2023-03-17T12:34:42Z</dcterms:created>
  <dcterms:modified xsi:type="dcterms:W3CDTF">2023-03-17T12:34:42Z</dcterms:modified>
</cp:coreProperties>
</file>