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79"/>
        <w:spacing w:after="0"/>
        <w:rPr>
          <w:sz w:val="20"/>
          <w:szCs w:val="20"/>
          <w:color w:val="auto"/>
        </w:rPr>
      </w:pPr>
      <w:r>
        <w:rPr>
          <w:rFonts w:ascii="Courier New" w:cs="Courier New" w:eastAsia="Courier New" w:hAnsi="Courier New"/>
          <w:sz w:val="14"/>
          <w:szCs w:val="14"/>
          <w:color w:val="auto"/>
        </w:rPr>
        <w:t>UNITED STATES SECURITIES AND EXCHANGE COMMISSION</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WASHINGTON, D.C. 20549</w:t>
      </w:r>
    </w:p>
    <w:p>
      <w:pPr>
        <w:spacing w:after="0" w:line="175" w:lineRule="exact"/>
        <w:rPr>
          <w:sz w:val="24"/>
          <w:szCs w:val="24"/>
          <w:color w:val="auto"/>
        </w:rPr>
      </w:pPr>
    </w:p>
    <w:p>
      <w:pPr>
        <w:ind w:left="3140"/>
        <w:spacing w:after="0"/>
        <w:rPr>
          <w:sz w:val="20"/>
          <w:szCs w:val="20"/>
          <w:color w:val="auto"/>
        </w:rPr>
      </w:pPr>
      <w:r>
        <w:rPr>
          <w:rFonts w:ascii="Courier New" w:cs="Courier New" w:eastAsia="Courier New" w:hAnsi="Courier New"/>
          <w:sz w:val="14"/>
          <w:szCs w:val="14"/>
          <w:color w:val="auto"/>
        </w:rPr>
        <w:t>FORM 10-K</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5" w:lineRule="exact"/>
        <w:rPr>
          <w:sz w:val="24"/>
          <w:szCs w:val="24"/>
          <w:color w:val="auto"/>
        </w:rPr>
      </w:pPr>
    </w:p>
    <w:p>
      <w:pPr>
        <w:ind w:left="1060" w:right="3639" w:hanging="530"/>
        <w:spacing w:after="0" w:line="258" w:lineRule="auto"/>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 (d) OF THE SECURITIES EXCHANGE ACT OF 1934</w:t>
      </w:r>
    </w:p>
    <w:p>
      <w:pPr>
        <w:spacing w:after="0" w:line="160" w:lineRule="exact"/>
        <w:rPr>
          <w:sz w:val="24"/>
          <w:szCs w:val="24"/>
          <w:color w:val="auto"/>
        </w:rPr>
      </w:pPr>
    </w:p>
    <w:p>
      <w:pPr>
        <w:ind w:left="1660"/>
        <w:spacing w:after="0"/>
        <w:rPr>
          <w:sz w:val="20"/>
          <w:szCs w:val="20"/>
          <w:color w:val="auto"/>
        </w:rPr>
      </w:pPr>
      <w:r>
        <w:rPr>
          <w:rFonts w:ascii="Courier New" w:cs="Courier New" w:eastAsia="Courier New" w:hAnsi="Courier New"/>
          <w:sz w:val="14"/>
          <w:szCs w:val="14"/>
          <w:color w:val="auto"/>
        </w:rPr>
        <w:t>For the Fiscal Year ended April 30, 2006</w:t>
      </w:r>
    </w:p>
    <w:p>
      <w:pPr>
        <w:spacing w:after="0" w:line="175" w:lineRule="exact"/>
        <w:rPr>
          <w:sz w:val="24"/>
          <w:szCs w:val="24"/>
          <w:color w:val="auto"/>
        </w:rPr>
      </w:pPr>
    </w:p>
    <w:p>
      <w:pPr>
        <w:ind w:left="3400"/>
        <w:spacing w:after="0"/>
        <w:rPr>
          <w:sz w:val="20"/>
          <w:szCs w:val="20"/>
          <w:color w:val="auto"/>
        </w:rPr>
      </w:pPr>
      <w:r>
        <w:rPr>
          <w:rFonts w:ascii="Courier New" w:cs="Courier New" w:eastAsia="Courier New" w:hAnsi="Courier New"/>
          <w:sz w:val="14"/>
          <w:szCs w:val="14"/>
          <w:color w:val="auto"/>
        </w:rPr>
        <w:t>OR</w:t>
      </w:r>
    </w:p>
    <w:p>
      <w:pPr>
        <w:spacing w:after="0" w:line="175" w:lineRule="exact"/>
        <w:rPr>
          <w:sz w:val="24"/>
          <w:szCs w:val="24"/>
          <w:color w:val="auto"/>
        </w:rPr>
      </w:pPr>
    </w:p>
    <w:p>
      <w:pPr>
        <w:ind w:left="1060" w:right="3279" w:hanging="530"/>
        <w:spacing w:after="0" w:line="258" w:lineRule="auto"/>
        <w:tabs>
          <w:tab w:leader="none" w:pos="713"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 (d) OF THE SECURITIES EXCHANGE ACT OF 1934</w:t>
      </w:r>
    </w:p>
    <w:p>
      <w:pPr>
        <w:spacing w:after="0" w:line="160"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For the transition period from __________ to __________</w:t>
      </w:r>
    </w:p>
    <w:p>
      <w:pPr>
        <w:spacing w:after="0" w:line="175" w:lineRule="exact"/>
        <w:rPr>
          <w:sz w:val="24"/>
          <w:szCs w:val="24"/>
          <w:color w:val="auto"/>
        </w:rPr>
      </w:pPr>
    </w:p>
    <w:p>
      <w:pPr>
        <w:ind w:left="2360"/>
        <w:spacing w:after="0"/>
        <w:rPr>
          <w:sz w:val="20"/>
          <w:szCs w:val="20"/>
          <w:color w:val="auto"/>
        </w:rPr>
      </w:pPr>
      <w:r>
        <w:rPr>
          <w:rFonts w:ascii="Courier New" w:cs="Courier New" w:eastAsia="Courier New" w:hAnsi="Courier New"/>
          <w:sz w:val="14"/>
          <w:szCs w:val="14"/>
          <w:color w:val="auto"/>
        </w:rPr>
        <w:t>Commission File No. 1-8061</w:t>
      </w:r>
    </w:p>
    <w:p>
      <w:pPr>
        <w:spacing w:after="0" w:line="175" w:lineRule="exact"/>
        <w:rPr>
          <w:sz w:val="24"/>
          <w:szCs w:val="24"/>
          <w:color w:val="auto"/>
        </w:rPr>
      </w:pPr>
    </w:p>
    <w:p>
      <w:pPr>
        <w:jc w:val="center"/>
        <w:ind w:right="3179"/>
        <w:spacing w:after="0"/>
        <w:rPr>
          <w:sz w:val="20"/>
          <w:szCs w:val="20"/>
          <w:color w:val="auto"/>
        </w:rPr>
      </w:pPr>
      <w:r>
        <w:rPr>
          <w:rFonts w:ascii="Courier New" w:cs="Courier New" w:eastAsia="Courier New" w:hAnsi="Courier New"/>
          <w:sz w:val="14"/>
          <w:szCs w:val="14"/>
          <w:color w:val="auto"/>
        </w:rPr>
        <w:t>FREQUENCY ELECTRONICS, INC.</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230" w:right="1440" w:bottom="0" w:gutter="0" w:footer="0" w:header="0"/>
        </w:sectPr>
      </w:pPr>
    </w:p>
    <w:p>
      <w:pPr>
        <w:spacing w:after="0" w:line="175"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Delaware</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ind w:left="1040"/>
        <w:spacing w:after="0"/>
        <w:rPr>
          <w:sz w:val="20"/>
          <w:szCs w:val="20"/>
          <w:color w:val="auto"/>
        </w:rPr>
      </w:pPr>
      <w:r>
        <w:rPr>
          <w:rFonts w:ascii="Courier New" w:cs="Courier New" w:eastAsia="Courier New" w:hAnsi="Courier New"/>
          <w:sz w:val="14"/>
          <w:szCs w:val="14"/>
          <w:color w:val="auto"/>
        </w:rPr>
        <w:t>11-1986657</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41" w:lineRule="exact"/>
        <w:rPr>
          <w:sz w:val="24"/>
          <w:szCs w:val="24"/>
          <w:color w:val="auto"/>
        </w:rPr>
      </w:pPr>
    </w:p>
    <w:p>
      <w:pPr>
        <w:sectPr>
          <w:pgSz w:w="11900" w:h="16838" w:orient="portrait"/>
          <w:cols w:equalWidth="0" w:num="2">
            <w:col w:w="3140" w:space="680"/>
            <w:col w:w="6419"/>
          </w:cols>
          <w:pgMar w:left="220" w:top="23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55 CHARLES LINDBERGH BLVD., MITCHEL FIELD, N.Y.</w:t>
      </w:r>
    </w:p>
    <w:p>
      <w:pPr>
        <w:spacing w:after="0" w:line="8"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ind w:left="260"/>
        <w:spacing w:after="0"/>
        <w:rPr>
          <w:sz w:val="20"/>
          <w:szCs w:val="20"/>
          <w:color w:val="auto"/>
        </w:rPr>
      </w:pPr>
      <w:r>
        <w:rPr>
          <w:rFonts w:ascii="Courier New" w:cs="Courier New" w:eastAsia="Courier New" w:hAnsi="Courier New"/>
          <w:sz w:val="14"/>
          <w:szCs w:val="14"/>
          <w:color w:val="auto"/>
        </w:rPr>
        <w:t>11553</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5" w:lineRule="exact"/>
        <w:rPr>
          <w:sz w:val="24"/>
          <w:szCs w:val="24"/>
          <w:color w:val="auto"/>
        </w:rPr>
      </w:pPr>
    </w:p>
    <w:p>
      <w:pPr>
        <w:sectPr>
          <w:pgSz w:w="11900" w:h="16838" w:orient="portrait"/>
          <w:cols w:equalWidth="0" w:num="2">
            <w:col w:w="4840" w:space="720"/>
            <w:col w:w="4679"/>
          </w:cols>
          <w:pgMar w:left="220" w:top="230" w:right="1440"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Registrant's telephone number, including area code: 516-794-4500</w:t>
      </w:r>
    </w:p>
    <w:p>
      <w:pPr>
        <w:spacing w:after="0" w:line="175"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 (b) of the Act:</w:t>
      </w:r>
    </w:p>
    <w:p>
      <w:pPr>
        <w:sectPr>
          <w:pgSz w:w="11900" w:h="16838" w:orient="portrait"/>
          <w:cols w:equalWidth="0" w:num="1">
            <w:col w:w="10239"/>
          </w:cols>
          <w:pgMar w:left="220" w:top="230" w:right="1440" w:bottom="0" w:gutter="0" w:footer="0" w:header="0"/>
          <w:type w:val="continuous"/>
        </w:sectPr>
      </w:pPr>
    </w:p>
    <w:p>
      <w:pPr>
        <w:spacing w:after="0" w:line="342"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Common Stock (par value $1.00 per share)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 of each exchange on</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which registered</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American Stock Exchange</w:t>
      </w:r>
    </w:p>
    <w:p>
      <w:pPr>
        <w:spacing w:after="0" w:line="175" w:lineRule="exact"/>
        <w:rPr>
          <w:sz w:val="24"/>
          <w:szCs w:val="24"/>
          <w:color w:val="auto"/>
        </w:rPr>
      </w:pPr>
    </w:p>
    <w:p>
      <w:pPr>
        <w:sectPr>
          <w:pgSz w:w="11900" w:h="16838" w:orient="portrait"/>
          <w:cols w:equalWidth="0" w:num="2">
            <w:col w:w="4140" w:space="720"/>
            <w:col w:w="5379"/>
          </w:cols>
          <w:pgMar w:left="220" w:top="230" w:right="1440" w:bottom="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 (g) of the Act:</w:t>
      </w:r>
    </w:p>
    <w:p>
      <w:pPr>
        <w:spacing w:after="0" w:line="17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1740" w:type="dxa"/>
            <w:vAlign w:val="bottom"/>
          </w:tcPr>
          <w:p>
            <w:pPr>
              <w:ind w:left="1340"/>
              <w:spacing w:after="0"/>
              <w:rPr>
                <w:sz w:val="20"/>
                <w:szCs w:val="20"/>
                <w:color w:val="auto"/>
              </w:rPr>
            </w:pPr>
            <w:r>
              <w:rPr>
                <w:rFonts w:ascii="Courier New" w:cs="Courier New" w:eastAsia="Courier New" w:hAnsi="Courier New"/>
                <w:sz w:val="14"/>
                <w:szCs w:val="14"/>
                <w:color w:val="auto"/>
              </w:rPr>
              <w:t>None</w:t>
            </w: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Indicate by check mark</w:t>
            </w:r>
          </w:p>
        </w:tc>
        <w:tc>
          <w:tcPr>
            <w:tcW w:w="29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if the registrant is a well-known</w:t>
            </w:r>
          </w:p>
        </w:tc>
        <w:tc>
          <w:tcPr>
            <w:tcW w:w="15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seasoned issuer,</w:t>
            </w:r>
          </w:p>
        </w:tc>
        <w:tc>
          <w:tcPr>
            <w:tcW w:w="520" w:type="dxa"/>
            <w:vAlign w:val="bottom"/>
          </w:tcPr>
          <w:p>
            <w:pPr>
              <w:ind w:left="160"/>
              <w:spacing w:after="0"/>
              <w:rPr>
                <w:sz w:val="20"/>
                <w:szCs w:val="20"/>
                <w:color w:val="auto"/>
              </w:rPr>
            </w:pPr>
            <w:r>
              <w:rPr>
                <w:rFonts w:ascii="Courier New" w:cs="Courier New" w:eastAsia="Courier New" w:hAnsi="Courier New"/>
                <w:sz w:val="14"/>
                <w:szCs w:val="14"/>
                <w:color w:val="auto"/>
              </w:rPr>
              <w:t>as</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defined in Rule 405 of</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Yes</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rPr>
              <w:t>No</w:t>
            </w:r>
          </w:p>
        </w:tc>
        <w:tc>
          <w:tcPr>
            <w:tcW w:w="44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4"/>
              </w:rPr>
              <w:t>X</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1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Indicate  by check mark if the  registrant</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is not</w:t>
            </w:r>
          </w:p>
        </w:tc>
        <w:tc>
          <w:tcPr>
            <w:tcW w:w="8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required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to file</w:t>
            </w: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reports</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pursuant to Section 13</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or Section 15(d) of</w:t>
            </w:r>
          </w:p>
        </w:tc>
        <w:tc>
          <w:tcPr>
            <w:tcW w:w="16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the Exchange Act.</w:t>
            </w:r>
          </w:p>
        </w:tc>
        <w:tc>
          <w:tcPr>
            <w:tcW w:w="7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Yes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w:t>
            </w:r>
          </w:p>
        </w:tc>
        <w:tc>
          <w:tcPr>
            <w:tcW w:w="520" w:type="dxa"/>
            <w:vAlign w:val="bottom"/>
          </w:tcPr>
          <w:p>
            <w:pPr>
              <w:jc w:val="center"/>
              <w:ind w:right="368"/>
              <w:spacing w:after="0"/>
              <w:rPr>
                <w:sz w:val="20"/>
                <w:szCs w:val="20"/>
                <w:color w:val="auto"/>
              </w:rPr>
            </w:pPr>
            <w:r>
              <w:rPr>
                <w:rFonts w:ascii="Courier New" w:cs="Courier New" w:eastAsia="Courier New" w:hAnsi="Courier New"/>
                <w:sz w:val="14"/>
                <w:szCs w:val="14"/>
                <w:color w:val="auto"/>
                <w:w w:val="94"/>
              </w:rPr>
              <w:t>X</w:t>
            </w:r>
          </w:p>
        </w:tc>
      </w:tr>
      <w:tr>
        <w:trPr>
          <w:trHeight w:val="167"/>
        </w:trPr>
        <w:tc>
          <w:tcPr>
            <w:tcW w:w="19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r>
      <w:tr>
        <w:trPr>
          <w:trHeight w:val="334"/>
        </w:trPr>
        <w:tc>
          <w:tcPr>
            <w:tcW w:w="1960" w:type="dxa"/>
            <w:vAlign w:val="bottom"/>
          </w:tcPr>
          <w:p>
            <w:pPr>
              <w:spacing w:after="0"/>
              <w:rPr>
                <w:sz w:val="20"/>
                <w:szCs w:val="20"/>
                <w:color w:val="auto"/>
              </w:rPr>
            </w:pPr>
            <w:r>
              <w:rPr>
                <w:rFonts w:ascii="Courier New" w:cs="Courier New" w:eastAsia="Courier New" w:hAnsi="Courier New"/>
                <w:sz w:val="14"/>
                <w:szCs w:val="14"/>
                <w:color w:val="auto"/>
              </w:rPr>
              <w:t>Indicate by check mark</w:t>
            </w:r>
          </w:p>
        </w:tc>
        <w:tc>
          <w:tcPr>
            <w:tcW w:w="5000" w:type="dxa"/>
            <w:vAlign w:val="bottom"/>
            <w:gridSpan w:val="7"/>
          </w:tcPr>
          <w:p>
            <w:pPr>
              <w:ind w:left="40"/>
              <w:spacing w:after="0"/>
              <w:rPr>
                <w:sz w:val="20"/>
                <w:szCs w:val="20"/>
                <w:color w:val="auto"/>
              </w:rPr>
            </w:pPr>
            <w:r>
              <w:rPr>
                <w:rFonts w:ascii="Courier New" w:cs="Courier New" w:eastAsia="Courier New" w:hAnsi="Courier New"/>
                <w:sz w:val="14"/>
                <w:szCs w:val="14"/>
                <w:color w:val="auto"/>
              </w:rPr>
              <w:t>whether the Registrant (1) has filed all reports required</w:t>
            </w:r>
          </w:p>
        </w:tc>
      </w:tr>
      <w:tr>
        <w:trPr>
          <w:trHeight w:val="167"/>
        </w:trPr>
        <w:tc>
          <w:tcPr>
            <w:tcW w:w="1960" w:type="dxa"/>
            <w:vAlign w:val="bottom"/>
          </w:tcPr>
          <w:p>
            <w:pPr>
              <w:spacing w:after="0"/>
              <w:rPr>
                <w:sz w:val="20"/>
                <w:szCs w:val="20"/>
                <w:color w:val="auto"/>
              </w:rPr>
            </w:pPr>
            <w:r>
              <w:rPr>
                <w:rFonts w:ascii="Courier New" w:cs="Courier New" w:eastAsia="Courier New" w:hAnsi="Courier New"/>
                <w:sz w:val="14"/>
                <w:szCs w:val="14"/>
                <w:color w:val="auto"/>
              </w:rPr>
              <w:t>to be filed by Section</w:t>
            </w:r>
          </w:p>
        </w:tc>
        <w:tc>
          <w:tcPr>
            <w:tcW w:w="1740" w:type="dxa"/>
            <w:vAlign w:val="bottom"/>
          </w:tcPr>
          <w:p>
            <w:pPr>
              <w:ind w:left="40"/>
              <w:spacing w:after="0"/>
              <w:rPr>
                <w:sz w:val="20"/>
                <w:szCs w:val="20"/>
                <w:color w:val="auto"/>
              </w:rPr>
            </w:pPr>
            <w:r>
              <w:rPr>
                <w:rFonts w:ascii="Courier New" w:cs="Courier New" w:eastAsia="Courier New" w:hAnsi="Courier New"/>
                <w:sz w:val="14"/>
                <w:szCs w:val="14"/>
                <w:color w:val="auto"/>
              </w:rPr>
              <w:t>13 or 15 (d) of the</w:t>
            </w:r>
          </w:p>
        </w:tc>
        <w:tc>
          <w:tcPr>
            <w:tcW w:w="23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Securities Exchange Act of</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1934</w:t>
            </w:r>
          </w:p>
        </w:tc>
        <w:tc>
          <w:tcPr>
            <w:tcW w:w="520" w:type="dxa"/>
            <w:vAlign w:val="bottom"/>
          </w:tcPr>
          <w:p>
            <w:pPr>
              <w:spacing w:after="0"/>
              <w:rPr>
                <w:sz w:val="14"/>
                <w:szCs w:val="14"/>
                <w:color w:val="auto"/>
              </w:rPr>
            </w:pPr>
          </w:p>
        </w:tc>
      </w:tr>
    </w:tbl>
    <w:p>
      <w:pPr>
        <w:spacing w:after="0" w:line="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during the preceding</w:t>
            </w:r>
          </w:p>
        </w:tc>
        <w:tc>
          <w:tcPr>
            <w:tcW w:w="1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12 months (or for</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w w:val="95"/>
              </w:rPr>
              <w:t>such</w:t>
            </w:r>
          </w:p>
        </w:tc>
        <w:tc>
          <w:tcPr>
            <w:tcW w:w="1780" w:type="dxa"/>
            <w:vAlign w:val="bottom"/>
          </w:tcPr>
          <w:p>
            <w:pPr>
              <w:ind w:left="80"/>
              <w:spacing w:after="0"/>
              <w:rPr>
                <w:sz w:val="20"/>
                <w:szCs w:val="20"/>
                <w:color w:val="auto"/>
              </w:rPr>
            </w:pPr>
            <w:r>
              <w:rPr>
                <w:rFonts w:ascii="Courier New" w:cs="Courier New" w:eastAsia="Courier New" w:hAnsi="Courier New"/>
                <w:sz w:val="14"/>
                <w:szCs w:val="14"/>
                <w:color w:val="auto"/>
              </w:rPr>
              <w:t>shorter period that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the Registrant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was required</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to file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such</w:t>
            </w:r>
          </w:p>
        </w:tc>
        <w:tc>
          <w:tcPr>
            <w:tcW w:w="15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reports), and (2)</w:t>
            </w:r>
          </w:p>
        </w:tc>
        <w:tc>
          <w:tcPr>
            <w:tcW w:w="1780" w:type="dxa"/>
            <w:vAlign w:val="bottom"/>
          </w:tcPr>
          <w:p>
            <w:pPr>
              <w:ind w:left="80"/>
              <w:spacing w:after="0"/>
              <w:rPr>
                <w:sz w:val="20"/>
                <w:szCs w:val="20"/>
                <w:color w:val="auto"/>
              </w:rPr>
            </w:pPr>
            <w:r>
              <w:rPr>
                <w:rFonts w:ascii="Courier New" w:cs="Courier New" w:eastAsia="Courier New" w:hAnsi="Courier New"/>
                <w:sz w:val="14"/>
                <w:szCs w:val="14"/>
                <w:color w:val="auto"/>
              </w:rPr>
              <w:t>has been subject to</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such filing</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requirements</w:t>
            </w:r>
          </w:p>
        </w:tc>
        <w:tc>
          <w:tcPr>
            <w:tcW w:w="680" w:type="dxa"/>
            <w:vAlign w:val="bottom"/>
          </w:tcPr>
          <w:p>
            <w:pPr>
              <w:ind w:left="40"/>
              <w:spacing w:after="0"/>
              <w:rPr>
                <w:sz w:val="20"/>
                <w:szCs w:val="20"/>
                <w:color w:val="auto"/>
              </w:rPr>
            </w:pPr>
            <w:r>
              <w:rPr>
                <w:rFonts w:ascii="Courier New" w:cs="Courier New" w:eastAsia="Courier New" w:hAnsi="Courier New"/>
                <w:sz w:val="14"/>
                <w:szCs w:val="14"/>
                <w:color w:val="auto"/>
              </w:rPr>
              <w:t>for the</w:t>
            </w:r>
          </w:p>
        </w:tc>
        <w:tc>
          <w:tcPr>
            <w:tcW w:w="440" w:type="dxa"/>
            <w:vAlign w:val="bottom"/>
          </w:tcPr>
          <w:p>
            <w:pPr>
              <w:ind w:left="60"/>
              <w:spacing w:after="0"/>
              <w:rPr>
                <w:sz w:val="20"/>
                <w:szCs w:val="20"/>
                <w:color w:val="auto"/>
              </w:rPr>
            </w:pPr>
            <w:r>
              <w:rPr>
                <w:rFonts w:ascii="Courier New" w:cs="Courier New" w:eastAsia="Courier New" w:hAnsi="Courier New"/>
                <w:sz w:val="14"/>
                <w:szCs w:val="14"/>
                <w:color w:val="auto"/>
              </w:rPr>
              <w:t>past</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90 days. Yes</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X</w:t>
            </w:r>
          </w:p>
        </w:tc>
        <w:tc>
          <w:tcPr>
            <w:tcW w:w="1780" w:type="dxa"/>
            <w:vAlign w:val="bottom"/>
          </w:tcPr>
          <w:p>
            <w:pPr>
              <w:spacing w:after="0"/>
              <w:rPr>
                <w:sz w:val="20"/>
                <w:szCs w:val="20"/>
                <w:color w:val="auto"/>
              </w:rPr>
            </w:pPr>
            <w:r>
              <w:rPr>
                <w:rFonts w:ascii="Courier New" w:cs="Courier New" w:eastAsia="Courier New" w:hAnsi="Courier New"/>
                <w:sz w:val="14"/>
                <w:szCs w:val="14"/>
                <w:color w:val="auto"/>
              </w:rPr>
              <w:t>No</w:t>
            </w:r>
          </w:p>
        </w:tc>
        <w:tc>
          <w:tcPr>
            <w:tcW w:w="1260" w:type="dxa"/>
            <w:vAlign w:val="bottom"/>
          </w:tcPr>
          <w:p>
            <w:pPr>
              <w:spacing w:after="0"/>
              <w:rPr>
                <w:sz w:val="14"/>
                <w:szCs w:val="14"/>
                <w:color w:val="auto"/>
              </w:rPr>
            </w:pPr>
          </w:p>
        </w:tc>
      </w:tr>
      <w:tr>
        <w:trPr>
          <w:trHeight w:val="167"/>
        </w:trPr>
        <w:tc>
          <w:tcPr>
            <w:tcW w:w="1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c>
          <w:tcPr>
            <w:tcW w:w="1780" w:type="dxa"/>
            <w:vAlign w:val="bottom"/>
          </w:tcPr>
          <w:p>
            <w:pPr>
              <w:jc w:val="right"/>
              <w:ind w:right="1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spacing w:after="0"/>
              <w:rPr>
                <w:sz w:val="14"/>
                <w:szCs w:val="14"/>
                <w:color w:val="auto"/>
              </w:rPr>
            </w:pPr>
          </w:p>
        </w:tc>
      </w:tr>
    </w:tbl>
    <w:p>
      <w:pPr>
        <w:spacing w:after="0" w:line="171" w:lineRule="exact"/>
        <w:rPr>
          <w:sz w:val="24"/>
          <w:szCs w:val="24"/>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62" w:lineRule="exact"/>
        <w:rPr>
          <w:sz w:val="24"/>
          <w:szCs w:val="24"/>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0239"/>
          </w:cols>
          <w:pgMar w:left="220" w:top="230" w:right="1440" w:bottom="0" w:gutter="0" w:footer="0" w:header="0"/>
          <w:type w:val="continuous"/>
        </w:sectPr>
      </w:pP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3" w:lineRule="exact"/>
        <w:rPr>
          <w:sz w:val="24"/>
          <w:szCs w:val="24"/>
          <w:color w:val="auto"/>
        </w:rPr>
      </w:pPr>
    </w:p>
    <w:p>
      <w:pPr>
        <w:ind w:left="80"/>
        <w:spacing w:after="0"/>
        <w:rPr>
          <w:sz w:val="20"/>
          <w:szCs w:val="20"/>
          <w:color w:val="auto"/>
        </w:rPr>
      </w:pPr>
      <w:r>
        <w:rPr>
          <w:rFonts w:ascii="Courier New" w:cs="Courier New" w:eastAsia="Courier New" w:hAnsi="Courier New"/>
          <w:sz w:val="14"/>
          <w:szCs w:val="14"/>
          <w:color w:val="auto"/>
        </w:rPr>
        <w:t>X</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6">
            <w:col w:w="2000" w:space="180"/>
            <w:col w:w="340" w:space="100"/>
            <w:col w:w="1460" w:space="180"/>
            <w:col w:w="340" w:space="0"/>
            <w:col w:w="1840" w:space="80"/>
            <w:col w:w="3719"/>
          </w:cols>
          <w:pgMar w:left="220" w:top="230" w:right="1440" w:bottom="0" w:gutter="0" w:footer="0" w:header="0"/>
          <w:type w:val="continuous"/>
        </w:sectPr>
      </w:pPr>
    </w:p>
    <w:p>
      <w:pPr>
        <w:spacing w:after="0" w:line="258" w:lineRule="auto"/>
        <w:rPr>
          <w:sz w:val="20"/>
          <w:szCs w:val="20"/>
          <w:color w:val="auto"/>
        </w:rPr>
      </w:pPr>
      <w:r>
        <w:rPr>
          <w:rFonts w:ascii="Courier New" w:cs="Courier New" w:eastAsia="Courier New" w:hAnsi="Courier New"/>
          <w:sz w:val="14"/>
          <w:szCs w:val="14"/>
          <w:color w:val="auto"/>
        </w:rPr>
        <w:t>Indicate by check mark whether the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registrant</w:t>
      </w:r>
    </w:p>
    <w:p>
      <w:pPr>
        <w:spacing w:after="0" w:line="8" w:lineRule="exact"/>
        <w:rPr>
          <w:sz w:val="24"/>
          <w:szCs w:val="24"/>
          <w:color w:val="auto"/>
        </w:rPr>
      </w:pPr>
    </w:p>
    <w:p>
      <w:pPr>
        <w:ind w:left="80"/>
        <w:spacing w:after="0"/>
        <w:tabs>
          <w:tab w:leader="none" w:pos="760" w:val="left"/>
        </w:tabs>
        <w:rPr>
          <w:sz w:val="20"/>
          <w:szCs w:val="20"/>
          <w:color w:val="auto"/>
        </w:rPr>
      </w:pPr>
      <w:r>
        <w:rPr>
          <w:rFonts w:ascii="Courier New" w:cs="Courier New" w:eastAsia="Courier New" w:hAnsi="Courier New"/>
          <w:sz w:val="13"/>
          <w:szCs w:val="13"/>
          <w:color w:val="auto"/>
        </w:rPr>
        <w:t>Yes</w:t>
      </w:r>
      <w:r>
        <w:rPr>
          <w:sz w:val="20"/>
          <w:szCs w:val="20"/>
          <w:color w:val="auto"/>
        </w:rPr>
        <w:tab/>
      </w:r>
      <w:r>
        <w:rPr>
          <w:rFonts w:ascii="Courier New" w:cs="Courier New" w:eastAsia="Courier New" w:hAnsi="Courier New"/>
          <w:sz w:val="13"/>
          <w:szCs w:val="13"/>
          <w:color w:val="auto"/>
        </w:rPr>
        <w:t>No</w:t>
      </w:r>
    </w:p>
    <w:p>
      <w:pPr>
        <w:spacing w:after="0" w:line="20" w:lineRule="exact"/>
        <w:rPr>
          <w:sz w:val="24"/>
          <w:szCs w:val="24"/>
          <w:color w:val="auto"/>
        </w:rPr>
      </w:pPr>
    </w:p>
    <w:p>
      <w:pPr>
        <w:ind w:left="42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jc w:val="center"/>
        <w:ind w:right="3459"/>
        <w:spacing w:after="0"/>
        <w:rPr>
          <w:sz w:val="20"/>
          <w:szCs w:val="20"/>
          <w:color w:val="auto"/>
        </w:rPr>
      </w:pPr>
      <w:r>
        <w:rPr>
          <w:rFonts w:ascii="Courier New" w:cs="Courier New" w:eastAsia="Courier New" w:hAnsi="Courier New"/>
          <w:sz w:val="14"/>
          <w:szCs w:val="14"/>
          <w:color w:val="auto"/>
        </w:rPr>
        <w:t>is a shell company (as defined</w:t>
      </w:r>
    </w:p>
    <w:p>
      <w:pPr>
        <w:spacing w:after="0" w:line="8" w:lineRule="exact"/>
        <w:rPr>
          <w:sz w:val="24"/>
          <w:szCs w:val="24"/>
          <w:color w:val="auto"/>
        </w:rPr>
      </w:pPr>
    </w:p>
    <w:p>
      <w:pPr>
        <w:jc w:val="center"/>
        <w:ind w:right="5799"/>
        <w:spacing w:after="0"/>
        <w:rPr>
          <w:sz w:val="20"/>
          <w:szCs w:val="20"/>
          <w:color w:val="auto"/>
        </w:rPr>
      </w:pPr>
      <w:r>
        <w:rPr>
          <w:rFonts w:ascii="Courier New" w:cs="Courier New" w:eastAsia="Courier New" w:hAnsi="Courier New"/>
          <w:sz w:val="14"/>
          <w:szCs w:val="14"/>
          <w:color w:val="auto"/>
        </w:rPr>
        <w:t>X</w:t>
      </w:r>
    </w:p>
    <w:p>
      <w:pPr>
        <w:spacing w:after="0" w:line="8" w:lineRule="exact"/>
        <w:rPr>
          <w:sz w:val="24"/>
          <w:szCs w:val="24"/>
          <w:color w:val="auto"/>
        </w:rPr>
      </w:pPr>
    </w:p>
    <w:p>
      <w:pPr>
        <w:jc w:val="center"/>
        <w:ind w:right="579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3">
            <w:col w:w="3040" w:space="100"/>
            <w:col w:w="940" w:space="100"/>
            <w:col w:w="6059"/>
          </w:cols>
          <w:pgMar w:left="220" w:top="230" w:right="1440" w:bottom="0" w:gutter="0" w:footer="0" w:header="0"/>
          <w:type w:val="continuous"/>
        </w:sectPr>
      </w:pPr>
    </w:p>
    <w:p>
      <w:pPr>
        <w:ind w:right="3979"/>
        <w:spacing w:after="0" w:line="258" w:lineRule="auto"/>
        <w:rPr>
          <w:sz w:val="20"/>
          <w:szCs w:val="20"/>
          <w:color w:val="auto"/>
        </w:rPr>
      </w:pPr>
      <w:r>
        <w:rPr>
          <w:rFonts w:ascii="Courier New" w:cs="Courier New" w:eastAsia="Courier New" w:hAnsi="Courier New"/>
          <w:sz w:val="14"/>
          <w:szCs w:val="14"/>
          <w:color w:val="auto"/>
        </w:rPr>
        <w:t>The aggregate market value of voting stock held by non-affiliates of the Registrant as of October 31, 2005 - $60,700,000</w:t>
      </w:r>
    </w:p>
    <w:p>
      <w:pPr>
        <w:spacing w:after="0" w:line="160" w:lineRule="exact"/>
        <w:rPr>
          <w:sz w:val="24"/>
          <w:szCs w:val="24"/>
          <w:color w:val="auto"/>
        </w:rPr>
      </w:pPr>
    </w:p>
    <w:p>
      <w:pPr>
        <w:jc w:val="center"/>
        <w:ind w:right="3539"/>
        <w:spacing w:after="0"/>
        <w:rPr>
          <w:sz w:val="20"/>
          <w:szCs w:val="20"/>
          <w:color w:val="auto"/>
        </w:rPr>
      </w:pPr>
      <w:r>
        <w:rPr>
          <w:rFonts w:ascii="Courier New" w:cs="Courier New" w:eastAsia="Courier New" w:hAnsi="Courier New"/>
          <w:sz w:val="14"/>
          <w:szCs w:val="14"/>
          <w:color w:val="auto"/>
        </w:rPr>
        <w:t>APPLICABLE ONLY TO CORPORATE ISSUERS:</w:t>
      </w:r>
    </w:p>
    <w:p>
      <w:pPr>
        <w:spacing w:after="0" w:line="175" w:lineRule="exact"/>
        <w:rPr>
          <w:sz w:val="24"/>
          <w:szCs w:val="24"/>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The number of shares outstanding of Registrant's Common Stock, par value $1.00 as of July 24, 2006 - 8,581,625.</w:t>
      </w:r>
    </w:p>
    <w:p>
      <w:pPr>
        <w:spacing w:after="0" w:line="160" w:lineRule="exact"/>
        <w:rPr>
          <w:sz w:val="24"/>
          <w:szCs w:val="24"/>
          <w:color w:val="auto"/>
        </w:rPr>
      </w:pPr>
    </w:p>
    <w:p>
      <w:pPr>
        <w:ind w:right="3899"/>
        <w:spacing w:after="0" w:line="255" w:lineRule="auto"/>
        <w:rPr>
          <w:sz w:val="20"/>
          <w:szCs w:val="20"/>
          <w:color w:val="auto"/>
        </w:rPr>
      </w:pPr>
      <w:r>
        <w:rPr>
          <w:rFonts w:ascii="Courier New" w:cs="Courier New" w:eastAsia="Courier New" w:hAnsi="Courier New"/>
          <w:sz w:val="14"/>
          <w:szCs w:val="14"/>
          <w:color w:val="auto"/>
        </w:rPr>
        <w:t>DOCUMENTS INCORPORATED BY REFERENCE: PART III incorporates information by reference from the definitive proxy statement for the Annual Meeting of Stockholders to be held on or about September 27, 2006.</w:t>
      </w:r>
    </w:p>
    <w:p>
      <w:pPr>
        <w:spacing w:after="0" w:line="162"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(Cover page 1 of 65 pages)</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Exhibit Index at Page 58</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ind w:left="3220"/>
        <w:spacing w:after="0"/>
        <w:rPr>
          <w:sz w:val="20"/>
          <w:szCs w:val="20"/>
          <w:color w:val="auto"/>
        </w:rPr>
      </w:pPr>
      <w:r>
        <w:rPr>
          <w:rFonts w:ascii="Courier New" w:cs="Courier New" w:eastAsia="Courier New" w:hAnsi="Courier New"/>
          <w:sz w:val="14"/>
          <w:szCs w:val="14"/>
          <w:color w:val="auto"/>
        </w:rPr>
        <w:t>PART I</w:t>
      </w:r>
    </w:p>
    <w:p>
      <w:pPr>
        <w:spacing w:after="0" w:line="175"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4"/>
          <w:szCs w:val="14"/>
          <w:color w:val="auto"/>
        </w:rPr>
        <w:t>Item 1.</w:t>
        <w:tab/>
        <w:t>Business</w:t>
      </w:r>
    </w:p>
    <w:p>
      <w:pPr>
        <w:sectPr>
          <w:pgSz w:w="11900" w:h="16838" w:orient="portrait"/>
          <w:cols w:equalWidth="0" w:num="1">
            <w:col w:w="10239"/>
          </w:cols>
          <w:pgMar w:left="220" w:top="230"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GENERAL DISCUSSION</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Frequency Electronics, Inc. (sometimes referred to as "Registrant", "Frequency Electronics" or the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165"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www.frequencyelectronics.com.</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164"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The Company has identified the following major markets for its products and technology:</w:t>
      </w:r>
    </w:p>
    <w:p>
      <w:pPr>
        <w:spacing w:after="0" w:line="160" w:lineRule="exact"/>
        <w:rPr>
          <w:sz w:val="20"/>
          <w:szCs w:val="20"/>
          <w:color w:val="auto"/>
        </w:rPr>
      </w:pPr>
    </w:p>
    <w:p>
      <w:pPr>
        <w:jc w:val="both"/>
        <w:ind w:right="3379" w:firstLine="356"/>
        <w:spacing w:after="0" w:line="254" w:lineRule="auto"/>
        <w:tabs>
          <w:tab w:leader="none" w:pos="69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communication satellites- The globe is encircled by over 120 geostationary satellites used for communication, TV and video broadcasting, and data transmission. These satellites are going through a replacement cycle which will last for many years with 12 to 20 new satellites expected to be built each year.</w:t>
      </w:r>
    </w:p>
    <w:p>
      <w:pPr>
        <w:spacing w:after="0" w:line="162" w:lineRule="exact"/>
        <w:rPr>
          <w:rFonts w:ascii="Courier New" w:cs="Courier New" w:eastAsia="Courier New" w:hAnsi="Courier New"/>
          <w:sz w:val="14"/>
          <w:szCs w:val="14"/>
          <w:color w:val="auto"/>
        </w:rPr>
      </w:pPr>
    </w:p>
    <w:p>
      <w:pPr>
        <w:ind w:right="3459" w:firstLine="356"/>
        <w:spacing w:after="0" w:line="255" w:lineRule="auto"/>
        <w:tabs>
          <w:tab w:leader="none" w:pos="69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Satellites for U.S. Government Department of Defense ("DoD") and NASA-Such satellites are used for secure communications, surveillance, guidance, global positioning (GPS) and weather tracking.</w:t>
      </w:r>
    </w:p>
    <w:p>
      <w:pPr>
        <w:spacing w:after="0" w:line="162" w:lineRule="exact"/>
        <w:rPr>
          <w:rFonts w:ascii="Courier New" w:cs="Courier New" w:eastAsia="Courier New" w:hAnsi="Courier New"/>
          <w:sz w:val="14"/>
          <w:szCs w:val="14"/>
          <w:color w:val="auto"/>
        </w:rPr>
      </w:pPr>
    </w:p>
    <w:p>
      <w:pPr>
        <w:ind w:right="3539" w:firstLine="356"/>
        <w:spacing w:after="0" w:line="254" w:lineRule="auto"/>
        <w:tabs>
          <w:tab w:leader="none" w:pos="69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Wireless communications- Cellular telephone infrastructure requires precise signal synchronization. In the architecture of many of the cellular systems, this synchronization is obtained through oscillators provided by the Company. As more services are added and more users come online, the need for synchronization is increased.</w:t>
      </w:r>
    </w:p>
    <w:p>
      <w:pPr>
        <w:spacing w:after="0" w:line="162" w:lineRule="exact"/>
        <w:rPr>
          <w:rFonts w:ascii="Courier New" w:cs="Courier New" w:eastAsia="Courier New" w:hAnsi="Courier New"/>
          <w:sz w:val="14"/>
          <w:szCs w:val="14"/>
          <w:color w:val="auto"/>
        </w:rPr>
      </w:pPr>
    </w:p>
    <w:p>
      <w:pPr>
        <w:ind w:right="3379" w:firstLine="356"/>
        <w:spacing w:after="0" w:line="254" w:lineRule="auto"/>
        <w:tabs>
          <w:tab w:leader="none" w:pos="69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Wireline synchronization- In the developed world, a vast infrastructure supports the wired communications networks. These networks also require significant synchronization equipment which is housed in thousands of Central Offices operated by the telephone companies. These equipments require upgrade and replacement to maintain the integrity of the wireline networks.</w:t>
      </w:r>
    </w:p>
    <w:p>
      <w:pPr>
        <w:spacing w:after="0" w:line="162" w:lineRule="exact"/>
        <w:rPr>
          <w:rFonts w:ascii="Courier New" w:cs="Courier New" w:eastAsia="Courier New" w:hAnsi="Courier New"/>
          <w:sz w:val="14"/>
          <w:szCs w:val="14"/>
          <w:color w:val="auto"/>
        </w:rPr>
      </w:pPr>
    </w:p>
    <w:p>
      <w:pPr>
        <w:jc w:val="both"/>
        <w:ind w:right="3379" w:firstLine="356"/>
        <w:spacing w:after="0" w:line="254" w:lineRule="auto"/>
        <w:tabs>
          <w:tab w:leader="none" w:pos="69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applications- In addition to DoD and NASA satellites, the U.S. Government is in need of ever more secure communication capabilities and is developing a secure radio for all branches of the military. The military is also increasing its use of unmanned aerial vehicles (UAVs) and improving the accuracy of the radar and guidance systems on all moving platforms.</w:t>
      </w:r>
    </w:p>
    <w:p>
      <w:pPr>
        <w:spacing w:after="0" w:line="162" w:lineRule="exact"/>
        <w:rPr>
          <w:rFonts w:ascii="Courier New" w:cs="Courier New" w:eastAsia="Courier New" w:hAnsi="Courier New"/>
          <w:sz w:val="14"/>
          <w:szCs w:val="14"/>
          <w:color w:val="auto"/>
        </w:rPr>
      </w:pPr>
    </w:p>
    <w:p>
      <w:pPr>
        <w:ind w:right="3379" w:firstLine="356"/>
        <w:spacing w:after="0" w:line="254" w:lineRule="auto"/>
        <w:tabs>
          <w:tab w:leader="none" w:pos="694"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industrial applications- (a) Remote monitoring of networks, such as power grids and gas lines, can be accomplished through the Company's LYNX SCADA system. (b) Deep earth drilling for oil and gas in harsh environments can be done more efficiently through utilization of the Company's high temperature tolerant oscillators and GPS technology.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2" w:name="page3"/>
    <w:bookmarkEnd w:id="2"/>
    <w:p>
      <w:pPr>
        <w:ind w:right="3379" w:firstLine="347"/>
        <w:spacing w:after="0" w:line="255" w:lineRule="auto"/>
        <w:rPr>
          <w:sz w:val="20"/>
          <w:szCs w:val="20"/>
          <w:color w:val="auto"/>
        </w:rPr>
      </w:pPr>
      <w:r>
        <w:rPr>
          <w:rFonts w:ascii="Courier New" w:cs="Courier New" w:eastAsia="Courier New" w:hAnsi="Courier New"/>
          <w:sz w:val="14"/>
          <w:szCs w:val="14"/>
          <w:color w:val="auto"/>
        </w:rPr>
        <w:t>To address these markets, the Company has formed several corporate entities which operate under four reportable segments. (See also the section entitled REPORTABLE SEGMENTS below.)</w:t>
      </w:r>
    </w:p>
    <w:p>
      <w:pPr>
        <w:spacing w:after="0" w:line="162" w:lineRule="exact"/>
        <w:rPr>
          <w:sz w:val="20"/>
          <w:szCs w:val="20"/>
          <w:color w:val="auto"/>
        </w:rPr>
      </w:pPr>
    </w:p>
    <w:p>
      <w:pPr>
        <w:ind w:left="360" w:right="3279" w:hanging="351"/>
        <w:spacing w:after="0" w:line="253"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Communications- The Company's space and terrestrial commercial communications products are designed, developed and manufactured by its wholly owned subsidiary, FEI Communications, Inc. ("FEIC"). FEIC was incorporated in Delaware in December 1991, as a separate subsidiary company to provide ownership and management of assets and other services appropriate for commercial clients, both domestic and foreign.</w:t>
      </w:r>
    </w:p>
    <w:p>
      <w:pPr>
        <w:spacing w:after="0" w:line="165" w:lineRule="exact"/>
        <w:rPr>
          <w:rFonts w:ascii="Courier New" w:cs="Courier New" w:eastAsia="Courier New" w:hAnsi="Courier New"/>
          <w:sz w:val="14"/>
          <w:szCs w:val="14"/>
          <w:color w:val="auto"/>
        </w:rPr>
      </w:pPr>
    </w:p>
    <w:p>
      <w:pPr>
        <w:ind w:left="36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Frequency Electronics, Inc. Asia ("FEI-Asia") was established in fiscal year 2002 to be the Company's Asian-based low cost manufacturer of certain commercial communications products used primarily in the wireless and wireline markets. FEI-Asia is located in the Free-Trade Zone in Tianjin, China.</w:t>
      </w:r>
    </w:p>
    <w:p>
      <w:pPr>
        <w:spacing w:after="0" w:line="330" w:lineRule="exact"/>
        <w:rPr>
          <w:rFonts w:ascii="Courier New" w:cs="Courier New" w:eastAsia="Courier New" w:hAnsi="Courier New"/>
          <w:sz w:val="14"/>
          <w:szCs w:val="14"/>
          <w:color w:val="auto"/>
        </w:rPr>
      </w:pPr>
    </w:p>
    <w:p>
      <w:pPr>
        <w:ind w:left="360" w:right="3539" w:hanging="351"/>
        <w:spacing w:after="0" w:line="254"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 The Company's subsidiary, FEI Government Systems, Inc. ("FEI-GSI"), was formed in fiscal year 2002 to focus on supplying the Company's technology and legacy proprietary products to the United States military and other U.S. Government agencies.</w:t>
      </w:r>
    </w:p>
    <w:p>
      <w:pPr>
        <w:spacing w:after="0" w:line="163" w:lineRule="exact"/>
        <w:rPr>
          <w:rFonts w:ascii="Courier New" w:cs="Courier New" w:eastAsia="Courier New" w:hAnsi="Courier New"/>
          <w:sz w:val="14"/>
          <w:szCs w:val="14"/>
          <w:color w:val="auto"/>
        </w:rPr>
      </w:pPr>
    </w:p>
    <w:p>
      <w:pPr>
        <w:ind w:left="360" w:right="3379" w:hanging="351"/>
        <w:spacing w:after="0" w:line="254"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Gillam-FEI - The Company's Belgian subsidiary, acquired in September 2000, develops and manufactures products for wireline and network synchronization systems. Products delivered by Gillam-FEI provide essential network management and wireline synchronization for a variety of industries and telecommunications providers in Europe, Africa, the Middle East and Asia.</w:t>
      </w:r>
    </w:p>
    <w:p>
      <w:pPr>
        <w:spacing w:after="0" w:line="162" w:lineRule="exact"/>
        <w:rPr>
          <w:rFonts w:ascii="Courier New" w:cs="Courier New" w:eastAsia="Courier New" w:hAnsi="Courier New"/>
          <w:sz w:val="14"/>
          <w:szCs w:val="14"/>
          <w:color w:val="auto"/>
        </w:rPr>
      </w:pPr>
    </w:p>
    <w:p>
      <w:pPr>
        <w:ind w:left="360" w:right="3379" w:hanging="351"/>
        <w:spacing w:after="0" w:line="253"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FEI-Zyfer - Precision time and frequency generation and synchronization products that incorporate global positioning systems ("GPS") technology are manufactured by the Company's subsidiary FEI-Zyfer, Inc. ("FEI-Zyfer"), which was acquired in fiscal year 2004. FEI-Zyfer's GPS capability complements the Company's existing technologies and permits the combined entities to provide a broader range of embedded systems for a variety of timing functions.</w:t>
      </w:r>
    </w:p>
    <w:p>
      <w:pPr>
        <w:spacing w:after="0" w:line="33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addition to the operating segments, the Company has made a strategic investment in Morion, Inc., a Russian crystal oscillator manufacturer located in St. Petersburg, Russia. The Company's equity investment in Morion permits the Company to secure a low cost source for high precision quartz resonators and crystal oscillators, many of which are based on the Company's design and development work. In September 2004, the Company increased its investment in Morion from 19.8% to 36.2% of Morion's outstanding shares. Accordingly, the Company changed its method of carrying the Morion investment from cost to equity as required by generally accepted accounting principles. Under the equity method, the Company records its proportionate share of the earnings of Morion. In addition, certain amounts in prior period financial statements have been adjusted for the retroactive application of the equity method since the inception of the Company's investment in Morion.</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FISCAL 2006 and 2005 SIGNIFICANT EVENT</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Real Estate Transactions</w:t>
      </w:r>
    </w:p>
    <w:p>
      <w:pPr>
        <w:spacing w:after="0" w:line="175"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During the fourth quarter of fiscal year 2005, the Company recorded a gain of $4.6 million related to the conversion of its real estate operating partnership units into shares of Reckson Associates Realty Corp. common stock ("REIT stock"). This gain reflects the currently realizable portion related to the fiscal year 1998 sale and leaseback of the Company's building to Reckson Operating Partnership, LP. (See Item 2. Properties and Note 6 to the accompanying consolidated financial statements.) Subsequent to the conversion, the Company sold all of the REIT stock and realized additional gains of approximately $2.1 million in fiscal year 2006 and $2.3 million in fiscal year 2005. As a result of the fiscal year 2005 gains, the Company also accrued a contractually mandated incentive compensation expense of $416,000, which amount is included in operating expenses in that year. In addition to the gains indicated above, another $1.3 million gain was deferred and will be recognized over the remaining term of the Company's building lease in accordance with the accounting provisions for sale and leaseback transactions. During fiscal year 2006, the Company recognized $353,000 as income from the amortization of the deferred gain.</w:t>
      </w: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4"/>
          <w:szCs w:val="14"/>
          <w:color w:val="auto"/>
        </w:rPr>
        <w:t>REPORTABLE SEGMENTS</w:t>
      </w:r>
    </w:p>
    <w:p>
      <w:pPr>
        <w:spacing w:after="0" w:line="175" w:lineRule="exact"/>
        <w:rPr>
          <w:sz w:val="20"/>
          <w:szCs w:val="20"/>
          <w:color w:val="auto"/>
        </w:rPr>
      </w:pPr>
    </w:p>
    <w:p>
      <w:pPr>
        <w:jc w:val="both"/>
        <w:ind w:right="3379" w:firstLine="347"/>
        <w:spacing w:after="0" w:line="252" w:lineRule="auto"/>
        <w:rPr>
          <w:sz w:val="20"/>
          <w:szCs w:val="20"/>
          <w:color w:val="auto"/>
        </w:rPr>
      </w:pPr>
      <w:r>
        <w:rPr>
          <w:rFonts w:ascii="Courier New" w:cs="Courier New" w:eastAsia="Courier New" w:hAnsi="Courier New"/>
          <w:sz w:val="14"/>
          <w:szCs w:val="14"/>
          <w:color w:val="auto"/>
        </w:rPr>
        <w:t>The Company operates under four reportable segments, primarily aligned with its geographical locations: (1) Commercial Communications; (2) U.S. Government;</w:t>
      </w:r>
    </w:p>
    <w:p>
      <w:pPr>
        <w:spacing w:after="0" w:line="1" w:lineRule="exact"/>
        <w:rPr>
          <w:sz w:val="20"/>
          <w:szCs w:val="20"/>
          <w:color w:val="auto"/>
        </w:rPr>
      </w:pPr>
    </w:p>
    <w:p>
      <w:pPr>
        <w:ind w:right="3279" w:firstLine="9"/>
        <w:spacing w:after="0" w:line="255" w:lineRule="auto"/>
        <w:tabs>
          <w:tab w:leader="none" w:pos="347"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Gillam-FEI; and (4) FEI-Zyfer. Within each segment the Company designs, develops, manufactures and markets precision time and frequency control products for different markets as described below.</w:t>
      </w:r>
    </w:p>
    <w:p>
      <w:pPr>
        <w:spacing w:after="0" w:line="16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products for the Commercial Communications segment are principally marketed to wireless communications networks and to the commercial satellite market. The operations of FEI-Asia are included in the Commercial Communications segment since it is a principal supplier of low-cost assemblies primarily used in wireless communication networks. Most product design, development and manufacturing for the Commercial Communications and U.S. Government segments is conducted in the Company's facility located in New York. The Company identified the U.S. Government business as a reportable segment based upon the more stringent regulatory environment (Federal Acquisition Regulations or "FAR") to which it is subject when dealing with U.S. Government procurement contracts versus the less restrictive commercial environment. The Gillam-FEI segment designs, develops and manufactures products for wireline and network synchronization. Its products are currently sold to non-U.S. customers and its US5G system has recently been introduced to the domestic US market. The FEI-Zyfer segment designs and manufactures products which incorporate GPS technologies. FEI-Zyfer sells its products to both commercial and U.S. Government customers and collaborates with other FEI segments on joint product development activities.</w:t>
      </w:r>
    </w:p>
    <w:p>
      <w:pPr>
        <w:spacing w:after="0" w:line="340"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During fiscal years 2006, 2005 and 2004 approximately 56%, 57% and 56%, respectively, of the Company's sales were from products sold by the Commercial Communications segment. For the years ended April 30, 2006, 2005, and 2004, sales of the U.S. Government segment accounted for approximately 12%, 10%, and 14%, respectively, of the Company's sales. Sales by Gillam-FEI were approximately 17%, 23% and 24% of fiscal years 2006, 2005 and 2004 revenues, respectively. In fiscal years 2006, 2005 and 2004, sales for the FEI-Zyfer segment were 19%, 16% and 13% of consolidated revenues, respectively. Sales information for the Commercial Communications, U.S. Government, Gillam-FEI, and FEI-Zyfer markets during each of the last five years is set forth in Item 6 (Selected Financial Data).</w:t>
      </w:r>
    </w:p>
    <w:p>
      <w:pPr>
        <w:spacing w:after="0" w:line="331"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Consolidated revenues include sales to end-users in countries located outside of the United States. During fiscal years 2006, 2005 and 2004, foreign sales comprised 35%, 50% and 54%, respectively, of consolidated revenues. Segment information regarding revenues, including foreign sales, operating profits, depreciation and assets is more fully disclosed in Note 15 to the accompanying financial statements.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COMMERCIAL COMMUNICATIONS SEGMENT:</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Company provides precision time, frequency and synchronization products that are found in ground-based communication stations and commercial satellites. The Company has made a substantial investment in research and development to apply its core technologies to commercial markets. Revenues for this segment have varied considerably over the past seven fiscal years, based on infrastructure spending patterns by wireless telecommunication companies and demand for new commercial satellites. Over this seven-year time frame, the Company initially experienced accelerated growth in wireless infrastructure revenues followed by a "telecom trough" in fiscal years 2002 and 2003. Accelerated growth began again in late fiscal year 2004 and continued through early fiscal year 2005, to be followed by another slow down into the first two quarters of fiscal year 2006. The Company believes that the wireless industry provides a large opportunity for future sales growth but the timing of any growth will be based on capital spending decisions by domestic and worldwide telecommunications companies. The Company also expects to generate substantial revenues from deployment of new and replacement commercial satellites.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Terrestrial Communications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development of new and enhanced technologies will bring expanded and more reliable telecommunications services to the public. As digital cellular systems and PCS networks grow they require more base stations to meet the demand for better connectivity, higher data rates and dependable high quality for cell phone service. Cellular infrastructure integrators and original equipment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4" w:name="page5"/>
    <w:bookmarkEnd w:id="4"/>
    <w:p>
      <w:pPr>
        <w:ind w:right="3279"/>
        <w:spacing w:after="0" w:line="253" w:lineRule="auto"/>
        <w:rPr>
          <w:sz w:val="20"/>
          <w:szCs w:val="20"/>
          <w:color w:val="auto"/>
        </w:rPr>
      </w:pPr>
      <w:r>
        <w:rPr>
          <w:rFonts w:ascii="Courier New" w:cs="Courier New" w:eastAsia="Courier New" w:hAnsi="Courier New"/>
          <w:sz w:val="14"/>
          <w:szCs w:val="14"/>
          <w:color w:val="auto"/>
        </w:rPr>
        <w:t>manufacturers, consisting of some of the world's largest telecommunications companies, are building out existing networks even as they develop new technologies for future systems. These new technologies include advances such as EDGE (Enhanced Data rates for Global Evolution), 3G (3rd Generation) and others, that can provide not only improved voice connectivity but also Internet, video and data transmission.</w:t>
      </w:r>
    </w:p>
    <w:p>
      <w:pPr>
        <w:spacing w:after="0" w:line="16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from analog to digital technology and enhanced systems such as CDMA (Code Division Multiple Access). These upgrades require more precise frequency control at the base stations to achieve a higher dependability and quality of services.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With increased demand for wireless services on limited bandwidth, the requirement for precise timing to ensure system-wide synchronization becomes paramount. The Company manufactures a Rubidium Atomic Standard, a small, low cost, temperature-stable atomic "clock" as well as temperature-stable quartz crystal oscillators, which are ideally suited for use in advanced cellular communications base stations. Whether the network uses CDMA (Code Division Multiple Access), TDMA (Time Division Multiple Access), UMTS (Universal Mobile Telecommunications System) or GSM (Global System for Mobile Communications) or a hybrid of these systems, timing to ensure signal synchronization is essential.</w:t>
      </w:r>
    </w:p>
    <w:p>
      <w:pPr>
        <w:spacing w:after="0" w:line="16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Over the past five years, in conjunction with its European subsidiary, Gillam-FEI, the Company has developed a new, state-of-the-art signal synchronization unit identified as the US5G. This unit is intended to provide synchronization for wireline networks within the United States where approximately 35,000 "shelves" are located in 25,000 Central Offices around the country. The current equipment in these Central Offices is old and in need of upgrade or replacement. The Company's US5G unit is currently in the validation phase at two of the Regional Bell Operating Companies ("RBOC") and the Company anticipates initial U.S. sales of this product during fiscal year 2007.</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Commercial Space</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commercial use of satellites launched for communications, navigation, weather forecasting, video and data transmissions has expanded the need to transmit increasing amounts of voice, video, and data to earth-based receivers. This requires more precise timing and frequency control at the satellite. The Company manufactures the master clocks (quartz, rubidium and cesium) and other significant timing products for many satellite communication systems, and many of the Company's other space assemblies are used onboard spacecraft for command, control and power distribution. Efficient and reliable DC-DC power converters are also manufactured for the Company's own instruments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frequency generation synthesizers, distribution amplifiers and up/down converters and receivers have augmented the Company's product offerings and positioned the Company to provide a greater share of a typical satellite's payload. Commercial satellite programs such as Intelsat, ANIK, Eutelsat, Inmarsat and Worldstar have utilized the Company's space-qualified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GOVERNMENT SEGMENT:</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the years ahead, the U.S. Government's Department of Defense will require more secure communication capabilities, more assets in space and greater bandwidth. The Global Positioning Satellite System, the MILSTAR Satellite System and the AEHF Satellite System, are examples of the programs in which the Company participates.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331"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addition to space-based programs, the Company's proprietary products have been used in airborne and ground-based guidance, navigation, communications, radar, sonar surveillance and electronic countermeasure and timing systems. The Company has recently developed a low-g (gravity)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5" w:name="page6"/>
    <w:bookmarkEnd w:id="5"/>
    <w:p>
      <w:pPr>
        <w:ind w:right="3459"/>
        <w:spacing w:after="0" w:line="253" w:lineRule="auto"/>
        <w:rPr>
          <w:sz w:val="20"/>
          <w:szCs w:val="20"/>
          <w:color w:val="auto"/>
        </w:rPr>
      </w:pPr>
      <w:r>
        <w:rPr>
          <w:rFonts w:ascii="Courier New" w:cs="Courier New" w:eastAsia="Courier New" w:hAnsi="Courier New"/>
          <w:sz w:val="14"/>
          <w:szCs w:val="14"/>
          <w:color w:val="auto"/>
        </w:rPr>
        <w:t>sensitivity oscillator which offers a 100-fold improvement in accuracy for guidance and targeting systems. The Company has demonstrated the functionality of its oscillators on over a dozen U.S. Government platforms and anticipates that many of these programs will be a source of substantial future revenue. Products are built in accordance with DoD standards and are in use on many of the United States' most sophisticated military aircraft, satellites and missiles.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Company's sales on U.S. Government programs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on a negotiated on terms under which the Company bears the risk of cost overruns and derives the benefit from cost savings.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Company is not aware of any basis for recovery with respect to past certificates.</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GILLAM-FEI SEGMENT:</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Commercial Communications segment and the U.S. market, Gillam-FEI also developed a state-of-the-art US5Ge unit and ancillary products intended for deployment in the European, Middle Eastern, Asian and African markets.</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Network management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164" w:lineRule="exact"/>
        <w:rPr>
          <w:sz w:val="20"/>
          <w:szCs w:val="20"/>
          <w:color w:val="auto"/>
        </w:rPr>
      </w:pPr>
    </w:p>
    <w:p>
      <w:pPr>
        <w:ind w:right="4159" w:firstLine="347"/>
        <w:spacing w:after="0" w:line="258" w:lineRule="auto"/>
        <w:rPr>
          <w:sz w:val="20"/>
          <w:szCs w:val="20"/>
          <w:color w:val="auto"/>
        </w:rPr>
      </w:pPr>
      <w:r>
        <w:rPr>
          <w:rFonts w:ascii="Courier New" w:cs="Courier New" w:eastAsia="Courier New" w:hAnsi="Courier New"/>
          <w:sz w:val="14"/>
          <w:szCs w:val="14"/>
          <w:color w:val="auto"/>
        </w:rPr>
        <w:t>Gillam-FEI's specialized test equipment is mainly targeted for the telecommunications industry.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FEI-ZYFER SEGMENT:</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PRODUCTS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Company's products are manufactured from raw material which, when combined with conventional electronic parts available from multiple sources, become finished products used for commercial wireless and wireline communications, satellite applications, space exploration, position location, radar, sonar and electronic counter-measures. These products are employed in ground-based earth stations, fixed, transportable, portable and mobile communications installations, domestic and international satellites, as well as aircraft, ships, submarines and missiles. The Company's products are marketed as components, instruments, or complete systems. Prices are determined based upon the complexity, design requirement, purchased quantity and delivery schedule.</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Components - The Company's key technologies utilize quartz, rubidium and cesium to manufacture precision time and frequency standards and higher level assemblies which allow the users to generate, transmit, and receive synchronous signals in order to communicate effectively, locate position accurately, secure a communications system, or guide a missile. The components class of the Company's products includes crystal filters and discriminators, surface acoustic wave resonators, and high-reliability thick and thin film hybrid assemblies for space and other applications.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Precision quartz oscillators use quartz resonators in conjunction with electronic circuitry to produce signals with accurate and stable frequency. The Company's products include several types of quartz oscillators, suited to a wide range of applications, including ultrastable and low-g sensitivity units for moving platforms and satellite systems. These products also feature fast warm-up and low power consumption for mobile applications, including voice and data communications.</w:t>
      </w:r>
    </w:p>
    <w:p>
      <w:pPr>
        <w:spacing w:after="0" w:line="16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ovenized quartz oscillator is the most accurate of the Company's crystal oscillators. The crystal is enclosed in a temperature controlled environment called a proportional oven. The Company manufactures several varieties of temperature controlling devices and ovens.</w:t>
      </w:r>
    </w:p>
    <w:p>
      <w:pPr>
        <w:spacing w:after="0" w:line="163" w:lineRule="exact"/>
        <w:rPr>
          <w:sz w:val="20"/>
          <w:szCs w:val="20"/>
          <w:color w:val="auto"/>
        </w:rPr>
      </w:pPr>
    </w:p>
    <w:p>
      <w:pPr>
        <w:ind w:right="3539" w:firstLine="347"/>
        <w:spacing w:after="0" w:line="258" w:lineRule="auto"/>
        <w:rPr>
          <w:sz w:val="20"/>
          <w:szCs w:val="20"/>
          <w:color w:val="auto"/>
        </w:rPr>
      </w:pPr>
      <w:r>
        <w:rPr>
          <w:rFonts w:ascii="Courier New" w:cs="Courier New" w:eastAsia="Courier New" w:hAnsi="Courier New"/>
          <w:sz w:val="14"/>
          <w:szCs w:val="14"/>
          <w:color w:val="auto"/>
        </w:rPr>
        <w:t>The voltage-controlled quartz oscillator features electronic controls for frequency stabilization or modulation, depending upon the application.</w:t>
      </w:r>
    </w:p>
    <w:p>
      <w:pPr>
        <w:spacing w:after="0" w:line="160" w:lineRule="exact"/>
        <w:rPr>
          <w:sz w:val="20"/>
          <w:szCs w:val="20"/>
          <w:color w:val="auto"/>
        </w:rPr>
      </w:pPr>
    </w:p>
    <w:p>
      <w:pPr>
        <w:ind w:right="4059" w:firstLine="347"/>
        <w:spacing w:after="0" w:line="255" w:lineRule="auto"/>
        <w:rPr>
          <w:sz w:val="20"/>
          <w:szCs w:val="20"/>
          <w:color w:val="auto"/>
        </w:rPr>
      </w:pPr>
      <w:r>
        <w:rPr>
          <w:rFonts w:ascii="Courier New" w:cs="Courier New" w:eastAsia="Courier New" w:hAnsi="Courier New"/>
          <w:sz w:val="14"/>
          <w:szCs w:val="14"/>
          <w:color w:val="auto"/>
        </w:rPr>
        <w:t>The temperature compensated quartz oscillator is controlled using a temperature sensitive device to directly compensate for the effect of temperature on the oscillator's frequency.</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rubidium lamp, filter and resonance cell provide the optical subassembly for the manufacture of the Company's optically pumped atomic rubidium frequency standards. The cesium tube resonator is used in the manufacture of the Company's cesium primary standard atomic clocks.</w:t>
      </w:r>
    </w:p>
    <w:p>
      <w:pPr>
        <w:spacing w:after="0" w:line="163"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High reliability hybrid assemblies are manufactured in thick and thin film technologies for applications from DC to 44 GHz. These hybrids are used in manufacturing the Company's products and also supplied directly to customers, for use in space and other high reliability systems.</w:t>
      </w:r>
    </w:p>
    <w:p>
      <w:pPr>
        <w:spacing w:after="0" w:line="163"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Efficient and reliable DC-DC power converters are manufactured for the</w:t>
      </w:r>
    </w:p>
    <w:p>
      <w:pPr>
        <w:spacing w:after="0" w:line="8" w:lineRule="exact"/>
        <w:rPr>
          <w:sz w:val="20"/>
          <w:szCs w:val="20"/>
          <w:color w:val="auto"/>
        </w:rPr>
      </w:pPr>
    </w:p>
    <w:p>
      <w:pPr>
        <w:jc w:val="center"/>
        <w:ind w:right="3459"/>
        <w:spacing w:after="0"/>
        <w:rPr>
          <w:sz w:val="20"/>
          <w:szCs w:val="20"/>
          <w:color w:val="auto"/>
        </w:rPr>
      </w:pPr>
      <w:r>
        <w:rPr>
          <w:rFonts w:ascii="Courier New" w:cs="Courier New" w:eastAsia="Courier New" w:hAnsi="Courier New"/>
          <w:sz w:val="14"/>
          <w:szCs w:val="14"/>
          <w:color w:val="auto"/>
        </w:rPr>
        <w:t>Company's own instruments and as stand alone products, for space applications.</w:t>
      </w:r>
    </w:p>
    <w:p>
      <w:pPr>
        <w:spacing w:after="0" w:line="175" w:lineRule="exact"/>
        <w:rPr>
          <w:sz w:val="20"/>
          <w:szCs w:val="20"/>
          <w:color w:val="auto"/>
        </w:rPr>
      </w:pPr>
    </w:p>
    <w:p>
      <w:pPr>
        <w:ind w:right="3899" w:firstLine="347"/>
        <w:spacing w:after="0" w:line="255" w:lineRule="auto"/>
        <w:rPr>
          <w:sz w:val="20"/>
          <w:szCs w:val="20"/>
          <w:color w:val="auto"/>
        </w:rPr>
      </w:pPr>
      <w:r>
        <w:rPr>
          <w:rFonts w:ascii="Courier New" w:cs="Courier New" w:eastAsia="Courier New" w:hAnsi="Courier New"/>
          <w:sz w:val="14"/>
          <w:szCs w:val="14"/>
          <w:color w:val="auto"/>
        </w:rPr>
        <w:t>The Company manufactures filters and discriminators using its crystal resonators for its own radio-frequency and microwave receiver, signal conditioner and signal processor products.</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Instruments - The Company's instrument line consists of three basic time and frequency generating instruments and a number of instruments which test and distribute the time and frequency. The Company's time and frequency generating instruments are the quartz frequency standard, rubidium atomic standard and cesium beam atomic standard.</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quartz frequency standard is an electronically controlled solid-state device which utilizes a quartz crystal oscillator to produce a highly stable output signal at a standardized frequency. These frequency standards are used in communications, guidance and navigation and time synchronization systems. The Company's products also include a precision frequency standard with battery back-up and memory capability enabling it to remain in operation if a loss of power has occurred.</w:t>
      </w:r>
    </w:p>
    <w:p>
      <w:pPr>
        <w:spacing w:after="0" w:line="16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optically pumped atomic rubidium frequency standard is a solid-state instrument which provides both timing and low phase noise frequency references used in commercial communications systems. Rubidium oscillators combine sophisticated glassware, light detection devices and electronics packages</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7" w:name="page8"/>
    <w:bookmarkEnd w:id="7"/>
    <w:p>
      <w:pPr>
        <w:ind w:right="3459"/>
        <w:spacing w:after="0" w:line="253" w:lineRule="auto"/>
        <w:rPr>
          <w:sz w:val="20"/>
          <w:szCs w:val="20"/>
          <w:color w:val="auto"/>
        </w:rPr>
      </w:pPr>
      <w:r>
        <w:rPr>
          <w:rFonts w:ascii="Courier New" w:cs="Courier New" w:eastAsia="Courier New" w:hAnsi="Courier New"/>
          <w:sz w:val="14"/>
          <w:szCs w:val="14"/>
          <w:color w:val="auto"/>
        </w:rPr>
        <w:t>to generate a highly stable frequency output. Rubidium, when energized by a specific radio frequency, will absorb less light. The oscillator's electronics package generates this specific frequency and the light detection device ensures, through monitoring the decreased absorption of light by the rubidium and the use of feedback control loops, that this specific frequency is maintained. This highly stable frequency is then captured by the electronics package and generated as an output signal. Rubidium oscillators provide atomic oscillator stability, at lower costs and in smaller packages.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cesium beam atomic standard utilizes the atomic resonance characteristics of cesium atoms to generate precise frequency several orders of magnitude more accurate and stable than other types of quartz frequency generators. The Company's atomic standard is a compact, militarized solid-state device which generates these precision frequencies for use with advanced communications and navigation equipment. A digital time-of-day clock is incorporated which provides visual universal time display and digital timing for systems use. The atomic standard manufactured by the Company is a primary standard, capable of producing time accuracies of better than one second in several hundred thousand years.</w:t>
      </w:r>
    </w:p>
    <w:p>
      <w:pPr>
        <w:spacing w:after="0" w:line="331"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As the demands on communications systems increase, the requirement for precise frequency signals to drive a multitude of electronic equipment is greatly expanded. To meet this growing requirement, the Company manufactures a distribution amplifier which is an electronically controlled solid-state device that receives a base frequency from a frequency standard and provides multiple signal outputs of the input frequency. A distribution amplifier enables many items of electronic equipment in a single facility, aircraft or ship to receive a standardized frequency and/or time signal from a quartz, rubidium or cesium atomic standard.</w:t>
      </w:r>
    </w:p>
    <w:p>
      <w:pPr>
        <w:spacing w:after="0" w:line="16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Systems - The systems portion of the Company's business includes manufacturing and integrating selections of its specialized components into higher level subsystems and systems that meet customer-defined needs. The Company has a unique knowledge and demonstrated capability to interface these technologies and experience in applying them to a wide range of systems. The systems generate electronic frequencies of predetermined value and then divide, multiply, mix, convert, modulate, demodulate, filter, distribute, combine, separate, switch, measure, analyze, and/or compare these signals depending on the system application.</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This portion of the Company's business includes a complete line of time and frequency control systems, capable of generating many frequencies and time scales that may be distributed to widely dispersed users, or within the confines of a facility or platform, or for a single dedicated purpose. Time and frequency control systems combine the Company's cesium, rubidium and/or crystal instruments with its other components, to provide systems for wireless, wireline, space and defense applications.</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For the wireless industry, the Company integrates its core components such as quartz oscillators and rubidium atomic standards with software applications, microprocessors, and other digital circuitry into complete subsystems. These subsystems supply frequency and time reference signals that facilitate wireless communications and are necessary for the various wireless technologies to operate properly. The customers for these subsystems are global wireless infrastructure manufacturers.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For the wireline industry, the Company integrates its core components with other electronic modules into high-level platforms that provide a total synchronization solution. These signal synchronization units ("SSUs") are designed and manufactured by Gillam-FEI. SSUs are inserted into digital telecommunication networks and provide reliable synchronization for proper operation of the network. The systems are primarily sold to telecommunication operators and vary from a few SSUs for a simple network to hundreds of units for complex networks. For operators of distribution networks such as electrical utilities and telecommunications operators, the Company offers the LYNX system--a flexible suite of complementary software modules that are distinctively combined to satisfy the requirements of the users. With the advent of digital broadband transmission technologies, reliable synchronization has become the Quality of Service for telecommunications operators world-wide.</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For the space and defense sectors the Company combines its core products in a wide range of diverse applications that provide systems for space and ground based communications, space exploration, satellite tracking stations, satellite-based navigation and position location, secure communication, submarine and ship navigation, calibration, and electronic counter-measures applications. These time and frequency control systems can provide up to quadruple redundancy to assure operational longevity and dependability. The past experience of major contactors in these sectors</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8" w:name="page9"/>
    <w:bookmarkEnd w:id="8"/>
    <w:p>
      <w:pPr>
        <w:ind w:right="3459"/>
        <w:spacing w:after="0" w:line="254" w:lineRule="auto"/>
        <w:rPr>
          <w:sz w:val="20"/>
          <w:szCs w:val="20"/>
          <w:color w:val="auto"/>
        </w:rPr>
      </w:pPr>
      <w:r>
        <w:rPr>
          <w:rFonts w:ascii="Courier New" w:cs="Courier New" w:eastAsia="Courier New" w:hAnsi="Courier New"/>
          <w:sz w:val="14"/>
          <w:szCs w:val="14"/>
          <w:color w:val="auto"/>
        </w:rPr>
        <w:t>has led satellite integrators to outsource increasing amounts of these systems to highly qualified producers who have validated their capabilities through extensive successful participation in past defense and space programs. Historically, the Company ranks among the top producers in this category.</w:t>
      </w:r>
    </w:p>
    <w:p>
      <w:pPr>
        <w:spacing w:after="0" w:line="163"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Company's subsidiary, FEI-Zyfer, manufactures products incorporating GPS technology by utilizing GPS signals to provide required performance in conjunction with precision time and frequency information. These systems and subsystems are used in secure government programs such as SAASM (Selective Acquisition Anti-spoofing Module) and commercial communications and other applications.</w:t>
      </w:r>
    </w:p>
    <w:p>
      <w:pPr>
        <w:spacing w:after="0" w:line="329"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GPS expertise of FEI-Zyfer has been joined with the technological capabilities and experience of the Commercial Communications segment in building crystal oscillators for harsh environments, to jointly develop a new system to be utilized to enhance seismic data in deep earth and other exploratory drilling for natural resources.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BACKLOG</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As of April 30, 2006, the Company's consolidated backlog amounted to approximately $36 million (see Item 7. Management's Discussion and Analysis of Financial Condition and Results of Operations). Approximately 80% of this backlog is expected to be filled during the Company's fiscal year ending April 30, 2007. The backlog, which reflects only firm purchase orders and contracts,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CUSTOMERS AND SUPPLIERS</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Company markets its products both directly and through approximately 50 independent sales representative organizations located in the United States, Europe and Asia. Sales to non-U.S. customers, including the revenues of its overseas subsidiaries, totaled approximately 35%, 50% and 54% of net sales in fiscal years 2006, 2005 and 2004, respectively.</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Company's products are sold to both commercial and governmental customers. For the years ended April 30, 2006, 2005 and 2004, approximately 25%, 20% and 21%, respectively, of the Company's sales were made under contracts to the U.S. Government or subcontracts for U.S. Government end-use.</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Company's consolidated sales for each of the years ended April 30, 2006, 2005 and 2004 included sales to Motorola Corp. ("Motorola") of approximately $6.8 million, $15.5 million and $16.1 million, respectively. These amounts represent 13%, 28% and 32%, respectively, of consolidated sales for each of those years. Lucent Technologies ("Lucent") accounted for $7.4 million, $6.5 million and $5.5 million of revenues in fiscal years 2006, 2005 and 2004 or 14%, 12% and 11%, respectively, of consolidated sales. In fiscal year 2006, revenues from Space Systems/Loral ("SS/L") were $8.2 million or 16% of consolidated sales.</w:t>
      </w:r>
    </w:p>
    <w:p>
      <w:pPr>
        <w:spacing w:after="0" w:line="33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During the three years ended April 30, 2006, sales to Motorola and Lucent were made by the Company's Commercial Communications segment, accounting for 48% in fiscal year 2006, 70% in fiscal year 2005 and 76% in fiscal year 2004 of that segment's total sales. Fiscal year 2006 sales by the Commercial Communications segment to SS/Loral were 28% of the segment's total sales.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Fiscal year 2006 revenues in the U.S. Government segment included sales to four customers, Northrop Grumman Corporation ("Northrop"), Raytheon Missile Systems, Inc. ("Raytheon"), BAE Systems Aerospace, Inc. ("BAE"), and the Air Force Space and Missile Center, which accounted for 82% of that segment's sales. For fiscal years 2005 and 2004, Northrop, Raytheon, BAE and Lockheed Martin, accounted for 87% and 85%, respectively, of total segment sales.</w:t>
      </w:r>
    </w:p>
    <w:p>
      <w:pPr>
        <w:spacing w:after="0" w:line="165" w:lineRule="exact"/>
        <w:rPr>
          <w:sz w:val="20"/>
          <w:szCs w:val="20"/>
          <w:color w:val="auto"/>
        </w:rPr>
      </w:pPr>
    </w:p>
    <w:p>
      <w:pPr>
        <w:ind w:right="3539" w:firstLine="347"/>
        <w:spacing w:after="0" w:line="254" w:lineRule="auto"/>
        <w:rPr>
          <w:sz w:val="20"/>
          <w:szCs w:val="20"/>
          <w:color w:val="auto"/>
        </w:rPr>
      </w:pPr>
      <w:r>
        <w:rPr>
          <w:rFonts w:ascii="Courier New" w:cs="Courier New" w:eastAsia="Courier New" w:hAnsi="Courier New"/>
          <w:sz w:val="14"/>
          <w:szCs w:val="14"/>
          <w:color w:val="auto"/>
        </w:rPr>
        <w:t>During fiscal years 2006, 2005 and 2004, France Telecom and Belgacom were major customers of the Gillam-FEI segment. These European telecommunication companies accounted for 41%, 59% and 31%, respectively, of the segment's revenues in those fiscal years.</w:t>
      </w:r>
    </w:p>
    <w:p>
      <w:pPr>
        <w:spacing w:after="0" w:line="163"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fiscal year 2006, Computer Sciences Corporation ("CSC") and L-3 Communications accounted for 20% of revenues in the FEI-Zyfer segment; in fiscal year 2005, Northrop and CSC accounted for 21% of the revenues in the FEI-Zyfer segment; and in fiscal year 2004, General Dynamics accounted for 19% of the revenues in the FEI-Zyfer segment.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9" w:name="page10"/>
    <w:bookmarkEnd w:id="9"/>
    <w:p>
      <w:pPr>
        <w:ind w:right="3379" w:firstLine="347"/>
        <w:spacing w:after="0" w:line="254" w:lineRule="auto"/>
        <w:rPr>
          <w:sz w:val="20"/>
          <w:szCs w:val="20"/>
          <w:color w:val="auto"/>
        </w:rPr>
      </w:pPr>
      <w:r>
        <w:rPr>
          <w:rFonts w:ascii="Courier New" w:cs="Courier New" w:eastAsia="Courier New" w:hAnsi="Courier New"/>
          <w:sz w:val="14"/>
          <w:szCs w:val="14"/>
          <w:color w:val="auto"/>
        </w:rPr>
        <w:t>The loss by the Company of any one of these customers would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16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2006, 2005 and 2004, the Company expended $6.3 million, $6.8 million and $5.3 million of its own funds, respectively, on such research and development activity. (See also Item 7. Management's Discussion and Analysis of Financial Condition and Results of Operations.) For fiscal year 2007, the Company is targeting to spend approximately $6.0 million on research and development in similar areas. The actual amount spent will depend on market conditions and identification of new opportunities.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PATENTS AND LICENSES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believes that for the most part its business is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5"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Company experiences competition in all areas of its business. The Company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all three frequency standards - quartz, rubidium, and cesium. Because of the very high precision of certain of its products, the Company has few competitors. For lower precision components there is significant competition from a number of suppliers.</w:t>
      </w:r>
    </w:p>
    <w:p>
      <w:pPr>
        <w:spacing w:after="0" w:line="164"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In recent years, the Company has successfully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sectPr>
      </w:pPr>
    </w:p>
    <w:bookmarkStart w:id="10" w:name="page11"/>
    <w:bookmarkEnd w:id="10"/>
    <w:p>
      <w:pPr>
        <w:ind w:right="3459" w:firstLine="347"/>
        <w:spacing w:after="0" w:line="254" w:lineRule="auto"/>
        <w:rPr>
          <w:sz w:val="20"/>
          <w:szCs w:val="20"/>
          <w:color w:val="auto"/>
        </w:rPr>
      </w:pPr>
      <w:r>
        <w:rPr>
          <w:rFonts w:ascii="Courier New" w:cs="Courier New" w:eastAsia="Courier New" w:hAnsi="Courier New"/>
          <w:sz w:val="14"/>
          <w:szCs w:val="14"/>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162"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With respect to its instruments and systems, the Company competes with Hewlett-Packard Company, Symmetricom, Inc, E. G. and G., Inc. and others. Systems for the wireline industry produced by the Gillam-FEI segment compete with Symmetricom, Inc. The Company's principal competition for space products is the in-house capability of its major customers.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5" w:lineRule="exact"/>
        <w:rPr>
          <w:sz w:val="20"/>
          <w:szCs w:val="20"/>
          <w:color w:val="auto"/>
        </w:rPr>
      </w:pPr>
    </w:p>
    <w:p>
      <w:pPr>
        <w:jc w:val="both"/>
        <w:ind w:right="3539" w:firstLine="347"/>
        <w:spacing w:after="0" w:line="255" w:lineRule="auto"/>
        <w:rPr>
          <w:sz w:val="20"/>
          <w:szCs w:val="20"/>
          <w:color w:val="auto"/>
        </w:rPr>
      </w:pPr>
      <w:r>
        <w:rPr>
          <w:rFonts w:ascii="Courier New" w:cs="Courier New" w:eastAsia="Courier New" w:hAnsi="Courier New"/>
          <w:sz w:val="14"/>
          <w:szCs w:val="14"/>
          <w:color w:val="auto"/>
        </w:rPr>
        <w:t>The Company employs approximately 425 persons worldwide. None of the U.S. employees are represented by labor unions, while in Europe approximately five employees in one facility are represented by a French labor union.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ASPECTS</w:t>
      </w:r>
    </w:p>
    <w:p>
      <w:pPr>
        <w:spacing w:after="0" w:line="175" w:lineRule="exact"/>
        <w:rPr>
          <w:sz w:val="20"/>
          <w:szCs w:val="20"/>
          <w:color w:val="auto"/>
        </w:rPr>
      </w:pPr>
    </w:p>
    <w:p>
      <w:pPr>
        <w:ind w:right="3639" w:firstLine="347"/>
        <w:spacing w:after="0" w:line="254" w:lineRule="auto"/>
        <w:rPr>
          <w:sz w:val="20"/>
          <w:szCs w:val="20"/>
          <w:color w:val="auto"/>
        </w:rPr>
      </w:pPr>
      <w:r>
        <w:rPr>
          <w:rFonts w:ascii="Courier New" w:cs="Courier New" w:eastAsia="Courier New" w:hAnsi="Courier New"/>
          <w:sz w:val="14"/>
          <w:szCs w:val="14"/>
          <w:color w:val="auto"/>
        </w:rPr>
        <w:t>The Company's business is not seasonal although it expects to experience some fluctuation in revenues during the second fiscal quarter as a result of extended holiday periods in August. No unusual working capital requirements exist.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 OF THE COMPANY</w:t>
      </w:r>
    </w:p>
    <w:p>
      <w:pPr>
        <w:spacing w:after="0" w:line="175"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executive officers hold office until the annual meeting of the Board of Directors following the annual meeting of stockholders, subject to earlier removal by the Board of Directors.</w:t>
      </w:r>
    </w:p>
    <w:p>
      <w:pPr>
        <w:spacing w:after="0" w:line="162"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The names of all executive officers of the Company and all positions and offices with the Company which they presently hold are as follows: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1700" w:type="dxa"/>
            <w:vAlign w:val="bottom"/>
          </w:tcPr>
          <w:p>
            <w:pPr>
              <w:spacing w:after="0"/>
              <w:rPr>
                <w:sz w:val="20"/>
                <w:szCs w:val="20"/>
                <w:color w:val="auto"/>
              </w:rPr>
            </w:pPr>
            <w:r>
              <w:rPr>
                <w:rFonts w:ascii="Courier New" w:cs="Courier New" w:eastAsia="Courier New" w:hAnsi="Courier New"/>
                <w:sz w:val="14"/>
                <w:szCs w:val="14"/>
                <w:color w:val="auto"/>
              </w:rPr>
              <w:t>Joseph P. Franklin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Chairman of the</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Board of Directors</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Martin B. Bloch</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President, Chief Executive Officer and Director</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Markus Hechler</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Executive Vice President, President of FEI</w:t>
            </w:r>
          </w:p>
        </w:tc>
      </w:tr>
      <w:tr>
        <w:trPr>
          <w:trHeight w:val="167"/>
        </w:trPr>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Government Systems, Inc. and Assistant Secretary</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Steven Strang</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President, FEI-Zyfer</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Hugo Fruehauf</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Chief Technical</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Officer</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Charles S. Stone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Low Noise Development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Leonard Martire</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Marketing and Sales</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Oleandro Mancini</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Business Development</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Thomas McClelland</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Commercial Products</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Alan Miller</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34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Treasurer and Chief Financial Officer</w:t>
            </w:r>
          </w:p>
        </w:tc>
      </w:tr>
      <w:tr>
        <w:trPr>
          <w:trHeight w:val="334"/>
        </w:trPr>
        <w:tc>
          <w:tcPr>
            <w:tcW w:w="1700" w:type="dxa"/>
            <w:vAlign w:val="bottom"/>
          </w:tcPr>
          <w:p>
            <w:pPr>
              <w:spacing w:after="0"/>
              <w:rPr>
                <w:sz w:val="20"/>
                <w:szCs w:val="20"/>
                <w:color w:val="auto"/>
              </w:rPr>
            </w:pPr>
            <w:r>
              <w:rPr>
                <w:rFonts w:ascii="Courier New" w:cs="Courier New" w:eastAsia="Courier New" w:hAnsi="Courier New"/>
                <w:sz w:val="14"/>
                <w:szCs w:val="14"/>
                <w:color w:val="auto"/>
              </w:rPr>
              <w:t>Harry Newman</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Secretary</w:t>
            </w:r>
          </w:p>
        </w:tc>
        <w:tc>
          <w:tcPr>
            <w:tcW w:w="2820" w:type="dxa"/>
            <w:vAlign w:val="bottom"/>
          </w:tcPr>
          <w:p>
            <w:pPr>
              <w:spacing w:after="0"/>
              <w:rPr>
                <w:sz w:val="24"/>
                <w:szCs w:val="24"/>
                <w:color w:val="auto"/>
              </w:rPr>
            </w:pPr>
          </w:p>
        </w:tc>
      </w:tr>
    </w:tbl>
    <w:p>
      <w:pPr>
        <w:spacing w:after="0" w:line="171"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None of the officers and directors is related.</w:t>
      </w:r>
    </w:p>
    <w:p>
      <w:pPr>
        <w:spacing w:after="0" w:line="175"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Joseph P. Franklin, age 72,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164"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Martin B. Bloch, age 70,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1" w:name="page12"/>
    <w:bookmarkEnd w:id="11"/>
    <w:p>
      <w:pPr>
        <w:ind w:right="3379" w:firstLine="521"/>
        <w:spacing w:after="0" w:line="254" w:lineRule="auto"/>
        <w:rPr>
          <w:sz w:val="20"/>
          <w:szCs w:val="20"/>
          <w:color w:val="auto"/>
        </w:rPr>
      </w:pPr>
      <w:r>
        <w:rPr>
          <w:rFonts w:ascii="Courier New" w:cs="Courier New" w:eastAsia="Courier New" w:hAnsi="Courier New"/>
          <w:sz w:val="14"/>
          <w:szCs w:val="14"/>
          <w:color w:val="auto"/>
        </w:rPr>
        <w:t>Markus Hechler, age 60,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62"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Steven Strang, age 42, was named President of FEI-Zyfer, Inc., effective May 1, 2005. Previously, Mr. Strang was Executive Vice President of this subsidiary and its predecessor companies where he has served for 17 years in various technical and management positions.</w:t>
      </w:r>
    </w:p>
    <w:p>
      <w:pPr>
        <w:spacing w:after="0" w:line="163"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Hugo Fruehauf, age 67, became an officer of the Company when the net assets of Zyfer, Inc. were acquired in May 2003. Effective May 1, 2005, Mr. Fruehauf was named Chief Technical Officer of the Company. Mr. Fruehauf served as CEO and CTO of Zyfer, Inc. for 6 years. Prior to joining Zyfer, Mr. Fruehauf was vice president of Alliant Techsystems from 1995 to 1997 and from 1982 to 1995 was president of Datum-Efratom and its predecessor, Ball-Efratom.</w:t>
      </w:r>
    </w:p>
    <w:p>
      <w:pPr>
        <w:spacing w:after="0" w:line="165"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Charles S. Stone, age 75, joined the Company in 1984, and has served as its Vice President since that time. Prior to joining the Company, Mr. Stone served as Senior Vice President of Austron Inc., from 1966 to 1979, and Senior Scientist of Tracor Inc., from 1962 to 1966.</w:t>
      </w:r>
    </w:p>
    <w:p>
      <w:pPr>
        <w:spacing w:after="0" w:line="163" w:lineRule="exact"/>
        <w:rPr>
          <w:sz w:val="20"/>
          <w:szCs w:val="20"/>
          <w:color w:val="auto"/>
        </w:rPr>
      </w:pPr>
    </w:p>
    <w:p>
      <w:pPr>
        <w:ind w:right="3459" w:firstLine="521"/>
        <w:spacing w:after="0" w:line="254" w:lineRule="auto"/>
        <w:rPr>
          <w:sz w:val="20"/>
          <w:szCs w:val="20"/>
          <w:color w:val="auto"/>
        </w:rPr>
      </w:pPr>
      <w:r>
        <w:rPr>
          <w:rFonts w:ascii="Courier New" w:cs="Courier New" w:eastAsia="Courier New" w:hAnsi="Courier New"/>
          <w:sz w:val="14"/>
          <w:szCs w:val="14"/>
          <w:color w:val="auto"/>
        </w:rPr>
        <w:t>Leonard Martire, age 69, joined the Company in August 1987 and served as Executive Vice President of FEI Microwave, Inc., the Company's wholly-owned subsidiary, until May 1993 when he was elected Vice President, Marketing and Sales.</w:t>
      </w:r>
    </w:p>
    <w:p>
      <w:pPr>
        <w:spacing w:after="0" w:line="163" w:lineRule="exact"/>
        <w:rPr>
          <w:sz w:val="20"/>
          <w:szCs w:val="20"/>
          <w:color w:val="auto"/>
        </w:rPr>
      </w:pPr>
    </w:p>
    <w:p>
      <w:pPr>
        <w:ind w:right="3279" w:firstLine="521"/>
        <w:spacing w:after="0" w:line="253" w:lineRule="auto"/>
        <w:rPr>
          <w:sz w:val="20"/>
          <w:szCs w:val="20"/>
          <w:color w:val="auto"/>
        </w:rPr>
      </w:pPr>
      <w:r>
        <w:rPr>
          <w:rFonts w:ascii="Courier New" w:cs="Courier New" w:eastAsia="Courier New" w:hAnsi="Courier New"/>
          <w:sz w:val="14"/>
          <w:szCs w:val="14"/>
          <w:color w:val="auto"/>
        </w:rPr>
        <w:t>Oleandro Mancini, age 57, joined the Company in August 2000 as Vice President, Business Development.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65" w:lineRule="exact"/>
        <w:rPr>
          <w:sz w:val="20"/>
          <w:szCs w:val="20"/>
          <w:color w:val="auto"/>
        </w:rPr>
      </w:pPr>
    </w:p>
    <w:p>
      <w:pPr>
        <w:ind w:right="3459" w:firstLine="521"/>
        <w:spacing w:after="0" w:line="258" w:lineRule="auto"/>
        <w:rPr>
          <w:sz w:val="20"/>
          <w:szCs w:val="20"/>
          <w:color w:val="auto"/>
        </w:rPr>
      </w:pPr>
      <w:r>
        <w:rPr>
          <w:rFonts w:ascii="Courier New" w:cs="Courier New" w:eastAsia="Courier New" w:hAnsi="Courier New"/>
          <w:sz w:val="14"/>
          <w:szCs w:val="14"/>
          <w:color w:val="auto"/>
        </w:rPr>
        <w:t>Thomas McClelland, age 51, joined the Company as an engineer in 1984 and was elected Vice President, Commercial Products in March 1999.</w:t>
      </w:r>
    </w:p>
    <w:p>
      <w:pPr>
        <w:spacing w:after="0" w:line="160" w:lineRule="exact"/>
        <w:rPr>
          <w:sz w:val="20"/>
          <w:szCs w:val="20"/>
          <w:color w:val="auto"/>
        </w:rPr>
      </w:pPr>
    </w:p>
    <w:p>
      <w:pPr>
        <w:ind w:right="3379" w:firstLine="521"/>
        <w:spacing w:after="0" w:line="254" w:lineRule="auto"/>
        <w:rPr>
          <w:sz w:val="20"/>
          <w:szCs w:val="20"/>
          <w:color w:val="auto"/>
        </w:rPr>
      </w:pPr>
      <w:r>
        <w:rPr>
          <w:rFonts w:ascii="Courier New" w:cs="Courier New" w:eastAsia="Courier New" w:hAnsi="Courier New"/>
          <w:sz w:val="14"/>
          <w:szCs w:val="14"/>
          <w:color w:val="auto"/>
        </w:rPr>
        <w:t>Alan Miller, age 57, joined the Company in November 1995 as its corporate controller and was elected to the position of Treasurer and Chief Financial Officer in October 1998. Prior to joining the Company, Mr. Miller served as an operations manager and a consultant to small businesses from 1992 through 1995 and as a Senior Audit Manager with Ernst &amp; Young, L.L.P. from 1980 to 1991.</w:t>
      </w:r>
    </w:p>
    <w:p>
      <w:pPr>
        <w:spacing w:after="0" w:line="162" w:lineRule="exact"/>
        <w:rPr>
          <w:sz w:val="20"/>
          <w:szCs w:val="20"/>
          <w:color w:val="auto"/>
        </w:rPr>
      </w:pPr>
    </w:p>
    <w:p>
      <w:pPr>
        <w:ind w:right="3279" w:firstLine="521"/>
        <w:spacing w:after="0" w:line="254" w:lineRule="auto"/>
        <w:rPr>
          <w:sz w:val="20"/>
          <w:szCs w:val="20"/>
          <w:color w:val="auto"/>
        </w:rPr>
      </w:pPr>
      <w:r>
        <w:rPr>
          <w:rFonts w:ascii="Courier New" w:cs="Courier New" w:eastAsia="Courier New" w:hAnsi="Courier New"/>
          <w:sz w:val="14"/>
          <w:szCs w:val="14"/>
          <w:color w:val="auto"/>
        </w:rPr>
        <w:t>Harry Newman, age 59, Secretary, has been employed by the Company since 1979, prior to which he served as Divisional Controller of Jonathan Logan, Inc., apparel manufacturers, from 1976 to 1979, and as supervising Senior Accountant with Clarence Rainess and Co., Certified Public Accountants, from 1971 to 1975.</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1A. Risk Factors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addition to the other information contained in this Form 10-K and the exhibits hereto, the following risk factors should be considered carefully in evaluating the Company's business. Additional risks not presently known to the Company or that the Company currently deems immaterial may also adversely affect its business, financial condition, or results of operations.</w:t>
      </w:r>
    </w:p>
    <w:p>
      <w:pPr>
        <w:spacing w:after="0" w:line="162" w:lineRule="exact"/>
        <w:rPr>
          <w:sz w:val="20"/>
          <w:szCs w:val="20"/>
          <w:color w:val="auto"/>
        </w:rPr>
      </w:pPr>
    </w:p>
    <w:p>
      <w:pPr>
        <w:ind w:right="3979" w:firstLine="260"/>
        <w:spacing w:after="0" w:line="258" w:lineRule="auto"/>
        <w:rPr>
          <w:sz w:val="20"/>
          <w:szCs w:val="20"/>
          <w:color w:val="auto"/>
        </w:rPr>
      </w:pPr>
      <w:r>
        <w:rPr>
          <w:rFonts w:ascii="Courier New" w:cs="Courier New" w:eastAsia="Courier New" w:hAnsi="Courier New"/>
          <w:sz w:val="14"/>
          <w:szCs w:val="14"/>
          <w:color w:val="auto"/>
        </w:rPr>
        <w:t>A variety of factors may cause the price of the Company's stock to be volatile.</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recent years, the stock market in general, and the market for shares of technology companies in particular, including Frequency Electronics, have experienced price fluctuations. For example, for fiscal year 2006, the price of the Company's Common Stock ranged from a closing high of $14.20 to a closing low of $10.00. The market price of the Company's Common Stock is likely to continue to fluctuate significantly in the future, including fluctuations unrelated to its performance. The Company believes that fluctuations of its stock price may be caused by a variety of factors, including:</w:t>
      </w:r>
    </w:p>
    <w:p>
      <w:pPr>
        <w:spacing w:after="0" w:line="165" w:lineRule="exact"/>
        <w:rPr>
          <w:sz w:val="20"/>
          <w:szCs w:val="20"/>
          <w:color w:val="auto"/>
        </w:rPr>
      </w:pPr>
    </w:p>
    <w:p>
      <w:pPr>
        <w:ind w:left="1060" w:hanging="530"/>
        <w:spacing w:after="0"/>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the Company's operating results;</w:t>
      </w:r>
    </w:p>
    <w:p>
      <w:pPr>
        <w:spacing w:after="0" w:line="175" w:lineRule="exact"/>
        <w:rPr>
          <w:rFonts w:ascii="Courier New" w:cs="Courier New" w:eastAsia="Courier New" w:hAnsi="Courier New"/>
          <w:sz w:val="14"/>
          <w:szCs w:val="14"/>
          <w:color w:val="auto"/>
        </w:rPr>
      </w:pPr>
    </w:p>
    <w:p>
      <w:pPr>
        <w:ind w:left="1060" w:right="3379" w:hanging="530"/>
        <w:spacing w:after="0" w:line="258" w:lineRule="auto"/>
        <w:tabs>
          <w:tab w:leader="none" w:pos="10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of technological innovations, new commercial products or other developments by the Company or its competitors;</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2" w:name="page13"/>
    <w:bookmarkEnd w:id="12"/>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published reports by securities analysts;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market conditions, general economic conditions;</w:t>
      </w:r>
    </w:p>
    <w:p>
      <w:pPr>
        <w:spacing w:after="0" w:line="175" w:lineRule="exact"/>
        <w:rPr>
          <w:rFonts w:ascii="Courier New" w:cs="Courier New" w:eastAsia="Courier New" w:hAnsi="Courier New"/>
          <w:sz w:val="14"/>
          <w:szCs w:val="14"/>
          <w:color w:val="auto"/>
        </w:rPr>
      </w:pPr>
    </w:p>
    <w:p>
      <w:pPr>
        <w:ind w:left="1060" w:right="3799" w:hanging="530"/>
        <w:spacing w:after="0" w:line="258" w:lineRule="auto"/>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announcements by the Company or its competitors of significant acquisitions, strategic partnerships or joint ventures;</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Company's cash position and cash commitments;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additions or departures of key personnel;</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or purchases of the Company's Common Stock in the marketplace;</w:t>
      </w:r>
    </w:p>
    <w:p>
      <w:pPr>
        <w:spacing w:after="0" w:line="175" w:lineRule="exact"/>
        <w:rPr>
          <w:rFonts w:ascii="Courier New" w:cs="Courier New" w:eastAsia="Courier New" w:hAnsi="Courier New"/>
          <w:sz w:val="14"/>
          <w:szCs w:val="14"/>
          <w:color w:val="auto"/>
        </w:rPr>
      </w:pPr>
    </w:p>
    <w:p>
      <w:pPr>
        <w:ind w:left="1060" w:right="4159" w:hanging="530"/>
        <w:spacing w:after="0" w:line="258" w:lineRule="auto"/>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outbreak of hostilities, diseases, natural disasters or terrorism;</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developments in patents or other intellectual property rights; and</w:t>
      </w:r>
    </w:p>
    <w:p>
      <w:pPr>
        <w:spacing w:after="0" w:line="175" w:lineRule="exact"/>
        <w:rPr>
          <w:rFonts w:ascii="Courier New" w:cs="Courier New" w:eastAsia="Courier New" w:hAnsi="Courier New"/>
          <w:sz w:val="14"/>
          <w:szCs w:val="14"/>
          <w:color w:val="auto"/>
        </w:rPr>
      </w:pPr>
    </w:p>
    <w:p>
      <w:pPr>
        <w:ind w:left="1060" w:right="3799" w:hanging="530"/>
        <w:spacing w:after="0" w:line="258" w:lineRule="auto"/>
        <w:tabs>
          <w:tab w:leader="none" w:pos="10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developments in the Company's relationships with customers and suppliers.</w:t>
      </w:r>
    </w:p>
    <w:p>
      <w:pPr>
        <w:spacing w:after="0" w:line="160" w:lineRule="exact"/>
        <w:rPr>
          <w:sz w:val="20"/>
          <w:szCs w:val="20"/>
          <w:color w:val="auto"/>
        </w:rPr>
      </w:pPr>
    </w:p>
    <w:p>
      <w:pPr>
        <w:ind w:right="3799" w:firstLine="260"/>
        <w:spacing w:after="0" w:line="255" w:lineRule="auto"/>
        <w:rPr>
          <w:sz w:val="20"/>
          <w:szCs w:val="20"/>
          <w:color w:val="auto"/>
        </w:rPr>
      </w:pPr>
      <w:r>
        <w:rPr>
          <w:rFonts w:ascii="Courier New" w:cs="Courier New" w:eastAsia="Courier New" w:hAnsi="Courier New"/>
          <w:sz w:val="14"/>
          <w:szCs w:val="14"/>
          <w:color w:val="auto"/>
        </w:rPr>
        <w:t>If the Company fails to keep pace with rapid technological change and evolving industry standards, its products could become less competitive or obsolete.</w:t>
      </w:r>
    </w:p>
    <w:p>
      <w:pPr>
        <w:spacing w:after="0" w:line="16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The markets for the Company's products are characterized by technological change, new product introductions, changes in customer requirements and evolving industry standards. The Company may cease to be competitive if it fails to timely introduce new products or product enhancements that address these factors. To continue to introduce new products and product enhancements on a timely basis, the Company must:</w:t>
      </w:r>
    </w:p>
    <w:p>
      <w:pPr>
        <w:spacing w:after="0" w:line="165" w:lineRule="exact"/>
        <w:rPr>
          <w:sz w:val="20"/>
          <w:szCs w:val="20"/>
          <w:color w:val="auto"/>
        </w:rPr>
      </w:pPr>
    </w:p>
    <w:p>
      <w:pPr>
        <w:ind w:left="1060" w:right="3799" w:hanging="530"/>
        <w:spacing w:after="0" w:line="258"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identify emerging technological trends in the Company's target markets;</w:t>
      </w:r>
    </w:p>
    <w:p>
      <w:pPr>
        <w:spacing w:after="0" w:line="159" w:lineRule="exact"/>
        <w:rPr>
          <w:rFonts w:ascii="Courier New" w:cs="Courier New" w:eastAsia="Courier New" w:hAnsi="Courier New"/>
          <w:sz w:val="14"/>
          <w:szCs w:val="14"/>
          <w:color w:val="auto"/>
        </w:rPr>
      </w:pPr>
    </w:p>
    <w:p>
      <w:pPr>
        <w:ind w:left="1060" w:right="3279" w:hanging="530"/>
        <w:spacing w:after="0" w:line="258"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accurately define and design new products or product enhancements to meet market needs;</w:t>
      </w:r>
    </w:p>
    <w:p>
      <w:pPr>
        <w:spacing w:after="0" w:line="159" w:lineRule="exact"/>
        <w:rPr>
          <w:rFonts w:ascii="Courier New" w:cs="Courier New" w:eastAsia="Courier New" w:hAnsi="Courier New"/>
          <w:sz w:val="14"/>
          <w:szCs w:val="14"/>
          <w:color w:val="auto"/>
        </w:rPr>
      </w:pPr>
    </w:p>
    <w:p>
      <w:pPr>
        <w:ind w:left="1060" w:right="3639" w:hanging="530"/>
        <w:spacing w:after="0" w:line="258"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or license the underlying core technologies necessary to create new products and product enhancements; and</w:t>
      </w:r>
    </w:p>
    <w:p>
      <w:pPr>
        <w:spacing w:after="0" w:line="159" w:lineRule="exact"/>
        <w:rPr>
          <w:rFonts w:ascii="Courier New" w:cs="Courier New" w:eastAsia="Courier New" w:hAnsi="Courier New"/>
          <w:sz w:val="14"/>
          <w:szCs w:val="14"/>
          <w:color w:val="auto"/>
        </w:rPr>
      </w:pPr>
    </w:p>
    <w:p>
      <w:pPr>
        <w:ind w:left="1060" w:right="4319" w:hanging="530"/>
        <w:spacing w:after="0" w:line="258" w:lineRule="auto"/>
        <w:tabs>
          <w:tab w:leader="none" w:pos="10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respond effectively to technological changes and product introductions by the Company's competitors.</w:t>
      </w:r>
    </w:p>
    <w:p>
      <w:pPr>
        <w:spacing w:after="0" w:line="160" w:lineRule="exact"/>
        <w:rPr>
          <w:sz w:val="20"/>
          <w:szCs w:val="20"/>
          <w:color w:val="auto"/>
        </w:rPr>
      </w:pPr>
    </w:p>
    <w:p>
      <w:pPr>
        <w:ind w:right="3279" w:firstLine="260"/>
        <w:spacing w:after="0" w:line="255" w:lineRule="auto"/>
        <w:rPr>
          <w:sz w:val="20"/>
          <w:szCs w:val="20"/>
          <w:color w:val="auto"/>
        </w:rPr>
      </w:pPr>
      <w:r>
        <w:rPr>
          <w:rFonts w:ascii="Courier New" w:cs="Courier New" w:eastAsia="Courier New" w:hAnsi="Courier New"/>
          <w:sz w:val="14"/>
          <w:szCs w:val="14"/>
          <w:color w:val="auto"/>
        </w:rPr>
        <w:t>If the Company fails to timely identify, develop, manufacture, market or support new or enhanced products successfully, its competitors could gain market share or its new or enhanced products might not gain market acceptance.</w:t>
      </w:r>
    </w:p>
    <w:p>
      <w:pPr>
        <w:spacing w:after="0" w:line="162" w:lineRule="exact"/>
        <w:rPr>
          <w:sz w:val="20"/>
          <w:szCs w:val="20"/>
          <w:color w:val="auto"/>
        </w:rPr>
      </w:pPr>
    </w:p>
    <w:p>
      <w:pPr>
        <w:ind w:right="4059" w:firstLine="260"/>
        <w:spacing w:after="0" w:line="258" w:lineRule="auto"/>
        <w:rPr>
          <w:sz w:val="20"/>
          <w:szCs w:val="20"/>
          <w:color w:val="auto"/>
        </w:rPr>
      </w:pPr>
      <w:r>
        <w:rPr>
          <w:rFonts w:ascii="Courier New" w:cs="Courier New" w:eastAsia="Courier New" w:hAnsi="Courier New"/>
          <w:sz w:val="14"/>
          <w:szCs w:val="14"/>
          <w:color w:val="auto"/>
        </w:rPr>
        <w:t>Delays in the development of new or enhanced products could harm the Company's operating results and its competitive position.</w:t>
      </w:r>
    </w:p>
    <w:p>
      <w:pPr>
        <w:spacing w:after="0" w:line="160"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The development of new, technologically advanced products is a complex and uncertain process requiring high levels of innovation, highly skilled engineering and development personnel and accurate anticipation of technological and market trends. Consequently, product development delays are typical in the Company's industry. If the Company fails to timely introduce a product for an emerging standard or customers defer or cancel orders expecting the release of a new or enhanced product, its operating results could suffer. Product development delays may result from numerous factors, including:</w:t>
      </w:r>
    </w:p>
    <w:p>
      <w:pPr>
        <w:spacing w:after="0" w:line="165" w:lineRule="exact"/>
        <w:rPr>
          <w:sz w:val="20"/>
          <w:szCs w:val="20"/>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changing product specifications and customer requirements;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engineering complexities;</w:t>
      </w:r>
    </w:p>
    <w:p>
      <w:pPr>
        <w:spacing w:after="0" w:line="175" w:lineRule="exact"/>
        <w:rPr>
          <w:rFonts w:ascii="Courier New" w:cs="Courier New" w:eastAsia="Courier New" w:hAnsi="Courier New"/>
          <w:sz w:val="14"/>
          <w:szCs w:val="14"/>
          <w:color w:val="auto"/>
        </w:rPr>
      </w:pPr>
    </w:p>
    <w:p>
      <w:pPr>
        <w:ind w:left="1060" w:right="3459" w:hanging="530"/>
        <w:spacing w:after="0" w:line="258"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with or delays by contract manufacturers or suppliers of key components or technologies;</w:t>
      </w:r>
    </w:p>
    <w:p>
      <w:pPr>
        <w:spacing w:after="0" w:line="159" w:lineRule="exact"/>
        <w:rPr>
          <w:rFonts w:ascii="Courier New" w:cs="Courier New" w:eastAsia="Courier New" w:hAnsi="Courier New"/>
          <w:sz w:val="14"/>
          <w:szCs w:val="14"/>
          <w:color w:val="auto"/>
        </w:rPr>
      </w:pPr>
    </w:p>
    <w:p>
      <w:pPr>
        <w:ind w:left="1060" w:right="3719" w:hanging="530"/>
        <w:spacing w:after="0" w:line="258" w:lineRule="auto"/>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allocating engineering resources and overcoming resource limitations; and</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difficulties in hiring and retaining necessary technical personnel.</w:t>
      </w:r>
    </w:p>
    <w:p>
      <w:pPr>
        <w:spacing w:after="0" w:line="175"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The Company faces uncertainty relating to economic conditions affecting its customers.</w:t>
      </w:r>
    </w:p>
    <w:p>
      <w:pPr>
        <w:spacing w:after="0" w:line="160"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The Company faces uncertainty in the degree to which the current global economic climate will affect the rate of growth for its existing and potential customers. In particular, the timing and magnitude of capital spending by international telecommunications companies, including those in China, will materially impact the Company's business. Frequency Electronics may experience instances of customers delaying or deferring orders and longer lead times to close sales. Similarly, spending on U.S. Government programs is determined by the annual defense department budget. To the extent that support for the liberation and rebuilding of Iraq takes precedence, funding for certain Department of Defense programs may be delayed or significantly reduced</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20" w:right="1440" w:bottom="974" w:gutter="0" w:footer="0" w:header="0"/>
        </w:sectPr>
      </w:pPr>
    </w:p>
    <w:bookmarkStart w:id="13" w:name="page14"/>
    <w:bookmarkEnd w:id="13"/>
    <w:p>
      <w:pPr>
        <w:ind w:right="3799"/>
        <w:spacing w:after="0" w:line="258" w:lineRule="auto"/>
        <w:rPr>
          <w:sz w:val="20"/>
          <w:szCs w:val="20"/>
          <w:color w:val="auto"/>
        </w:rPr>
      </w:pPr>
      <w:r>
        <w:rPr>
          <w:rFonts w:ascii="Courier New" w:cs="Courier New" w:eastAsia="Courier New" w:hAnsi="Courier New"/>
          <w:sz w:val="14"/>
          <w:szCs w:val="14"/>
          <w:color w:val="auto"/>
        </w:rPr>
        <w:t>in the near term. Such delays can have a materially negative impact on the Company's business, its operating results and financial condition.</w:t>
      </w:r>
    </w:p>
    <w:p>
      <w:pPr>
        <w:spacing w:after="0" w:line="160" w:lineRule="exact"/>
        <w:rPr>
          <w:sz w:val="20"/>
          <w:szCs w:val="20"/>
          <w:color w:val="auto"/>
        </w:rPr>
      </w:pPr>
    </w:p>
    <w:p>
      <w:pPr>
        <w:ind w:right="3539" w:firstLine="260"/>
        <w:spacing w:after="0" w:line="255" w:lineRule="auto"/>
        <w:rPr>
          <w:sz w:val="20"/>
          <w:szCs w:val="20"/>
          <w:color w:val="auto"/>
        </w:rPr>
      </w:pPr>
      <w:r>
        <w:rPr>
          <w:rFonts w:ascii="Courier New" w:cs="Courier New" w:eastAsia="Courier New" w:hAnsi="Courier New"/>
          <w:sz w:val="14"/>
          <w:szCs w:val="14"/>
          <w:color w:val="auto"/>
        </w:rPr>
        <w:t>The Company faces competition. Its inability to remain competitive in the industry would adversely affect the Company's ability to maintain its current sales and growth.</w:t>
      </w:r>
    </w:p>
    <w:p>
      <w:pPr>
        <w:spacing w:after="0" w:line="162" w:lineRule="exact"/>
        <w:rPr>
          <w:sz w:val="20"/>
          <w:szCs w:val="20"/>
          <w:color w:val="auto"/>
        </w:rPr>
      </w:pPr>
    </w:p>
    <w:p>
      <w:pPr>
        <w:ind w:right="3379" w:firstLine="260"/>
        <w:spacing w:after="0" w:line="252" w:lineRule="auto"/>
        <w:rPr>
          <w:sz w:val="20"/>
          <w:szCs w:val="20"/>
          <w:color w:val="auto"/>
        </w:rPr>
      </w:pPr>
      <w:r>
        <w:rPr>
          <w:rFonts w:ascii="Courier New" w:cs="Courier New" w:eastAsia="Courier New" w:hAnsi="Courier New"/>
          <w:sz w:val="14"/>
          <w:szCs w:val="14"/>
          <w:color w:val="auto"/>
        </w:rPr>
        <w:t>The Company experiences competition in all areas of its business. Frequency Electronics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all three frequency standards - quartz, rubidium, and cesium. For its high precision</w:t>
      </w:r>
    </w:p>
    <w:p>
      <w:pPr>
        <w:spacing w:after="0" w:line="3"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products, the Company has few competitors, but for lower precision components, the Company faces significant competition from a number of suppliers. Certain of the Company's competitors are larger, have greater financial resources and have larger research and development and marketing staffs. If its competitors develop more accurate or reliable products, or otherwise improve their products, Frequency Electronics could experience a decline in its sales or loss of market acceptance of its products.</w:t>
      </w:r>
    </w:p>
    <w:p>
      <w:pPr>
        <w:spacing w:after="0" w:line="165" w:lineRule="exact"/>
        <w:rPr>
          <w:sz w:val="20"/>
          <w:szCs w:val="20"/>
          <w:color w:val="auto"/>
        </w:rPr>
      </w:pPr>
    </w:p>
    <w:p>
      <w:pPr>
        <w:ind w:right="3539" w:firstLine="260"/>
        <w:spacing w:after="0" w:line="254" w:lineRule="auto"/>
        <w:rPr>
          <w:sz w:val="20"/>
          <w:szCs w:val="20"/>
          <w:color w:val="auto"/>
        </w:rPr>
      </w:pPr>
      <w:r>
        <w:rPr>
          <w:rFonts w:ascii="Courier New" w:cs="Courier New" w:eastAsia="Courier New" w:hAnsi="Courier New"/>
          <w:sz w:val="14"/>
          <w:szCs w:val="14"/>
          <w:color w:val="auto"/>
        </w:rPr>
        <w:t>With respect to the Company's instruments and systems, it competes with Hewlett-Packard Company, Symmetricom, Inc, E. G. and G., Inc. and others. Systems for the wireline industry produced by the Gillam-FEI segment compete with Symmetricom, Inc. Frequency Electronics' principal competition for space products is the in-house capability of its major customers.</w:t>
      </w:r>
    </w:p>
    <w:p>
      <w:pPr>
        <w:spacing w:after="0" w:line="162" w:lineRule="exact"/>
        <w:rPr>
          <w:sz w:val="20"/>
          <w:szCs w:val="20"/>
          <w:color w:val="auto"/>
        </w:rPr>
      </w:pPr>
    </w:p>
    <w:p>
      <w:pPr>
        <w:ind w:right="3279" w:firstLine="260"/>
        <w:spacing w:after="0" w:line="258" w:lineRule="auto"/>
        <w:rPr>
          <w:sz w:val="20"/>
          <w:szCs w:val="20"/>
          <w:color w:val="auto"/>
        </w:rPr>
      </w:pPr>
      <w:r>
        <w:rPr>
          <w:rFonts w:ascii="Courier New" w:cs="Courier New" w:eastAsia="Courier New" w:hAnsi="Courier New"/>
          <w:sz w:val="14"/>
          <w:szCs w:val="14"/>
          <w:color w:val="auto"/>
        </w:rPr>
        <w:t>The Company's reliance on third parties could materially adversely affect its business.</w:t>
      </w:r>
    </w:p>
    <w:p>
      <w:pPr>
        <w:spacing w:after="0" w:line="160" w:lineRule="exact"/>
        <w:rPr>
          <w:sz w:val="20"/>
          <w:szCs w:val="20"/>
          <w:color w:val="auto"/>
        </w:rPr>
      </w:pPr>
    </w:p>
    <w:p>
      <w:pPr>
        <w:ind w:right="3459" w:firstLine="260"/>
        <w:spacing w:after="0" w:line="253" w:lineRule="auto"/>
        <w:rPr>
          <w:sz w:val="20"/>
          <w:szCs w:val="20"/>
          <w:color w:val="auto"/>
        </w:rPr>
      </w:pPr>
      <w:r>
        <w:rPr>
          <w:rFonts w:ascii="Courier New" w:cs="Courier New" w:eastAsia="Courier New" w:hAnsi="Courier New"/>
          <w:sz w:val="14"/>
          <w:szCs w:val="14"/>
          <w:color w:val="auto"/>
        </w:rPr>
        <w:t>In recent years, the Company has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Any unanticipated changes in such third parties' ability to perform the component manufacturing processes or any delay in such manufacturing could materially adversely affect the Company's business, financial condition and operating results.</w:t>
      </w:r>
    </w:p>
    <w:p>
      <w:pPr>
        <w:spacing w:after="0" w:line="164" w:lineRule="exact"/>
        <w:rPr>
          <w:sz w:val="20"/>
          <w:szCs w:val="20"/>
          <w:color w:val="auto"/>
        </w:rPr>
      </w:pPr>
    </w:p>
    <w:p>
      <w:pPr>
        <w:ind w:right="3539" w:firstLine="260"/>
        <w:spacing w:after="0" w:line="258" w:lineRule="auto"/>
        <w:rPr>
          <w:sz w:val="20"/>
          <w:szCs w:val="20"/>
          <w:color w:val="auto"/>
        </w:rPr>
      </w:pPr>
      <w:r>
        <w:rPr>
          <w:rFonts w:ascii="Courier New" w:cs="Courier New" w:eastAsia="Courier New" w:hAnsi="Courier New"/>
          <w:sz w:val="14"/>
          <w:szCs w:val="14"/>
          <w:color w:val="auto"/>
        </w:rPr>
        <w:t>The Company's executive officers and certain key personnel are critical to its business.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00" w:type="dxa"/>
            <w:vAlign w:val="bottom"/>
          </w:tcPr>
          <w:p>
            <w:pPr>
              <w:ind w:left="260"/>
              <w:spacing w:after="0"/>
              <w:rPr>
                <w:sz w:val="20"/>
                <w:szCs w:val="20"/>
                <w:color w:val="auto"/>
              </w:rPr>
            </w:pPr>
            <w:r>
              <w:rPr>
                <w:rFonts w:ascii="Courier New" w:cs="Courier New" w:eastAsia="Courier New" w:hAnsi="Courier New"/>
                <w:sz w:val="14"/>
                <w:szCs w:val="14"/>
                <w:color w:val="auto"/>
              </w:rPr>
              <w:t>The Company's future</w:t>
            </w:r>
          </w:p>
        </w:tc>
        <w:tc>
          <w:tcPr>
            <w:tcW w:w="38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success is dependent upon the contributions</w:t>
            </w:r>
          </w:p>
        </w:tc>
        <w:tc>
          <w:tcPr>
            <w:tcW w:w="260" w:type="dxa"/>
            <w:vAlign w:val="bottom"/>
          </w:tcPr>
          <w:p>
            <w:pPr>
              <w:ind w:left="60"/>
              <w:spacing w:after="0"/>
              <w:rPr>
                <w:sz w:val="20"/>
                <w:szCs w:val="20"/>
                <w:color w:val="auto"/>
              </w:rPr>
            </w:pPr>
            <w:r>
              <w:rPr>
                <w:rFonts w:ascii="Courier New" w:cs="Courier New" w:eastAsia="Courier New" w:hAnsi="Courier New"/>
                <w:sz w:val="14"/>
                <w:szCs w:val="14"/>
                <w:color w:val="auto"/>
              </w:rPr>
              <w:t>of</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its</w:t>
            </w:r>
          </w:p>
        </w:tc>
      </w:tr>
      <w:tr>
        <w:trPr>
          <w:trHeight w:val="167"/>
        </w:trPr>
        <w:tc>
          <w:tcPr>
            <w:tcW w:w="6120" w:type="dxa"/>
            <w:vAlign w:val="bottom"/>
            <w:gridSpan w:val="5"/>
          </w:tcPr>
          <w:p>
            <w:pPr>
              <w:spacing w:after="0"/>
              <w:rPr>
                <w:sz w:val="20"/>
                <w:szCs w:val="20"/>
                <w:color w:val="auto"/>
              </w:rPr>
            </w:pPr>
            <w:r>
              <w:rPr>
                <w:rFonts w:ascii="Courier New" w:cs="Courier New" w:eastAsia="Courier New" w:hAnsi="Courier New"/>
                <w:sz w:val="14"/>
                <w:szCs w:val="14"/>
                <w:color w:val="auto"/>
              </w:rPr>
              <w:t>senior corporate management team, particularly Martin Bloch, President</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and Chief</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Executive Officer, who</w:t>
            </w:r>
          </w:p>
        </w:tc>
        <w:tc>
          <w:tcPr>
            <w:tcW w:w="300" w:type="dxa"/>
            <w:vAlign w:val="bottom"/>
          </w:tcPr>
          <w:p>
            <w:pPr>
              <w:spacing w:after="0"/>
              <w:rPr>
                <w:sz w:val="20"/>
                <w:szCs w:val="20"/>
                <w:color w:val="auto"/>
              </w:rPr>
            </w:pPr>
            <w:r>
              <w:rPr>
                <w:rFonts w:ascii="Courier New" w:cs="Courier New" w:eastAsia="Courier New" w:hAnsi="Courier New"/>
                <w:sz w:val="14"/>
                <w:szCs w:val="14"/>
                <w:color w:val="auto"/>
              </w:rPr>
              <w:t>has</w:t>
            </w:r>
          </w:p>
        </w:tc>
        <w:tc>
          <w:tcPr>
            <w:tcW w:w="3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been with the Company since 1961, Markus</w:t>
            </w:r>
          </w:p>
        </w:tc>
        <w:tc>
          <w:tcPr>
            <w:tcW w:w="1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Hechler,</w:t>
            </w:r>
          </w:p>
        </w:tc>
      </w:tr>
      <w:tr>
        <w:trPr>
          <w:trHeight w:val="167"/>
        </w:trPr>
        <w:tc>
          <w:tcPr>
            <w:tcW w:w="5340" w:type="dxa"/>
            <w:vAlign w:val="bottom"/>
            <w:gridSpan w:val="3"/>
          </w:tcPr>
          <w:p>
            <w:pPr>
              <w:spacing w:after="0"/>
              <w:rPr>
                <w:sz w:val="20"/>
                <w:szCs w:val="20"/>
                <w:color w:val="auto"/>
              </w:rPr>
            </w:pPr>
            <w:r>
              <w:rPr>
                <w:rFonts w:ascii="Courier New" w:cs="Courier New" w:eastAsia="Courier New" w:hAnsi="Courier New"/>
                <w:sz w:val="14"/>
                <w:szCs w:val="14"/>
                <w:color w:val="auto"/>
              </w:rPr>
              <w:t>Executive Vice President, who has been with the Company since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1967,</w:t>
            </w:r>
          </w:p>
        </w:tc>
        <w:tc>
          <w:tcPr>
            <w:tcW w:w="1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Oleandro</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Mancini, Vice President</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of</w:t>
            </w:r>
          </w:p>
        </w:tc>
        <w:tc>
          <w:tcPr>
            <w:tcW w:w="3040" w:type="dxa"/>
            <w:vAlign w:val="bottom"/>
          </w:tcPr>
          <w:p>
            <w:pPr>
              <w:ind w:left="60"/>
              <w:spacing w:after="0"/>
              <w:rPr>
                <w:sz w:val="20"/>
                <w:szCs w:val="20"/>
                <w:color w:val="auto"/>
              </w:rPr>
            </w:pPr>
            <w:r>
              <w:rPr>
                <w:rFonts w:ascii="Courier New" w:cs="Courier New" w:eastAsia="Courier New" w:hAnsi="Courier New"/>
                <w:sz w:val="14"/>
                <w:szCs w:val="14"/>
                <w:color w:val="auto"/>
              </w:rPr>
              <w:t>Business Development, who has been</w:t>
            </w:r>
          </w:p>
        </w:tc>
        <w:tc>
          <w:tcPr>
            <w:tcW w:w="78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with the</w:t>
            </w:r>
          </w:p>
        </w:tc>
        <w:tc>
          <w:tcPr>
            <w:tcW w:w="840" w:type="dxa"/>
            <w:vAlign w:val="bottom"/>
          </w:tcPr>
          <w:p>
            <w:pPr>
              <w:ind w:left="60"/>
              <w:spacing w:after="0"/>
              <w:rPr>
                <w:sz w:val="20"/>
                <w:szCs w:val="20"/>
                <w:color w:val="auto"/>
              </w:rPr>
            </w:pPr>
            <w:r>
              <w:rPr>
                <w:rFonts w:ascii="Courier New" w:cs="Courier New" w:eastAsia="Courier New" w:hAnsi="Courier New"/>
                <w:sz w:val="14"/>
                <w:szCs w:val="14"/>
                <w:color w:val="auto"/>
              </w:rPr>
              <w:t>Company</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since 2001 and certain</w:t>
            </w:r>
          </w:p>
        </w:tc>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rPr>
              <w:t>other key employees. If Messrs. Bloch,</w:t>
            </w:r>
          </w:p>
        </w:tc>
        <w:tc>
          <w:tcPr>
            <w:tcW w:w="16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Hechler and</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Mancini no longer serve</w:t>
            </w:r>
          </w:p>
        </w:tc>
        <w:tc>
          <w:tcPr>
            <w:tcW w:w="300" w:type="dxa"/>
            <w:vAlign w:val="bottom"/>
          </w:tcPr>
          <w:p>
            <w:pPr>
              <w:ind w:left="100"/>
              <w:spacing w:after="0"/>
              <w:rPr>
                <w:sz w:val="20"/>
                <w:szCs w:val="20"/>
                <w:color w:val="auto"/>
              </w:rPr>
            </w:pPr>
            <w:r>
              <w:rPr>
                <w:rFonts w:ascii="Courier New" w:cs="Courier New" w:eastAsia="Courier New" w:hAnsi="Courier New"/>
                <w:sz w:val="14"/>
                <w:szCs w:val="14"/>
                <w:color w:val="auto"/>
              </w:rPr>
              <w:t>in</w:t>
            </w:r>
          </w:p>
        </w:tc>
        <w:tc>
          <w:tcPr>
            <w:tcW w:w="3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their positions, the Company's business,</w:t>
            </w:r>
          </w:p>
        </w:tc>
        <w:tc>
          <w:tcPr>
            <w:tcW w:w="110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financial</w:t>
            </w:r>
          </w:p>
        </w:tc>
      </w:tr>
      <w:tr>
        <w:trPr>
          <w:trHeight w:val="167"/>
        </w:trPr>
        <w:tc>
          <w:tcPr>
            <w:tcW w:w="2000" w:type="dxa"/>
            <w:vAlign w:val="bottom"/>
          </w:tcPr>
          <w:p>
            <w:pPr>
              <w:spacing w:after="0"/>
              <w:rPr>
                <w:sz w:val="20"/>
                <w:szCs w:val="20"/>
                <w:color w:val="auto"/>
              </w:rPr>
            </w:pPr>
            <w:r>
              <w:rPr>
                <w:rFonts w:ascii="Courier New" w:cs="Courier New" w:eastAsia="Courier New" w:hAnsi="Courier New"/>
                <w:sz w:val="14"/>
                <w:szCs w:val="14"/>
                <w:color w:val="auto"/>
              </w:rPr>
              <w:t>conditions and results</w:t>
            </w:r>
          </w:p>
        </w:tc>
        <w:tc>
          <w:tcPr>
            <w:tcW w:w="4960" w:type="dxa"/>
            <w:vAlign w:val="bottom"/>
            <w:gridSpan w:val="5"/>
          </w:tcPr>
          <w:p>
            <w:pPr>
              <w:spacing w:after="0"/>
              <w:rPr>
                <w:sz w:val="20"/>
                <w:szCs w:val="20"/>
                <w:color w:val="auto"/>
              </w:rPr>
            </w:pPr>
            <w:r>
              <w:rPr>
                <w:rFonts w:ascii="Courier New" w:cs="Courier New" w:eastAsia="Courier New" w:hAnsi="Courier New"/>
                <w:sz w:val="14"/>
                <w:szCs w:val="14"/>
                <w:color w:val="auto"/>
              </w:rPr>
              <w:t>of operation could be substantially adversely affected.</w:t>
            </w:r>
          </w:p>
        </w:tc>
      </w:tr>
    </w:tbl>
    <w:p>
      <w:pPr>
        <w:spacing w:after="0" w:line="171"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The Company's future operating results also depend in significant part upon its ability to attract and retain qualified management, manufacturing, technical, engineering,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The Company's business, financial conditions and results of operation could be substantially adversely affected by its inability to attract and retain skilled employees.</w:t>
      </w:r>
    </w:p>
    <w:p>
      <w:pPr>
        <w:spacing w:after="0" w:line="331" w:lineRule="exact"/>
        <w:rPr>
          <w:sz w:val="20"/>
          <w:szCs w:val="20"/>
          <w:color w:val="auto"/>
        </w:rPr>
      </w:pPr>
    </w:p>
    <w:p>
      <w:pPr>
        <w:ind w:right="3459" w:firstLine="260"/>
        <w:spacing w:after="0" w:line="258" w:lineRule="auto"/>
        <w:rPr>
          <w:sz w:val="20"/>
          <w:szCs w:val="20"/>
          <w:color w:val="auto"/>
        </w:rPr>
      </w:pPr>
      <w:r>
        <w:rPr>
          <w:rFonts w:ascii="Courier New" w:cs="Courier New" w:eastAsia="Courier New" w:hAnsi="Courier New"/>
          <w:sz w:val="14"/>
          <w:szCs w:val="14"/>
          <w:color w:val="auto"/>
        </w:rPr>
        <w:t>Economic, political and other risks associated with international sales and operations could adversely affect sales.</w:t>
      </w:r>
    </w:p>
    <w:p>
      <w:pPr>
        <w:spacing w:after="0" w:line="160"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Because the Company sells its products worldwide, its business is subject to risks associated with doing business internationally. The Company recognized 35% of its revenue from sales to end-users in countries located outside of the United States in the fiscal year ended April 30, 2006. The Company anticipates that revenue from international operations will continue to represent a substantial portion of its revenue. In addition, several of the Company's manufacturers' facilities and suppliers are located outside the United States of America. Accordingly, the Company's future results could be harmed by a variety of factors, including:</w:t>
      </w:r>
    </w:p>
    <w:p>
      <w:pPr>
        <w:spacing w:after="0" w:line="164" w:lineRule="exact"/>
        <w:rPr>
          <w:sz w:val="20"/>
          <w:szCs w:val="20"/>
          <w:color w:val="auto"/>
        </w:rPr>
      </w:pPr>
    </w:p>
    <w:p>
      <w:pPr>
        <w:ind w:left="1060" w:right="3539" w:hanging="530"/>
        <w:spacing w:after="0" w:line="258"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 specific country's or region's political or economic conditions, particularly in emerging markets;</w:t>
      </w:r>
    </w:p>
    <w:p>
      <w:pPr>
        <w:spacing w:after="0" w:line="159"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tariff and trade policies;</w:t>
      </w:r>
    </w:p>
    <w:p>
      <w:pPr>
        <w:spacing w:after="0" w:line="175" w:lineRule="exact"/>
        <w:rPr>
          <w:rFonts w:ascii="Courier New" w:cs="Courier New" w:eastAsia="Courier New" w:hAnsi="Courier New"/>
          <w:sz w:val="14"/>
          <w:szCs w:val="14"/>
          <w:color w:val="auto"/>
        </w:rPr>
      </w:pPr>
    </w:p>
    <w:p>
      <w:pPr>
        <w:ind w:left="1060" w:right="3899" w:hanging="530"/>
        <w:spacing w:after="0" w:line="258" w:lineRule="auto"/>
        <w:tabs>
          <w:tab w:leader="none" w:pos="106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export license requirements and restrictions of the export of technology;</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141" w:gutter="0" w:footer="0" w:header="0"/>
        </w:sectPr>
      </w:pPr>
    </w:p>
    <w:bookmarkStart w:id="14" w:name="page15"/>
    <w:bookmarkEnd w:id="14"/>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import regulations;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domestic and foreign tax policies;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governmental regulations;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difficulty in staffing and managing widespread operations;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ongoing health epidemics (e.g., Bird Flu);</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fluctuations in foreign currency exchange rates;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stability of international monetary conditions;</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differing labor regulations;</w:t>
      </w:r>
    </w:p>
    <w:p>
      <w:pPr>
        <w:spacing w:after="0" w:line="175" w:lineRule="exact"/>
        <w:rPr>
          <w:rFonts w:ascii="Courier New" w:cs="Courier New" w:eastAsia="Courier New" w:hAnsi="Courier New"/>
          <w:sz w:val="14"/>
          <w:szCs w:val="14"/>
          <w:color w:val="auto"/>
        </w:rPr>
      </w:pPr>
    </w:p>
    <w:p>
      <w:pPr>
        <w:ind w:left="1060" w:right="3279" w:hanging="530"/>
        <w:spacing w:after="0" w:line="254" w:lineRule="auto"/>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political unrest, war, actual or threatened acts of terrorism, other international conflicts and the resulting military, economic and political responses (including, without limitation, war between sovereign nations) as well as heightened security measures which may cause significant disruption to commerce worldwide;</w:t>
      </w:r>
    </w:p>
    <w:p>
      <w:pPr>
        <w:spacing w:after="0" w:line="162"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differing protection of intellectual property; and</w:t>
      </w:r>
    </w:p>
    <w:p>
      <w:pPr>
        <w:spacing w:after="0" w:line="175" w:lineRule="exact"/>
        <w:rPr>
          <w:rFonts w:ascii="Courier New" w:cs="Courier New" w:eastAsia="Courier New" w:hAnsi="Courier New"/>
          <w:sz w:val="14"/>
          <w:szCs w:val="14"/>
          <w:color w:val="auto"/>
        </w:rPr>
      </w:pPr>
    </w:p>
    <w:p>
      <w:pPr>
        <w:ind w:left="1060" w:hanging="530"/>
        <w:spacing w:after="0"/>
        <w:tabs>
          <w:tab w:leader="none" w:pos="10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unexpected changes in regulatory requirements.</w:t>
      </w:r>
    </w:p>
    <w:p>
      <w:pPr>
        <w:spacing w:after="0" w:line="175" w:lineRule="exact"/>
        <w:rPr>
          <w:sz w:val="20"/>
          <w:szCs w:val="20"/>
          <w:color w:val="auto"/>
        </w:rPr>
      </w:pPr>
    </w:p>
    <w:p>
      <w:pPr>
        <w:ind w:right="3279" w:firstLine="260"/>
        <w:spacing w:after="0" w:line="255" w:lineRule="auto"/>
        <w:rPr>
          <w:sz w:val="20"/>
          <w:szCs w:val="20"/>
          <w:color w:val="auto"/>
        </w:rPr>
      </w:pPr>
      <w:r>
        <w:rPr>
          <w:rFonts w:ascii="Courier New" w:cs="Courier New" w:eastAsia="Courier New" w:hAnsi="Courier New"/>
          <w:sz w:val="14"/>
          <w:szCs w:val="14"/>
          <w:color w:val="auto"/>
        </w:rPr>
        <w:t>The Company's products may contain defects that cause it to incur significant corrective costs, divert its attention from product development efforts and result in a loss of customers.</w:t>
      </w:r>
    </w:p>
    <w:p>
      <w:pPr>
        <w:spacing w:after="0" w:line="16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Highly complex products such as the Company's high-technology frequency, timing and synchronization products may contain defects when they are installed in its customers' systems. If any of the Company's products contain defects or have reliability, quality or compatibility problems, its reputation may be damaged and customers may be reluctant to buy its products. In addition, these defects could interrupt or delay sales. The Company may have to invest significant capital and other resources to alleviate these problems. If any problem remains undiscovered until after the Company has commenced production of a new product, it may be required to incur additional development costs and product recall, repair or replacement costs. These problems may also result in claims against the Company by its customers or others. In addition, these problems may divert the Company's technical and other resources from other development efforts.</w:t>
      </w:r>
    </w:p>
    <w:p>
      <w:pPr>
        <w:spacing w:after="0" w:line="330" w:lineRule="exact"/>
        <w:rPr>
          <w:sz w:val="20"/>
          <w:szCs w:val="20"/>
          <w:color w:val="auto"/>
        </w:rPr>
      </w:pPr>
    </w:p>
    <w:p>
      <w:pPr>
        <w:ind w:right="3279" w:firstLine="260"/>
        <w:spacing w:after="0" w:line="258" w:lineRule="auto"/>
        <w:rPr>
          <w:sz w:val="20"/>
          <w:szCs w:val="20"/>
          <w:color w:val="auto"/>
        </w:rPr>
      </w:pPr>
      <w:r>
        <w:rPr>
          <w:rFonts w:ascii="Courier New" w:cs="Courier New" w:eastAsia="Courier New" w:hAnsi="Courier New"/>
          <w:sz w:val="14"/>
          <w:szCs w:val="14"/>
          <w:color w:val="auto"/>
        </w:rPr>
        <w:t>If the Company fails to manage its operations effectively, its business could suffer.</w:t>
      </w:r>
    </w:p>
    <w:p>
      <w:pPr>
        <w:spacing w:after="0" w:line="160"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The Company's ability to offer products and implement its business plan successfully in a rapidly evolving market requires effective planning and management. Failure by the Company's management or personnel to properly allocate resources to meet its current and existing needs as well as unforeseen complications and inefficiencies in planning its operations can adversely impact the morale of the Company's personnel and lead to further complications and operational inefficiencies. If this were to occur, the Company's profitability or financial position could be negatively impacted and its operating results could suffer.</w:t>
      </w:r>
    </w:p>
    <w:p>
      <w:pPr>
        <w:spacing w:after="0" w:line="164" w:lineRule="exact"/>
        <w:rPr>
          <w:sz w:val="20"/>
          <w:szCs w:val="20"/>
          <w:color w:val="auto"/>
        </w:rPr>
      </w:pPr>
    </w:p>
    <w:p>
      <w:pPr>
        <w:ind w:right="3379" w:firstLine="260"/>
        <w:spacing w:after="0" w:line="255" w:lineRule="auto"/>
        <w:rPr>
          <w:sz w:val="20"/>
          <w:szCs w:val="20"/>
          <w:color w:val="auto"/>
        </w:rPr>
      </w:pPr>
      <w:r>
        <w:rPr>
          <w:rFonts w:ascii="Courier New" w:cs="Courier New" w:eastAsia="Courier New" w:hAnsi="Courier New"/>
          <w:sz w:val="14"/>
          <w:szCs w:val="14"/>
          <w:color w:val="auto"/>
        </w:rPr>
        <w:t>Claims that the Company infringed third-party intellectual property rights could result in significant expenses or restrictions on its ability to sell its products.</w:t>
      </w:r>
    </w:p>
    <w:p>
      <w:pPr>
        <w:spacing w:after="0" w:line="162" w:lineRule="exact"/>
        <w:rPr>
          <w:sz w:val="20"/>
          <w:szCs w:val="20"/>
          <w:color w:val="auto"/>
        </w:rPr>
      </w:pPr>
    </w:p>
    <w:p>
      <w:pPr>
        <w:ind w:right="3279" w:firstLine="260"/>
        <w:spacing w:after="0" w:line="252" w:lineRule="auto"/>
        <w:rPr>
          <w:sz w:val="20"/>
          <w:szCs w:val="20"/>
          <w:color w:val="auto"/>
        </w:rPr>
      </w:pPr>
      <w:r>
        <w:rPr>
          <w:rFonts w:ascii="Courier New" w:cs="Courier New" w:eastAsia="Courier New" w:hAnsi="Courier New"/>
          <w:sz w:val="14"/>
          <w:szCs w:val="14"/>
          <w:color w:val="auto"/>
        </w:rPr>
        <w:t>Although the Company's industry is not characterized by frequent claims or litigation regarding patent rights, the Company cannot be certain that its products do not or will not infringe issued patents or the intellectual property rights of others. Historically, patent applications in the United States of America have not been publicly disclosed until the patent is issued, and the Company may not be aware of filed patent applications that relate to its products or technology. If patents are later issued in connection with these applications, the Company may be liable for infringement. Periodically, other parties, including some of the Company's competitors, may assert patent, copyright and other rights to technologies in various jurisdictions that are important to its business. Any claims asserting that the Company's products infringe or may infringe the rights of third parties, including claims arising through its contractual indemnification of its customers, regardless of their merit or resolution, would likely be costly and time-consuming, divert the efforts of the Company's technical and management personnel, cause product shipment delays or require the Company to enter into royalty or licensing agreements. Royalty or licensing agreements, if required, may not be available on terms acceptable to the Company, or at all.</w:t>
      </w:r>
    </w:p>
    <w:p>
      <w:pPr>
        <w:spacing w:after="0" w:line="340"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At present, the Company does not believe that its products infringe any other party's intellectual property rights in any way that would have a material adverse effect on the Company's operations. However, if any material claims do arise and if these claims cannot be resolved through a license or similar arrangement, the Company could become a party to litigation. The results of any litigation are inherently uncertain. In the event of an adverse result in any litigation with third parties that could arise in the future, the Company could be</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473" w:gutter="0" w:footer="0" w:header="0"/>
        </w:sectPr>
      </w:pPr>
    </w:p>
    <w:bookmarkStart w:id="15" w:name="page16"/>
    <w:bookmarkEnd w:id="15"/>
    <w:p>
      <w:pPr>
        <w:ind w:right="3459"/>
        <w:spacing w:after="0" w:line="253" w:lineRule="auto"/>
        <w:rPr>
          <w:sz w:val="20"/>
          <w:szCs w:val="20"/>
          <w:color w:val="auto"/>
        </w:rPr>
      </w:pPr>
      <w:r>
        <w:rPr>
          <w:rFonts w:ascii="Courier New" w:cs="Courier New" w:eastAsia="Courier New" w:hAnsi="Courier New"/>
          <w:sz w:val="14"/>
          <w:szCs w:val="14"/>
          <w:color w:val="auto"/>
        </w:rPr>
        <w:t>required to pay substantial damages, including treble damages if it is held to have willfully infringed, to cease the manufacture, use and sale of infringing products, to expend significant resources to develop non-infringing technology, or to obtain licenses to the infringing technology. In addition, lawsuits, regardless of their success, would likely be time consuming and expensive to resolve and would divert management time and attention from the Company's business.</w:t>
      </w:r>
    </w:p>
    <w:p>
      <w:pPr>
        <w:spacing w:after="0" w:line="165" w:lineRule="exact"/>
        <w:rPr>
          <w:sz w:val="20"/>
          <w:szCs w:val="20"/>
          <w:color w:val="auto"/>
        </w:rPr>
      </w:pPr>
    </w:p>
    <w:p>
      <w:pPr>
        <w:ind w:right="3639" w:firstLine="260"/>
        <w:spacing w:after="0" w:line="258" w:lineRule="auto"/>
        <w:rPr>
          <w:sz w:val="20"/>
          <w:szCs w:val="20"/>
          <w:color w:val="auto"/>
        </w:rPr>
      </w:pPr>
      <w:r>
        <w:rPr>
          <w:rFonts w:ascii="Courier New" w:cs="Courier New" w:eastAsia="Courier New" w:hAnsi="Courier New"/>
          <w:sz w:val="14"/>
          <w:szCs w:val="14"/>
          <w:color w:val="auto"/>
        </w:rPr>
        <w:t>Any failure to protect the Company's intellectual property adequately may significantly harm its business.</w:t>
      </w:r>
    </w:p>
    <w:p>
      <w:pPr>
        <w:spacing w:after="0" w:line="160" w:lineRule="exact"/>
        <w:rPr>
          <w:sz w:val="20"/>
          <w:szCs w:val="20"/>
          <w:color w:val="auto"/>
        </w:rPr>
      </w:pPr>
    </w:p>
    <w:p>
      <w:pPr>
        <w:ind w:right="3279" w:firstLine="260"/>
        <w:spacing w:after="0" w:line="252" w:lineRule="auto"/>
        <w:rPr>
          <w:sz w:val="20"/>
          <w:szCs w:val="20"/>
          <w:color w:val="auto"/>
        </w:rPr>
      </w:pPr>
      <w:r>
        <w:rPr>
          <w:rFonts w:ascii="Courier New" w:cs="Courier New" w:eastAsia="Courier New" w:hAnsi="Courier New"/>
          <w:sz w:val="14"/>
          <w:szCs w:val="14"/>
          <w:color w:val="auto"/>
        </w:rPr>
        <w:t>The Company protects its proprietary processes, software, know-how and other intellectual property and related rights through copyrights, patents, trademarks and the maintenance of trade secrets, including entering</w:t>
      </w:r>
    </w:p>
    <w:p>
      <w:pPr>
        <w:spacing w:after="0" w:line="1"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into confidentiality agreements. The Company's success and ability to compete depends in part on its proprietary technology. However, the Company cannot provide any assurance that other companies will not develop technologies that are similar to its technology. Although the Company has patent applications pending, patents may not issue as a result of these or other patent applications. Any patents that ultimately issue may be successfully challenged or invalidated, or may not provide the Company with a significant competitive advantage. Despite the Company's efforts to protect its intellectual property rights, existing laws in the United States of America and in differing international jurisdictions and its contractual arrangements provide only limited protection. Unauthorized parties may attempt to copy or otherwise obtain and use the Company's products or technology. Third parties may breach confidentiality agreements or other protective contracts with the Company and it may not be able to enforce its rights in the event of these breaches.</w:t>
      </w:r>
    </w:p>
    <w:p>
      <w:pPr>
        <w:spacing w:after="0" w:line="163" w:lineRule="exact"/>
        <w:rPr>
          <w:sz w:val="20"/>
          <w:szCs w:val="20"/>
          <w:color w:val="auto"/>
        </w:rPr>
      </w:pPr>
    </w:p>
    <w:p>
      <w:pPr>
        <w:ind w:right="3279" w:firstLine="260"/>
        <w:spacing w:after="0" w:line="252" w:lineRule="auto"/>
        <w:rPr>
          <w:sz w:val="20"/>
          <w:szCs w:val="20"/>
          <w:color w:val="auto"/>
        </w:rPr>
      </w:pPr>
      <w:r>
        <w:rPr>
          <w:rFonts w:ascii="Courier New" w:cs="Courier New" w:eastAsia="Courier New" w:hAnsi="Courier New"/>
          <w:sz w:val="14"/>
          <w:szCs w:val="14"/>
          <w:color w:val="auto"/>
        </w:rPr>
        <w:t>Monitoring unauthorized use of the Company's products is difficult and may be expensive, and the Company cannot be certain that the steps it has taken will prevent unauthorized use of its intellectual property, particularly in foreign countries where the laws may not protect the Company's proprietary rights as fully as in the United States of America. The Company may be required to spend significant resources to protect its intellectual property rights, including pursuing remedies in court. Frequency Electronics may become involved in legal proceedings against other parties, which may also cause other parties to assert claims against it. In the future the Company may not be able to detect infringements and may lose its competitive position in its markets before it does so. In addition, competitors may design around the Company's technologies or develop competing technologies. The laws of other countries in which the Company markets its products might offer little or no effective protection of its proprietary technology. Reverse engineering, unauthorized copying or other misappropriation of the Company's proprietary technology could enable third parties to benefit from its technology without payment, which could significantly harm the Company's business. The Company's failure to enforce and protect its intellectual property rights or any adverse change in the laws protecting intellectual property rights could harm its business. Furthermore, the Company may become involved in legal proceedings against other parties, which may also cause other parties to assert claims against it.</w:t>
      </w:r>
    </w:p>
    <w:p>
      <w:pPr>
        <w:spacing w:after="0" w:line="175" w:lineRule="exact"/>
        <w:rPr>
          <w:sz w:val="20"/>
          <w:szCs w:val="20"/>
          <w:color w:val="auto"/>
        </w:rPr>
      </w:pPr>
    </w:p>
    <w:p>
      <w:pPr>
        <w:ind w:right="3279" w:firstLine="260"/>
        <w:spacing w:after="0" w:line="258" w:lineRule="auto"/>
        <w:rPr>
          <w:sz w:val="20"/>
          <w:szCs w:val="20"/>
          <w:color w:val="auto"/>
        </w:rPr>
      </w:pPr>
      <w:r>
        <w:rPr>
          <w:rFonts w:ascii="Courier New" w:cs="Courier New" w:eastAsia="Courier New" w:hAnsi="Courier New"/>
          <w:sz w:val="14"/>
          <w:szCs w:val="14"/>
          <w:color w:val="auto"/>
        </w:rPr>
        <w:t>Future sales of substantial amounts of the Company's common stock by it or by its existing stockholders could cause the Company's stock price to fall.</w:t>
      </w:r>
    </w:p>
    <w:p>
      <w:pPr>
        <w:spacing w:after="0" w:line="160" w:lineRule="exact"/>
        <w:rPr>
          <w:sz w:val="20"/>
          <w:szCs w:val="20"/>
          <w:color w:val="auto"/>
        </w:rPr>
      </w:pPr>
    </w:p>
    <w:p>
      <w:pPr>
        <w:ind w:right="3379" w:firstLine="260"/>
        <w:spacing w:after="0" w:line="253" w:lineRule="auto"/>
        <w:rPr>
          <w:sz w:val="20"/>
          <w:szCs w:val="20"/>
          <w:color w:val="auto"/>
        </w:rPr>
      </w:pPr>
      <w:r>
        <w:rPr>
          <w:rFonts w:ascii="Courier New" w:cs="Courier New" w:eastAsia="Courier New" w:hAnsi="Courier New"/>
          <w:sz w:val="14"/>
          <w:szCs w:val="14"/>
          <w:color w:val="auto"/>
        </w:rPr>
        <w:t>Additional equity financings or other share issuances by the Company could adversely affect the market price of its Common Stock. Sales by existing stockholders of a large number of shares of Frequency Electronics' Common Stock in the public trading market (or in private transactions) such as this offering by the Selling Stockholders, or the perception that such additional sales could occur, could cause the market price of the Company's common stock to drop.</w:t>
      </w:r>
    </w:p>
    <w:p>
      <w:pPr>
        <w:spacing w:after="0" w:line="165" w:lineRule="exact"/>
        <w:rPr>
          <w:sz w:val="20"/>
          <w:szCs w:val="20"/>
          <w:color w:val="auto"/>
        </w:rPr>
      </w:pPr>
    </w:p>
    <w:p>
      <w:pPr>
        <w:ind w:right="3799" w:firstLine="260"/>
        <w:spacing w:after="0" w:line="255" w:lineRule="auto"/>
        <w:rPr>
          <w:sz w:val="20"/>
          <w:szCs w:val="20"/>
          <w:color w:val="auto"/>
        </w:rPr>
      </w:pPr>
      <w:r>
        <w:rPr>
          <w:rFonts w:ascii="Courier New" w:cs="Courier New" w:eastAsia="Courier New" w:hAnsi="Courier New"/>
          <w:sz w:val="14"/>
          <w:szCs w:val="14"/>
          <w:color w:val="auto"/>
        </w:rPr>
        <w:t>Some of the Company's revenue is generated from a limited number of key customers and the loss of a key customer could substantially reduce its revenues.</w:t>
      </w:r>
    </w:p>
    <w:p>
      <w:pPr>
        <w:spacing w:after="0" w:line="162" w:lineRule="exact"/>
        <w:rPr>
          <w:sz w:val="20"/>
          <w:szCs w:val="20"/>
          <w:color w:val="auto"/>
        </w:rPr>
      </w:pPr>
    </w:p>
    <w:p>
      <w:pPr>
        <w:ind w:right="3279" w:firstLine="260"/>
        <w:spacing w:after="0" w:line="253" w:lineRule="auto"/>
        <w:rPr>
          <w:sz w:val="20"/>
          <w:szCs w:val="20"/>
          <w:color w:val="auto"/>
        </w:rPr>
      </w:pPr>
      <w:r>
        <w:rPr>
          <w:rFonts w:ascii="Courier New" w:cs="Courier New" w:eastAsia="Courier New" w:hAnsi="Courier New"/>
          <w:sz w:val="14"/>
          <w:szCs w:val="14"/>
          <w:color w:val="auto"/>
        </w:rPr>
        <w:t>A large portion of the Company's sales are generated from a small number of key customers at each of the Company's segments, including, without limitation, three customers of the Commercial Communications segment, Space Systems/Loral, Lucent Technologies and Motorola Corp., which accounted for 16%, 14% and 13% of consolidated sales for fiscal 2006, respectively. In fiscal year 2006, Northrop, Raytheon, BAE and the Air Force Space and Missile Center were significant customers of the Company's U.S. Government segment; France Telecom and Belgacom were significant customers of the Company's Gillam-FEI segment; and Computer Sciences Corporation and L-3 Communications were significant customers of the FEI-Zyfer segment. The Company's top 10 customers accounted for 63% of its consolidated sales for fiscal year 2006. The Company expects that its top 10 customers in the aggregate will continue to account for a large portion of its consolidated sales in the foreseeable future, and the loss of one or more of these customers would materially</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6" w:name="page17"/>
    <w:bookmarkEnd w:id="16"/>
    <w:p>
      <w:pPr>
        <w:ind w:right="3379"/>
        <w:spacing w:after="0" w:line="254" w:lineRule="auto"/>
        <w:rPr>
          <w:sz w:val="20"/>
          <w:szCs w:val="20"/>
          <w:color w:val="auto"/>
        </w:rPr>
      </w:pPr>
      <w:r>
        <w:rPr>
          <w:rFonts w:ascii="Courier New" w:cs="Courier New" w:eastAsia="Courier New" w:hAnsi="Courier New"/>
          <w:sz w:val="14"/>
          <w:szCs w:val="14"/>
          <w:color w:val="auto"/>
        </w:rPr>
        <w:t>harm the Company's business and operating results. The loss of a key customer could also be perceived as a loss of momentum in the Company's business and an adverse impact on its financial results, and this may cause the market price of the Company's common stock to fall.</w:t>
      </w:r>
    </w:p>
    <w:p>
      <w:pPr>
        <w:spacing w:after="0" w:line="163" w:lineRule="exact"/>
        <w:rPr>
          <w:sz w:val="20"/>
          <w:szCs w:val="20"/>
          <w:color w:val="auto"/>
        </w:rPr>
      </w:pPr>
    </w:p>
    <w:p>
      <w:pPr>
        <w:ind w:right="3899" w:firstLine="260"/>
        <w:spacing w:after="0" w:line="258" w:lineRule="auto"/>
        <w:rPr>
          <w:sz w:val="20"/>
          <w:szCs w:val="20"/>
          <w:color w:val="auto"/>
        </w:rPr>
      </w:pPr>
      <w:r>
        <w:rPr>
          <w:rFonts w:ascii="Courier New" w:cs="Courier New" w:eastAsia="Courier New" w:hAnsi="Courier New"/>
          <w:sz w:val="14"/>
          <w:szCs w:val="14"/>
          <w:color w:val="auto"/>
        </w:rPr>
        <w:t>The Company is subject to anti-takeover provisions that could delay or prevent an acquisition of the Company</w:t>
      </w:r>
    </w:p>
    <w:p>
      <w:pPr>
        <w:spacing w:after="0" w:line="160" w:lineRule="exact"/>
        <w:rPr>
          <w:sz w:val="20"/>
          <w:szCs w:val="20"/>
          <w:color w:val="auto"/>
        </w:rPr>
      </w:pPr>
    </w:p>
    <w:p>
      <w:pPr>
        <w:ind w:right="3279" w:firstLine="260"/>
        <w:spacing w:after="0" w:line="254" w:lineRule="auto"/>
        <w:rPr>
          <w:sz w:val="20"/>
          <w:szCs w:val="20"/>
          <w:color w:val="auto"/>
        </w:rPr>
      </w:pPr>
      <w:r>
        <w:rPr>
          <w:rFonts w:ascii="Courier New" w:cs="Courier New" w:eastAsia="Courier New" w:hAnsi="Courier New"/>
          <w:sz w:val="14"/>
          <w:szCs w:val="14"/>
          <w:color w:val="auto"/>
        </w:rPr>
        <w:t>The Company is subject to the anti-takeover provisions of the Delaware General Corporation Law, which could have the effect of delaying or preventing a change of control of Frequency Electronics. These factors could materially adversely affect the price of the Company's common stock.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1B. Unresolved Staff Comments</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 applicable.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ind w:right="3639" w:firstLine="347"/>
        <w:spacing w:after="0" w:line="254" w:lineRule="auto"/>
        <w:rPr>
          <w:sz w:val="20"/>
          <w:szCs w:val="20"/>
          <w:color w:val="auto"/>
        </w:rPr>
      </w:pPr>
      <w:r>
        <w:rPr>
          <w:rFonts w:ascii="Courier New" w:cs="Courier New" w:eastAsia="Courier New" w:hAnsi="Courier New"/>
          <w:sz w:val="14"/>
          <w:szCs w:val="14"/>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3"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Location</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Size (sq. ft.)</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Own or Lease</w:t>
            </w:r>
          </w:p>
        </w:tc>
      </w:tr>
      <w:tr>
        <w:trPr>
          <w:trHeight w:val="167"/>
        </w:trPr>
        <w:tc>
          <w:tcPr>
            <w:tcW w:w="21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r>
      <w:tr>
        <w:trPr>
          <w:trHeight w:val="334"/>
        </w:trPr>
        <w:tc>
          <w:tcPr>
            <w:tcW w:w="2160" w:type="dxa"/>
            <w:vAlign w:val="bottom"/>
          </w:tcPr>
          <w:p>
            <w:pPr>
              <w:spacing w:after="0"/>
              <w:rPr>
                <w:sz w:val="20"/>
                <w:szCs w:val="20"/>
                <w:color w:val="auto"/>
              </w:rPr>
            </w:pPr>
            <w:r>
              <w:rPr>
                <w:rFonts w:ascii="Courier New" w:cs="Courier New" w:eastAsia="Courier New" w:hAnsi="Courier New"/>
                <w:sz w:val="14"/>
                <w:szCs w:val="14"/>
                <w:color w:val="auto"/>
              </w:rPr>
              <w:t>Long Island, NY</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93,000</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Lease</w:t>
            </w:r>
          </w:p>
        </w:tc>
      </w:tr>
      <w:tr>
        <w:trPr>
          <w:trHeight w:val="334"/>
        </w:trPr>
        <w:tc>
          <w:tcPr>
            <w:tcW w:w="2160" w:type="dxa"/>
            <w:vAlign w:val="bottom"/>
          </w:tcPr>
          <w:p>
            <w:pPr>
              <w:spacing w:after="0"/>
              <w:rPr>
                <w:sz w:val="20"/>
                <w:szCs w:val="20"/>
                <w:color w:val="auto"/>
              </w:rPr>
            </w:pPr>
            <w:r>
              <w:rPr>
                <w:rFonts w:ascii="Courier New" w:cs="Courier New" w:eastAsia="Courier New" w:hAnsi="Courier New"/>
                <w:sz w:val="14"/>
                <w:szCs w:val="14"/>
                <w:color w:val="auto"/>
              </w:rPr>
              <w:t>Anaheim, CA</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20,885</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Lease</w:t>
            </w:r>
          </w:p>
        </w:tc>
      </w:tr>
      <w:tr>
        <w:trPr>
          <w:trHeight w:val="334"/>
        </w:trPr>
        <w:tc>
          <w:tcPr>
            <w:tcW w:w="2160" w:type="dxa"/>
            <w:vAlign w:val="bottom"/>
          </w:tcPr>
          <w:p>
            <w:pPr>
              <w:spacing w:after="0"/>
              <w:rPr>
                <w:sz w:val="20"/>
                <w:szCs w:val="20"/>
                <w:color w:val="auto"/>
              </w:rPr>
            </w:pPr>
            <w:r>
              <w:rPr>
                <w:rFonts w:ascii="Courier New" w:cs="Courier New" w:eastAsia="Courier New" w:hAnsi="Courier New"/>
                <w:sz w:val="14"/>
                <w:szCs w:val="14"/>
                <w:color w:val="auto"/>
              </w:rPr>
              <w:t>Liege, Belgium</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34,000</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Own</w:t>
            </w:r>
          </w:p>
        </w:tc>
      </w:tr>
      <w:tr>
        <w:trPr>
          <w:trHeight w:val="334"/>
        </w:trPr>
        <w:tc>
          <w:tcPr>
            <w:tcW w:w="2160" w:type="dxa"/>
            <w:vAlign w:val="bottom"/>
          </w:tcPr>
          <w:p>
            <w:pPr>
              <w:spacing w:after="0"/>
              <w:rPr>
                <w:sz w:val="20"/>
                <w:szCs w:val="20"/>
                <w:color w:val="auto"/>
              </w:rPr>
            </w:pPr>
            <w:r>
              <w:rPr>
                <w:rFonts w:ascii="Courier New" w:cs="Courier New" w:eastAsia="Courier New" w:hAnsi="Courier New"/>
                <w:sz w:val="14"/>
                <w:szCs w:val="14"/>
                <w:color w:val="auto"/>
              </w:rPr>
              <w:t>Chalon Sur Saone, France</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5,000</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Lease</w:t>
            </w:r>
          </w:p>
        </w:tc>
      </w:tr>
      <w:tr>
        <w:trPr>
          <w:trHeight w:val="334"/>
        </w:trPr>
        <w:tc>
          <w:tcPr>
            <w:tcW w:w="2160" w:type="dxa"/>
            <w:vAlign w:val="bottom"/>
          </w:tcPr>
          <w:p>
            <w:pPr>
              <w:spacing w:after="0"/>
              <w:rPr>
                <w:sz w:val="20"/>
                <w:szCs w:val="20"/>
                <w:color w:val="auto"/>
              </w:rPr>
            </w:pPr>
            <w:r>
              <w:rPr>
                <w:rFonts w:ascii="Courier New" w:cs="Courier New" w:eastAsia="Courier New" w:hAnsi="Courier New"/>
                <w:sz w:val="14"/>
                <w:szCs w:val="14"/>
                <w:color w:val="auto"/>
              </w:rPr>
              <w:t>Tianjin, China</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27,000</w:t>
            </w:r>
          </w:p>
        </w:tc>
        <w:tc>
          <w:tcPr>
            <w:tcW w:w="1400" w:type="dxa"/>
            <w:vAlign w:val="bottom"/>
          </w:tcPr>
          <w:p>
            <w:pPr>
              <w:ind w:left="700"/>
              <w:spacing w:after="0"/>
              <w:rPr>
                <w:sz w:val="20"/>
                <w:szCs w:val="20"/>
                <w:color w:val="auto"/>
              </w:rPr>
            </w:pPr>
            <w:r>
              <w:rPr>
                <w:rFonts w:ascii="Courier New" w:cs="Courier New" w:eastAsia="Courier New" w:hAnsi="Courier New"/>
                <w:sz w:val="14"/>
                <w:szCs w:val="14"/>
                <w:color w:val="auto"/>
              </w:rPr>
              <w:t>Lease</w:t>
            </w:r>
          </w:p>
        </w:tc>
      </w:tr>
    </w:tbl>
    <w:p>
      <w:pPr>
        <w:spacing w:after="0" w:line="171"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leases its manufacturing and office space from Reckson under an 11-year lease at an annual rental of $400,000 per year with the Company paying its pro rata share of real estate taxes along with the costs of utilities and insurance. The lease provides for two 5-year renewal periods, exercisable at the option of the Company, with annual rentals of $600,000 during the first renewal period and $800,000 during the second renewal period. Under the terms of the lease, new office and engineering facilities for the Company were constructed at the cost of Reckson. The leased space is adequate to meet the Company's domestic operational needs which encompass the principal operations of the Commercial Communications and U.S. Government segments and also serves as the Company's world-wide corporate headquarters.</w:t>
      </w:r>
    </w:p>
    <w:p>
      <w:pPr>
        <w:spacing w:after="0" w:line="164"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sale of its building to Reckson, a real estate investment trust ("REIT") whose shares are traded on the New York Stock Exchange, was effected through a tax-deferred exchange of the building for approximately 513,000 participation units of Reckson Operating Partnership, L.P. ("REIT units") which were valued at closing at $12 million. Each REIT unit was convertible into one share of the common stock of the REIT. Under the accounting provisions for sale and leaseback transactions, the sale of this building was considered a financing and the REIT units received were reflected as a noncurrent liability while the related building continued to be reflected as an asset. In March 2005, the Company exercised its option to convert all of the REIT units into 513,000 shares of the REIT. Upon conversion of the REIT units, the Company recognized a gain of $4.6 million and deferred an additional $1.3 million gain. The deferred gain will be recognized into income over the remaining term of the initial leaseback period. As a result of the conversion of the REIT units, both the building and the noncurrent liability were removed from the balance sheet of the Company. (See Note 6 to the accompanying financial statements.)</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1440" w:gutter="0" w:footer="0" w:header="0"/>
        </w:sectPr>
      </w:pPr>
    </w:p>
    <w:bookmarkStart w:id="17" w:name="page18"/>
    <w:bookmarkEnd w:id="17"/>
    <w:p>
      <w:pPr>
        <w:ind w:right="3379" w:firstLine="347"/>
        <w:spacing w:after="0" w:line="253" w:lineRule="auto"/>
        <w:rPr>
          <w:sz w:val="20"/>
          <w:szCs w:val="20"/>
          <w:color w:val="auto"/>
        </w:rPr>
      </w:pPr>
      <w:r>
        <w:rPr>
          <w:rFonts w:ascii="Courier New" w:cs="Courier New" w:eastAsia="Courier New" w:hAnsi="Courier New"/>
          <w:sz w:val="14"/>
          <w:szCs w:val="14"/>
          <w:color w:val="auto"/>
        </w:rPr>
        <w:t>When the Company completed the acquisition of Gillam-FEI it also acquired the property located in Belgium as well as a manufacturing facility in France. During fiscal year 2006, the Company sold the French building to the former president of Gillam-FEI at an appraised value of $975,000 and recognized a gain of approximately $680,000. The France sales office is now housed in a leased facility. These facilities are adequate to meet the present and future operational requirements of Gillam-FEI.</w:t>
      </w:r>
    </w:p>
    <w:p>
      <w:pPr>
        <w:spacing w:after="0" w:line="16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Tianjin, China facility is the location of the Company's wholly-owned subsidiary, FEI-Asia. In late fiscal year 2005, the subsidiary acquired additional leased space within a manufacturing facility located in the Tianjin Free-Trade Zone. The lease is renewable annually with rent of $14,000 payable quarterly. The new facility is adequate for the near-term manufacturing expectations for the Company.</w:t>
      </w:r>
    </w:p>
    <w:p>
      <w:pPr>
        <w:spacing w:after="0" w:line="16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Anaheim, California facility is leased by the Company's subsidiary, FEI-Zyfer, Inc. The facility consists of a combination office and manufacturing space. The lease, which expires in May 2007, requires monthly payments of $22,600.</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No material legal proceedings are pending.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No matters were required to be submitted by Registrant to a vote of security holders during the fourth quarter of fiscal year 2006.</w:t>
      </w:r>
    </w:p>
    <w:p>
      <w:pPr>
        <w:spacing w:after="0" w:line="160"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ind w:left="700" w:right="3459" w:hanging="693"/>
        <w:spacing w:after="0" w:line="258" w:lineRule="auto"/>
        <w:rPr>
          <w:sz w:val="20"/>
          <w:szCs w:val="20"/>
          <w:color w:val="auto"/>
        </w:rPr>
      </w:pPr>
      <w:r>
        <w:rPr>
          <w:rFonts w:ascii="Courier New" w:cs="Courier New" w:eastAsia="Courier New" w:hAnsi="Courier New"/>
          <w:sz w:val="14"/>
          <w:szCs w:val="14"/>
          <w:color w:val="auto"/>
        </w:rPr>
        <w:t>Item 5. Market for Registrant's Common Equity, Related Stockholder Matters and Issuer Purchases of Equity Securities</w:t>
      </w:r>
    </w:p>
    <w:p>
      <w:pPr>
        <w:spacing w:after="0" w:line="16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Common Stock of the Company is listed on the American Stock Exchange under the symbol "FEI". The Company is in the process of listing its Common Stock on The Nasdaq Global Market. The Company anticipates that its Common Stock will continue to be traded on the American Stock Exchange through the close of business on Monday, July 31, 2006 and expects that the first day of trading of its Common Stock on The Nasdaq Global Market will be Tuesday, August 1, 2006, under the ticker symbol "FEIM."</w:t>
      </w:r>
    </w:p>
    <w:p>
      <w:pPr>
        <w:spacing w:after="0" w:line="165" w:lineRule="exact"/>
        <w:rPr>
          <w:sz w:val="20"/>
          <w:szCs w:val="20"/>
          <w:color w:val="auto"/>
        </w:rPr>
      </w:pPr>
    </w:p>
    <w:p>
      <w:pPr>
        <w:ind w:right="3719" w:firstLine="347"/>
        <w:spacing w:after="0" w:line="255" w:lineRule="auto"/>
        <w:rPr>
          <w:sz w:val="20"/>
          <w:szCs w:val="20"/>
          <w:color w:val="auto"/>
        </w:rPr>
      </w:pPr>
      <w:r>
        <w:rPr>
          <w:rFonts w:ascii="Courier New" w:cs="Courier New" w:eastAsia="Courier New" w:hAnsi="Courier New"/>
          <w:sz w:val="14"/>
          <w:szCs w:val="14"/>
          <w:color w:val="auto"/>
        </w:rPr>
        <w:t>The following table shows the high and low sale price for the Company's Common Stock for the quarters indicated, as reported by the American Stock Exchange.</w:t>
      </w:r>
    </w:p>
    <w:p>
      <w:pPr>
        <w:spacing w:after="0" w:line="162"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1940" w:type="dxa"/>
            <w:vAlign w:val="bottom"/>
          </w:tcPr>
          <w:p>
            <w:pPr>
              <w:spacing w:after="0"/>
              <w:rPr>
                <w:sz w:val="20"/>
                <w:szCs w:val="20"/>
                <w:color w:val="auto"/>
              </w:rPr>
            </w:pPr>
            <w:r>
              <w:rPr>
                <w:rFonts w:ascii="Courier New" w:cs="Courier New" w:eastAsia="Courier New" w:hAnsi="Courier New"/>
                <w:sz w:val="14"/>
                <w:szCs w:val="14"/>
                <w:color w:val="auto"/>
              </w:rPr>
              <w:t>FISCAL QUARTER</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HIGH SALE</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LOW SALE</w:t>
            </w:r>
          </w:p>
        </w:tc>
      </w:tr>
      <w:tr>
        <w:trPr>
          <w:trHeight w:val="167"/>
        </w:trPr>
        <w:tc>
          <w:tcPr>
            <w:tcW w:w="19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2006 -</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$13.75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$10.56</w:t>
            </w: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12.95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10.14</w:t>
            </w: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12.60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9.90</w:t>
            </w: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14.35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11.00</w:t>
            </w:r>
          </w:p>
        </w:tc>
      </w:tr>
      <w:tr>
        <w:trPr>
          <w:trHeight w:val="334"/>
        </w:trPr>
        <w:tc>
          <w:tcPr>
            <w:tcW w:w="1940" w:type="dxa"/>
            <w:vAlign w:val="bottom"/>
          </w:tcPr>
          <w:p>
            <w:pPr>
              <w:spacing w:after="0"/>
              <w:rPr>
                <w:sz w:val="20"/>
                <w:szCs w:val="20"/>
                <w:color w:val="auto"/>
              </w:rPr>
            </w:pPr>
            <w:r>
              <w:rPr>
                <w:rFonts w:ascii="Courier New" w:cs="Courier New" w:eastAsia="Courier New" w:hAnsi="Courier New"/>
                <w:sz w:val="14"/>
                <w:szCs w:val="14"/>
                <w:color w:val="auto"/>
              </w:rPr>
              <w:t>2005 -</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FIRST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$14.70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$11.65</w:t>
            </w: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SECOND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13.40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10.22</w:t>
            </w: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THIRD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16.05</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12.00</w:t>
            </w:r>
          </w:p>
        </w:tc>
      </w:tr>
      <w:tr>
        <w:trPr>
          <w:trHeight w:val="334"/>
        </w:trPr>
        <w:tc>
          <w:tcPr>
            <w:tcW w:w="1940" w:type="dxa"/>
            <w:vAlign w:val="bottom"/>
          </w:tcPr>
          <w:p>
            <w:pPr>
              <w:ind w:left="420"/>
              <w:spacing w:after="0"/>
              <w:rPr>
                <w:sz w:val="20"/>
                <w:szCs w:val="20"/>
                <w:color w:val="auto"/>
              </w:rPr>
            </w:pPr>
            <w:r>
              <w:rPr>
                <w:rFonts w:ascii="Courier New" w:cs="Courier New" w:eastAsia="Courier New" w:hAnsi="Courier New"/>
                <w:sz w:val="14"/>
                <w:szCs w:val="14"/>
                <w:color w:val="auto"/>
              </w:rPr>
              <w:t>FOURTH QUARTER</w:t>
            </w:r>
          </w:p>
        </w:tc>
        <w:tc>
          <w:tcPr>
            <w:tcW w:w="15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15.90</w:t>
            </w:r>
          </w:p>
        </w:tc>
        <w:tc>
          <w:tcPr>
            <w:tcW w:w="11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9.80</w:t>
            </w:r>
          </w:p>
        </w:tc>
      </w:tr>
    </w:tbl>
    <w:p>
      <w:pPr>
        <w:spacing w:after="0" w:line="171"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As of July 24, 2006, the approximate number of holders of record of common stock was 600. The closing share price of the Company's stock on April 28, 2006 was $13.85. The closing share price of the Company's stock on July 24, 2006 was $11.49.</w:t>
      </w:r>
    </w:p>
    <w:p>
      <w:pPr>
        <w:spacing w:after="0" w:line="33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2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4"/>
          <w:szCs w:val="14"/>
          <w:color w:val="auto"/>
        </w:rPr>
        <w:t>DIVIDEND POLICY</w:t>
      </w:r>
    </w:p>
    <w:p>
      <w:pPr>
        <w:spacing w:after="0" w:line="175" w:lineRule="exact"/>
        <w:rPr>
          <w:sz w:val="20"/>
          <w:szCs w:val="20"/>
          <w:color w:val="auto"/>
        </w:rPr>
      </w:pPr>
    </w:p>
    <w:p>
      <w:pPr>
        <w:ind w:right="4180" w:firstLine="347"/>
        <w:spacing w:after="0" w:line="254" w:lineRule="auto"/>
        <w:rPr>
          <w:sz w:val="20"/>
          <w:szCs w:val="20"/>
          <w:color w:val="auto"/>
        </w:rPr>
      </w:pPr>
      <w:r>
        <w:rPr>
          <w:rFonts w:ascii="Courier New" w:cs="Courier New" w:eastAsia="Courier New" w:hAnsi="Courier New"/>
          <w:sz w:val="14"/>
          <w:szCs w:val="14"/>
          <w:color w:val="auto"/>
        </w:rPr>
        <w:t>Since 1997, the Company has adhered to a policy of distributing a cash dividend to shareholders of record as of April 30 and October 31, payable on June 1 and December 1, respectively. The Board of Directors will determine dividend amounts prior to each declaration based on the Company's financial condition and financial performance.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BUYBACK PROGRAM</w:t>
      </w:r>
    </w:p>
    <w:p>
      <w:pPr>
        <w:spacing w:after="0" w:line="175" w:lineRule="exact"/>
        <w:rPr>
          <w:sz w:val="20"/>
          <w:szCs w:val="20"/>
          <w:color w:val="auto"/>
        </w:rPr>
      </w:pPr>
    </w:p>
    <w:p>
      <w:pPr>
        <w:ind w:right="3820" w:firstLine="347"/>
        <w:spacing w:after="0" w:line="252" w:lineRule="auto"/>
        <w:rPr>
          <w:sz w:val="20"/>
          <w:szCs w:val="20"/>
          <w:color w:val="auto"/>
        </w:rPr>
      </w:pPr>
      <w:r>
        <w:rPr>
          <w:rFonts w:ascii="Courier New" w:cs="Courier New" w:eastAsia="Courier New" w:hAnsi="Courier New"/>
          <w:sz w:val="14"/>
          <w:szCs w:val="14"/>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w:t>
      </w:r>
    </w:p>
    <w:p>
      <w:pPr>
        <w:spacing w:after="0" w:line="2" w:lineRule="exact"/>
        <w:rPr>
          <w:sz w:val="20"/>
          <w:szCs w:val="20"/>
          <w:color w:val="auto"/>
        </w:rPr>
      </w:pPr>
    </w:p>
    <w:p>
      <w:pPr>
        <w:ind w:right="3820"/>
        <w:spacing w:after="0" w:line="253" w:lineRule="auto"/>
        <w:rPr>
          <w:sz w:val="20"/>
          <w:szCs w:val="20"/>
          <w:color w:val="auto"/>
        </w:rPr>
      </w:pPr>
      <w:r>
        <w:rPr>
          <w:rFonts w:ascii="Courier New" w:cs="Courier New" w:eastAsia="Courier New" w:hAnsi="Courier New"/>
          <w:sz w:val="14"/>
          <w:szCs w:val="14"/>
          <w:color w:val="auto"/>
        </w:rPr>
        <w:t>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2005, the Company repurchased 6,300 shares under the buyback program, paying an average of $10.38 per share. No shares were repurchased during fiscal year 2006.</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COMPENSATION PLAN INFORMATION</w:t>
      </w:r>
    </w:p>
    <w:p>
      <w:pPr>
        <w:spacing w:after="0" w:line="200" w:lineRule="exact"/>
        <w:rPr>
          <w:sz w:val="20"/>
          <w:szCs w:val="20"/>
          <w:color w:val="auto"/>
        </w:rPr>
      </w:pPr>
    </w:p>
    <w:p>
      <w:pPr>
        <w:spacing w:after="0" w:line="309"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Number of Securities</w:t>
            </w:r>
          </w:p>
        </w:tc>
      </w:tr>
      <w:tr>
        <w:trPr>
          <w:trHeight w:val="167"/>
        </w:trPr>
        <w:tc>
          <w:tcPr>
            <w:tcW w:w="19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3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Remaining available for</w:t>
            </w:r>
          </w:p>
        </w:tc>
      </w:tr>
      <w:tr>
        <w:trPr>
          <w:trHeight w:val="167"/>
        </w:trPr>
        <w:tc>
          <w:tcPr>
            <w:tcW w:w="1920" w:type="dxa"/>
            <w:vAlign w:val="bottom"/>
          </w:tcPr>
          <w:p>
            <w:pPr>
              <w:spacing w:after="0"/>
              <w:rPr>
                <w:sz w:val="14"/>
                <w:szCs w:val="14"/>
                <w:color w:val="auto"/>
              </w:rPr>
            </w:pPr>
          </w:p>
        </w:tc>
        <w:tc>
          <w:tcPr>
            <w:tcW w:w="3040" w:type="dxa"/>
            <w:vAlign w:val="bottom"/>
            <w:gridSpan w:val="2"/>
          </w:tcPr>
          <w:p>
            <w:pPr>
              <w:ind w:left="780"/>
              <w:spacing w:after="0"/>
              <w:rPr>
                <w:sz w:val="20"/>
                <w:szCs w:val="20"/>
                <w:color w:val="auto"/>
              </w:rPr>
            </w:pPr>
            <w:r>
              <w:rPr>
                <w:rFonts w:ascii="Courier New" w:cs="Courier New" w:eastAsia="Courier New" w:hAnsi="Courier New"/>
                <w:sz w:val="14"/>
                <w:szCs w:val="14"/>
                <w:color w:val="auto"/>
              </w:rPr>
              <w:t>Number of Securities to</w:t>
            </w:r>
          </w:p>
        </w:tc>
        <w:tc>
          <w:tcPr>
            <w:tcW w:w="2120" w:type="dxa"/>
            <w:vAlign w:val="bottom"/>
          </w:tcPr>
          <w:p>
            <w:pPr>
              <w:ind w:left="340"/>
              <w:spacing w:after="0"/>
              <w:rPr>
                <w:sz w:val="20"/>
                <w:szCs w:val="20"/>
                <w:color w:val="auto"/>
              </w:rPr>
            </w:pPr>
            <w:r>
              <w:rPr>
                <w:rFonts w:ascii="Courier New" w:cs="Courier New" w:eastAsia="Courier New" w:hAnsi="Courier New"/>
                <w:sz w:val="14"/>
                <w:szCs w:val="14"/>
                <w:color w:val="auto"/>
              </w:rPr>
              <w:t>Weighted-Average</w:t>
            </w:r>
          </w:p>
        </w:tc>
        <w:tc>
          <w:tcPr>
            <w:tcW w:w="23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Future Issuance under</w:t>
            </w:r>
          </w:p>
        </w:tc>
      </w:tr>
      <w:tr>
        <w:trPr>
          <w:trHeight w:val="167"/>
        </w:trPr>
        <w:tc>
          <w:tcPr>
            <w:tcW w:w="19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be Issued upon</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exercise</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Exercise Price of</w:t>
            </w:r>
          </w:p>
        </w:tc>
        <w:tc>
          <w:tcPr>
            <w:tcW w:w="23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Equity Compensation Plans</w:t>
            </w:r>
          </w:p>
        </w:tc>
      </w:tr>
      <w:tr>
        <w:trPr>
          <w:trHeight w:val="167"/>
        </w:trPr>
        <w:tc>
          <w:tcPr>
            <w:tcW w:w="1920" w:type="dxa"/>
            <w:vAlign w:val="bottom"/>
          </w:tcPr>
          <w:p>
            <w:pPr>
              <w:spacing w:after="0"/>
              <w:rPr>
                <w:sz w:val="14"/>
                <w:szCs w:val="14"/>
                <w:color w:val="auto"/>
              </w:rPr>
            </w:pP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of Outstanding</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Options</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Outstanding Options</w:t>
            </w:r>
          </w:p>
        </w:tc>
        <w:tc>
          <w:tcPr>
            <w:tcW w:w="2380" w:type="dxa"/>
            <w:vAlign w:val="bottom"/>
          </w:tcPr>
          <w:p>
            <w:pPr>
              <w:jc w:val="center"/>
              <w:ind w:left="148"/>
              <w:spacing w:after="0"/>
              <w:rPr>
                <w:sz w:val="20"/>
                <w:szCs w:val="20"/>
                <w:color w:val="auto"/>
              </w:rPr>
            </w:pPr>
            <w:r>
              <w:rPr>
                <w:rFonts w:ascii="Courier New" w:cs="Courier New" w:eastAsia="Courier New" w:hAnsi="Courier New"/>
                <w:sz w:val="14"/>
                <w:szCs w:val="14"/>
                <w:color w:val="auto"/>
              </w:rPr>
              <w:t>(Excluding Securities</w:t>
            </w:r>
          </w:p>
        </w:tc>
      </w:tr>
      <w:tr>
        <w:trPr>
          <w:trHeight w:val="167"/>
        </w:trPr>
        <w:tc>
          <w:tcPr>
            <w:tcW w:w="1920" w:type="dxa"/>
            <w:vAlign w:val="bottom"/>
          </w:tcPr>
          <w:p>
            <w:pPr>
              <w:spacing w:after="0"/>
              <w:rPr>
                <w:sz w:val="20"/>
                <w:szCs w:val="20"/>
                <w:color w:val="auto"/>
              </w:rPr>
            </w:pPr>
            <w:r>
              <w:rPr>
                <w:rFonts w:ascii="Courier New" w:cs="Courier New" w:eastAsia="Courier New" w:hAnsi="Courier New"/>
                <w:sz w:val="14"/>
                <w:szCs w:val="14"/>
                <w:color w:val="auto"/>
              </w:rPr>
              <w:t>Plan Category</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Warrants and</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Rights</w:t>
            </w: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Warrants and Rights</w:t>
            </w:r>
          </w:p>
        </w:tc>
        <w:tc>
          <w:tcPr>
            <w:tcW w:w="2380" w:type="dxa"/>
            <w:vAlign w:val="bottom"/>
          </w:tcPr>
          <w:p>
            <w:pPr>
              <w:jc w:val="center"/>
              <w:ind w:left="68"/>
              <w:spacing w:after="0"/>
              <w:rPr>
                <w:sz w:val="20"/>
                <w:szCs w:val="20"/>
                <w:color w:val="auto"/>
              </w:rPr>
            </w:pPr>
            <w:r>
              <w:rPr>
                <w:rFonts w:ascii="Courier New" w:cs="Courier New" w:eastAsia="Courier New" w:hAnsi="Courier New"/>
                <w:sz w:val="14"/>
                <w:szCs w:val="14"/>
                <w:color w:val="auto"/>
              </w:rPr>
              <w:t>Reflected in Column (a))</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(a)</w:t>
            </w:r>
          </w:p>
        </w:tc>
        <w:tc>
          <w:tcPr>
            <w:tcW w:w="960" w:type="dxa"/>
            <w:vAlign w:val="bottom"/>
          </w:tcPr>
          <w:p>
            <w:pPr>
              <w:spacing w:after="0"/>
              <w:rPr>
                <w:sz w:val="14"/>
                <w:szCs w:val="14"/>
                <w:color w:val="auto"/>
              </w:rPr>
            </w:pPr>
          </w:p>
        </w:tc>
        <w:tc>
          <w:tcPr>
            <w:tcW w:w="1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(b)</w:t>
            </w:r>
          </w:p>
        </w:tc>
        <w:tc>
          <w:tcPr>
            <w:tcW w:w="1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Equity Compensation Plans</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3300" w:type="dxa"/>
            <w:vAlign w:val="bottom"/>
          </w:tcPr>
          <w:p>
            <w:pPr>
              <w:ind w:left="360"/>
              <w:spacing w:after="0"/>
              <w:rPr>
                <w:sz w:val="20"/>
                <w:szCs w:val="20"/>
                <w:color w:val="auto"/>
              </w:rPr>
            </w:pPr>
            <w:r>
              <w:rPr>
                <w:rFonts w:ascii="Courier New" w:cs="Courier New" w:eastAsia="Courier New" w:hAnsi="Courier New"/>
                <w:sz w:val="14"/>
                <w:szCs w:val="14"/>
                <w:color w:val="auto"/>
              </w:rPr>
              <w:t>Approved by Security Holders</w:t>
            </w:r>
          </w:p>
        </w:tc>
        <w:tc>
          <w:tcPr>
            <w:tcW w:w="2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483,700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9.61</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399,000</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Equity Compensation Plans Not</w:t>
            </w:r>
          </w:p>
        </w:tc>
        <w:tc>
          <w:tcPr>
            <w:tcW w:w="2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3300" w:type="dxa"/>
            <w:vAlign w:val="bottom"/>
          </w:tcPr>
          <w:p>
            <w:pPr>
              <w:ind w:left="360"/>
              <w:spacing w:after="0"/>
              <w:rPr>
                <w:sz w:val="20"/>
                <w:szCs w:val="20"/>
                <w:color w:val="auto"/>
              </w:rPr>
            </w:pPr>
            <w:r>
              <w:rPr>
                <w:rFonts w:ascii="Courier New" w:cs="Courier New" w:eastAsia="Courier New" w:hAnsi="Courier New"/>
                <w:sz w:val="14"/>
                <w:szCs w:val="14"/>
                <w:color w:val="auto"/>
              </w:rPr>
              <w:t>Approved by Security Holders</w:t>
            </w:r>
          </w:p>
        </w:tc>
        <w:tc>
          <w:tcPr>
            <w:tcW w:w="2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813,237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12.83</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2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ind w:left="1060"/>
              <w:spacing w:after="0"/>
              <w:rPr>
                <w:sz w:val="20"/>
                <w:szCs w:val="20"/>
                <w:color w:val="auto"/>
              </w:rPr>
            </w:pPr>
            <w:r>
              <w:rPr>
                <w:rFonts w:ascii="Courier New" w:cs="Courier New" w:eastAsia="Courier New" w:hAnsi="Courier New"/>
                <w:sz w:val="14"/>
                <w:szCs w:val="14"/>
                <w:color w:val="auto"/>
              </w:rPr>
              <w:t>TOTAL</w:t>
            </w:r>
          </w:p>
        </w:tc>
        <w:tc>
          <w:tcPr>
            <w:tcW w:w="2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1,296,937</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848"/>
              <w:spacing w:after="0"/>
              <w:rPr>
                <w:sz w:val="20"/>
                <w:szCs w:val="20"/>
                <w:color w:val="auto"/>
              </w:rPr>
            </w:pPr>
            <w:r>
              <w:rPr>
                <w:rFonts w:ascii="Courier New" w:cs="Courier New" w:eastAsia="Courier New" w:hAnsi="Courier New"/>
                <w:sz w:val="14"/>
                <w:szCs w:val="14"/>
                <w:color w:val="auto"/>
                <w:w w:val="95"/>
              </w:rPr>
              <w:t>11.58</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399,000</w:t>
            </w:r>
          </w:p>
        </w:tc>
      </w:tr>
      <w:tr>
        <w:trPr>
          <w:trHeight w:val="167"/>
        </w:trPr>
        <w:tc>
          <w:tcPr>
            <w:tcW w:w="3300" w:type="dxa"/>
            <w:vAlign w:val="bottom"/>
          </w:tcPr>
          <w:p>
            <w:pPr>
              <w:spacing w:after="0"/>
              <w:rPr>
                <w:sz w:val="14"/>
                <w:szCs w:val="14"/>
                <w:color w:val="auto"/>
              </w:rPr>
            </w:pPr>
          </w:p>
        </w:tc>
        <w:tc>
          <w:tcPr>
            <w:tcW w:w="2180" w:type="dxa"/>
            <w:vAlign w:val="bottom"/>
          </w:tcPr>
          <w:p>
            <w:pPr>
              <w:jc w:val="right"/>
              <w:ind w:right="808"/>
              <w:spacing w:after="0"/>
              <w:rPr>
                <w:sz w:val="20"/>
                <w:szCs w:val="20"/>
                <w:color w:val="auto"/>
              </w:rPr>
            </w:pPr>
            <w:r>
              <w:rPr>
                <w:rFonts w:ascii="Courier New" w:cs="Courier New" w:eastAsia="Courier New" w:hAnsi="Courier New"/>
                <w:sz w:val="14"/>
                <w:szCs w:val="14"/>
                <w:color w:val="auto"/>
              </w:rPr>
              <w:t>=========</w:t>
            </w:r>
          </w:p>
        </w:tc>
        <w:tc>
          <w:tcPr>
            <w:tcW w:w="2300" w:type="dxa"/>
            <w:vAlign w:val="bottom"/>
            <w:gridSpan w:val="2"/>
          </w:tcPr>
          <w:p>
            <w:pPr>
              <w:jc w:val="right"/>
              <w:ind w:right="84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ind w:right="4000" w:firstLine="347"/>
        <w:spacing w:after="0" w:line="254" w:lineRule="auto"/>
        <w:rPr>
          <w:sz w:val="20"/>
          <w:szCs w:val="20"/>
          <w:color w:val="auto"/>
        </w:rPr>
      </w:pPr>
      <w:r>
        <w:rPr>
          <w:rFonts w:ascii="Courier New" w:cs="Courier New" w:eastAsia="Courier New" w:hAnsi="Courier New"/>
          <w:sz w:val="14"/>
          <w:szCs w:val="14"/>
          <w:color w:val="auto"/>
        </w:rPr>
        <w:t>The following table sets forth selected financial data including net sales and operating profit (loss) for the five-year period ended April 30, 2006. The information has been derived from the audited financial statements of the Company for the respective periods.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CONSOLIDATED STATEMENTS OF OPERATIONS DATA</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gridSpan w:val="2"/>
          </w:tcPr>
          <w:p>
            <w:pPr>
              <w:ind w:left="1580"/>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90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Years Ended April 30,</w:t>
            </w: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21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2006</w:t>
            </w:r>
          </w:p>
        </w:tc>
        <w:tc>
          <w:tcPr>
            <w:tcW w:w="1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2004</w:t>
            </w:r>
          </w:p>
        </w:tc>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2003</w:t>
            </w:r>
          </w:p>
        </w:tc>
        <w:tc>
          <w:tcPr>
            <w:tcW w:w="4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2002</w:t>
            </w:r>
          </w:p>
        </w:tc>
      </w:tr>
      <w:tr>
        <w:trPr>
          <w:trHeight w:val="167"/>
        </w:trPr>
        <w:tc>
          <w:tcPr>
            <w:tcW w:w="3140" w:type="dxa"/>
            <w:vAlign w:val="bottom"/>
          </w:tcPr>
          <w:p>
            <w:pPr>
              <w:spacing w:after="0"/>
              <w:rPr>
                <w:sz w:val="14"/>
                <w:szCs w:val="14"/>
                <w:color w:val="auto"/>
              </w:rPr>
            </w:pPr>
          </w:p>
        </w:tc>
        <w:tc>
          <w:tcPr>
            <w:tcW w:w="21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120" w:type="dxa"/>
            <w:vAlign w:val="bottom"/>
          </w:tcPr>
          <w:p>
            <w:pPr>
              <w:jc w:val="right"/>
              <w:ind w:right="708"/>
              <w:spacing w:after="0"/>
              <w:rPr>
                <w:sz w:val="20"/>
                <w:szCs w:val="20"/>
                <w:color w:val="auto"/>
              </w:rPr>
            </w:pPr>
            <w:r>
              <w:rPr>
                <w:rFonts w:ascii="Courier New" w:cs="Courier New" w:eastAsia="Courier New" w:hAnsi="Courier New"/>
                <w:sz w:val="14"/>
                <w:szCs w:val="14"/>
                <w:color w:val="auto"/>
                <w:w w:val="95"/>
              </w:rPr>
              <w:t>----</w:t>
            </w:r>
          </w:p>
        </w:tc>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3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30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(in thousands, except share and dividend data)</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2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Commercial Communications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$29,491</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$31,464</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$28,235</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$15,051</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$26,663</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U.S. Government</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6,310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5,603</w:t>
            </w:r>
          </w:p>
        </w:tc>
        <w:tc>
          <w:tcPr>
            <w:tcW w:w="3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7,053</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8,906</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4,513</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Gillam-FEI</w:t>
            </w:r>
          </w:p>
        </w:tc>
        <w:tc>
          <w:tcPr>
            <w:tcW w:w="2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9,170(1)</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12,599(1)</w:t>
            </w:r>
          </w:p>
        </w:tc>
        <w:tc>
          <w:tcPr>
            <w:tcW w:w="34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12,197(1)</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8,137</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11,223</w:t>
            </w:r>
          </w:p>
        </w:tc>
      </w:tr>
      <w:tr>
        <w:trPr>
          <w:trHeight w:val="167"/>
        </w:trPr>
        <w:tc>
          <w:tcPr>
            <w:tcW w:w="3140" w:type="dxa"/>
            <w:vAlign w:val="bottom"/>
          </w:tcPr>
          <w:p>
            <w:pPr>
              <w:ind w:left="360"/>
              <w:spacing w:after="0"/>
              <w:rPr>
                <w:sz w:val="20"/>
                <w:szCs w:val="20"/>
                <w:color w:val="auto"/>
              </w:rPr>
            </w:pPr>
            <w:r>
              <w:rPr>
                <w:rFonts w:ascii="Courier New" w:cs="Courier New" w:eastAsia="Courier New" w:hAnsi="Courier New"/>
                <w:sz w:val="14"/>
                <w:szCs w:val="14"/>
                <w:color w:val="auto"/>
              </w:rPr>
              <w:t>FEI-Zyfer</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10,055</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8,803</w:t>
            </w:r>
          </w:p>
        </w:tc>
        <w:tc>
          <w:tcPr>
            <w:tcW w:w="340" w:type="dxa"/>
            <w:vAlign w:val="bottom"/>
          </w:tcPr>
          <w:p>
            <w:pPr>
              <w:spacing w:after="0"/>
              <w:rPr>
                <w:sz w:val="14"/>
                <w:szCs w:val="14"/>
                <w:color w:val="auto"/>
              </w:rPr>
            </w:pPr>
          </w:p>
        </w:tc>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6,560</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ind w:left="620"/>
              <w:spacing w:after="0"/>
              <w:rPr>
                <w:sz w:val="20"/>
                <w:szCs w:val="20"/>
                <w:color w:val="auto"/>
              </w:rPr>
            </w:pPr>
            <w:r>
              <w:rPr>
                <w:rFonts w:ascii="Courier New" w:cs="Courier New" w:eastAsia="Courier New" w:hAnsi="Courier New"/>
                <w:sz w:val="14"/>
                <w:szCs w:val="14"/>
                <w:color w:val="auto"/>
              </w:rPr>
              <w:t>less intersegment sales</w:t>
            </w:r>
          </w:p>
        </w:tc>
        <w:tc>
          <w:tcPr>
            <w:tcW w:w="2120" w:type="dxa"/>
            <w:vAlign w:val="bottom"/>
          </w:tcPr>
          <w:p>
            <w:pPr>
              <w:jc w:val="right"/>
              <w:spacing w:after="0"/>
              <w:rPr>
                <w:sz w:val="20"/>
                <w:szCs w:val="20"/>
                <w:color w:val="auto"/>
              </w:rPr>
            </w:pPr>
            <w:r>
              <w:rPr>
                <w:rFonts w:ascii="Courier New" w:cs="Courier New" w:eastAsia="Courier New" w:hAnsi="Courier New"/>
                <w:sz w:val="14"/>
                <w:szCs w:val="14"/>
                <w:color w:val="auto"/>
              </w:rPr>
              <w:t>(2,216)(1)</w:t>
            </w:r>
          </w:p>
        </w:tc>
        <w:tc>
          <w:tcPr>
            <w:tcW w:w="1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(3,296)(1)</w:t>
            </w:r>
          </w:p>
        </w:tc>
        <w:tc>
          <w:tcPr>
            <w:tcW w:w="34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(3,939)(1)</w:t>
            </w:r>
          </w:p>
        </w:tc>
        <w:tc>
          <w:tcPr>
            <w:tcW w:w="1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(567)</w:t>
            </w:r>
          </w:p>
        </w:tc>
        <w:tc>
          <w:tcPr>
            <w:tcW w:w="44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(1,220)</w:t>
            </w:r>
          </w:p>
        </w:tc>
      </w:tr>
      <w:tr>
        <w:trPr>
          <w:trHeight w:val="167"/>
        </w:trPr>
        <w:tc>
          <w:tcPr>
            <w:tcW w:w="3140" w:type="dxa"/>
            <w:vAlign w:val="bottom"/>
          </w:tcPr>
          <w:p>
            <w:pPr>
              <w:spacing w:after="0"/>
              <w:rPr>
                <w:sz w:val="14"/>
                <w:szCs w:val="14"/>
                <w:color w:val="auto"/>
              </w:rPr>
            </w:pP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Total Net Sales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$52,810</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$55,173</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$50,106</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$31,527</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$41,179</w:t>
            </w:r>
          </w:p>
        </w:tc>
      </w:tr>
      <w:tr>
        <w:trPr>
          <w:trHeight w:val="167"/>
        </w:trPr>
        <w:tc>
          <w:tcPr>
            <w:tcW w:w="3140" w:type="dxa"/>
            <w:vAlign w:val="bottom"/>
          </w:tcPr>
          <w:p>
            <w:pPr>
              <w:spacing w:after="0"/>
              <w:rPr>
                <w:sz w:val="14"/>
                <w:szCs w:val="14"/>
                <w:color w:val="auto"/>
              </w:rPr>
            </w:pP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Operating Profit (Loss)</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$ 1,710</w:t>
            </w:r>
          </w:p>
        </w:tc>
        <w:tc>
          <w:tcPr>
            <w:tcW w:w="14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$(1,269)</w:t>
            </w: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$(1,646)</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($12,490)(6)</w:t>
            </w:r>
          </w:p>
        </w:tc>
        <w:tc>
          <w:tcPr>
            <w:tcW w:w="440" w:type="dxa"/>
            <w:vAlign w:val="bottom"/>
          </w:tcPr>
          <w:p>
            <w:pPr>
              <w:ind w:left="340"/>
              <w:spacing w:after="0"/>
              <w:rPr>
                <w:sz w:val="20"/>
                <w:szCs w:val="20"/>
                <w:color w:val="auto"/>
              </w:rPr>
            </w:pPr>
            <w:r>
              <w:rPr>
                <w:rFonts w:ascii="Courier New" w:cs="Courier New" w:eastAsia="Courier New" w:hAnsi="Courier New"/>
                <w:sz w:val="14"/>
                <w:szCs w:val="14"/>
                <w:color w:val="auto"/>
                <w:w w:val="94"/>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89(7)</w:t>
            </w:r>
          </w:p>
        </w:tc>
      </w:tr>
      <w:tr>
        <w:trPr>
          <w:trHeight w:val="167"/>
        </w:trPr>
        <w:tc>
          <w:tcPr>
            <w:tcW w:w="3140" w:type="dxa"/>
            <w:vAlign w:val="bottom"/>
          </w:tcPr>
          <w:p>
            <w:pPr>
              <w:spacing w:after="0"/>
              <w:rPr>
                <w:sz w:val="14"/>
                <w:szCs w:val="14"/>
                <w:color w:val="auto"/>
              </w:rPr>
            </w:pP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21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$ 4,798(2)</w:t>
            </w:r>
          </w:p>
        </w:tc>
        <w:tc>
          <w:tcPr>
            <w:tcW w:w="14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$ 5,037(3)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320(4,5)</w:t>
            </w:r>
          </w:p>
        </w:tc>
        <w:tc>
          <w:tcPr>
            <w:tcW w:w="1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($ 8,811)(5)</w:t>
            </w:r>
          </w:p>
        </w:tc>
        <w:tc>
          <w:tcPr>
            <w:tcW w:w="12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$ 1,378(8)</w:t>
            </w:r>
          </w:p>
        </w:tc>
      </w:tr>
      <w:tr>
        <w:trPr>
          <w:trHeight w:val="167"/>
        </w:trPr>
        <w:tc>
          <w:tcPr>
            <w:tcW w:w="3140" w:type="dxa"/>
            <w:vAlign w:val="bottom"/>
          </w:tcPr>
          <w:p>
            <w:pPr>
              <w:spacing w:after="0"/>
              <w:rPr>
                <w:sz w:val="14"/>
                <w:szCs w:val="14"/>
                <w:color w:val="auto"/>
              </w:rPr>
            </w:pP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Average Common Shares Outstanding</w:t>
            </w:r>
          </w:p>
        </w:tc>
        <w:tc>
          <w:tcPr>
            <w:tcW w:w="2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40" w:type="dxa"/>
            <w:vAlign w:val="bottom"/>
          </w:tcPr>
          <w:p>
            <w:pPr>
              <w:ind w:left="1580"/>
              <w:spacing w:after="0"/>
              <w:rPr>
                <w:sz w:val="20"/>
                <w:szCs w:val="20"/>
                <w:color w:val="auto"/>
              </w:rPr>
            </w:pPr>
            <w:r>
              <w:rPr>
                <w:rFonts w:ascii="Courier New" w:cs="Courier New" w:eastAsia="Courier New" w:hAnsi="Courier New"/>
                <w:sz w:val="14"/>
                <w:szCs w:val="14"/>
                <w:color w:val="auto"/>
              </w:rPr>
              <w:t>Basic</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8,537,427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8,484,682</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8,374,399</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8,331,785</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8,350,735</w:t>
            </w:r>
          </w:p>
        </w:tc>
      </w:tr>
      <w:tr>
        <w:trPr>
          <w:trHeight w:val="167"/>
        </w:trPr>
        <w:tc>
          <w:tcPr>
            <w:tcW w:w="3140" w:type="dxa"/>
            <w:vAlign w:val="bottom"/>
          </w:tcPr>
          <w:p>
            <w:pPr>
              <w:ind w:left="1580"/>
              <w:spacing w:after="0"/>
              <w:rPr>
                <w:sz w:val="20"/>
                <w:szCs w:val="20"/>
                <w:color w:val="auto"/>
              </w:rPr>
            </w:pPr>
            <w:r>
              <w:rPr>
                <w:rFonts w:ascii="Courier New" w:cs="Courier New" w:eastAsia="Courier New" w:hAnsi="Courier New"/>
                <w:sz w:val="14"/>
                <w:szCs w:val="14"/>
                <w:color w:val="auto"/>
              </w:rPr>
              <w:t>Diluted</w:t>
            </w:r>
          </w:p>
        </w:tc>
        <w:tc>
          <w:tcPr>
            <w:tcW w:w="21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8,690,617</w:t>
            </w:r>
          </w:p>
        </w:tc>
        <w:tc>
          <w:tcPr>
            <w:tcW w:w="14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8,684,758</w:t>
            </w:r>
          </w:p>
        </w:tc>
        <w:tc>
          <w:tcPr>
            <w:tcW w:w="1460" w:type="dxa"/>
            <w:vAlign w:val="bottom"/>
            <w:gridSpan w:val="2"/>
          </w:tcPr>
          <w:p>
            <w:pPr>
              <w:jc w:val="right"/>
              <w:ind w:right="528"/>
              <w:spacing w:after="0"/>
              <w:rPr>
                <w:sz w:val="20"/>
                <w:szCs w:val="20"/>
                <w:color w:val="auto"/>
              </w:rPr>
            </w:pPr>
            <w:r>
              <w:rPr>
                <w:rFonts w:ascii="Courier New" w:cs="Courier New" w:eastAsia="Courier New" w:hAnsi="Courier New"/>
                <w:sz w:val="14"/>
                <w:szCs w:val="14"/>
                <w:color w:val="auto"/>
              </w:rPr>
              <w:t>8,542,575</w:t>
            </w:r>
          </w:p>
        </w:tc>
        <w:tc>
          <w:tcPr>
            <w:tcW w:w="14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8,331,785</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8,529,175</w:t>
            </w: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Earnings (Loss) per Common Share</w:t>
            </w:r>
          </w:p>
        </w:tc>
        <w:tc>
          <w:tcPr>
            <w:tcW w:w="2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140" w:type="dxa"/>
            <w:vAlign w:val="bottom"/>
          </w:tcPr>
          <w:p>
            <w:pPr>
              <w:ind w:left="1580"/>
              <w:spacing w:after="0"/>
              <w:rPr>
                <w:sz w:val="20"/>
                <w:szCs w:val="20"/>
                <w:color w:val="auto"/>
              </w:rPr>
            </w:pPr>
            <w:r>
              <w:rPr>
                <w:rFonts w:ascii="Courier New" w:cs="Courier New" w:eastAsia="Courier New" w:hAnsi="Courier New"/>
                <w:sz w:val="14"/>
                <w:szCs w:val="14"/>
                <w:color w:val="auto"/>
              </w:rPr>
              <w:t>Basic</w:t>
            </w:r>
          </w:p>
        </w:tc>
        <w:tc>
          <w:tcPr>
            <w:tcW w:w="21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$ 0.56</w:t>
            </w:r>
          </w:p>
        </w:tc>
        <w:tc>
          <w:tcPr>
            <w:tcW w:w="14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$ 0.59</w:t>
            </w: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$ 0.04(5)</w:t>
            </w:r>
          </w:p>
        </w:tc>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($ 1.06)</w:t>
            </w:r>
          </w:p>
        </w:tc>
        <w:tc>
          <w:tcPr>
            <w:tcW w:w="12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$ 0.17</w:t>
            </w:r>
          </w:p>
        </w:tc>
      </w:tr>
      <w:tr>
        <w:trPr>
          <w:trHeight w:val="167"/>
        </w:trPr>
        <w:tc>
          <w:tcPr>
            <w:tcW w:w="3140" w:type="dxa"/>
            <w:vAlign w:val="bottom"/>
          </w:tcPr>
          <w:p>
            <w:pPr>
              <w:spacing w:after="0"/>
              <w:rPr>
                <w:sz w:val="14"/>
                <w:szCs w:val="14"/>
                <w:color w:val="auto"/>
              </w:rPr>
            </w:pPr>
          </w:p>
        </w:tc>
        <w:tc>
          <w:tcPr>
            <w:tcW w:w="21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ind w:left="1580"/>
              <w:spacing w:after="0"/>
              <w:rPr>
                <w:sz w:val="20"/>
                <w:szCs w:val="20"/>
                <w:color w:val="auto"/>
              </w:rPr>
            </w:pPr>
            <w:r>
              <w:rPr>
                <w:rFonts w:ascii="Courier New" w:cs="Courier New" w:eastAsia="Courier New" w:hAnsi="Courier New"/>
                <w:sz w:val="14"/>
                <w:szCs w:val="14"/>
                <w:color w:val="auto"/>
              </w:rPr>
              <w:t>Diluted</w:t>
            </w:r>
          </w:p>
        </w:tc>
        <w:tc>
          <w:tcPr>
            <w:tcW w:w="21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$ 0.55</w:t>
            </w:r>
          </w:p>
        </w:tc>
        <w:tc>
          <w:tcPr>
            <w:tcW w:w="14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$ 0.58</w:t>
            </w:r>
          </w:p>
        </w:tc>
        <w:tc>
          <w:tcPr>
            <w:tcW w:w="14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$ 0.04(5)</w:t>
            </w:r>
          </w:p>
        </w:tc>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($ 1.06)</w:t>
            </w:r>
          </w:p>
        </w:tc>
        <w:tc>
          <w:tcPr>
            <w:tcW w:w="12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$ 0.16</w:t>
            </w:r>
          </w:p>
        </w:tc>
      </w:tr>
      <w:tr>
        <w:trPr>
          <w:trHeight w:val="167"/>
        </w:trPr>
        <w:tc>
          <w:tcPr>
            <w:tcW w:w="3140" w:type="dxa"/>
            <w:vAlign w:val="bottom"/>
          </w:tcPr>
          <w:p>
            <w:pPr>
              <w:spacing w:after="0"/>
              <w:rPr>
                <w:sz w:val="14"/>
                <w:szCs w:val="14"/>
                <w:color w:val="auto"/>
              </w:rPr>
            </w:pPr>
          </w:p>
        </w:tc>
        <w:tc>
          <w:tcPr>
            <w:tcW w:w="212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w:t>
            </w:r>
          </w:p>
        </w:tc>
        <w:tc>
          <w:tcPr>
            <w:tcW w:w="1460" w:type="dxa"/>
            <w:vAlign w:val="bottom"/>
            <w:gridSpan w:val="2"/>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center"/>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r>
      <w:tr>
        <w:trPr>
          <w:trHeight w:val="501"/>
        </w:trPr>
        <w:tc>
          <w:tcPr>
            <w:tcW w:w="3140" w:type="dxa"/>
            <w:vAlign w:val="bottom"/>
          </w:tcPr>
          <w:p>
            <w:pPr>
              <w:spacing w:after="0"/>
              <w:rPr>
                <w:sz w:val="24"/>
                <w:szCs w:val="24"/>
                <w:color w:val="auto"/>
              </w:rPr>
            </w:pPr>
          </w:p>
        </w:tc>
        <w:tc>
          <w:tcPr>
            <w:tcW w:w="2120" w:type="dxa"/>
            <w:vAlign w:val="bottom"/>
          </w:tcPr>
          <w:p>
            <w:pPr>
              <w:jc w:val="right"/>
              <w:ind w:right="1628"/>
              <w:spacing w:after="0"/>
              <w:rPr>
                <w:sz w:val="20"/>
                <w:szCs w:val="20"/>
                <w:color w:val="auto"/>
              </w:rPr>
            </w:pPr>
            <w:r>
              <w:rPr>
                <w:rFonts w:ascii="Courier New" w:cs="Courier New" w:eastAsia="Courier New" w:hAnsi="Courier New"/>
                <w:sz w:val="14"/>
                <w:szCs w:val="14"/>
                <w:color w:val="auto"/>
              </w:rPr>
              <w:t>19</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780"/>
          </w:cols>
          <w:pgMar w:left="220" w:top="620" w:right="899" w:bottom="1440" w:gutter="0" w:footer="0" w:header="0"/>
        </w:sectPr>
      </w:pPr>
    </w:p>
    <w:bookmarkStart w:id="19" w:name="page20"/>
    <w:bookmarkEnd w:id="19"/>
    <w:p>
      <w:pPr>
        <w:ind w:left="1580"/>
        <w:spacing w:after="0"/>
        <w:rPr>
          <w:sz w:val="20"/>
          <w:szCs w:val="20"/>
          <w:color w:val="auto"/>
        </w:rPr>
      </w:pPr>
      <w:r>
        <w:rPr>
          <w:rFonts w:ascii="Courier New" w:cs="Courier New" w:eastAsia="Courier New" w:hAnsi="Courier New"/>
          <w:sz w:val="14"/>
          <w:szCs w:val="14"/>
          <w:color w:val="auto"/>
        </w:rPr>
        <w:t>CONSOLIDATED BALANCE SHEET DATA</w:t>
      </w:r>
    </w:p>
    <w:p>
      <w:pPr>
        <w:spacing w:after="0" w:line="8"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8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$86,741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$88,374</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$92,867(9)</w:t>
            </w:r>
          </w:p>
        </w:tc>
      </w:tr>
      <w:tr>
        <w:trPr>
          <w:trHeight w:val="167"/>
        </w:trPr>
        <w:tc>
          <w:tcPr>
            <w:tcW w:w="3180" w:type="dxa"/>
            <w:vAlign w:val="bottom"/>
          </w:tcPr>
          <w:p>
            <w:pPr>
              <w:spacing w:after="0"/>
              <w:rPr>
                <w:sz w:val="14"/>
                <w:szCs w:val="14"/>
                <w:color w:val="auto"/>
              </w:rPr>
            </w:pP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Long-Term Obligations</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180" w:type="dxa"/>
            <w:vAlign w:val="bottom"/>
          </w:tcPr>
          <w:p>
            <w:pPr>
              <w:ind w:left="520"/>
              <w:spacing w:after="0"/>
              <w:rPr>
                <w:sz w:val="20"/>
                <w:szCs w:val="20"/>
                <w:color w:val="auto"/>
              </w:rPr>
            </w:pPr>
            <w:r>
              <w:rPr>
                <w:rFonts w:ascii="Courier New" w:cs="Courier New" w:eastAsia="Courier New" w:hAnsi="Courier New"/>
                <w:sz w:val="14"/>
                <w:szCs w:val="14"/>
                <w:color w:val="auto"/>
              </w:rPr>
              <w:t>and Deferred Items</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$ 9,120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$ 9,337</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$17,609</w:t>
            </w:r>
          </w:p>
        </w:tc>
      </w:tr>
      <w:tr>
        <w:trPr>
          <w:trHeight w:val="167"/>
        </w:trPr>
        <w:tc>
          <w:tcPr>
            <w:tcW w:w="3180" w:type="dxa"/>
            <w:vAlign w:val="bottom"/>
          </w:tcPr>
          <w:p>
            <w:pPr>
              <w:spacing w:after="0"/>
              <w:rPr>
                <w:sz w:val="14"/>
                <w:szCs w:val="14"/>
                <w:color w:val="auto"/>
              </w:rPr>
            </w:pP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167"/>
        </w:trPr>
        <w:tc>
          <w:tcPr>
            <w:tcW w:w="3180" w:type="dxa"/>
            <w:vAlign w:val="bottom"/>
          </w:tcPr>
          <w:p>
            <w:pPr>
              <w:spacing w:after="0"/>
              <w:rPr>
                <w:sz w:val="20"/>
                <w:szCs w:val="20"/>
                <w:color w:val="auto"/>
              </w:rPr>
            </w:pPr>
            <w:r>
              <w:rPr>
                <w:rFonts w:ascii="Courier New" w:cs="Courier New" w:eastAsia="Courier New" w:hAnsi="Courier New"/>
                <w:sz w:val="14"/>
                <w:szCs w:val="14"/>
                <w:color w:val="auto"/>
              </w:rPr>
              <w:t>Cash dividend declared</w:t>
            </w:r>
          </w:p>
        </w:tc>
        <w:tc>
          <w:tcPr>
            <w:tcW w:w="20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3180" w:type="dxa"/>
            <w:vAlign w:val="bottom"/>
          </w:tcPr>
          <w:p>
            <w:pPr>
              <w:ind w:left="360"/>
              <w:spacing w:after="0"/>
              <w:rPr>
                <w:sz w:val="20"/>
                <w:szCs w:val="20"/>
                <w:color w:val="auto"/>
              </w:rPr>
            </w:pPr>
            <w:r>
              <w:rPr>
                <w:rFonts w:ascii="Courier New" w:cs="Courier New" w:eastAsia="Courier New" w:hAnsi="Courier New"/>
                <w:sz w:val="14"/>
                <w:szCs w:val="14"/>
                <w:color w:val="auto"/>
              </w:rPr>
              <w:t>per common share</w:t>
            </w: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0.20</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0.20</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  0.20</w:t>
            </w:r>
          </w:p>
        </w:tc>
      </w:tr>
      <w:tr>
        <w:trPr>
          <w:trHeight w:val="167"/>
        </w:trPr>
        <w:tc>
          <w:tcPr>
            <w:tcW w:w="3180" w:type="dxa"/>
            <w:vAlign w:val="bottom"/>
          </w:tcPr>
          <w:p>
            <w:pPr>
              <w:spacing w:after="0"/>
              <w:rPr>
                <w:sz w:val="14"/>
                <w:szCs w:val="14"/>
                <w:color w:val="auto"/>
              </w:rPr>
            </w:pPr>
          </w:p>
        </w:tc>
        <w:tc>
          <w:tcPr>
            <w:tcW w:w="2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Selected Financial Data</w:t>
      </w:r>
    </w:p>
    <w:p>
      <w:pPr>
        <w:spacing w:after="0" w:line="175" w:lineRule="exact"/>
        <w:rPr>
          <w:sz w:val="20"/>
          <w:szCs w:val="20"/>
          <w:color w:val="auto"/>
        </w:rPr>
      </w:pPr>
    </w:p>
    <w:p>
      <w:pPr>
        <w:ind w:left="880" w:hanging="437"/>
        <w:spacing w:after="0"/>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intercompany sales to Commercial Communications segment of</w:t>
      </w:r>
    </w:p>
    <w:p>
      <w:pPr>
        <w:spacing w:after="0" w:line="8" w:lineRule="exact"/>
        <w:rPr>
          <w:rFonts w:ascii="Courier New" w:cs="Courier New" w:eastAsia="Courier New" w:hAnsi="Courier New"/>
          <w:sz w:val="14"/>
          <w:szCs w:val="14"/>
          <w:color w:val="auto"/>
        </w:rPr>
      </w:pPr>
    </w:p>
    <w:p>
      <w:pPr>
        <w:ind w:left="880" w:right="78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$0.9 million, $2.4 million and $3.5 million in fiscal years 2006, 2005 and 2004, respectively, for development of US5G product.</w:t>
      </w:r>
    </w:p>
    <w:p>
      <w:pPr>
        <w:spacing w:after="0" w:line="159" w:lineRule="exact"/>
        <w:rPr>
          <w:rFonts w:ascii="Courier New" w:cs="Courier New" w:eastAsia="Courier New" w:hAnsi="Courier New"/>
          <w:sz w:val="14"/>
          <w:szCs w:val="14"/>
          <w:color w:val="auto"/>
        </w:rPr>
      </w:pPr>
    </w:p>
    <w:p>
      <w:pPr>
        <w:ind w:left="880" w:right="880" w:hanging="437"/>
        <w:spacing w:after="0" w:line="255"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$2.1 million from gain on the sale of REIT common shares and $680,000 from gain on the sale of a European subsidiary's former manufacturing facility.</w:t>
      </w:r>
    </w:p>
    <w:p>
      <w:pPr>
        <w:spacing w:after="0" w:line="162" w:lineRule="exact"/>
        <w:rPr>
          <w:rFonts w:ascii="Courier New" w:cs="Courier New" w:eastAsia="Courier New" w:hAnsi="Courier New"/>
          <w:sz w:val="14"/>
          <w:szCs w:val="14"/>
          <w:color w:val="auto"/>
        </w:rPr>
      </w:pPr>
    </w:p>
    <w:p>
      <w:pPr>
        <w:ind w:left="880" w:right="880" w:hanging="437"/>
        <w:spacing w:after="0" w:line="255"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$6.9 million from gain on conversion of REIT units into REIT common shares and subsequent sale of a portion of the REIT common shares.</w:t>
      </w:r>
    </w:p>
    <w:p>
      <w:pPr>
        <w:spacing w:after="0" w:line="162" w:lineRule="exact"/>
        <w:rPr>
          <w:rFonts w:ascii="Courier New" w:cs="Courier New" w:eastAsia="Courier New" w:hAnsi="Courier New"/>
          <w:sz w:val="14"/>
          <w:szCs w:val="14"/>
          <w:color w:val="auto"/>
        </w:rPr>
      </w:pPr>
    </w:p>
    <w:p>
      <w:pPr>
        <w:ind w:left="880" w:right="1140" w:hanging="437"/>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$400,000 reversal of tax liabilities established in prior years</w:t>
      </w:r>
    </w:p>
    <w:p>
      <w:pPr>
        <w:spacing w:after="0" w:line="159" w:lineRule="exact"/>
        <w:rPr>
          <w:rFonts w:ascii="Courier New" w:cs="Courier New" w:eastAsia="Courier New" w:hAnsi="Courier New"/>
          <w:sz w:val="14"/>
          <w:szCs w:val="14"/>
          <w:color w:val="auto"/>
        </w:rPr>
      </w:pPr>
    </w:p>
    <w:p>
      <w:pPr>
        <w:ind w:left="880" w:right="780" w:hanging="437"/>
        <w:spacing w:after="0" w:line="254"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$158,000 and $49,000, respectively, for restatement of equity income from Morion, Inc. in fiscal years 2004 and 2003, which also increased fiscal year 2004 Earnings per Common Share by $0.02 from the amount reported before restatement.</w:t>
      </w:r>
    </w:p>
    <w:p>
      <w:pPr>
        <w:spacing w:after="0" w:line="163" w:lineRule="exact"/>
        <w:rPr>
          <w:rFonts w:ascii="Courier New" w:cs="Courier New" w:eastAsia="Courier New" w:hAnsi="Courier New"/>
          <w:sz w:val="14"/>
          <w:szCs w:val="14"/>
          <w:color w:val="auto"/>
        </w:rPr>
      </w:pPr>
    </w:p>
    <w:p>
      <w:pPr>
        <w:ind w:left="880" w:right="1400" w:hanging="437"/>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goodwill impairment of $6.2 million and adjustments to inventory of $3.6 million.</w:t>
      </w:r>
    </w:p>
    <w:p>
      <w:pPr>
        <w:spacing w:after="0" w:line="159" w:lineRule="exact"/>
        <w:rPr>
          <w:rFonts w:ascii="Courier New" w:cs="Courier New" w:eastAsia="Courier New" w:hAnsi="Courier New"/>
          <w:sz w:val="14"/>
          <w:szCs w:val="14"/>
          <w:color w:val="auto"/>
        </w:rPr>
      </w:pPr>
    </w:p>
    <w:p>
      <w:pPr>
        <w:ind w:left="880" w:right="780" w:hanging="437"/>
        <w:spacing w:after="0" w:line="255"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insurance reimbursement of $1.5 million for expenses related to certain litigation with the U.S. Government less inventory reserves and writeoffs aggregating $1.0 million.</w:t>
      </w:r>
    </w:p>
    <w:p>
      <w:pPr>
        <w:spacing w:after="0" w:line="162" w:lineRule="exact"/>
        <w:rPr>
          <w:rFonts w:ascii="Courier New" w:cs="Courier New" w:eastAsia="Courier New" w:hAnsi="Courier New"/>
          <w:sz w:val="14"/>
          <w:szCs w:val="14"/>
          <w:color w:val="auto"/>
        </w:rPr>
      </w:pPr>
    </w:p>
    <w:p>
      <w:pPr>
        <w:ind w:left="880" w:right="780" w:hanging="437"/>
        <w:spacing w:after="0" w:line="258"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to items in (7) above, includes $300,000 investment loss for an other than temporary decline of value in a marketable security.</w:t>
      </w:r>
    </w:p>
    <w:p>
      <w:pPr>
        <w:spacing w:after="0" w:line="159" w:lineRule="exact"/>
        <w:rPr>
          <w:rFonts w:ascii="Courier New" w:cs="Courier New" w:eastAsia="Courier New" w:hAnsi="Courier New"/>
          <w:sz w:val="14"/>
          <w:szCs w:val="14"/>
          <w:color w:val="auto"/>
        </w:rPr>
      </w:pPr>
    </w:p>
    <w:p>
      <w:pPr>
        <w:ind w:left="880" w:right="1140" w:hanging="437"/>
        <w:spacing w:after="0" w:line="255"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assets are restated by $207,000 for fiscal year 2004 and by $49,000 for fiscal year 2003 from amounts reported in prior fiscal years to reflect the Company's equity interest in Morion, Inc.</w:t>
      </w:r>
    </w:p>
    <w:p>
      <w:pPr>
        <w:spacing w:after="0" w:line="162" w:lineRule="exact"/>
        <w:rPr>
          <w:sz w:val="20"/>
          <w:szCs w:val="20"/>
          <w:color w:val="auto"/>
        </w:rPr>
      </w:pPr>
    </w:p>
    <w:p>
      <w:pPr>
        <w:ind w:right="880"/>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left="440" w:right="880"/>
        <w:spacing w:after="0" w:line="258"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60" w:lineRule="exact"/>
        <w:rPr>
          <w:sz w:val="20"/>
          <w:szCs w:val="20"/>
          <w:color w:val="auto"/>
        </w:rPr>
      </w:pPr>
    </w:p>
    <w:p>
      <w:pPr>
        <w:ind w:right="880" w:firstLine="347"/>
        <w:spacing w:after="0" w:line="252" w:lineRule="auto"/>
        <w:rPr>
          <w:sz w:val="20"/>
          <w:szCs w:val="20"/>
          <w:color w:val="auto"/>
        </w:rPr>
      </w:pPr>
      <w:r>
        <w:rPr>
          <w:rFonts w:ascii="Courier New" w:cs="Courier New" w:eastAsia="Courier New" w:hAnsi="Courier New"/>
          <w:sz w:val="14"/>
          <w:szCs w:val="14"/>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By making these forward-looking statements, the Company undertakes no obligation to update these statements for revisions or changes after the date of this report.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 and Estimates</w:t>
      </w:r>
    </w:p>
    <w:p>
      <w:pPr>
        <w:spacing w:after="0" w:line="175" w:lineRule="exact"/>
        <w:rPr>
          <w:sz w:val="20"/>
          <w:szCs w:val="20"/>
          <w:color w:val="auto"/>
        </w:rPr>
      </w:pPr>
    </w:p>
    <w:p>
      <w:pPr>
        <w:ind w:right="780" w:firstLine="347"/>
        <w:spacing w:after="0" w:line="254" w:lineRule="auto"/>
        <w:rPr>
          <w:sz w:val="20"/>
          <w:szCs w:val="20"/>
          <w:color w:val="auto"/>
        </w:rPr>
      </w:pPr>
      <w:r>
        <w:rPr>
          <w:rFonts w:ascii="Courier New" w:cs="Courier New" w:eastAsia="Courier New" w:hAnsi="Courier New"/>
          <w:sz w:val="14"/>
          <w:szCs w:val="14"/>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$85,778(9)</w:t>
      </w:r>
      <w:r>
        <w:rPr>
          <w:sz w:val="20"/>
          <w:szCs w:val="20"/>
          <w:color w:val="auto"/>
        </w:rPr>
        <w:tab/>
      </w:r>
      <w:r>
        <w:rPr>
          <w:rFonts w:ascii="Courier New" w:cs="Courier New" w:eastAsia="Courier New" w:hAnsi="Courier New"/>
          <w:sz w:val="14"/>
          <w:szCs w:val="14"/>
          <w:color w:val="auto"/>
        </w:rPr>
        <w:t>$96,011</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$17,903</w:t>
      </w:r>
      <w:r>
        <w:rPr>
          <w:sz w:val="20"/>
          <w:szCs w:val="20"/>
          <w:color w:val="auto"/>
        </w:rPr>
        <w:tab/>
      </w:r>
      <w:r>
        <w:rPr>
          <w:rFonts w:ascii="Courier New" w:cs="Courier New" w:eastAsia="Courier New" w:hAnsi="Courier New"/>
          <w:sz w:val="14"/>
          <w:szCs w:val="14"/>
          <w:color w:val="auto"/>
        </w:rPr>
        <w:t>$17,796</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none" w:pos="240" w:val="left"/>
          <w:tab w:leader="none" w:pos="1540" w:val="left"/>
          <w:tab w:leader="none" w:pos="1800" w:val="left"/>
        </w:tabs>
        <w:rPr>
          <w:sz w:val="20"/>
          <w:szCs w:val="20"/>
          <w:color w:val="auto"/>
        </w:rPr>
      </w:pPr>
      <w:r>
        <w:rPr>
          <w:rFonts w:ascii="Courier New" w:cs="Courier New" w:eastAsia="Courier New" w:hAnsi="Courier New"/>
          <w:sz w:val="14"/>
          <w:szCs w:val="14"/>
          <w:color w:val="auto"/>
        </w:rPr>
        <w:t>$</w:t>
        <w:tab/>
        <w:t>0.20</w:t>
      </w:r>
      <w:r>
        <w:rPr>
          <w:sz w:val="20"/>
          <w:szCs w:val="20"/>
          <w:color w:val="auto"/>
        </w:rPr>
        <w:tab/>
      </w:r>
      <w:r>
        <w:rPr>
          <w:rFonts w:ascii="Courier New" w:cs="Courier New" w:eastAsia="Courier New" w:hAnsi="Courier New"/>
          <w:sz w:val="14"/>
          <w:szCs w:val="14"/>
          <w:color w:val="auto"/>
        </w:rPr>
        <w:t>$</w:t>
        <w:tab/>
        <w:t>0.20</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ectPr>
          <w:pgSz w:w="11900" w:h="16838" w:orient="portrait"/>
          <w:cols w:equalWidth="0" w:num="2">
            <w:col w:w="7740" w:space="600"/>
            <w:col w:w="2180"/>
          </w:cols>
          <w:pgMar w:left="220" w:top="954" w:right="1159" w:bottom="1440" w:gutter="0" w:footer="0" w:header="0"/>
        </w:sectPr>
      </w:pPr>
    </w:p>
    <w:bookmarkStart w:id="20" w:name="page21"/>
    <w:bookmarkEnd w:id="20"/>
    <w:p>
      <w:pPr>
        <w:ind w:right="3459"/>
        <w:spacing w:after="0" w:line="254" w:lineRule="auto"/>
        <w:rPr>
          <w:sz w:val="20"/>
          <w:szCs w:val="20"/>
          <w:color w:val="auto"/>
        </w:rPr>
      </w:pPr>
      <w:r>
        <w:rPr>
          <w:rFonts w:ascii="Courier New" w:cs="Courier New" w:eastAsia="Courier New" w:hAnsi="Courier New"/>
          <w:sz w:val="14"/>
          <w:szCs w:val="14"/>
          <w:color w:val="auto"/>
        </w:rPr>
        <w:t>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Revenue Recognition</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w:t>
      </w:r>
    </w:p>
    <w:p>
      <w:pPr>
        <w:spacing w:after="0" w:line="3"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customer orders are made in the period in which they become determinable.</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For customer orders in the Company's Gillam-FEI and FEI-Zyfer segments or smaller contracts or orders in the other business segments,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Costs and Expenses</w:t>
      </w:r>
    </w:p>
    <w:p>
      <w:pPr>
        <w:spacing w:after="0" w:line="17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Contract costs include all direct material, direct labor costs, manufacturing overhead and other direct costs related to contract performance. Selling, general and administrative costs are charged to expense as incurred.</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Inventory</w:t>
      </w:r>
    </w:p>
    <w:p>
      <w:pPr>
        <w:spacing w:after="0" w:line="17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Equity-based Compensation</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Through fiscal year 2006, the Company applied the disclosure-only provisions of FAS No. 148, "Accounting for Stock-Based Compensation- Transition and Disclosure" and continues to measure compensation cost in accordance with APB Opinion No. 25, "Accounting for Stock Issued to Employees." Historically, this has not resulted in compensation cost upon the grant of options under a qualified stock option plan. However, in accordance with FAS No. 148, the Company provides pro forma disclosures of net income (loss) and income (loss) per share as if the fair value method had been applied beginning in fiscal 1996.</w:t>
      </w:r>
    </w:p>
    <w:p>
      <w:pPr>
        <w:spacing w:after="0" w:line="16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following table illustrates the effect on the Company's consolidated statements of operations for the fiscal years ended April 30, had compensation cost for stock option awards under the plans been determined based on the fair value at the grant dates consistent with the provisions of FAS No. 148:</w:t>
      </w:r>
    </w:p>
    <w:p>
      <w:pPr>
        <w:spacing w:after="0" w:line="163"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9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except per share data)</w:t>
            </w:r>
          </w:p>
        </w:tc>
      </w:tr>
      <w:tr>
        <w:trPr>
          <w:trHeight w:val="334"/>
        </w:trPr>
        <w:tc>
          <w:tcPr>
            <w:tcW w:w="3100" w:type="dxa"/>
            <w:vAlign w:val="bottom"/>
          </w:tcPr>
          <w:p>
            <w:pPr>
              <w:spacing w:after="0"/>
              <w:rPr>
                <w:sz w:val="24"/>
                <w:szCs w:val="24"/>
                <w:color w:val="auto"/>
              </w:rPr>
            </w:pPr>
          </w:p>
        </w:tc>
        <w:tc>
          <w:tcPr>
            <w:tcW w:w="13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2006</w:t>
            </w:r>
          </w:p>
        </w:tc>
        <w:tc>
          <w:tcPr>
            <w:tcW w:w="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100" w:type="dxa"/>
            <w:vAlign w:val="bottom"/>
          </w:tcPr>
          <w:p>
            <w:pPr>
              <w:spacing w:after="0"/>
              <w:rPr>
                <w:sz w:val="14"/>
                <w:szCs w:val="14"/>
                <w:color w:val="auto"/>
              </w:rPr>
            </w:pPr>
          </w:p>
        </w:tc>
        <w:tc>
          <w:tcPr>
            <w:tcW w:w="130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$4,798</w:t>
            </w:r>
          </w:p>
        </w:tc>
        <w:tc>
          <w:tcPr>
            <w:tcW w:w="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$5,037</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$ 320</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Cost of stock options, net of taxes</w:t>
            </w:r>
          </w:p>
        </w:tc>
        <w:tc>
          <w:tcPr>
            <w:tcW w:w="13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(309)</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(525)</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(707)</w:t>
            </w:r>
          </w:p>
        </w:tc>
      </w:tr>
      <w:tr>
        <w:trPr>
          <w:trHeight w:val="167"/>
        </w:trPr>
        <w:tc>
          <w:tcPr>
            <w:tcW w:w="310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3100" w:type="dxa"/>
            <w:vAlign w:val="bottom"/>
          </w:tcPr>
          <w:p>
            <w:pPr>
              <w:spacing w:after="0"/>
              <w:rPr>
                <w:sz w:val="20"/>
                <w:szCs w:val="20"/>
                <w:color w:val="auto"/>
              </w:rPr>
            </w:pPr>
            <w:r>
              <w:rPr>
                <w:rFonts w:ascii="Courier New" w:cs="Courier New" w:eastAsia="Courier New" w:hAnsi="Courier New"/>
                <w:sz w:val="14"/>
                <w:szCs w:val="14"/>
                <w:color w:val="auto"/>
              </w:rPr>
              <w:t>Net Income (Loss)- pro forma</w:t>
            </w: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$4,489</w:t>
            </w:r>
          </w:p>
        </w:tc>
        <w:tc>
          <w:tcPr>
            <w:tcW w:w="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$4,512</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($ 387)</w:t>
            </w:r>
          </w:p>
        </w:tc>
      </w:tr>
      <w:tr>
        <w:trPr>
          <w:trHeight w:val="167"/>
        </w:trPr>
        <w:tc>
          <w:tcPr>
            <w:tcW w:w="3100" w:type="dxa"/>
            <w:vAlign w:val="bottom"/>
          </w:tcPr>
          <w:p>
            <w:pPr>
              <w:spacing w:after="0"/>
              <w:rPr>
                <w:sz w:val="14"/>
                <w:szCs w:val="14"/>
                <w:color w:val="auto"/>
              </w:rPr>
            </w:pPr>
          </w:p>
        </w:tc>
        <w:tc>
          <w:tcPr>
            <w:tcW w:w="1300" w:type="dxa"/>
            <w:vAlign w:val="bottom"/>
          </w:tcPr>
          <w:p>
            <w:pPr>
              <w:jc w:val="center"/>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501"/>
        </w:trPr>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21" w:name="page22"/>
    <w:bookmarkEnd w:id="21"/>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Income per share, as reported:</w:t>
            </w: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$0.04</w:t>
            </w:r>
          </w:p>
        </w:tc>
      </w:tr>
      <w:tr>
        <w:trPr>
          <w:trHeight w:val="167"/>
        </w:trPr>
        <w:tc>
          <w:tcPr>
            <w:tcW w:w="3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$0.04</w:t>
            </w:r>
          </w:p>
        </w:tc>
      </w:tr>
      <w:tr>
        <w:trPr>
          <w:trHeight w:val="167"/>
        </w:trPr>
        <w:tc>
          <w:tcPr>
            <w:tcW w:w="3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Income (Loss) per share- pro forma</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r>
      <w:tr>
        <w:trPr>
          <w:trHeight w:val="167"/>
        </w:trPr>
        <w:tc>
          <w:tcPr>
            <w:tcW w:w="3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22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r>
      <w:tr>
        <w:trPr>
          <w:trHeight w:val="167"/>
        </w:trPr>
        <w:tc>
          <w:tcPr>
            <w:tcW w:w="3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521"/>
        <w:spacing w:after="0" w:line="253" w:lineRule="auto"/>
        <w:rPr>
          <w:sz w:val="20"/>
          <w:szCs w:val="20"/>
          <w:color w:val="auto"/>
        </w:rPr>
      </w:pPr>
      <w:r>
        <w:rPr>
          <w:rFonts w:ascii="Courier New" w:cs="Courier New" w:eastAsia="Courier New" w:hAnsi="Courier New"/>
          <w:sz w:val="14"/>
          <w:szCs w:val="14"/>
          <w:color w:val="auto"/>
        </w:rPr>
        <w:t>The weighted average fair value of each option has been estimated on the date of grant using the Black-Scholes options pricing model with the following weighted average assumptions used for grants in each of the three years ended April 30, 2006, 2005 and 2004; dividend yield of 1.4%, 1.1% and 1.8%; expected volatility of 59%, 59% and 63%; risk free interest rate of 4.1%, 3.9% and 3.6%; and expected lives of six and one-half years, respectively.</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20"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RESULTS OF OPERATIONS</w:t>
      </w:r>
    </w:p>
    <w:p>
      <w:pPr>
        <w:spacing w:after="0" w:line="175" w:lineRule="exact"/>
        <w:rPr>
          <w:sz w:val="20"/>
          <w:szCs w:val="20"/>
          <w:color w:val="auto"/>
        </w:rPr>
      </w:pPr>
    </w:p>
    <w:p>
      <w:pPr>
        <w:ind w:right="3979" w:firstLine="347"/>
        <w:spacing w:after="0" w:line="255" w:lineRule="auto"/>
        <w:rPr>
          <w:sz w:val="20"/>
          <w:szCs w:val="20"/>
          <w:color w:val="auto"/>
        </w:rPr>
      </w:pPr>
      <w:r>
        <w:rPr>
          <w:rFonts w:ascii="Courier New" w:cs="Courier New" w:eastAsia="Courier New" w:hAnsi="Courier New"/>
          <w:sz w:val="14"/>
          <w:szCs w:val="14"/>
          <w:color w:val="auto"/>
        </w:rPr>
        <w:t>The table below sets forth for the fiscal years ended April 30 the percentage of consolidated net sales represented by certain items in the Company's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2006</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780" w:type="dxa"/>
            <w:vAlign w:val="bottom"/>
          </w:tcPr>
          <w:p>
            <w:pPr>
              <w:ind w:left="360"/>
              <w:spacing w:after="0"/>
              <w:rPr>
                <w:sz w:val="20"/>
                <w:szCs w:val="20"/>
                <w:color w:val="auto"/>
              </w:rPr>
            </w:pPr>
            <w:r>
              <w:rPr>
                <w:rFonts w:ascii="Courier New" w:cs="Courier New" w:eastAsia="Courier New" w:hAnsi="Courier New"/>
                <w:sz w:val="14"/>
                <w:szCs w:val="14"/>
                <w:color w:val="auto"/>
              </w:rPr>
              <w:t>Commercial Communications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56.4%</w:t>
            </w:r>
          </w:p>
        </w:tc>
      </w:tr>
      <w:tr>
        <w:trPr>
          <w:trHeight w:val="167"/>
        </w:trPr>
        <w:tc>
          <w:tcPr>
            <w:tcW w:w="3780" w:type="dxa"/>
            <w:vAlign w:val="bottom"/>
          </w:tcPr>
          <w:p>
            <w:pPr>
              <w:ind w:left="360"/>
              <w:spacing w:after="0"/>
              <w:rPr>
                <w:sz w:val="20"/>
                <w:szCs w:val="20"/>
                <w:color w:val="auto"/>
              </w:rPr>
            </w:pPr>
            <w:r>
              <w:rPr>
                <w:rFonts w:ascii="Courier New" w:cs="Courier New" w:eastAsia="Courier New" w:hAnsi="Courier New"/>
                <w:sz w:val="14"/>
                <w:szCs w:val="14"/>
                <w:color w:val="auto"/>
              </w:rPr>
              <w:t>U.S. Government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14.1</w:t>
            </w:r>
          </w:p>
        </w:tc>
      </w:tr>
      <w:tr>
        <w:trPr>
          <w:trHeight w:val="167"/>
        </w:trPr>
        <w:tc>
          <w:tcPr>
            <w:tcW w:w="3780" w:type="dxa"/>
            <w:vAlign w:val="bottom"/>
          </w:tcPr>
          <w:p>
            <w:pPr>
              <w:ind w:left="360"/>
              <w:spacing w:after="0"/>
              <w:rPr>
                <w:sz w:val="20"/>
                <w:szCs w:val="20"/>
                <w:color w:val="auto"/>
              </w:rPr>
            </w:pPr>
            <w:r>
              <w:rPr>
                <w:rFonts w:ascii="Courier New" w:cs="Courier New" w:eastAsia="Courier New" w:hAnsi="Courier New"/>
                <w:sz w:val="14"/>
                <w:szCs w:val="14"/>
                <w:color w:val="auto"/>
              </w:rPr>
              <w:t>Gillam-FEI</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22.8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w:t>
            </w:r>
          </w:p>
        </w:tc>
      </w:tr>
      <w:tr>
        <w:trPr>
          <w:trHeight w:val="167"/>
        </w:trPr>
        <w:tc>
          <w:tcPr>
            <w:tcW w:w="3780" w:type="dxa"/>
            <w:vAlign w:val="bottom"/>
          </w:tcPr>
          <w:p>
            <w:pPr>
              <w:ind w:left="360"/>
              <w:spacing w:after="0"/>
              <w:rPr>
                <w:sz w:val="20"/>
                <w:szCs w:val="20"/>
                <w:color w:val="auto"/>
              </w:rPr>
            </w:pPr>
            <w:r>
              <w:rPr>
                <w:rFonts w:ascii="Courier New" w:cs="Courier New" w:eastAsia="Courier New" w:hAnsi="Courier New"/>
                <w:sz w:val="14"/>
                <w:szCs w:val="14"/>
                <w:color w:val="auto"/>
              </w:rPr>
              <w:t>FEI-Zyfer</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Less intersegment sales</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(7.9)</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100.0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64.8</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67.1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68.9</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Gross Margin</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35.2</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31.1</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20.1</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22.3</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Compensation Charges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0.0</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11.9</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10.6</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Operating Profit (Loss)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Income, net &amp; Minority Interest</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9.3</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3.4</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7"/>
        </w:trPr>
        <w:tc>
          <w:tcPr>
            <w:tcW w:w="3780" w:type="dxa"/>
            <w:vAlign w:val="bottom"/>
          </w:tcPr>
          <w:p>
            <w:pPr>
              <w:spacing w:after="0"/>
              <w:rPr>
                <w:sz w:val="14"/>
                <w:szCs w:val="14"/>
                <w:color w:val="auto"/>
              </w:rPr>
            </w:pP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Significant Events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As more thoroughly described elsewhere in this Form 10-K and in the notes to the financial statements, the Company's fiscal year 2006, 2005 and 2004 results of operations were materially impacted by several specific events. During fiscal year 2006, the Company recognized gains on the sale of certain assets: $2.1 million from additional sales of shares of Reckson Associates Realty Corp. common stock ("REIT stock") (See Item 2. Properties, Note 6 to the accompanying consolidated financial statements and comments in the following paragraph) and a gain of $680,000 upon the sale of a manufacturing facility owned by one of its European subsidiaries. (See Note 7 to the accompanying consolidated financial statements.)</w:t>
      </w:r>
    </w:p>
    <w:p>
      <w:pPr>
        <w:spacing w:after="0" w:line="33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During fiscal year 2005, the Company recorded a gain of $4.6 million on the conversion of its real estate operating partnership units ("REIT units") into shares of REIT stock, thus completing a transaction which was initiated in fiscal year 1998. Subsequent to the conversion, the Company sold a portion of the REIT stock and realized additional gains of approximately $2.3 million, or total pretax gains of approximately $6.9 million. As a result of these gains, the Company also accrued a contractually mandated incentive compensation expense of $416,000, which amount is included in operating expenses under the caption "Compensation Charges."</w:t>
      </w:r>
    </w:p>
    <w:p>
      <w:pPr>
        <w:spacing w:after="0" w:line="33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During fiscal year 2004, the Company acquired the business and net assets of Zyfer, Inc. In addition to the purchase price, the Company invested an additional $2.5 million of working capital to support the operations of FEI-Zyfer until it could return to profitability. Also, in fiscal year 2004, the Company realized a $400,000 tax benefit as the result of the reversal of certain tax liabilities established in prior years.</w:t>
      </w:r>
    </w:p>
    <w:p>
      <w:pPr>
        <w:spacing w:after="0" w:line="165"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Without these significant events, the Company's operating profit (loss), pre-tax income and net income would be materially different from that reported in the financial statements.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20" w:right="1440" w:bottom="1440" w:gutter="0" w:footer="0" w:header="0"/>
        </w:sectPr>
      </w:pPr>
    </w:p>
    <w:bookmarkStart w:id="23" w:name="page24"/>
    <w:bookmarkEnd w:id="23"/>
    <w:p>
      <w:pPr>
        <w:ind w:left="360"/>
        <w:spacing w:after="0"/>
        <w:rPr>
          <w:sz w:val="20"/>
          <w:szCs w:val="20"/>
          <w:color w:val="auto"/>
        </w:rPr>
      </w:pPr>
      <w:r>
        <w:rPr>
          <w:rFonts w:ascii="Courier New" w:cs="Courier New" w:eastAsia="Courier New" w:hAnsi="Courier New"/>
          <w:sz w:val="14"/>
          <w:szCs w:val="14"/>
          <w:color w:val="auto"/>
        </w:rPr>
        <w:t>Operating Profit (Loss)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220"/>
        <w:spacing w:after="0"/>
        <w:tabs>
          <w:tab w:leader="none" w:pos="4320" w:val="left"/>
        </w:tabs>
        <w:rPr>
          <w:sz w:val="20"/>
          <w:szCs w:val="20"/>
          <w:color w:val="auto"/>
        </w:rPr>
      </w:pPr>
      <w:r>
        <w:rPr>
          <w:rFonts w:ascii="Courier New" w:cs="Courier New" w:eastAsia="Courier New" w:hAnsi="Courier New"/>
          <w:sz w:val="14"/>
          <w:szCs w:val="14"/>
          <w:color w:val="auto"/>
        </w:rPr>
        <w:t>Fiscal 2006 to Fiscal 2005</w:t>
      </w:r>
      <w:r>
        <w:rPr>
          <w:sz w:val="20"/>
          <w:szCs w:val="20"/>
          <w:color w:val="auto"/>
        </w:rPr>
        <w:tab/>
      </w:r>
      <w:r>
        <w:rPr>
          <w:rFonts w:ascii="Courier New" w:cs="Courier New" w:eastAsia="Courier New" w:hAnsi="Courier New"/>
          <w:sz w:val="14"/>
          <w:szCs w:val="14"/>
          <w:color w:val="auto"/>
        </w:rPr>
        <w:t>Fiscal 2005 to Fiscal 2004</w:t>
      </w:r>
    </w:p>
    <w:p>
      <w:pPr>
        <w:spacing w:after="0" w:line="8" w:lineRule="exact"/>
        <w:rPr>
          <w:sz w:val="20"/>
          <w:szCs w:val="20"/>
          <w:color w:val="auto"/>
        </w:rPr>
      </w:pPr>
    </w:p>
    <w:p>
      <w:pPr>
        <w:ind w:left="1060"/>
        <w:spacing w:after="0"/>
        <w:tabs>
          <w:tab w:leader="none" w:pos="4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Years ended April 30,</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2006</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$1,710</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260"/>
        <w:spacing w:after="0" w:line="255" w:lineRule="auto"/>
        <w:rPr>
          <w:sz w:val="20"/>
          <w:szCs w:val="20"/>
          <w:color w:val="auto"/>
        </w:rPr>
      </w:pPr>
      <w:r>
        <w:rPr>
          <w:rFonts w:ascii="Courier New" w:cs="Courier New" w:eastAsia="Courier New" w:hAnsi="Courier New"/>
          <w:sz w:val="14"/>
          <w:szCs w:val="14"/>
          <w:color w:val="auto"/>
        </w:rPr>
        <w:t>2005 ---- ($1,269)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347"/>
        <w:spacing w:after="0" w:line="255" w:lineRule="auto"/>
        <w:rPr>
          <w:sz w:val="20"/>
          <w:szCs w:val="20"/>
          <w:color w:val="auto"/>
        </w:rPr>
      </w:pPr>
      <w:r>
        <w:rPr>
          <w:rFonts w:ascii="Courier New" w:cs="Courier New" w:eastAsia="Courier New" w:hAnsi="Courier New"/>
          <w:sz w:val="14"/>
          <w:szCs w:val="14"/>
          <w:color w:val="auto"/>
        </w:rPr>
        <w:t>Change ------ $2,979 NM</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firstLine="260"/>
        <w:spacing w:after="0" w:line="255" w:lineRule="auto"/>
        <w:rPr>
          <w:sz w:val="20"/>
          <w:szCs w:val="20"/>
          <w:color w:val="auto"/>
        </w:rPr>
      </w:pPr>
      <w:r>
        <w:rPr>
          <w:rFonts w:ascii="Courier New" w:cs="Courier New" w:eastAsia="Courier New" w:hAnsi="Courier New"/>
          <w:sz w:val="14"/>
          <w:szCs w:val="14"/>
          <w:color w:val="auto"/>
        </w:rPr>
        <w:t>2005 ---- ($1,269)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2004</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($1,646)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Change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sectPr>
          <w:pgSz w:w="11900" w:h="16838" w:orient="portrait"/>
          <w:cols w:equalWidth="0" w:num="7">
            <w:col w:w="1580" w:space="340"/>
            <w:col w:w="700" w:space="160"/>
            <w:col w:w="960" w:space="440"/>
            <w:col w:w="680" w:space="180"/>
            <w:col w:w="700" w:space="180"/>
            <w:col w:w="680" w:space="0"/>
            <w:col w:w="3639"/>
          </w:cols>
          <w:pgMar w:left="220" w:top="620"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(NM = Not meaningful)</w:t>
      </w:r>
    </w:p>
    <w:p>
      <w:pPr>
        <w:spacing w:after="0" w:line="175"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For the fiscal year ended April 30, 2006, the Company realized an operating profit of $1.7 million compared to an operating loss of $1.3 million in fiscal year 2005. This substantial improvement in operating results was the result of several factors including improved gross margins, lower compensation related charges and lower discretionary spending on research and development.</w:t>
      </w:r>
    </w:p>
    <w:p>
      <w:pPr>
        <w:spacing w:after="0" w:line="16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operating loss for the fiscal year ended April 30, 2005, decreased to $1.3 million from a $1.6 million operating loss for fiscal year 2004. The improvement is attributable to the 10% year-over-year increase in sales coupled with improved gross margins but offset by higher selling and administrative costs, compensation charges and research and development expenditures. The research and development expenditures represent investments that keep the Company's products at the leading edge of time and frequency technology and enhance competitiveness for future sales.</w:t>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Net Sales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14"/>
                <w:szCs w:val="14"/>
                <w:color w:val="auto"/>
              </w:rPr>
            </w:pPr>
          </w:p>
        </w:tc>
        <w:tc>
          <w:tcPr>
            <w:tcW w:w="4220" w:type="dxa"/>
            <w:vAlign w:val="bottom"/>
            <w:gridSpan w:val="4"/>
          </w:tcPr>
          <w:p>
            <w:pPr>
              <w:jc w:val="right"/>
              <w:ind w:right="1228"/>
              <w:spacing w:after="0"/>
              <w:rPr>
                <w:sz w:val="20"/>
                <w:szCs w:val="20"/>
                <w:color w:val="auto"/>
              </w:rPr>
            </w:pPr>
            <w:r>
              <w:rPr>
                <w:rFonts w:ascii="Courier New" w:cs="Courier New" w:eastAsia="Courier New" w:hAnsi="Courier New"/>
                <w:sz w:val="14"/>
                <w:szCs w:val="14"/>
                <w:color w:val="auto"/>
              </w:rPr>
              <w:t>Fiscal 2006 to Fiscal 2005</w:t>
            </w:r>
          </w:p>
        </w:tc>
        <w:tc>
          <w:tcPr>
            <w:tcW w:w="25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2005 to Fiscal 2004</w:t>
            </w:r>
          </w:p>
        </w:tc>
        <w:tc>
          <w:tcPr>
            <w:tcW w:w="4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1960" w:type="dxa"/>
            <w:vAlign w:val="bottom"/>
            <w:gridSpan w:val="2"/>
          </w:tcPr>
          <w:p>
            <w:pPr>
              <w:ind w:left="480"/>
              <w:spacing w:after="0"/>
              <w:rPr>
                <w:sz w:val="20"/>
                <w:szCs w:val="20"/>
                <w:color w:val="auto"/>
              </w:rPr>
            </w:pPr>
            <w:r>
              <w:rPr>
                <w:rFonts w:ascii="Courier New" w:cs="Courier New" w:eastAsia="Courier New" w:hAnsi="Courier New"/>
                <w:sz w:val="10"/>
                <w:szCs w:val="10"/>
                <w:color w:val="auto"/>
                <w:w w:val="76"/>
              </w:rPr>
              <w:t>--------------------------------</w:t>
            </w:r>
          </w:p>
        </w:tc>
        <w:tc>
          <w:tcPr>
            <w:tcW w:w="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40" w:type="dxa"/>
            <w:vAlign w:val="bottom"/>
            <w:gridSpan w:val="4"/>
          </w:tcPr>
          <w:p>
            <w:pPr>
              <w:ind w:left="80"/>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Years ended April</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30,</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4"/>
                <w:szCs w:val="14"/>
                <w:color w:val="auto"/>
              </w:rPr>
              <w:t>(in millions)</w:t>
            </w:r>
          </w:p>
        </w:tc>
        <w:tc>
          <w:tcPr>
            <w:tcW w:w="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2006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2005</w:t>
            </w:r>
          </w:p>
        </w:tc>
        <w:tc>
          <w:tcPr>
            <w:tcW w:w="226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Change</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2560" w:type="dxa"/>
            <w:vAlign w:val="bottom"/>
          </w:tcPr>
          <w:p>
            <w:pPr>
              <w:spacing w:after="0"/>
              <w:rPr>
                <w:sz w:val="14"/>
                <w:szCs w:val="14"/>
                <w:color w:val="auto"/>
              </w:rPr>
            </w:pPr>
          </w:p>
        </w:tc>
        <w:tc>
          <w:tcPr>
            <w:tcW w:w="126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2260" w:type="dxa"/>
            <w:vAlign w:val="bottom"/>
            <w:gridSpan w:val="2"/>
          </w:tcPr>
          <w:p>
            <w:pPr>
              <w:jc w:val="right"/>
              <w:ind w:right="1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80"/>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Commercial Communications</w:t>
            </w:r>
          </w:p>
        </w:tc>
        <w:tc>
          <w:tcPr>
            <w:tcW w:w="12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$29.5</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c>
          <w:tcPr>
            <w:tcW w:w="1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$3.2</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U.S. Government</w:t>
            </w:r>
          </w:p>
        </w:tc>
        <w:tc>
          <w:tcPr>
            <w:tcW w:w="12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6.3</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13%</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Gillam-FEI</w:t>
            </w:r>
          </w:p>
        </w:tc>
        <w:tc>
          <w:tcPr>
            <w:tcW w:w="12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9.2</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c>
          <w:tcPr>
            <w:tcW w:w="1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12.2</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0.4</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FEI-Zyfer</w:t>
            </w:r>
          </w:p>
        </w:tc>
        <w:tc>
          <w:tcPr>
            <w:tcW w:w="12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10.0</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w:t>
            </w:r>
          </w:p>
        </w:tc>
        <w:tc>
          <w:tcPr>
            <w:tcW w:w="156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14%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6.5</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2.3</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Intersegment sales</w:t>
            </w:r>
          </w:p>
        </w:tc>
        <w:tc>
          <w:tcPr>
            <w:tcW w:w="1260" w:type="dxa"/>
            <w:vAlign w:val="bottom"/>
          </w:tcPr>
          <w:p>
            <w:pPr>
              <w:jc w:val="right"/>
              <w:ind w:right="190"/>
              <w:spacing w:after="0"/>
              <w:rPr>
                <w:sz w:val="20"/>
                <w:szCs w:val="20"/>
                <w:color w:val="auto"/>
              </w:rPr>
            </w:pPr>
            <w:r>
              <w:rPr>
                <w:rFonts w:ascii="Courier New" w:cs="Courier New" w:eastAsia="Courier New" w:hAnsi="Courier New"/>
                <w:sz w:val="14"/>
                <w:szCs w:val="14"/>
                <w:color w:val="auto"/>
              </w:rPr>
              <w:t>(2.2)</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c>
          <w:tcPr>
            <w:tcW w:w="15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0.6</w:t>
            </w:r>
          </w:p>
        </w:tc>
        <w:tc>
          <w:tcPr>
            <w:tcW w:w="4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12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6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1260" w:type="dxa"/>
            <w:vAlign w:val="bottom"/>
          </w:tcPr>
          <w:p>
            <w:pPr>
              <w:jc w:val="right"/>
              <w:ind w:right="270"/>
              <w:spacing w:after="0"/>
              <w:rPr>
                <w:sz w:val="20"/>
                <w:szCs w:val="20"/>
                <w:color w:val="auto"/>
              </w:rPr>
            </w:pPr>
            <w:r>
              <w:rPr>
                <w:rFonts w:ascii="Courier New" w:cs="Courier New" w:eastAsia="Courier New" w:hAnsi="Courier New"/>
                <w:sz w:val="14"/>
                <w:szCs w:val="14"/>
                <w:color w:val="auto"/>
              </w:rPr>
              <w:t>$52.8</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$55.2</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c>
          <w:tcPr>
            <w:tcW w:w="15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$50.1</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$5.1</w:t>
            </w:r>
          </w:p>
        </w:tc>
        <w:tc>
          <w:tcPr>
            <w:tcW w:w="4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bl>
    <w:p>
      <w:pPr>
        <w:spacing w:after="0" w:line="338"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For the year ended April 30, 2006, revenues of the Commercial Communications segment declined 6% primarily as a result of a 33% decrease in revenues related to wireless telecommunication infrastructure spending. This decline was partially offset by a doubling in revenues from commercial satellite projects. Revenues related to U.S. Government programs increased by 13% as the Company began new programs primarily for U.S. Government satellite programs. Revenues for Gillam-FEI (exclusive of intercompany sales of $945,000 in fiscal year 2006 and $2.4 million in fiscal year 2005 related to a research and development program) decreased by $2.0 million or 19%, as a number of wireline synchronization projects were postponed by its customers. FEI-Zyfer continued to show year-over-year improvement in revenues as the segment introduced new products and continued to solidify its position with its customer base.</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fiscal year 2005, sales increases were experienced in three of the Company's four segments over the fiscal year 2004 results. Commercial Communications revenues increased largely on increased revenues from commercial space programs. Gillam-FEI revenues (exclusive of intercompany sales of $2.4 million in fiscal year 2005 and $3.5 million in fiscal year 2004 related to a research and development program) improved by $1.5 million (18%) of which approximately 40% is attributable to appreciation in the value of the euro to the dollar during fiscal year 2005. FEI-Zyfer's revenues continued the improvements which began in the second half of fiscal year 2004 after the Company acquired it and stabilized its operations. These sales gains were offset by a decline in revenues from U.S. Government programs as the Company worked on several smaller dollar development contracts versus higher volume production programs in prior years.</w:t>
      </w:r>
    </w:p>
    <w:p>
      <w:pPr>
        <w:spacing w:after="0" w:line="163"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During fiscal year 2007, based on current backlog and current proposal activity, the Company expects to again realize significant revenues from commercial and U.S. Government satellite programs. In addition, the Company's recent work on U.S. Government-sponsored development contracts and current proposal activity should generate increased revenues from U.S. Government programs such as secure radios, new communication satellites, unmanned aerial vehicles, weapons guidance systems and</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20" w:right="1440" w:bottom="1440" w:gutter="0" w:footer="0" w:header="0"/>
          <w:type w:val="continuous"/>
        </w:sectPr>
      </w:pPr>
    </w:p>
    <w:bookmarkStart w:id="24" w:name="page25"/>
    <w:bookmarkEnd w:id="24"/>
    <w:p>
      <w:pPr>
        <w:ind w:right="3459"/>
        <w:spacing w:after="0" w:line="254" w:lineRule="auto"/>
        <w:rPr>
          <w:sz w:val="20"/>
          <w:szCs w:val="20"/>
          <w:color w:val="auto"/>
        </w:rPr>
      </w:pPr>
      <w:r>
        <w:rPr>
          <w:rFonts w:ascii="Courier New" w:cs="Courier New" w:eastAsia="Courier New" w:hAnsi="Courier New"/>
          <w:sz w:val="14"/>
          <w:szCs w:val="14"/>
          <w:color w:val="auto"/>
        </w:rPr>
        <w:t>secure communications. The timing and magnitude of revenues from these sources is dependent on the U.S. Government's procurement and budgeting process. The expected increased revenue stream will benefit the Company's fiscal year 2007 FEI-NY segment (the combination of the Commercial Communications and U.S. Government segments) and the FEI-Zyfer segment.</w:t>
      </w:r>
    </w:p>
    <w:p>
      <w:pPr>
        <w:spacing w:after="0" w:line="16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Demand for the Company's products by wireless infrastructure original equipment manufacturers, has fluctuated in recent years. Demand peaked during the Company's fourth quarter of fiscal year 2004 and through the first quarter of fiscal year 2005. This was followed by sequential declines in the subsequent quarters of fiscal year 2005 and the first half of fiscal year 2006 as end-users postponed deployment of next generation cellular base stations. The Company continues to believe, however, that the world-wide market for its synchronization products for the wireless industry, particularly in China, remains large and will grow. The Company anticipates that some of this growth will materialize during mid- to late-fiscal year 2007 which should result in increased revenues for the Commercial Communications (to become the FEI-NY) segment. In addition, the Company expects that world-wide capital spending on wireline synchronization systems will increase as older systems are upgraded or replaced. Accordingly, the Company believes future sales in the Gillam-FEI segment will increase over the level achieved in fiscal year 2006.</w:t>
      </w:r>
    </w:p>
    <w:p>
      <w:pPr>
        <w:spacing w:after="0" w:line="200" w:lineRule="exact"/>
        <w:rPr>
          <w:sz w:val="20"/>
          <w:szCs w:val="20"/>
          <w:color w:val="auto"/>
        </w:rPr>
      </w:pPr>
    </w:p>
    <w:p>
      <w:pPr>
        <w:spacing w:after="0" w:line="30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Gross Margin Rates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Fiscal 2006 to</w:t>
            </w:r>
          </w:p>
        </w:tc>
        <w:tc>
          <w:tcPr>
            <w:tcW w:w="1560" w:type="dxa"/>
            <w:vAlign w:val="bottom"/>
            <w:gridSpan w:val="2"/>
          </w:tcPr>
          <w:p>
            <w:pPr>
              <w:jc w:val="right"/>
              <w:ind w:right="548"/>
              <w:spacing w:after="0"/>
              <w:rPr>
                <w:sz w:val="20"/>
                <w:szCs w:val="20"/>
                <w:color w:val="auto"/>
              </w:rPr>
            </w:pPr>
            <w:r>
              <w:rPr>
                <w:rFonts w:ascii="Courier New" w:cs="Courier New" w:eastAsia="Courier New" w:hAnsi="Courier New"/>
                <w:sz w:val="14"/>
                <w:szCs w:val="14"/>
                <w:color w:val="auto"/>
                <w:w w:val="99"/>
              </w:rPr>
              <w:t>Fiscal 2005</w:t>
            </w:r>
          </w:p>
        </w:tc>
        <w:tc>
          <w:tcPr>
            <w:tcW w:w="640" w:type="dxa"/>
            <w:vAlign w:val="bottom"/>
          </w:tcPr>
          <w:p>
            <w:pPr>
              <w:spacing w:after="0"/>
              <w:rPr>
                <w:sz w:val="14"/>
                <w:szCs w:val="14"/>
                <w:color w:val="auto"/>
              </w:rPr>
            </w:pPr>
          </w:p>
        </w:tc>
        <w:tc>
          <w:tcPr>
            <w:tcW w:w="4120" w:type="dxa"/>
            <w:vAlign w:val="bottom"/>
            <w:gridSpan w:val="3"/>
          </w:tcPr>
          <w:p>
            <w:pPr>
              <w:jc w:val="right"/>
              <w:ind w:right="708"/>
              <w:spacing w:after="0"/>
              <w:rPr>
                <w:sz w:val="20"/>
                <w:szCs w:val="20"/>
                <w:color w:val="auto"/>
              </w:rPr>
            </w:pPr>
            <w:r>
              <w:rPr>
                <w:rFonts w:ascii="Courier New" w:cs="Courier New" w:eastAsia="Courier New" w:hAnsi="Courier New"/>
                <w:sz w:val="14"/>
                <w:szCs w:val="14"/>
                <w:color w:val="auto"/>
              </w:rPr>
              <w:t>Fiscal 2005 to Fiscal 2004</w:t>
            </w:r>
          </w:p>
        </w:tc>
      </w:tr>
      <w:tr>
        <w:trPr>
          <w:trHeight w:val="167"/>
        </w:trPr>
        <w:tc>
          <w:tcPr>
            <w:tcW w:w="8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1"/>
              </w:rPr>
              <w:t>-------------------------------------------</w:t>
            </w: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1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520" w:type="dxa"/>
            <w:vAlign w:val="bottom"/>
            <w:gridSpan w:val="2"/>
          </w:tcPr>
          <w:p>
            <w:pPr>
              <w:spacing w:after="0"/>
              <w:rPr>
                <w:sz w:val="20"/>
                <w:szCs w:val="20"/>
                <w:color w:val="auto"/>
              </w:rPr>
            </w:pPr>
            <w:r>
              <w:rPr>
                <w:rFonts w:ascii="Courier New" w:cs="Courier New" w:eastAsia="Courier New" w:hAnsi="Courier New"/>
                <w:sz w:val="14"/>
                <w:szCs w:val="14"/>
                <w:color w:val="auto"/>
              </w:rPr>
              <w:t>Years ended April 30,</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4"/>
        </w:trPr>
        <w:tc>
          <w:tcPr>
            <w:tcW w:w="840" w:type="dxa"/>
            <w:vAlign w:val="bottom"/>
          </w:tcPr>
          <w:p>
            <w:pPr>
              <w:spacing w:after="0"/>
              <w:rPr>
                <w:sz w:val="24"/>
                <w:szCs w:val="24"/>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2006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2005</w:t>
            </w:r>
          </w:p>
        </w:tc>
        <w:tc>
          <w:tcPr>
            <w:tcW w:w="5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c>
          <w:tcPr>
            <w:tcW w:w="640" w:type="dxa"/>
            <w:vAlign w:val="bottom"/>
          </w:tcPr>
          <w:p>
            <w:pPr>
              <w:spacing w:after="0"/>
              <w:rPr>
                <w:sz w:val="24"/>
                <w:szCs w:val="24"/>
                <w:color w:val="auto"/>
              </w:rPr>
            </w:pPr>
          </w:p>
        </w:tc>
        <w:tc>
          <w:tcPr>
            <w:tcW w:w="1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2005</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2004</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840" w:type="dxa"/>
            <w:vAlign w:val="bottom"/>
          </w:tcPr>
          <w:p>
            <w:pPr>
              <w:spacing w:after="0"/>
              <w:rPr>
                <w:sz w:val="14"/>
                <w:szCs w:val="14"/>
                <w:color w:val="auto"/>
              </w:rPr>
            </w:pP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c>
          <w:tcPr>
            <w:tcW w:w="188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r>
      <w:tr>
        <w:trPr>
          <w:trHeight w:val="334"/>
        </w:trPr>
        <w:tc>
          <w:tcPr>
            <w:tcW w:w="840" w:type="dxa"/>
            <w:vAlign w:val="bottom"/>
          </w:tcPr>
          <w:p>
            <w:pPr>
              <w:spacing w:after="0"/>
              <w:rPr>
                <w:sz w:val="24"/>
                <w:szCs w:val="24"/>
                <w:color w:val="auto"/>
              </w:rPr>
            </w:pPr>
          </w:p>
        </w:tc>
        <w:tc>
          <w:tcPr>
            <w:tcW w:w="1520" w:type="dxa"/>
            <w:vAlign w:val="bottom"/>
          </w:tcPr>
          <w:p>
            <w:pPr>
              <w:jc w:val="right"/>
              <w:ind w:right="630"/>
              <w:spacing w:after="0"/>
              <w:rPr>
                <w:sz w:val="20"/>
                <w:szCs w:val="20"/>
                <w:color w:val="auto"/>
              </w:rPr>
            </w:pPr>
            <w:r>
              <w:rPr>
                <w:rFonts w:ascii="Courier New" w:cs="Courier New" w:eastAsia="Courier New" w:hAnsi="Courier New"/>
                <w:sz w:val="14"/>
                <w:szCs w:val="14"/>
                <w:color w:val="auto"/>
              </w:rPr>
              <w:t>$18,617</w:t>
            </w:r>
          </w:p>
        </w:tc>
        <w:tc>
          <w:tcPr>
            <w:tcW w:w="10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w w:val="98"/>
              </w:rPr>
              <w:t>$18,160</w:t>
            </w:r>
          </w:p>
        </w:tc>
        <w:tc>
          <w:tcPr>
            <w:tcW w:w="10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$457</w:t>
            </w:r>
          </w:p>
        </w:tc>
        <w:tc>
          <w:tcPr>
            <w:tcW w:w="640" w:type="dxa"/>
            <w:vAlign w:val="bottom"/>
          </w:tcPr>
          <w:p>
            <w:pPr>
              <w:ind w:left="80"/>
              <w:spacing w:after="0"/>
              <w:rPr>
                <w:sz w:val="20"/>
                <w:szCs w:val="20"/>
                <w:color w:val="auto"/>
              </w:rPr>
            </w:pPr>
            <w:r>
              <w:rPr>
                <w:rFonts w:ascii="Courier New" w:cs="Courier New" w:eastAsia="Courier New" w:hAnsi="Courier New"/>
                <w:sz w:val="14"/>
                <w:szCs w:val="14"/>
                <w:color w:val="auto"/>
              </w:rPr>
              <w:t>3%</w:t>
            </w: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$18,160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8"/>
              </w:rPr>
              <w:t>$15,577</w:t>
            </w:r>
          </w:p>
        </w:tc>
        <w:tc>
          <w:tcPr>
            <w:tcW w:w="14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$2,583   17%</w:t>
            </w:r>
          </w:p>
        </w:tc>
      </w:tr>
      <w:tr>
        <w:trPr>
          <w:trHeight w:val="334"/>
        </w:trPr>
        <w:tc>
          <w:tcPr>
            <w:tcW w:w="840" w:type="dxa"/>
            <w:vAlign w:val="bottom"/>
          </w:tcPr>
          <w:p>
            <w:pPr>
              <w:spacing w:after="0"/>
              <w:rPr>
                <w:sz w:val="20"/>
                <w:szCs w:val="20"/>
                <w:color w:val="auto"/>
              </w:rPr>
            </w:pPr>
            <w:r>
              <w:rPr>
                <w:rFonts w:ascii="Courier New" w:cs="Courier New" w:eastAsia="Courier New" w:hAnsi="Courier New"/>
                <w:sz w:val="14"/>
                <w:szCs w:val="14"/>
                <w:color w:val="auto"/>
              </w:rPr>
              <w:t>GM Rate</w:t>
            </w:r>
          </w:p>
        </w:tc>
        <w:tc>
          <w:tcPr>
            <w:tcW w:w="1520" w:type="dxa"/>
            <w:vAlign w:val="bottom"/>
          </w:tcPr>
          <w:p>
            <w:pPr>
              <w:ind w:left="380"/>
              <w:spacing w:after="0"/>
              <w:rPr>
                <w:sz w:val="20"/>
                <w:szCs w:val="20"/>
                <w:color w:val="auto"/>
              </w:rPr>
            </w:pPr>
            <w:r>
              <w:rPr>
                <w:rFonts w:ascii="Courier New" w:cs="Courier New" w:eastAsia="Courier New" w:hAnsi="Courier New"/>
                <w:sz w:val="14"/>
                <w:szCs w:val="14"/>
                <w:color w:val="auto"/>
              </w:rPr>
              <w:t>35.3%</w:t>
            </w:r>
          </w:p>
        </w:tc>
        <w:tc>
          <w:tcPr>
            <w:tcW w:w="10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32.9%</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32.9%</w:t>
            </w:r>
          </w:p>
        </w:tc>
        <w:tc>
          <w:tcPr>
            <w:tcW w:w="820" w:type="dxa"/>
            <w:vAlign w:val="bottom"/>
          </w:tcPr>
          <w:p>
            <w:pPr>
              <w:ind w:left="160"/>
              <w:spacing w:after="0"/>
              <w:rPr>
                <w:sz w:val="20"/>
                <w:szCs w:val="20"/>
                <w:color w:val="auto"/>
              </w:rPr>
            </w:pPr>
            <w:r>
              <w:rPr>
                <w:rFonts w:ascii="Courier New" w:cs="Courier New" w:eastAsia="Courier New" w:hAnsi="Courier New"/>
                <w:sz w:val="14"/>
                <w:szCs w:val="14"/>
                <w:color w:val="auto"/>
              </w:rPr>
              <w:t>31.1%</w:t>
            </w:r>
          </w:p>
        </w:tc>
        <w:tc>
          <w:tcPr>
            <w:tcW w:w="1420" w:type="dxa"/>
            <w:vAlign w:val="bottom"/>
          </w:tcPr>
          <w:p>
            <w:pPr>
              <w:spacing w:after="0"/>
              <w:rPr>
                <w:sz w:val="24"/>
                <w:szCs w:val="24"/>
                <w:color w:val="auto"/>
              </w:rPr>
            </w:pPr>
          </w:p>
        </w:tc>
      </w:tr>
      <w:tr>
        <w:trPr>
          <w:trHeight w:val="501"/>
        </w:trPr>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For the year ended April 30,</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2006, gross margin</w:t>
            </w:r>
          </w:p>
        </w:tc>
        <w:tc>
          <w:tcPr>
            <w:tcW w:w="2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improved by 3% over the</w:t>
            </w:r>
          </w:p>
        </w:tc>
        <w:tc>
          <w:tcPr>
            <w:tcW w:w="8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7"/>
        </w:trPr>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prior year even though the level</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of sales decreased</w:t>
            </w:r>
          </w:p>
        </w:tc>
        <w:tc>
          <w:tcPr>
            <w:tcW w:w="2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by 4% from fiscal year 2005.</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7"/>
        </w:trPr>
        <w:tc>
          <w:tcPr>
            <w:tcW w:w="2880" w:type="dxa"/>
            <w:vAlign w:val="bottom"/>
            <w:gridSpan w:val="3"/>
          </w:tcPr>
          <w:p>
            <w:pPr>
              <w:jc w:val="right"/>
              <w:ind w:right="28"/>
              <w:spacing w:after="0"/>
              <w:rPr>
                <w:sz w:val="20"/>
                <w:szCs w:val="20"/>
                <w:color w:val="auto"/>
              </w:rPr>
            </w:pPr>
            <w:r>
              <w:rPr>
                <w:rFonts w:ascii="Courier New" w:cs="Courier New" w:eastAsia="Courier New" w:hAnsi="Courier New"/>
                <w:sz w:val="14"/>
                <w:szCs w:val="14"/>
                <w:color w:val="auto"/>
              </w:rPr>
              <w:t>This result was achieved through</w:t>
            </w:r>
          </w:p>
        </w:tc>
        <w:tc>
          <w:tcPr>
            <w:tcW w:w="1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better utilization</w:t>
            </w:r>
          </w:p>
        </w:tc>
        <w:tc>
          <w:tcPr>
            <w:tcW w:w="25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of resources and product mix</w:t>
            </w:r>
          </w:p>
        </w:tc>
        <w:tc>
          <w:tcPr>
            <w:tcW w:w="820" w:type="dxa"/>
            <w:vAlign w:val="bottom"/>
          </w:tcPr>
          <w:p>
            <w:pPr>
              <w:spacing w:after="0"/>
              <w:rPr>
                <w:sz w:val="14"/>
                <w:szCs w:val="14"/>
                <w:color w:val="auto"/>
              </w:rPr>
            </w:pPr>
          </w:p>
        </w:tc>
        <w:tc>
          <w:tcPr>
            <w:tcW w:w="1420" w:type="dxa"/>
            <w:vAlign w:val="bottom"/>
          </w:tcPr>
          <w:p>
            <w:pPr>
              <w:spacing w:after="0"/>
              <w:rPr>
                <w:sz w:val="14"/>
                <w:szCs w:val="14"/>
                <w:color w:val="auto"/>
              </w:rPr>
            </w:pPr>
          </w:p>
        </w:tc>
      </w:tr>
    </w:tbl>
    <w:p>
      <w:pPr>
        <w:spacing w:after="0" w:line="4" w:lineRule="exact"/>
        <w:rPr>
          <w:sz w:val="20"/>
          <w:szCs w:val="20"/>
          <w:color w:val="auto"/>
        </w:rPr>
      </w:pPr>
    </w:p>
    <w:p>
      <w:pPr>
        <w:jc w:val="both"/>
        <w:ind w:right="3899"/>
        <w:spacing w:after="0" w:line="255" w:lineRule="auto"/>
        <w:rPr>
          <w:sz w:val="20"/>
          <w:szCs w:val="20"/>
          <w:color w:val="auto"/>
        </w:rPr>
      </w:pPr>
      <w:r>
        <w:rPr>
          <w:rFonts w:ascii="Courier New" w:cs="Courier New" w:eastAsia="Courier New" w:hAnsi="Courier New"/>
          <w:sz w:val="14"/>
          <w:szCs w:val="14"/>
          <w:color w:val="auto"/>
        </w:rPr>
        <w:t>which was partially offset by developmental and technical issues that the Company experienced during fiscal year 2006 with respect to two long-term contracts.</w:t>
      </w:r>
    </w:p>
    <w:p>
      <w:pPr>
        <w:spacing w:after="0" w:line="162"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gross margin rate for fiscal year 2005 improved to 33% of net sales compared to 31% in fiscal year 2004. The improvement is primarily attributable to increased revenue in fiscal year 2005 which was able to absorb a greater share of fixed costs. Gross margin improvements were partially offset by additional work required on certain space programs to address technical issues encountered at the near conclusion of these programs.</w:t>
      </w:r>
    </w:p>
    <w:p>
      <w:pPr>
        <w:spacing w:after="0" w:line="165" w:lineRule="exact"/>
        <w:rPr>
          <w:sz w:val="20"/>
          <w:szCs w:val="20"/>
          <w:color w:val="auto"/>
        </w:rPr>
      </w:pPr>
    </w:p>
    <w:p>
      <w:pPr>
        <w:ind w:right="3459" w:firstLine="347"/>
        <w:spacing w:after="0" w:line="253" w:lineRule="auto"/>
        <w:rPr>
          <w:sz w:val="20"/>
          <w:szCs w:val="20"/>
          <w:color w:val="auto"/>
        </w:rPr>
      </w:pPr>
      <w:r>
        <w:rPr>
          <w:rFonts w:ascii="Courier New" w:cs="Courier New" w:eastAsia="Courier New" w:hAnsi="Courier New"/>
          <w:sz w:val="14"/>
          <w:szCs w:val="14"/>
          <w:color w:val="auto"/>
        </w:rPr>
        <w:t>The Company's target is to achieve an overall gross margin rate of 40% or better through greater sales volume, continued process improvements, better performance on long-term contracts and utilization of lower cost manufacturing in Russia and China. During fiscal year 2007, if revenues increase as anticipated, the Company expects to realize gross margin rates approaching its targeted rate.</w:t>
      </w:r>
    </w:p>
    <w:p>
      <w:pPr>
        <w:spacing w:after="0" w:line="200" w:lineRule="exact"/>
        <w:rPr>
          <w:sz w:val="20"/>
          <w:szCs w:val="20"/>
          <w:color w:val="auto"/>
        </w:rPr>
      </w:pPr>
    </w:p>
    <w:p>
      <w:pPr>
        <w:spacing w:after="0" w:line="29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Compensation Charges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860" w:type="dxa"/>
            <w:vAlign w:val="bottom"/>
            <w:gridSpan w:val="2"/>
          </w:tcPr>
          <w:p>
            <w:pPr>
              <w:jc w:val="center"/>
              <w:ind w:right="548"/>
              <w:spacing w:after="0"/>
              <w:rPr>
                <w:sz w:val="20"/>
                <w:szCs w:val="20"/>
                <w:color w:val="auto"/>
              </w:rPr>
            </w:pPr>
            <w:r>
              <w:rPr>
                <w:rFonts w:ascii="Courier New" w:cs="Courier New" w:eastAsia="Courier New" w:hAnsi="Courier New"/>
                <w:sz w:val="14"/>
                <w:szCs w:val="14"/>
                <w:color w:val="auto"/>
              </w:rPr>
              <w:t>Fiscal 2006 to Fiscal 2005</w:t>
            </w:r>
          </w:p>
        </w:tc>
        <w:tc>
          <w:tcPr>
            <w:tcW w:w="600" w:type="dxa"/>
            <w:vAlign w:val="bottom"/>
          </w:tcPr>
          <w:p>
            <w:pPr>
              <w:spacing w:after="0"/>
              <w:rPr>
                <w:sz w:val="14"/>
                <w:szCs w:val="14"/>
                <w:color w:val="auto"/>
              </w:rPr>
            </w:pPr>
          </w:p>
        </w:tc>
        <w:tc>
          <w:tcPr>
            <w:tcW w:w="3820" w:type="dxa"/>
            <w:vAlign w:val="bottom"/>
            <w:gridSpan w:val="3"/>
          </w:tcPr>
          <w:p>
            <w:pPr>
              <w:jc w:val="center"/>
              <w:ind w:left="628"/>
              <w:spacing w:after="0"/>
              <w:rPr>
                <w:sz w:val="20"/>
                <w:szCs w:val="20"/>
                <w:color w:val="auto"/>
              </w:rPr>
            </w:pPr>
            <w:r>
              <w:rPr>
                <w:rFonts w:ascii="Courier New" w:cs="Courier New" w:eastAsia="Courier New" w:hAnsi="Courier New"/>
                <w:sz w:val="14"/>
                <w:szCs w:val="14"/>
                <w:color w:val="auto"/>
              </w:rPr>
              <w:t>Fiscal 2005 to Fiscal 2004</w:t>
            </w:r>
          </w:p>
        </w:tc>
        <w:tc>
          <w:tcPr>
            <w:tcW w:w="440" w:type="dxa"/>
            <w:vAlign w:val="bottom"/>
          </w:tcPr>
          <w:p>
            <w:pPr>
              <w:spacing w:after="0"/>
              <w:rPr>
                <w:sz w:val="14"/>
                <w:szCs w:val="14"/>
                <w:color w:val="auto"/>
              </w:rPr>
            </w:pPr>
          </w:p>
        </w:tc>
      </w:tr>
      <w:tr>
        <w:trPr>
          <w:trHeight w:val="167"/>
        </w:trPr>
        <w:tc>
          <w:tcPr>
            <w:tcW w:w="220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3"/>
              </w:rPr>
              <w:t>---------------------------------------------</w:t>
            </w: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60" w:type="dxa"/>
            <w:vAlign w:val="bottom"/>
            <w:gridSpan w:val="2"/>
          </w:tcPr>
          <w:p>
            <w:pPr>
              <w:spacing w:after="0"/>
              <w:rPr>
                <w:sz w:val="20"/>
                <w:szCs w:val="20"/>
                <w:color w:val="auto"/>
              </w:rPr>
            </w:pPr>
            <w:r>
              <w:rPr>
                <w:rFonts w:ascii="Courier New" w:cs="Courier New" w:eastAsia="Courier New" w:hAnsi="Courier New"/>
                <w:sz w:val="14"/>
                <w:szCs w:val="14"/>
                <w:color w:val="auto"/>
              </w:rPr>
              <w:t>Years ended April 30,</w:t>
            </w: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4"/>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16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2005</w:t>
            </w: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Change</w:t>
            </w:r>
          </w:p>
        </w:tc>
        <w:tc>
          <w:tcPr>
            <w:tcW w:w="600" w:type="dxa"/>
            <w:vAlign w:val="bottom"/>
          </w:tcPr>
          <w:p>
            <w:pPr>
              <w:spacing w:after="0"/>
              <w:rPr>
                <w:sz w:val="24"/>
                <w:szCs w:val="24"/>
                <w:color w:val="auto"/>
              </w:rPr>
            </w:pP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2004</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Change</w:t>
            </w:r>
          </w:p>
        </w:tc>
        <w:tc>
          <w:tcPr>
            <w:tcW w:w="440" w:type="dxa"/>
            <w:vAlign w:val="bottom"/>
          </w:tcPr>
          <w:p>
            <w:pPr>
              <w:spacing w:after="0"/>
              <w:rPr>
                <w:sz w:val="24"/>
                <w:szCs w:val="24"/>
                <w:color w:val="auto"/>
              </w:rPr>
            </w:pPr>
          </w:p>
        </w:tc>
      </w:tr>
      <w:tr>
        <w:trPr>
          <w:trHeight w:val="167"/>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ind w:left="660"/>
              <w:spacing w:after="0"/>
              <w:rPr>
                <w:sz w:val="20"/>
                <w:szCs w:val="20"/>
                <w:color w:val="auto"/>
              </w:rPr>
            </w:pPr>
            <w:r>
              <w:rPr>
                <w:rFonts w:ascii="Courier New" w:cs="Courier New" w:eastAsia="Courier New" w:hAnsi="Courier New"/>
                <w:sz w:val="14"/>
                <w:szCs w:val="14"/>
                <w:color w:val="auto"/>
                <w:w w:val="99"/>
              </w:rPr>
              <w:t>------</w:t>
            </w:r>
          </w:p>
        </w:tc>
        <w:tc>
          <w:tcPr>
            <w:tcW w:w="600" w:type="dxa"/>
            <w:vAlign w:val="bottom"/>
          </w:tcPr>
          <w:p>
            <w:pPr>
              <w:spacing w:after="0"/>
              <w:rPr>
                <w:sz w:val="14"/>
                <w:szCs w:val="14"/>
                <w:color w:val="auto"/>
              </w:rPr>
            </w:pP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w:t>
            </w:r>
          </w:p>
        </w:tc>
        <w:tc>
          <w:tcPr>
            <w:tcW w:w="440" w:type="dxa"/>
            <w:vAlign w:val="bottom"/>
          </w:tcPr>
          <w:p>
            <w:pPr>
              <w:spacing w:after="0"/>
              <w:rPr>
                <w:sz w:val="14"/>
                <w:szCs w:val="14"/>
                <w:color w:val="auto"/>
              </w:rPr>
            </w:pPr>
          </w:p>
        </w:tc>
      </w:tr>
      <w:tr>
        <w:trPr>
          <w:trHeight w:val="334"/>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680" w:type="dxa"/>
            <w:vAlign w:val="bottom"/>
          </w:tcPr>
          <w:p>
            <w:pPr>
              <w:jc w:val="center"/>
              <w:ind w:left="488"/>
              <w:spacing w:after="0"/>
              <w:rPr>
                <w:sz w:val="20"/>
                <w:szCs w:val="20"/>
                <w:color w:val="auto"/>
              </w:rPr>
            </w:pPr>
            <w:r>
              <w:rPr>
                <w:rFonts w:ascii="Courier New" w:cs="Courier New" w:eastAsia="Courier New" w:hAnsi="Courier New"/>
                <w:sz w:val="14"/>
                <w:szCs w:val="14"/>
                <w:color w:val="auto"/>
              </w:rPr>
              <w:t>$876</w:t>
            </w:r>
          </w:p>
        </w:tc>
        <w:tc>
          <w:tcPr>
            <w:tcW w:w="11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($876)</w:t>
            </w:r>
          </w:p>
        </w:tc>
        <w:tc>
          <w:tcPr>
            <w:tcW w:w="600" w:type="dxa"/>
            <w:vAlign w:val="bottom"/>
          </w:tcPr>
          <w:p>
            <w:pPr>
              <w:spacing w:after="0"/>
              <w:rPr>
                <w:sz w:val="20"/>
                <w:szCs w:val="20"/>
                <w:color w:val="auto"/>
              </w:rPr>
            </w:pPr>
            <w:r>
              <w:rPr>
                <w:rFonts w:ascii="Courier New" w:cs="Courier New" w:eastAsia="Courier New" w:hAnsi="Courier New"/>
                <w:sz w:val="14"/>
                <w:szCs w:val="14"/>
                <w:color w:val="auto"/>
              </w:rPr>
              <w:t>NM</w:t>
            </w: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$876</w:t>
            </w:r>
          </w:p>
        </w:tc>
        <w:tc>
          <w:tcPr>
            <w:tcW w:w="1080" w:type="dxa"/>
            <w:vAlign w:val="bottom"/>
          </w:tcPr>
          <w:p>
            <w:pPr>
              <w:jc w:val="center"/>
              <w:ind w:left="48"/>
              <w:spacing w:after="0"/>
              <w:rPr>
                <w:sz w:val="20"/>
                <w:szCs w:val="20"/>
                <w:color w:val="auto"/>
              </w:rPr>
            </w:pPr>
            <w:r>
              <w:rPr>
                <w:rFonts w:ascii="Courier New" w:cs="Courier New" w:eastAsia="Courier New" w:hAnsi="Courier New"/>
                <w:sz w:val="14"/>
                <w:szCs w:val="14"/>
                <w:color w:val="auto"/>
              </w:rPr>
              <w:t>$725</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$151</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21%</w:t>
            </w:r>
          </w:p>
        </w:tc>
      </w:tr>
    </w:tbl>
    <w:p>
      <w:pPr>
        <w:spacing w:after="0" w:line="338" w:lineRule="exact"/>
        <w:rPr>
          <w:sz w:val="20"/>
          <w:szCs w:val="20"/>
          <w:color w:val="auto"/>
        </w:rPr>
      </w:pPr>
    </w:p>
    <w:p>
      <w:pPr>
        <w:ind w:right="3379" w:firstLine="434"/>
        <w:spacing w:after="0" w:line="260" w:lineRule="auto"/>
        <w:rPr>
          <w:sz w:val="20"/>
          <w:szCs w:val="20"/>
          <w:color w:val="auto"/>
        </w:rPr>
      </w:pPr>
      <w:r>
        <w:rPr>
          <w:rFonts w:ascii="Courier New" w:cs="Courier New" w:eastAsia="Courier New" w:hAnsi="Courier New"/>
          <w:sz w:val="14"/>
          <w:szCs w:val="14"/>
          <w:color w:val="auto"/>
        </w:rPr>
        <w:t>Under the caption "Compensation Charges," the Company has recorded certain expenses which are defined as operating expenses which are not expected to recur.</w:t>
      </w:r>
    </w:p>
    <w:p>
      <w:pPr>
        <w:spacing w:after="0" w:line="32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There were no material non-recurring expenses in fiscal year 2006.</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indicated above, during fiscal year 2005 the Company accrued a $416,000 incentive compensation expense related to the conversion and sale of REIT units. In addition, the Company recorded a non-cash charge of $327,000 to increase the liability under its deferred compensation plan. This charge was based on updated life expectancy charts utilized by the Company's actuary. (See Note 12 to the accompanying consolidated financial statements.) The Company's Belgian subsidiary recorded an accrual for $133,000 related to litigation with a former employee.</w:t>
      </w:r>
    </w:p>
    <w:p>
      <w:pPr>
        <w:spacing w:after="0" w:line="200" w:lineRule="exact"/>
        <w:rPr>
          <w:sz w:val="20"/>
          <w:szCs w:val="20"/>
          <w:color w:val="auto"/>
        </w:rPr>
      </w:pPr>
    </w:p>
    <w:p>
      <w:pPr>
        <w:spacing w:after="0" w:line="29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239"/>
          </w:cols>
          <w:pgMar w:left="220" w:top="620" w:right="1440" w:bottom="306" w:gutter="0" w:footer="0" w:header="0"/>
        </w:sectPr>
      </w:pPr>
    </w:p>
    <w:bookmarkStart w:id="25" w:name="page26"/>
    <w:bookmarkEnd w:id="25"/>
    <w:p>
      <w:pPr>
        <w:ind w:right="3379" w:firstLine="434"/>
        <w:spacing w:after="0" w:line="253" w:lineRule="auto"/>
        <w:rPr>
          <w:sz w:val="20"/>
          <w:szCs w:val="20"/>
          <w:color w:val="auto"/>
        </w:rPr>
      </w:pPr>
      <w:r>
        <w:rPr>
          <w:rFonts w:ascii="Courier New" w:cs="Courier New" w:eastAsia="Courier New" w:hAnsi="Courier New"/>
          <w:sz w:val="14"/>
          <w:szCs w:val="14"/>
          <w:color w:val="auto"/>
        </w:rPr>
        <w:t>During fiscal year 2004, the Company's majority-owned subsidiary in France substantially completed a restructuring of its operations as a result of the Company's decision to convert it from a manufacturing facility to a regional sales office. This resulted in a charge to earnings of $428,000, consisting primarily of employee severance costs, for the year ended April 30, 2004. In addition, in the fourth quarter of fiscal year 2004, in connection with an employment agreement initiated in 1993, the Company awarded its Chairman of the Board and former CEO a stock bonus of 20,000 shares which had a value of approximately $297,000.</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Selling and Administrative expenses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060" w:type="dxa"/>
        <w:tblCellMar>
          <w:top w:w="0" w:type="dxa"/>
          <w:left w:w="0" w:type="dxa"/>
          <w:bottom w:w="0" w:type="dxa"/>
          <w:right w:w="0" w:type="dxa"/>
        </w:tblCellMar>
      </w:tblPr>
      <w:tr>
        <w:trPr>
          <w:trHeight w:val="162"/>
        </w:trPr>
        <w:tc>
          <w:tcPr>
            <w:tcW w:w="26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Fiscal 2006 to Fiscal 2005</w:t>
            </w:r>
          </w:p>
        </w:tc>
        <w:tc>
          <w:tcPr>
            <w:tcW w:w="560" w:type="dxa"/>
            <w:vAlign w:val="bottom"/>
          </w:tcPr>
          <w:p>
            <w:pPr>
              <w:spacing w:after="0"/>
              <w:rPr>
                <w:sz w:val="14"/>
                <w:szCs w:val="14"/>
                <w:color w:val="auto"/>
              </w:rPr>
            </w:pPr>
          </w:p>
        </w:tc>
        <w:tc>
          <w:tcPr>
            <w:tcW w:w="23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Fiscal 2005 to Fiscal 2004</w:t>
            </w:r>
          </w:p>
        </w:tc>
        <w:tc>
          <w:tcPr>
            <w:tcW w:w="180" w:type="dxa"/>
            <w:vAlign w:val="bottom"/>
          </w:tcPr>
          <w:p>
            <w:pPr>
              <w:spacing w:after="0"/>
              <w:rPr>
                <w:sz w:val="14"/>
                <w:szCs w:val="14"/>
                <w:color w:val="auto"/>
              </w:rPr>
            </w:pPr>
          </w:p>
        </w:tc>
      </w:tr>
      <w:tr>
        <w:trPr>
          <w:trHeight w:val="167"/>
        </w:trPr>
        <w:tc>
          <w:tcPr>
            <w:tcW w:w="1640" w:type="dxa"/>
            <w:vAlign w:val="bottom"/>
            <w:gridSpan w:val="2"/>
          </w:tcPr>
          <w:p>
            <w:pPr>
              <w:spacing w:after="0"/>
              <w:rPr>
                <w:sz w:val="20"/>
                <w:szCs w:val="20"/>
                <w:color w:val="auto"/>
              </w:rPr>
            </w:pPr>
            <w:r>
              <w:rPr>
                <w:rFonts w:ascii="Courier New" w:cs="Courier New" w:eastAsia="Courier New" w:hAnsi="Courier New"/>
                <w:sz w:val="11"/>
                <w:szCs w:val="11"/>
                <w:color w:val="auto"/>
                <w:w w:val="74"/>
              </w:rPr>
              <w:t>---------------------------------</w:t>
            </w:r>
          </w:p>
        </w:tc>
        <w:tc>
          <w:tcPr>
            <w:tcW w:w="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2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Years ended</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April 30,</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334"/>
        </w:trPr>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2006</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w w:val="99"/>
              </w:rPr>
              <w:t>Change</w:t>
            </w:r>
          </w:p>
        </w:tc>
        <w:tc>
          <w:tcPr>
            <w:tcW w:w="560" w:type="dxa"/>
            <w:vAlign w:val="bottom"/>
          </w:tcPr>
          <w:p>
            <w:pPr>
              <w:spacing w:after="0"/>
              <w:rPr>
                <w:sz w:val="24"/>
                <w:szCs w:val="2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2004</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c>
          <w:tcPr>
            <w:tcW w:w="180" w:type="dxa"/>
            <w:vAlign w:val="bottom"/>
          </w:tcPr>
          <w:p>
            <w:pPr>
              <w:spacing w:after="0"/>
              <w:rPr>
                <w:sz w:val="24"/>
                <w:szCs w:val="24"/>
                <w:color w:val="auto"/>
              </w:rPr>
            </w:pPr>
          </w:p>
        </w:tc>
      </w:tr>
      <w:tr>
        <w:trPr>
          <w:trHeight w:val="167"/>
        </w:trPr>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ind w:left="440"/>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spacing w:after="0"/>
              <w:rPr>
                <w:sz w:val="14"/>
                <w:szCs w:val="14"/>
                <w:color w:val="auto"/>
              </w:rPr>
            </w:pP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r>
      <w:tr>
        <w:trPr>
          <w:trHeight w:val="167"/>
        </w:trPr>
        <w:tc>
          <w:tcPr>
            <w:tcW w:w="940" w:type="dxa"/>
            <w:vAlign w:val="bottom"/>
          </w:tcPr>
          <w:p>
            <w:pPr>
              <w:spacing w:after="0"/>
              <w:rPr>
                <w:sz w:val="20"/>
                <w:szCs w:val="20"/>
                <w:color w:val="auto"/>
              </w:rPr>
            </w:pPr>
            <w:r>
              <w:rPr>
                <w:rFonts w:ascii="Courier New" w:cs="Courier New" w:eastAsia="Courier New" w:hAnsi="Courier New"/>
                <w:sz w:val="14"/>
                <w:szCs w:val="14"/>
                <w:color w:val="auto"/>
              </w:rPr>
              <w:t>$10,616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$11,719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($1,103)</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(9%)</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$11,719</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$11,162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$557</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w w:val="94"/>
              </w:rPr>
              <w:t>5%</w:t>
            </w:r>
          </w:p>
        </w:tc>
      </w:tr>
    </w:tbl>
    <w:p>
      <w:pPr>
        <w:spacing w:after="0" w:line="17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For the year ended April 30, 2006, selling and administrative costs declined by 9% compared to fiscal year 2005, as a result of lower compensation costs, including incentive compensation charges, reduced deferred compensation expense, lower sales commission expense and substantially reduced fees for professional and consulting services as prior year projects were concluded. These cost reductions were partially offset by increased recruiting and employee retention expenses.</w:t>
      </w:r>
    </w:p>
    <w:p>
      <w:pPr>
        <w:spacing w:after="0" w:line="332"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The increase in selling and administrative costs in fiscal year 2005 compared to fiscal year 2004, was a result of larger deferred compensation expense (exclusive of the charge included in "Compensation Charges"), increased salaries for support personnel, information technology consulting fees as the Company upgraded its ERP system and higher professional fees related to the Company's efforts to comply with the provisions of Section 404 of the Sarbanes-Oxley Act of 2002. These expenses were partially offset by savings obtained from the mid-year closing of the Company's European sales office and merging those functions into the Company's Belgian subsidiary.</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As a percentage of sales, selling and administrative expenses were 20.1% in fiscal year 2006, 21.2% in fiscal year 2005 and 22.3% in fiscal year 2004. The Company targets selling and administrative expenses not to exceed 20% of consolidated sales. As revenues increase as anticipated in fiscal year 2007, the Company expects to achieve its targeted level of selling and administrative expenses.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Research and Development expenses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1320"/>
        <w:spacing w:after="0"/>
        <w:tabs>
          <w:tab w:leader="none" w:pos="4420" w:val="left"/>
        </w:tabs>
        <w:rPr>
          <w:sz w:val="20"/>
          <w:szCs w:val="20"/>
          <w:color w:val="auto"/>
        </w:rPr>
      </w:pPr>
      <w:r>
        <w:rPr>
          <w:rFonts w:ascii="Courier New" w:cs="Courier New" w:eastAsia="Courier New" w:hAnsi="Courier New"/>
          <w:sz w:val="14"/>
          <w:szCs w:val="14"/>
          <w:color w:val="auto"/>
        </w:rPr>
        <w:t>Fiscal 2006 to Fiscal 2005</w:t>
      </w:r>
      <w:r>
        <w:rPr>
          <w:sz w:val="20"/>
          <w:szCs w:val="20"/>
          <w:color w:val="auto"/>
        </w:rPr>
        <w:tab/>
      </w:r>
      <w:r>
        <w:rPr>
          <w:rFonts w:ascii="Courier New" w:cs="Courier New" w:eastAsia="Courier New" w:hAnsi="Courier New"/>
          <w:sz w:val="14"/>
          <w:szCs w:val="14"/>
          <w:color w:val="auto"/>
        </w:rPr>
        <w:t>Fiscal 2005 to Fiscal 2004</w:t>
      </w:r>
    </w:p>
    <w:p>
      <w:pPr>
        <w:spacing w:after="0" w:line="8" w:lineRule="exact"/>
        <w:rPr>
          <w:sz w:val="20"/>
          <w:szCs w:val="20"/>
          <w:color w:val="auto"/>
        </w:rPr>
      </w:pPr>
    </w:p>
    <w:p>
      <w:pPr>
        <w:ind w:left="1060"/>
        <w:spacing w:after="0"/>
        <w:tabs>
          <w:tab w:leader="none" w:pos="4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Years ended April 30,</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2006</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$6,291</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2005</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$6,834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Change</w:t>
      </w:r>
    </w:p>
    <w:p>
      <w:pPr>
        <w:spacing w:after="0" w:line="8"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2005</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$6,834</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2004</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$5,336</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Change</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w:t>
      </w:r>
    </w:p>
    <w:p>
      <w:pPr>
        <w:spacing w:after="0" w:line="175" w:lineRule="exact"/>
        <w:rPr>
          <w:sz w:val="20"/>
          <w:szCs w:val="20"/>
          <w:color w:val="auto"/>
        </w:rPr>
      </w:pPr>
    </w:p>
    <w:p>
      <w:pPr>
        <w:sectPr>
          <w:pgSz w:w="11900" w:h="16838" w:orient="portrait"/>
          <w:cols w:equalWidth="0" w:num="8">
            <w:col w:w="1580" w:space="420"/>
            <w:col w:w="520" w:space="360"/>
            <w:col w:w="680" w:space="0"/>
            <w:col w:w="360" w:space="340"/>
            <w:col w:w="520" w:space="340"/>
            <w:col w:w="540" w:space="260"/>
            <w:col w:w="600" w:space="80"/>
            <w:col w:w="3639"/>
          </w:cols>
          <w:pgMar w:left="220" w:top="620" w:right="1440" w:bottom="1440" w:gutter="0" w:footer="0" w:header="0"/>
          <w:type w:val="continuous"/>
        </w:sectPr>
      </w:pPr>
    </w:p>
    <w:p>
      <w:pPr>
        <w:ind w:right="3279" w:firstLine="347"/>
        <w:spacing w:after="0" w:line="253" w:lineRule="auto"/>
        <w:rPr>
          <w:sz w:val="20"/>
          <w:szCs w:val="20"/>
          <w:color w:val="auto"/>
        </w:rPr>
      </w:pPr>
      <w:r>
        <w:rPr>
          <w:rFonts w:ascii="Courier New" w:cs="Courier New" w:eastAsia="Courier New" w:hAnsi="Courier New"/>
          <w:sz w:val="14"/>
          <w:szCs w:val="14"/>
          <w:color w:val="auto"/>
        </w:rPr>
        <w:t>Research and development expenditures represent investments that keep the Company's products at the leading edge of time and frequency technology and enhance competitiveness for future sales. For the year ended April 30, 2006, research and development expenditures decreased by 8% from the level of spending in fiscal year 2005. The decline resulted from decreased spending on development of the new US5G wireline synchronization product, which is near completion, but was offset by new initiatives in developing a ruggedized rubidium clock for secure military communications, enhancing and miniaturizing products for wireless communications, upgrading its GPS-based synchronization product line, and developing enhanced network monitoring equipment and software.</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Research and development expenses in fiscal year 2005 increased over fiscal year 2004 as the Company devoted significant resources to completion of its US5G unit for deployment in the U. S. and associated products for wireline synchronization, developed new hardware for space applications and further enhanced the performance of low-g (gravity) sensitivity oscillators which have broad applications in both commercial and U.S. Government systems.</w:t>
      </w:r>
    </w:p>
    <w:p>
      <w:pPr>
        <w:spacing w:after="0" w:line="16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will continue to focus its research and development activities on those products which it expects will provide the best return on investment and greatest prospects for the future growth of the Company. For fiscal year 2007, the Company will make investments to develop related products for its new US5G wireline synchronization products and make manufacturing process improvements; invest in development of a broader range of space-based components and systems, improve and miniaturize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620" w:right="1440" w:bottom="1440" w:gutter="0" w:footer="0" w:header="0"/>
          <w:type w:val="continuous"/>
        </w:sectPr>
      </w:pPr>
    </w:p>
    <w:bookmarkStart w:id="26" w:name="page27"/>
    <w:bookmarkEnd w:id="26"/>
    <w:p>
      <w:pPr>
        <w:ind w:right="3459"/>
        <w:spacing w:after="0" w:line="253" w:lineRule="auto"/>
        <w:rPr>
          <w:sz w:val="20"/>
          <w:szCs w:val="20"/>
          <w:color w:val="auto"/>
        </w:rPr>
      </w:pPr>
      <w:r>
        <w:rPr>
          <w:rFonts w:ascii="Courier New" w:cs="Courier New" w:eastAsia="Courier New" w:hAnsi="Courier New"/>
          <w:sz w:val="14"/>
          <w:szCs w:val="14"/>
          <w:color w:val="auto"/>
        </w:rPr>
        <w:t>rubidium atomic clocks, develop new GPS-based synchronization products and further enhance the capabilities of its line of crystal oscillators. The Company's target is to spend approximately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16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Other Income (expense)</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20" w:type="dxa"/>
            <w:vAlign w:val="bottom"/>
            <w:gridSpan w:val="4"/>
          </w:tcPr>
          <w:p>
            <w:pPr>
              <w:ind w:left="1220"/>
              <w:spacing w:after="0"/>
              <w:rPr>
                <w:sz w:val="20"/>
                <w:szCs w:val="20"/>
                <w:color w:val="auto"/>
              </w:rPr>
            </w:pPr>
            <w:r>
              <w:rPr>
                <w:rFonts w:ascii="Courier New" w:cs="Courier New" w:eastAsia="Courier New" w:hAnsi="Courier New"/>
                <w:sz w:val="14"/>
                <w:szCs w:val="14"/>
                <w:color w:val="auto"/>
              </w:rPr>
              <w:t>Fiscal 2006 to Fiscal 2005</w:t>
            </w:r>
          </w:p>
        </w:tc>
        <w:tc>
          <w:tcPr>
            <w:tcW w:w="5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Fiscal</w:t>
            </w:r>
          </w:p>
        </w:tc>
        <w:tc>
          <w:tcPr>
            <w:tcW w:w="1820" w:type="dxa"/>
            <w:vAlign w:val="bottom"/>
            <w:gridSpan w:val="3"/>
          </w:tcPr>
          <w:p>
            <w:pPr>
              <w:jc w:val="right"/>
              <w:ind w:right="108"/>
              <w:spacing w:after="0"/>
              <w:rPr>
                <w:sz w:val="20"/>
                <w:szCs w:val="20"/>
                <w:color w:val="auto"/>
              </w:rPr>
            </w:pPr>
            <w:r>
              <w:rPr>
                <w:rFonts w:ascii="Courier New" w:cs="Courier New" w:eastAsia="Courier New" w:hAnsi="Courier New"/>
                <w:sz w:val="14"/>
                <w:szCs w:val="14"/>
                <w:color w:val="auto"/>
              </w:rPr>
              <w:t>2005 to Fiscal 2004</w:t>
            </w:r>
          </w:p>
        </w:tc>
      </w:tr>
      <w:tr>
        <w:trPr>
          <w:trHeight w:val="167"/>
        </w:trPr>
        <w:tc>
          <w:tcPr>
            <w:tcW w:w="222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7"/>
              </w:rPr>
              <w:t>------------------------------</w:t>
            </w: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40" w:type="dxa"/>
            <w:vAlign w:val="bottom"/>
            <w:gridSpan w:val="4"/>
          </w:tcPr>
          <w:p>
            <w:pPr>
              <w:ind w:left="300"/>
              <w:spacing w:after="0"/>
              <w:rPr>
                <w:sz w:val="20"/>
                <w:szCs w:val="20"/>
                <w:color w:val="auto"/>
              </w:rPr>
            </w:pPr>
            <w:r>
              <w:rPr>
                <w:rFonts w:ascii="Courier New" w:cs="Courier New" w:eastAsia="Courier New" w:hAnsi="Courier New"/>
                <w:sz w:val="14"/>
                <w:szCs w:val="14"/>
                <w:color w:val="auto"/>
              </w:rPr>
              <w:t>Years ended April 30,</w:t>
            </w: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334"/>
        </w:trPr>
        <w:tc>
          <w:tcPr>
            <w:tcW w:w="1580" w:type="dxa"/>
            <w:vAlign w:val="bottom"/>
          </w:tcPr>
          <w:p>
            <w:pPr>
              <w:spacing w:after="0"/>
              <w:rPr>
                <w:sz w:val="24"/>
                <w:szCs w:val="2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2005</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Change</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Change</w:t>
            </w:r>
          </w:p>
        </w:tc>
      </w:tr>
      <w:tr>
        <w:trPr>
          <w:trHeight w:val="167"/>
        </w:trPr>
        <w:tc>
          <w:tcPr>
            <w:tcW w:w="158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2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rPr>
              <w:t>Investment income $3,280</w:t>
            </w:r>
          </w:p>
        </w:tc>
        <w:tc>
          <w:tcPr>
            <w:tcW w:w="18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$3,850   ($570)(15%)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$3,850</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$2,321</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$1,529</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Equity in Morion</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634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315</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319</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158</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180</w:t>
            </w:r>
          </w:p>
        </w:tc>
        <w:tc>
          <w:tcPr>
            <w:tcW w:w="5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(298)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67</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7"/>
        </w:trPr>
        <w:tc>
          <w:tcPr>
            <w:tcW w:w="1580" w:type="dxa"/>
            <w:vAlign w:val="bottom"/>
          </w:tcPr>
          <w:p>
            <w:pPr>
              <w:spacing w:after="0"/>
              <w:rPr>
                <w:sz w:val="20"/>
                <w:szCs w:val="20"/>
                <w:color w:val="auto"/>
              </w:rPr>
            </w:pPr>
            <w:r>
              <w:rPr>
                <w:rFonts w:ascii="Courier New" w:cs="Courier New" w:eastAsia="Courier New" w:hAnsi="Courier New"/>
                <w:sz w:val="14"/>
                <w:szCs w:val="14"/>
                <w:color w:val="auto"/>
              </w:rPr>
              <w:t>Other, net</w:t>
            </w: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1,121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4,548</w:t>
            </w:r>
          </w:p>
        </w:tc>
        <w:tc>
          <w:tcPr>
            <w:tcW w:w="11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(3,427) 75%</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4,548</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4,729</w:t>
            </w:r>
          </w:p>
        </w:tc>
        <w:tc>
          <w:tcPr>
            <w:tcW w:w="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NM</w:t>
            </w:r>
          </w:p>
        </w:tc>
      </w:tr>
      <w:tr>
        <w:trPr>
          <w:trHeight w:val="167"/>
        </w:trPr>
        <w:tc>
          <w:tcPr>
            <w:tcW w:w="15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r>
      <w:tr>
        <w:trPr>
          <w:trHeight w:val="167"/>
        </w:trPr>
        <w:tc>
          <w:tcPr>
            <w:tcW w:w="158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$4,917</w:t>
            </w:r>
          </w:p>
        </w:tc>
        <w:tc>
          <w:tcPr>
            <w:tcW w:w="186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$8,415 ($3,498)(42%)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$8,415</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$1,933</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$6,482</w:t>
            </w: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w:t>
            </w:r>
          </w:p>
        </w:tc>
      </w:tr>
    </w:tbl>
    <w:p>
      <w:pPr>
        <w:spacing w:after="0" w:line="171"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With respect to other income and expense, the principal difference between the three fiscal years is the conversion of REIT units for REIT stock in fiscal 2005 and the subsequent partial sale of these shares in fiscal years 2006 and 2005, as described above under Significant Events. (See Item 2. Properties and Note 6 to the accompanying financial statements.)</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Investment income in both fiscal years 2006 and 2005 contained gains of $2.1 million and $2.3 million, respectively, on the sale of REIT stock. Gains on sales of other marketable securities in fiscal year 2004 were less than $600,000 by comparison. Investment income also includes interest and dividend income on marketable securities. Income from this source decreased in fiscal year 2006 since the Company no longer receives dividend income from its former investment in REIT stock. This decline was partially offset by increased interest income on a higher level of bond investments and increasing interest rates. The Company anticipates that during fiscal year 2007 it will realize lower income from investments. The primary source of income for this category will be from interest income on its bond portfolio. While more interest will be earned on rising interest rates, the Company does not anticipate realizing any substantial investment gains.</w:t>
      </w:r>
    </w:p>
    <w:p>
      <w:pPr>
        <w:spacing w:after="0" w:line="33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began to record equity income in Morion, Inc. during the second quarter of fiscal year 2005, when the Company increased its ownership interest in Morion to 36% of Morion's outstanding shares. Accordingly, the Company changed its method of accounting from the cost to the equity method and restated fiscal year 2004 financial statements to reflect the appropriate accounting method. The 100% increase in equity income from Morion for fiscal year 2006 over fiscal year 2005 and fiscal year 2005 compared to fiscal year 2004 is due to two factors: a) the increased profitability of Morion during the year ended April 30, 2006 compared to the year ago period and b) during the first five months of fiscal year 2005 the Company held only 19% of Morion's shares and equity income was recorded at this lower rate for that period as well as for all of fiscal year 2004.</w:t>
      </w:r>
    </w:p>
    <w:p>
      <w:pPr>
        <w:spacing w:after="0" w:line="33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Interest expense for the year ended April 30, 2006, decreased as a result of the gain realized on the conversion of REIT units to REIT stock. Prior to the conversion, the financing arrangement for the sale and leaseback of the U.S. manufacturing facility was considered as debt on which interest expense was recorded. In addition, with the proceeds from the REIT stock sale, the Company repaid the outstanding balance on its credit line. The Company also incurred interest expense on and for certain deferred compensation payments which also declined in fiscal year 2006 on lower interest rates. The 18% decline in interest expense for fiscal year 2005 is due to the paydown during the year of both short-term and long-term credit obligations. The Company anticipates that interest expense in fiscal year 2007 will be approximately the same as that recorded in fiscal year 2006, depending on the trend in interest rates.</w:t>
      </w:r>
    </w:p>
    <w:p>
      <w:pPr>
        <w:spacing w:after="0" w:line="16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As indicated in the Significant Events section above, in fiscal year 2006,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sold the building formerly owned by its French subsidiary.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fiscal year 2004 staffing cutbacks in this entity, the building had been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largely vacant and available for sale. Upon receipt of an independent appraisal,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building was sold to the president of the Company's subsidiary, Gillam-FEI.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realized a gain on the sale of the building of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$680,000 which is included in the caption Other, net. In addition, during fiscal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2006, the Company recognized $353,000 of income from</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20" w:right="1440" w:bottom="1440" w:gutter="0" w:footer="0" w:header="0"/>
        </w:sectPr>
      </w:pPr>
    </w:p>
    <w:bookmarkStart w:id="27" w:name="page28"/>
    <w:bookmarkEnd w:id="27"/>
    <w:p>
      <w:pPr>
        <w:ind w:right="3279"/>
        <w:spacing w:after="0" w:line="253" w:lineRule="auto"/>
        <w:rPr>
          <w:sz w:val="20"/>
          <w:szCs w:val="20"/>
          <w:color w:val="auto"/>
        </w:rPr>
      </w:pPr>
      <w:r>
        <w:rPr>
          <w:rFonts w:ascii="Courier New" w:cs="Courier New" w:eastAsia="Courier New" w:hAnsi="Courier New"/>
          <w:sz w:val="14"/>
          <w:szCs w:val="14"/>
          <w:color w:val="auto"/>
        </w:rPr>
        <w:t>amortization of the deferred gain from the 1998 sale of its corporate headquarters building in New York. The deferred gain is being amortized over the remaining life of the original eleven-year lease. For the year ended April 30, 2005, Other, net includes a $4.6 million gain on the conversion of the REIT units to REIT stock. (See Item 2. Properties and Note 6 to the accompanying consolidated financial statements.) This gain was offset by certain recurring, non-operating expenses. In fiscal year 2004, Other, net was an expense of $181,000 resulting primarily from certain one-time charges at the Company's French subsidiary. In future fiscal years, Other, net will include annual amortization into income of the final $942,000 deferred gain on the 1998 sale of its building. Using the straightline method over the remaining 32 months of the initial leaseback period, the Company will recognize approximately $350,000 of amortized income during fiscal year 2007. The Company anticipates that in future years other items in this category will not be significant to pretax earnings.</w:t>
      </w:r>
    </w:p>
    <w:p>
      <w:pPr>
        <w:spacing w:after="0" w:line="16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is subject to taxation in several countries. The statutory federal rates vary from 34% in the United States to 35% in Europe. The effective rate for the Company for the year ended April 30, 2006 was 28%, compared to 30% in fiscal year 2005 and 26% in fiscal year 2004. The effective rate is impacted by the income or loss of certain of the Company's European and Asian subsidiaries which are currently not taxed. In addition, the Company utilizes the availability of research and development tax credits in the United States to lower its tax rate. In fiscal year 2004, the Company reversed certain tax liabilities which had been established in prior years to cover certain tax contingencies. During fiscal year 2004, the Company's income tax returns were examined by the Internal Revenue Service and no changes were required for the years under audit. Accordingly, the tax liabilities established for the audited years were no longer required and the reversal of such tax liabilities were recorded as a tax benefit in fiscal year 2004. (See Note 13 to the Consolidated Financial Statements.)</w:t>
      </w:r>
    </w:p>
    <w:p>
      <w:pPr>
        <w:spacing w:after="0" w:line="330" w:lineRule="exact"/>
        <w:rPr>
          <w:sz w:val="20"/>
          <w:szCs w:val="20"/>
          <w:color w:val="auto"/>
        </w:rPr>
      </w:pPr>
    </w:p>
    <w:p>
      <w:pPr>
        <w:ind w:right="3639" w:firstLine="347"/>
        <w:spacing w:after="0" w:line="255" w:lineRule="auto"/>
        <w:rPr>
          <w:sz w:val="20"/>
          <w:szCs w:val="20"/>
          <w:color w:val="auto"/>
        </w:rPr>
      </w:pPr>
      <w:r>
        <w:rPr>
          <w:rFonts w:ascii="Courier New" w:cs="Courier New" w:eastAsia="Courier New" w:hAnsi="Courier New"/>
          <w:sz w:val="14"/>
          <w:szCs w:val="14"/>
          <w:color w:val="auto"/>
        </w:rPr>
        <w:t>The Company's European subsidiaries have available net operating loss carryforwards of approximately $1.5 million to offset future taxable income. These loss carryforwards have no expiration date.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Company's balance sheet continues to reflect a highly liquid position with working capital of $59.8 million at April 30, 2006. Included in working capital at April 30, 2006 is $24.5 million consisting of cash, cash equivalents and short-term investments. The Company's current ratio at April 30, 2006 is 9.6 to 1.</w:t>
      </w:r>
    </w:p>
    <w:p>
      <w:pPr>
        <w:spacing w:after="0" w:line="330"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Net cash used in operating activities for the year ended April 30, 2006, was $2.5 million compared to cash provided by operations of $2.5 million in fiscal year 2005. The primary cause for the decrease in cash was the payment in fiscal year 2006 of approximately $3 million in income taxes on non-operating gains recorded at the end of fiscal year 2005. This payment was deferred in the prior year, contributing to positive operating cash flow in that period. The Company had anticipated generating positive cash flow in fiscal year 2006 despite the large income tax payments but was prevented from doing so due to the timing of certain milestone billings under long-term contracts. The billings and cash collection could not be made until after the end of the fiscal year, which also accounts for the growth in the Company's accounts receivable. (See Note 2 to the accompanying financial statements.)</w:t>
      </w:r>
    </w:p>
    <w:p>
      <w:pPr>
        <w:spacing w:after="0" w:line="164"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Net cash provided by investing activities for the fiscal year ended April 30, 2006, was $317,000. Approximately $1.6 million was generated by the sale or maturity of certain marketable securities, including REIT stock, net of purchases of other marketable securities. An additional $975,000 was received on the sale of the Company's building in France. (See Significant Events above and Note 7 to the accompanying financial statements.) During fiscal year 2006, the Company made additional investments in FEI-Zyfer and Morion, Inc. which aggregated $104,000 and acquired capital equipment of $2.1 million. Net cash provided by investing activities for the fiscal year ended April 30, 2005, was $3.6 million. Approximately $6.1 million was generated by the sale or maturity of certain marketable securities, primarily REIT stock, net of purchases of other marketable securities. The Company also made additional investments in FEI-Zyfer, Satel-FEI and Morion, Inc. which aggregated $970,000 and acquired capital equipment of $1.6 million. Net cash provided by investing activities for the fiscal year ended April 30, 2004, was $529,000. Approximately $4.4 million was generated by the sale or maturity of certain</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20" w:right="1440" w:bottom="1440" w:gutter="0" w:footer="0" w:header="0"/>
        </w:sectPr>
      </w:pPr>
    </w:p>
    <w:bookmarkStart w:id="28" w:name="page29"/>
    <w:bookmarkEnd w:id="28"/>
    <w:p>
      <w:pPr>
        <w:ind w:right="3379"/>
        <w:spacing w:after="0" w:line="253" w:lineRule="auto"/>
        <w:rPr>
          <w:sz w:val="20"/>
          <w:szCs w:val="20"/>
          <w:color w:val="auto"/>
        </w:rPr>
      </w:pPr>
      <w:r>
        <w:rPr>
          <w:rFonts w:ascii="Courier New" w:cs="Courier New" w:eastAsia="Courier New" w:hAnsi="Courier New"/>
          <w:sz w:val="14"/>
          <w:szCs w:val="14"/>
          <w:color w:val="auto"/>
        </w:rPr>
        <w:t>marketable securities, net of purchases. Most of this cash was used to acquire FEI-Zyfer for $2.5 million (excludes $120,000 of acquisition expenses paid in fiscal year 2003) and to provide additional working capital support for this subsidiary as indicated above. (See Note 11 to the accompanying financial statements.) Approximately $1.3 million was used to acquire additional capital equipment.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It intends to spend approximately $2 million on capital equipment during fiscal year 2007. Internally generated cash will be adequate to acquire this capital equipment.</w:t>
      </w:r>
    </w:p>
    <w:p>
      <w:pPr>
        <w:spacing w:after="0" w:line="164"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fiscal year 2004, the Company established a $5 million line of credit with the financial institution which also manages a substantial portion of its investment in marketable securities. The line is secured by the investments which earn, on average, approximately a 5.5% annual return. Rather than liquidate some of these investments to meet short-term working capital requirements, during fiscal years 2006, 2005 and 2004, the Company borrowed $1.0 million, $1.5 million and $3.2 million, respectively against the line of credit at fixed and variable interest rates between 2.39% and 5.91%. The Company must annually repay any borrowings under the line of credit on their anniversary date but may also obtain new funding up to the credit limit. In addition, the Company's European subsidiaries have available approximately $3.0 million in bank credit lines to meet short-term cash flow requirements. The rate of interest on these borrowings is based on the one month EURO Interbank Offered Rate (EURIBOR). During fiscal year 2006, the Company repaid all outstanding debt balances such that, as of April 30, 2006, no amounts were outstanding under any lines of credit.</w:t>
      </w:r>
    </w:p>
    <w:p>
      <w:pPr>
        <w:spacing w:after="0" w:line="33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During the year ended April 30, 2006, the Company used cash in financing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 in the net amount of $1.6 million. As in prior years, the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use of cash was payment of the semi-annual dividend of $1.7 million.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indicated above, during the fiscal year the Company borrowed and repaid $1.0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under its line of credit while $144,000 was received upon the exercise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stock options. Net cash used in financing activities in fiscal year 2005 was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 million. The primary causes for this decline was payment of the Company's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semi-annual cash dividend of $1.7 million and payment of $5.3 million against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lines of credit offset by additional borrowings of $1.5 million. (See preceding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paragraph and Note 8 to the financial statements.) Net cash provided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financing activities in fiscal year 2004 was $1.5 million. The principal source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funds was short-term financing from financial institutions in the amount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 million. Cash was used to pay the Company's semi-annual cash dividend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 million and $479,000 was used to make regularly scheduled long-term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payments. These outflows were partially offset by the receipt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$252,000 for repayment of a stock loan and the exercise of stock options.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 will continue to use treasury shares to satisfy the future exercise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options granted to officers and employees. The Company has been authorized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its Board of Directors to repurchase up to $5 million worth of shares of its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for treasury whenever appropriate opportunities arise but it has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neither a formal repurchase plan nor commitments to purchase additional shares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the future.</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2007, the Company intends to make a substantial investment of capital and technical resources to develop new products to meet the needs of the U.S. Government, commercial space and commercial communications marketplaces and to invest in more efficient product designs and manufacturing procedures. Where possible, the Company will secure partial customer funding for such development efforts but is targeting to spend its own funds at a rate of approximately 10% of revenues to achieve its development goals. Internally generated cash will be adequate to fund these development efforts.</w:t>
      </w:r>
    </w:p>
    <w:p>
      <w:pPr>
        <w:spacing w:after="0" w:line="33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Off-Balance Sheet Arrangements</w:t>
      </w:r>
    </w:p>
    <w:p>
      <w:pPr>
        <w:spacing w:after="0" w:line="175"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20" w:right="1440" w:bottom="1440" w:gutter="0" w:footer="0" w:header="0"/>
        </w:sectPr>
      </w:pPr>
    </w:p>
    <w:bookmarkStart w:id="29" w:name="page30"/>
    <w:bookmarkEnd w:id="29"/>
    <w:p>
      <w:pPr>
        <w:ind w:left="360"/>
        <w:spacing w:after="0"/>
        <w:rPr>
          <w:sz w:val="20"/>
          <w:szCs w:val="20"/>
          <w:color w:val="auto"/>
        </w:rPr>
      </w:pPr>
      <w:r>
        <w:rPr>
          <w:rFonts w:ascii="Courier New" w:cs="Courier New" w:eastAsia="Courier New" w:hAnsi="Courier New"/>
          <w:sz w:val="14"/>
          <w:szCs w:val="14"/>
          <w:color w:val="auto"/>
        </w:rPr>
        <w:t>Contractual obligations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3200" w:type="dxa"/>
            <w:vAlign w:val="bottom"/>
          </w:tcPr>
          <w:p>
            <w:pPr>
              <w:ind w:left="160"/>
              <w:spacing w:after="0"/>
              <w:rPr>
                <w:sz w:val="20"/>
                <w:szCs w:val="20"/>
                <w:color w:val="auto"/>
              </w:rPr>
            </w:pPr>
            <w:r>
              <w:rPr>
                <w:rFonts w:ascii="Courier New" w:cs="Courier New" w:eastAsia="Courier New" w:hAnsi="Courier New"/>
                <w:sz w:val="14"/>
                <w:szCs w:val="14"/>
                <w:color w:val="auto"/>
              </w:rPr>
              <w:t>As of April 30, 2006</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835"/>
        </w:trPr>
        <w:tc>
          <w:tcPr>
            <w:tcW w:w="3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Total</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Less than</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7"/>
        </w:trPr>
        <w:tc>
          <w:tcPr>
            <w:tcW w:w="3200" w:type="dxa"/>
            <w:vAlign w:val="bottom"/>
          </w:tcPr>
          <w:p>
            <w:pPr>
              <w:ind w:left="520"/>
              <w:spacing w:after="0"/>
              <w:rPr>
                <w:sz w:val="20"/>
                <w:szCs w:val="20"/>
                <w:color w:val="auto"/>
              </w:rPr>
            </w:pPr>
            <w:r>
              <w:rPr>
                <w:rFonts w:ascii="Courier New" w:cs="Courier New" w:eastAsia="Courier New" w:hAnsi="Courier New"/>
                <w:sz w:val="14"/>
                <w:szCs w:val="14"/>
                <w:color w:val="auto"/>
              </w:rPr>
              <w:t>Contractual Obligations</w:t>
            </w:r>
          </w:p>
        </w:tc>
        <w:tc>
          <w:tcPr>
            <w:tcW w:w="15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(in thousands)</w:t>
            </w:r>
          </w:p>
        </w:tc>
        <w:tc>
          <w:tcPr>
            <w:tcW w:w="11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1 Year</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 to 3 Years</w:t>
            </w:r>
          </w:p>
        </w:tc>
      </w:tr>
      <w:tr>
        <w:trPr>
          <w:trHeight w:val="167"/>
        </w:trPr>
        <w:tc>
          <w:tcPr>
            <w:tcW w:w="320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5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334"/>
        </w:trPr>
        <w:tc>
          <w:tcPr>
            <w:tcW w:w="3200" w:type="dxa"/>
            <w:vAlign w:val="bottom"/>
          </w:tcPr>
          <w:p>
            <w:pPr>
              <w:ind w:left="80"/>
              <w:spacing w:after="0"/>
              <w:rPr>
                <w:sz w:val="20"/>
                <w:szCs w:val="20"/>
                <w:color w:val="auto"/>
              </w:rPr>
            </w:pPr>
            <w:r>
              <w:rPr>
                <w:rFonts w:ascii="Courier New" w:cs="Courier New" w:eastAsia="Courier New" w:hAnsi="Courier New"/>
                <w:sz w:val="14"/>
                <w:szCs w:val="14"/>
                <w:color w:val="auto"/>
              </w:rPr>
              <w:t>Long-Term Debt Obligations......</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540" w:type="dxa"/>
            <w:vAlign w:val="bottom"/>
          </w:tcPr>
          <w:p>
            <w:pPr>
              <w:ind w:left="36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70"/>
              </w:rPr>
              <w:t>-</w:t>
            </w:r>
          </w:p>
        </w:tc>
      </w:tr>
      <w:tr>
        <w:trPr>
          <w:trHeight w:val="167"/>
        </w:trPr>
        <w:tc>
          <w:tcPr>
            <w:tcW w:w="3200" w:type="dxa"/>
            <w:vAlign w:val="bottom"/>
          </w:tcPr>
          <w:p>
            <w:pPr>
              <w:ind w:left="80"/>
              <w:spacing w:after="0"/>
              <w:rPr>
                <w:sz w:val="20"/>
                <w:szCs w:val="20"/>
                <w:color w:val="auto"/>
              </w:rPr>
            </w:pPr>
            <w:r>
              <w:rPr>
                <w:rFonts w:ascii="Courier New" w:cs="Courier New" w:eastAsia="Courier New" w:hAnsi="Courier New"/>
                <w:sz w:val="14"/>
                <w:szCs w:val="14"/>
                <w:color w:val="auto"/>
              </w:rPr>
              <w:t>Operating Lease Obligations</w:t>
            </w:r>
          </w:p>
        </w:tc>
        <w:tc>
          <w:tcPr>
            <w:tcW w:w="620" w:type="dxa"/>
            <w:vAlign w:val="bottom"/>
          </w:tcPr>
          <w:p>
            <w:pPr>
              <w:spacing w:after="0"/>
              <w:rPr>
                <w:sz w:val="14"/>
                <w:szCs w:val="14"/>
                <w:color w:val="auto"/>
              </w:rPr>
            </w:pP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1,634</w:t>
            </w:r>
          </w:p>
        </w:tc>
        <w:tc>
          <w:tcPr>
            <w:tcW w:w="5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736</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778</w:t>
            </w:r>
          </w:p>
        </w:tc>
        <w:tc>
          <w:tcPr>
            <w:tcW w:w="340" w:type="dxa"/>
            <w:vAlign w:val="bottom"/>
          </w:tcPr>
          <w:p>
            <w:pPr>
              <w:spacing w:after="0"/>
              <w:rPr>
                <w:sz w:val="14"/>
                <w:szCs w:val="14"/>
                <w:color w:val="auto"/>
              </w:rPr>
            </w:pPr>
          </w:p>
        </w:tc>
      </w:tr>
      <w:tr>
        <w:trPr>
          <w:trHeight w:val="167"/>
        </w:trPr>
        <w:tc>
          <w:tcPr>
            <w:tcW w:w="3200" w:type="dxa"/>
            <w:vAlign w:val="bottom"/>
          </w:tcPr>
          <w:p>
            <w:pPr>
              <w:ind w:left="80"/>
              <w:spacing w:after="0"/>
              <w:rPr>
                <w:sz w:val="20"/>
                <w:szCs w:val="20"/>
                <w:color w:val="auto"/>
              </w:rPr>
            </w:pPr>
            <w:r>
              <w:rPr>
                <w:rFonts w:ascii="Courier New" w:cs="Courier New" w:eastAsia="Courier New" w:hAnsi="Courier New"/>
                <w:sz w:val="14"/>
                <w:szCs w:val="14"/>
                <w:color w:val="auto"/>
              </w:rPr>
              <w:t>Deferred Compensation</w:t>
            </w:r>
          </w:p>
        </w:tc>
        <w:tc>
          <w:tcPr>
            <w:tcW w:w="62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8,122*</w:t>
            </w:r>
          </w:p>
        </w:tc>
        <w:tc>
          <w:tcPr>
            <w:tcW w:w="54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342</w:t>
            </w:r>
          </w:p>
        </w:tc>
        <w:tc>
          <w:tcPr>
            <w:tcW w:w="340" w:type="dxa"/>
            <w:vAlign w:val="bottom"/>
          </w:tcPr>
          <w:p>
            <w:pPr>
              <w:spacing w:after="0"/>
              <w:rPr>
                <w:sz w:val="14"/>
                <w:szCs w:val="14"/>
                <w:color w:val="auto"/>
              </w:rPr>
            </w:pPr>
          </w:p>
        </w:tc>
      </w:tr>
      <w:tr>
        <w:trPr>
          <w:trHeight w:val="167"/>
        </w:trPr>
        <w:tc>
          <w:tcPr>
            <w:tcW w:w="3200" w:type="dxa"/>
            <w:vAlign w:val="bottom"/>
          </w:tcPr>
          <w:p>
            <w:pPr>
              <w:spacing w:after="0"/>
              <w:rPr>
                <w:sz w:val="14"/>
                <w:szCs w:val="14"/>
                <w:color w:val="auto"/>
              </w:rPr>
            </w:pP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r>
      <w:tr>
        <w:trPr>
          <w:trHeight w:val="167"/>
        </w:trPr>
        <w:tc>
          <w:tcPr>
            <w:tcW w:w="3200" w:type="dxa"/>
            <w:vAlign w:val="bottom"/>
          </w:tcPr>
          <w:p>
            <w:pPr>
              <w:ind w:left="80"/>
              <w:spacing w:after="0"/>
              <w:rPr>
                <w:sz w:val="20"/>
                <w:szCs w:val="20"/>
                <w:color w:val="auto"/>
              </w:rPr>
            </w:pPr>
            <w:r>
              <w:rPr>
                <w:rFonts w:ascii="Courier New" w:cs="Courier New" w:eastAsia="Courier New" w:hAnsi="Courier New"/>
                <w:sz w:val="14"/>
                <w:szCs w:val="14"/>
                <w:color w:val="auto"/>
              </w:rPr>
              <w:t>Total</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9,756</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$1,061</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$1,120</w:t>
            </w:r>
          </w:p>
        </w:tc>
        <w:tc>
          <w:tcPr>
            <w:tcW w:w="340" w:type="dxa"/>
            <w:vAlign w:val="bottom"/>
          </w:tcPr>
          <w:p>
            <w:pPr>
              <w:spacing w:after="0"/>
              <w:rPr>
                <w:sz w:val="14"/>
                <w:szCs w:val="14"/>
                <w:color w:val="auto"/>
              </w:rPr>
            </w:pPr>
          </w:p>
        </w:tc>
      </w:tr>
      <w:tr>
        <w:trPr>
          <w:trHeight w:val="167"/>
        </w:trPr>
        <w:tc>
          <w:tcPr>
            <w:tcW w:w="3200" w:type="dxa"/>
            <w:vAlign w:val="bottom"/>
          </w:tcPr>
          <w:p>
            <w:pPr>
              <w:spacing w:after="0"/>
              <w:rPr>
                <w:sz w:val="14"/>
                <w:szCs w:val="14"/>
                <w:color w:val="auto"/>
              </w:rPr>
            </w:pPr>
          </w:p>
        </w:tc>
        <w:tc>
          <w:tcPr>
            <w:tcW w:w="156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r>
    </w:tbl>
    <w:p>
      <w:pPr>
        <w:spacing w:after="0" w:line="200" w:lineRule="exact"/>
        <w:rPr>
          <w:sz w:val="20"/>
          <w:szCs w:val="20"/>
          <w:color w:val="auto"/>
        </w:rPr>
      </w:pPr>
    </w:p>
    <w:p>
      <w:pPr>
        <w:spacing w:after="0" w:line="305" w:lineRule="exact"/>
        <w:rPr>
          <w:sz w:val="20"/>
          <w:szCs w:val="20"/>
          <w:color w:val="auto"/>
        </w:rPr>
      </w:pPr>
    </w:p>
    <w:p>
      <w:pPr>
        <w:ind w:right="440" w:firstLine="347"/>
        <w:spacing w:after="0" w:line="253" w:lineRule="auto"/>
        <w:rPr>
          <w:sz w:val="20"/>
          <w:szCs w:val="20"/>
          <w:color w:val="auto"/>
        </w:rPr>
      </w:pPr>
      <w:r>
        <w:rPr>
          <w:rFonts w:ascii="Courier New" w:cs="Courier New" w:eastAsia="Courier New" w:hAnsi="Courier New"/>
          <w:sz w:val="14"/>
          <w:szCs w:val="14"/>
          <w:color w:val="auto"/>
        </w:rPr>
        <w:t>*Deferred Compensation liability (See Note 12 in the accompanying financial statements) reflects payments due to current retirees receiving benefits. The amount of $7,231 in the more than 5 years column includes benefits due to participants in the plan who are not yet receiving benefits although some participants may opt to retire and begin receiving benefits within the next 5 years.</w:t>
      </w:r>
    </w:p>
    <w:p>
      <w:pPr>
        <w:spacing w:after="0" w:line="165" w:lineRule="exact"/>
        <w:rPr>
          <w:sz w:val="20"/>
          <w:szCs w:val="20"/>
          <w:color w:val="auto"/>
        </w:rPr>
      </w:pPr>
    </w:p>
    <w:p>
      <w:pPr>
        <w:ind w:right="600" w:firstLine="347"/>
        <w:spacing w:after="0" w:line="255" w:lineRule="auto"/>
        <w:rPr>
          <w:sz w:val="20"/>
          <w:szCs w:val="20"/>
          <w:color w:val="auto"/>
        </w:rPr>
      </w:pPr>
      <w:r>
        <w:rPr>
          <w:rFonts w:ascii="Courier New" w:cs="Courier New" w:eastAsia="Courier New" w:hAnsi="Courier New"/>
          <w:sz w:val="14"/>
          <w:szCs w:val="14"/>
          <w:color w:val="auto"/>
        </w:rPr>
        <w:t>As of April 30, 2006, the Company's consolidated backlog amounted to approximately $36 million (see Item 1). Approximately 80% of this backlog is expected to be filled during the Company's fiscal year ending April 30, 2007.</w:t>
      </w:r>
    </w:p>
    <w:p>
      <w:pPr>
        <w:spacing w:after="0" w:line="162"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600" w:firstLine="347"/>
        <w:spacing w:after="0" w:line="254" w:lineRule="auto"/>
        <w:rPr>
          <w:sz w:val="20"/>
          <w:szCs w:val="20"/>
          <w:color w:val="auto"/>
        </w:rPr>
      </w:pPr>
      <w:r>
        <w:rPr>
          <w:rFonts w:ascii="Courier New" w:cs="Courier New" w:eastAsia="Courier New" w:hAnsi="Courier New"/>
          <w:sz w:val="14"/>
          <w:szCs w:val="14"/>
          <w:color w:val="auto"/>
        </w:rPr>
        <w:t>The Company's liquidity is adequate to meet its foreseeable operating and investment needs. In addition, with its available cash and marketable securities, the Company is able to continue paying semi-annual dividends, subject to the review and approval of its Board of Directors.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RECENT ACCOUNTING PRONOUNCEMENTS</w:t>
      </w:r>
    </w:p>
    <w:p>
      <w:pPr>
        <w:spacing w:after="0" w:line="175" w:lineRule="exact"/>
        <w:rPr>
          <w:sz w:val="20"/>
          <w:szCs w:val="20"/>
          <w:color w:val="auto"/>
        </w:rPr>
      </w:pPr>
    </w:p>
    <w:p>
      <w:pPr>
        <w:ind w:right="340" w:firstLine="434"/>
        <w:spacing w:after="0" w:line="253" w:lineRule="auto"/>
        <w:rPr>
          <w:sz w:val="20"/>
          <w:szCs w:val="20"/>
          <w:color w:val="auto"/>
        </w:rPr>
      </w:pPr>
      <w:r>
        <w:rPr>
          <w:rFonts w:ascii="Courier New" w:cs="Courier New" w:eastAsia="Courier New" w:hAnsi="Courier New"/>
          <w:sz w:val="14"/>
          <w:szCs w:val="14"/>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pacing w:after="0" w:line="164" w:lineRule="exact"/>
        <w:rPr>
          <w:sz w:val="20"/>
          <w:szCs w:val="20"/>
          <w:color w:val="auto"/>
        </w:rPr>
      </w:pPr>
    </w:p>
    <w:p>
      <w:pPr>
        <w:ind w:right="340" w:firstLine="434"/>
        <w:spacing w:after="0" w:line="252" w:lineRule="auto"/>
        <w:rPr>
          <w:sz w:val="20"/>
          <w:szCs w:val="20"/>
          <w:color w:val="auto"/>
        </w:rPr>
      </w:pPr>
      <w:r>
        <w:rPr>
          <w:rFonts w:ascii="Courier New" w:cs="Courier New" w:eastAsia="Courier New" w:hAnsi="Courier New"/>
          <w:sz w:val="14"/>
          <w:szCs w:val="14"/>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1 to the accompanying financial statements.</w:t>
      </w:r>
    </w:p>
    <w:p>
      <w:pPr>
        <w:spacing w:after="0" w:line="340" w:lineRule="exact"/>
        <w:rPr>
          <w:sz w:val="20"/>
          <w:szCs w:val="20"/>
          <w:color w:val="auto"/>
        </w:rPr>
      </w:pPr>
    </w:p>
    <w:p>
      <w:pPr>
        <w:ind w:right="340" w:firstLine="347"/>
        <w:spacing w:after="0" w:line="253" w:lineRule="auto"/>
        <w:rPr>
          <w:sz w:val="20"/>
          <w:szCs w:val="20"/>
          <w:color w:val="auto"/>
        </w:rPr>
      </w:pPr>
      <w:r>
        <w:rPr>
          <w:rFonts w:ascii="Courier New" w:cs="Courier New" w:eastAsia="Courier New" w:hAnsi="Courier New"/>
          <w:sz w:val="14"/>
          <w:szCs w:val="14"/>
          <w:color w:val="auto"/>
        </w:rPr>
        <w:t>In May 2005, the FASB issued Statement No. 154, "Accounting Changes and Error Corrections - a replacement of APB Opinion No. 20 and FASB Statement No. 3." ("FAS 154") This Statement requires retrospective application to prior period financial statements of a voluntary change in accounting principle unless it is impracticable and is effective for fiscal years beginning after December 15, 2005. Previously, most voluntary changes in accounting principle were recognized by including in net income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More than</w:t>
      </w:r>
    </w:p>
    <w:p>
      <w:pPr>
        <w:spacing w:after="0" w:line="8" w:lineRule="exact"/>
        <w:rPr>
          <w:sz w:val="20"/>
          <w:szCs w:val="20"/>
          <w:color w:val="auto"/>
        </w:rPr>
      </w:pPr>
    </w:p>
    <w:p>
      <w:pPr>
        <w:spacing w:after="0"/>
        <w:tabs>
          <w:tab w:leader="none" w:pos="1540" w:val="left"/>
        </w:tabs>
        <w:rPr>
          <w:sz w:val="20"/>
          <w:szCs w:val="20"/>
          <w:color w:val="auto"/>
        </w:rPr>
      </w:pPr>
      <w:r>
        <w:rPr>
          <w:rFonts w:ascii="Courier New" w:cs="Courier New" w:eastAsia="Courier New" w:hAnsi="Courier New"/>
          <w:sz w:val="14"/>
          <w:szCs w:val="14"/>
          <w:color w:val="auto"/>
        </w:rPr>
        <w:t>3 to 5 Years</w:t>
      </w:r>
      <w:r>
        <w:rPr>
          <w:sz w:val="20"/>
          <w:szCs w:val="20"/>
          <w:color w:val="auto"/>
        </w:rPr>
        <w:tab/>
      </w:r>
      <w:r>
        <w:rPr>
          <w:rFonts w:ascii="Courier New" w:cs="Courier New" w:eastAsia="Courier New" w:hAnsi="Courier New"/>
          <w:sz w:val="14"/>
          <w:szCs w:val="14"/>
          <w:color w:val="auto"/>
        </w:rPr>
        <w:t>5 Years</w:t>
      </w:r>
    </w:p>
    <w:p>
      <w:pPr>
        <w:spacing w:after="0" w:line="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360"/>
        <w:spacing w:after="0"/>
        <w:tabs>
          <w:tab w:leader="none" w:pos="680" w:val="left"/>
          <w:tab w:leader="none" w:pos="1540" w:val="left"/>
          <w:tab w:leader="none" w:pos="1980" w:val="left"/>
        </w:tabs>
        <w:rPr>
          <w:sz w:val="20"/>
          <w:szCs w:val="20"/>
          <w:color w:val="auto"/>
        </w:rPr>
      </w:pPr>
      <w:r>
        <w:rPr>
          <w:rFonts w:ascii="Courier New" w:cs="Courier New" w:eastAsia="Courier New" w:hAnsi="Courier New"/>
          <w:sz w:val="14"/>
          <w:szCs w:val="14"/>
          <w:color w:val="auto"/>
        </w:rPr>
        <w:t>$</w:t>
        <w:tab/>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8" w:lineRule="exact"/>
        <w:rPr>
          <w:sz w:val="20"/>
          <w:szCs w:val="20"/>
          <w:color w:val="auto"/>
        </w:rPr>
      </w:pPr>
    </w:p>
    <w:p>
      <w:pPr>
        <w:ind w:left="620"/>
        <w:spacing w:after="0"/>
        <w:tabs>
          <w:tab w:leader="none" w:pos="1900" w:val="left"/>
        </w:tabs>
        <w:rPr>
          <w:sz w:val="20"/>
          <w:szCs w:val="20"/>
          <w:color w:val="auto"/>
        </w:rPr>
      </w:pPr>
      <w:r>
        <w:rPr>
          <w:rFonts w:ascii="Courier New" w:cs="Courier New" w:eastAsia="Courier New" w:hAnsi="Courier New"/>
          <w:sz w:val="14"/>
          <w:szCs w:val="14"/>
          <w:color w:val="auto"/>
        </w:rPr>
        <w:t>72</w:t>
      </w:r>
      <w:r>
        <w:rPr>
          <w:sz w:val="20"/>
          <w:szCs w:val="20"/>
          <w:color w:val="auto"/>
        </w:rPr>
        <w:tab/>
      </w:r>
      <w:r>
        <w:rPr>
          <w:rFonts w:ascii="Courier New" w:cs="Courier New" w:eastAsia="Courier New" w:hAnsi="Courier New"/>
          <w:sz w:val="14"/>
          <w:szCs w:val="14"/>
          <w:color w:val="auto"/>
        </w:rPr>
        <w:t>48</w:t>
      </w:r>
    </w:p>
    <w:p>
      <w:pPr>
        <w:spacing w:after="0" w:line="8" w:lineRule="exact"/>
        <w:rPr>
          <w:sz w:val="20"/>
          <w:szCs w:val="20"/>
          <w:color w:val="auto"/>
        </w:rPr>
      </w:pPr>
    </w:p>
    <w:p>
      <w:pPr>
        <w:ind w:left="520"/>
        <w:spacing w:after="0"/>
        <w:tabs>
          <w:tab w:leader="none" w:pos="1640" w:val="left"/>
        </w:tabs>
        <w:rPr>
          <w:sz w:val="20"/>
          <w:szCs w:val="20"/>
          <w:color w:val="auto"/>
        </w:rPr>
      </w:pPr>
      <w:r>
        <w:rPr>
          <w:rFonts w:ascii="Courier New" w:cs="Courier New" w:eastAsia="Courier New" w:hAnsi="Courier New"/>
          <w:sz w:val="14"/>
          <w:szCs w:val="14"/>
          <w:color w:val="auto"/>
        </w:rPr>
        <w:t>224</w:t>
      </w:r>
      <w:r>
        <w:rPr>
          <w:sz w:val="20"/>
          <w:szCs w:val="20"/>
          <w:color w:val="auto"/>
        </w:rPr>
        <w:tab/>
      </w:r>
      <w:r>
        <w:rPr>
          <w:rFonts w:ascii="Courier New" w:cs="Courier New" w:eastAsia="Courier New" w:hAnsi="Courier New"/>
          <w:sz w:val="14"/>
          <w:szCs w:val="14"/>
          <w:color w:val="auto"/>
        </w:rPr>
        <w:t>7,231</w:t>
      </w:r>
    </w:p>
    <w:p>
      <w:pPr>
        <w:spacing w:after="0" w:line="8" w:lineRule="exact"/>
        <w:rPr>
          <w:sz w:val="20"/>
          <w:szCs w:val="20"/>
          <w:color w:val="auto"/>
        </w:rPr>
      </w:pPr>
    </w:p>
    <w:p>
      <w:pPr>
        <w:ind w:left="1560" w:hanging="1206"/>
        <w:spacing w:after="0"/>
        <w:tabs>
          <w:tab w:leader="none" w:pos="156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tabs>
          <w:tab w:leader="none" w:pos="1540" w:val="left"/>
        </w:tabs>
        <w:rPr>
          <w:sz w:val="20"/>
          <w:szCs w:val="20"/>
          <w:color w:val="auto"/>
        </w:rPr>
      </w:pPr>
      <w:r>
        <w:rPr>
          <w:rFonts w:ascii="Courier New" w:cs="Courier New" w:eastAsia="Courier New" w:hAnsi="Courier New"/>
          <w:sz w:val="14"/>
          <w:szCs w:val="14"/>
          <w:color w:val="auto"/>
        </w:rPr>
        <w:t>$ 296</w:t>
      </w:r>
      <w:r>
        <w:rPr>
          <w:sz w:val="20"/>
          <w:szCs w:val="20"/>
          <w:color w:val="auto"/>
        </w:rPr>
        <w:tab/>
      </w:r>
      <w:r>
        <w:rPr>
          <w:rFonts w:ascii="Courier New" w:cs="Courier New" w:eastAsia="Courier New" w:hAnsi="Courier New"/>
          <w:sz w:val="14"/>
          <w:szCs w:val="14"/>
          <w:color w:val="auto"/>
        </w:rPr>
        <w:t>$7,279</w:t>
      </w:r>
    </w:p>
    <w:p>
      <w:pPr>
        <w:spacing w:after="0" w:line="8" w:lineRule="exact"/>
        <w:rPr>
          <w:sz w:val="20"/>
          <w:szCs w:val="20"/>
          <w:color w:val="auto"/>
        </w:rPr>
      </w:pPr>
    </w:p>
    <w:p>
      <w:pPr>
        <w:ind w:left="1560" w:hanging="1206"/>
        <w:spacing w:after="0"/>
        <w:tabs>
          <w:tab w:leader="none" w:pos="15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2">
            <w:col w:w="7300" w:space="340"/>
            <w:col w:w="2599"/>
          </w:cols>
          <w:pgMar w:left="220" w:top="620" w:right="1440" w:bottom="1440" w:gutter="0" w:footer="0" w:header="0"/>
        </w:sectPr>
      </w:pPr>
    </w:p>
    <w:bookmarkStart w:id="30" w:name="page31"/>
    <w:bookmarkEnd w:id="30"/>
    <w:p>
      <w:pPr>
        <w:ind w:right="3639"/>
        <w:spacing w:after="0" w:line="255" w:lineRule="auto"/>
        <w:rPr>
          <w:sz w:val="20"/>
          <w:szCs w:val="20"/>
          <w:color w:val="auto"/>
        </w:rPr>
      </w:pPr>
      <w:r>
        <w:rPr>
          <w:rFonts w:ascii="Courier New" w:cs="Courier New" w:eastAsia="Courier New" w:hAnsi="Courier New"/>
          <w:sz w:val="14"/>
          <w:szCs w:val="14"/>
          <w:color w:val="auto"/>
        </w:rPr>
        <w:t>of the period of the change the cumulative effect of changing to the new accounting principle. The Company will comply with the provisions of FAS 154 although the impact of such adoption is not determinable at this time.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MATTERS</w:t>
      </w:r>
    </w:p>
    <w:p>
      <w:pPr>
        <w:spacing w:after="0" w:line="175"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financial information reported herein is not necessarily indicative of future operating results or of the future financial condition of the Company. Except as noted, management is unaware of any impending transactions or events that are likely to have a material adverse effect on results from operations.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INFLATION</w:t>
      </w:r>
    </w:p>
    <w:p>
      <w:pPr>
        <w:spacing w:after="0" w:line="175" w:lineRule="exact"/>
        <w:rPr>
          <w:sz w:val="20"/>
          <w:szCs w:val="20"/>
          <w:color w:val="auto"/>
        </w:rPr>
      </w:pPr>
    </w:p>
    <w:p>
      <w:pPr>
        <w:ind w:right="3979" w:firstLine="347"/>
        <w:spacing w:after="0" w:line="258" w:lineRule="auto"/>
        <w:rPr>
          <w:sz w:val="20"/>
          <w:szCs w:val="20"/>
          <w:color w:val="auto"/>
        </w:rPr>
      </w:pPr>
      <w:r>
        <w:rPr>
          <w:rFonts w:ascii="Courier New" w:cs="Courier New" w:eastAsia="Courier New" w:hAnsi="Courier New"/>
          <w:sz w:val="14"/>
          <w:szCs w:val="14"/>
          <w:color w:val="auto"/>
        </w:rPr>
        <w:t>During fiscal 2006, as in the two prior fiscal years, the impact of inflation on the Company's business has not been materially significant.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7a. Quantitative and Qualitative Disclosures about Market Risk</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Rate Risk</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Company is exposed to market risk related to changes in interest rates and market values of securities. The Company's investments in fixed income and equity securities were $21.8 million and $37,000, respectively, at April 30, 2006. The investments are carried at fair value with changes in unrealized gains and losses, net of taxes,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April 30, 2006, a 10% change in market interest rates would not have a material effect on the fair value of the Company's fixed income securities or results of operations (investment income).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Risk</w:t>
      </w:r>
    </w:p>
    <w:p>
      <w:pPr>
        <w:spacing w:after="0" w:line="175"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With its investment in Gillam-FEI and FEI-Asia, the Company is subject to foreign currency translation risk. For each of these investments, the Company does not have any near-term intentions to repatriate its invested cash.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April 30, 2006, the amount related to foreign currency exchange rates is a $3,137,000 unrealized gain.</w:t>
      </w:r>
    </w:p>
    <w:p>
      <w:pPr>
        <w:spacing w:after="0" w:line="164"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The results of operations of foreign subsidiaries, when translated into US dollars, will reflect the average rates of exchange for the periods presented. As a result, similar results in local currency can vary significantly upon translation into US dollars if exchange rates fluctuate significantly from one period to the next.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239"/>
          </w:cols>
          <w:pgMar w:left="220" w:top="620"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200" w:lineRule="exact"/>
        <w:rPr>
          <w:sz w:val="20"/>
          <w:szCs w:val="20"/>
          <w:color w:val="auto"/>
        </w:rPr>
      </w:pPr>
    </w:p>
    <w:p>
      <w:pPr>
        <w:spacing w:after="0" w:line="30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Mitchel Field, New York</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have audited the accompanying consolidated balance sheets of Frequency Electronics, Inc. and Subsidiaries as of April 30, 2006 and 2005 and the related consolidated statements of operations, stockholders' equity and cash flows for the years then ended. We have also audited the consolidated schedule listed in Item 15(a)(2) of this Form 10-K for the years ended April 30, 2006 and 2005. These consolidated financial statements and schedule are the responsibility of the Company's management. Our responsibility is to express an opinion on these consolidated financial statements and the schedule based on our audits.</w:t>
      </w:r>
    </w:p>
    <w:p>
      <w:pPr>
        <w:spacing w:after="0" w:line="16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consolidated financial position of Frequency Electronics, Inc. and Subsidiaries at April 30, 2006 and 2005 and the results of their operations and their cash flows for the years then ended in conformity with accounting principles generally accepted in the United States of America. Also, in our opinion, the related consolidated financial statement schedule for the years ended April 30, 2006 and 2005,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Holtz Rubenstein Reminick LLP</w:t>
      </w:r>
    </w:p>
    <w:p>
      <w:pPr>
        <w:spacing w:after="0" w:line="8" w:lineRule="exact"/>
        <w:rPr>
          <w:sz w:val="20"/>
          <w:szCs w:val="20"/>
          <w:color w:val="auto"/>
        </w:rPr>
      </w:pPr>
    </w:p>
    <w:p>
      <w:pPr>
        <w:ind w:left="180" w:hanging="171"/>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7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Holtz Rubenstein Reminick LLP Melville, New York</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July 20, 2006</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20" w:right="1440" w:bottom="1440" w:gutter="0" w:footer="0" w:header="0"/>
        </w:sectPr>
      </w:pPr>
    </w:p>
    <w:bookmarkStart w:id="32" w:name="page33"/>
    <w:bookmarkEnd w:id="32"/>
    <w:p>
      <w:pPr>
        <w:ind w:left="360"/>
        <w:spacing w:after="0"/>
        <w:rPr>
          <w:sz w:val="20"/>
          <w:szCs w:val="20"/>
          <w:color w:val="auto"/>
        </w:rPr>
      </w:pPr>
      <w:r>
        <w:rPr>
          <w:rFonts w:ascii="Courier New" w:cs="Courier New" w:eastAsia="Courier New" w:hAnsi="Courier New"/>
          <w:sz w:val="14"/>
          <w:szCs w:val="14"/>
          <w:color w:val="auto"/>
        </w:rPr>
        <w:t>REPORT OF INDEPENDENT REGISTERED PUBLIC ACCOUNTING FIRM</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and Stockholders of Frequency Electronics, Inc.:</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listed in the index appearing under Item 15(a)(1) on page 56 present fairly, in all material respects, the results of operations, changes in stockholders' equity, and cash flows of Frequency Electronics, Inc. and Subsidiaries for the year ended April 30, 2004 in conformity with accounting principles generally accepted in the United States of America. In addition, in our opinion, the financial statement schedule listed in the index appearing under Item 15(a)(2) on page 54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 We conducted our audit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our opinion.</w:t>
      </w:r>
    </w:p>
    <w:p>
      <w:pPr>
        <w:spacing w:after="0" w:line="341"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As discussed in Note 10, the Company has changed its method of accounting for its investment in an entity from the cost method to the equity method for all periods presented due to an increase in the ownership of such entity in fiscal 2005.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/s/PricewaterhouseCoopers LLP</w:t>
      </w:r>
    </w:p>
    <w:p>
      <w:pPr>
        <w:spacing w:after="0" w:line="8"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Melville, New York</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July 6, 2004, except for Note 10,</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 to which the date is September 28, 2004</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239"/>
          </w:cols>
          <w:pgMar w:left="220" w:top="620" w:right="1440" w:bottom="1440" w:gutter="0" w:footer="0" w:header="0"/>
        </w:sectPr>
      </w:pPr>
    </w:p>
    <w:bookmarkStart w:id="33" w:name="page34"/>
    <w:bookmarkEnd w:id="33"/>
    <w:p>
      <w:pPr>
        <w:ind w:left="1580"/>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Balance Sheets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April 30, 2006 and 2005</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ind w:left="960"/>
              <w:spacing w:after="0"/>
              <w:rPr>
                <w:sz w:val="20"/>
                <w:szCs w:val="20"/>
                <w:color w:val="auto"/>
              </w:rPr>
            </w:pPr>
            <w:r>
              <w:rPr>
                <w:rFonts w:ascii="Courier New" w:cs="Courier New" w:eastAsia="Courier New" w:hAnsi="Courier New"/>
                <w:sz w:val="14"/>
                <w:szCs w:val="14"/>
                <w:color w:val="auto"/>
              </w:rPr>
              <w:t>ASSETS:</w:t>
            </w:r>
          </w:p>
        </w:tc>
        <w:tc>
          <w:tcPr>
            <w:tcW w:w="48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2006</w:t>
            </w:r>
          </w:p>
        </w:tc>
        <w:tc>
          <w:tcPr>
            <w:tcW w:w="6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2005</w:t>
            </w:r>
          </w:p>
        </w:tc>
      </w:tr>
      <w:tr>
        <w:trPr>
          <w:trHeight w:val="167"/>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(In thousands)</w:t>
            </w:r>
          </w:p>
        </w:tc>
        <w:tc>
          <w:tcPr>
            <w:tcW w:w="600" w:type="dxa"/>
            <w:vAlign w:val="bottom"/>
          </w:tcPr>
          <w:p>
            <w:pPr>
              <w:spacing w:after="0"/>
              <w:rPr>
                <w:sz w:val="14"/>
                <w:szCs w:val="14"/>
                <w:color w:val="auto"/>
              </w:rPr>
            </w:pP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Cash and cash equivalents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6,701</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Marketable securities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21,836</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23,532</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Accounts receivable, net of allowance for</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520"/>
              <w:spacing w:after="0"/>
              <w:rPr>
                <w:sz w:val="20"/>
                <w:szCs w:val="20"/>
                <w:color w:val="auto"/>
              </w:rPr>
            </w:pPr>
            <w:r>
              <w:rPr>
                <w:rFonts w:ascii="Courier New" w:cs="Courier New" w:eastAsia="Courier New" w:hAnsi="Courier New"/>
                <w:sz w:val="14"/>
                <w:szCs w:val="14"/>
                <w:color w:val="auto"/>
              </w:rPr>
              <w:t>doubtful accounts of $276 in 2006 and $172 in 2005</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15,868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12,728</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Inventories, net</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22,971</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22,948</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Deferred income taxes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2,135</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2,269</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Income taxes receivable</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260"/>
              <w:spacing w:after="0"/>
              <w:rPr>
                <w:sz w:val="20"/>
                <w:szCs w:val="20"/>
                <w:color w:val="auto"/>
              </w:rPr>
            </w:pPr>
            <w:r>
              <w:rPr>
                <w:rFonts w:ascii="Courier New" w:cs="Courier New" w:eastAsia="Courier New" w:hAnsi="Courier New"/>
                <w:sz w:val="14"/>
                <w:szCs w:val="14"/>
                <w:color w:val="auto"/>
              </w:rPr>
              <w:t>Prepaid expenses and other</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1,246</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1,362</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880"/>
              <w:spacing w:after="0"/>
              <w:rPr>
                <w:sz w:val="20"/>
                <w:szCs w:val="20"/>
                <w:color w:val="auto"/>
              </w:rPr>
            </w:pPr>
            <w:r>
              <w:rPr>
                <w:rFonts w:ascii="Courier New" w:cs="Courier New" w:eastAsia="Courier New" w:hAnsi="Courier New"/>
                <w:sz w:val="14"/>
                <w:szCs w:val="14"/>
                <w:color w:val="auto"/>
              </w:rPr>
              <w:t>Total current assets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66,763</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69,540</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at cost,</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less accumulated depreciation and amortization</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6,663</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6,770</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Deferred income taxes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2,842</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2,644</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Goodwill and other intangible assets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513</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591</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Cash surrender value of life insurance</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6,318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5,838</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3,642</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2,991</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800"/>
              <w:spacing w:after="0"/>
              <w:rPr>
                <w:sz w:val="20"/>
                <w:szCs w:val="20"/>
                <w:color w:val="auto"/>
              </w:rPr>
            </w:pPr>
            <w:r>
              <w:rPr>
                <w:rFonts w:ascii="Courier New" w:cs="Courier New" w:eastAsia="Courier New" w:hAnsi="Courier New"/>
                <w:sz w:val="14"/>
                <w:szCs w:val="14"/>
                <w:color w:val="auto"/>
              </w:rPr>
              <w:t>Total assets</w:t>
            </w: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$ 86,741</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$ 88,374</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220" w:type="dxa"/>
            <w:vAlign w:val="bottom"/>
          </w:tcPr>
          <w:p>
            <w:pPr>
              <w:ind w:left="960"/>
              <w:spacing w:after="0"/>
              <w:rPr>
                <w:sz w:val="20"/>
                <w:szCs w:val="20"/>
                <w:color w:val="auto"/>
              </w:rPr>
            </w:pPr>
            <w:r>
              <w:rPr>
                <w:rFonts w:ascii="Courier New" w:cs="Courier New" w:eastAsia="Courier New" w:hAnsi="Courier New"/>
                <w:sz w:val="14"/>
                <w:szCs w:val="14"/>
                <w:color w:val="auto"/>
              </w:rPr>
              <w:t>LIABILITIES AND STOCKHOLDERS' EQUITY:</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 trade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2,202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1,896</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Accrued liabilities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3,929</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3,912</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Income taxes payable</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3,184</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Dividend payable</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857</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852</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960"/>
              <w:spacing w:after="0"/>
              <w:rPr>
                <w:sz w:val="20"/>
                <w:szCs w:val="20"/>
                <w:color w:val="auto"/>
              </w:rPr>
            </w:pPr>
            <w:r>
              <w:rPr>
                <w:rFonts w:ascii="Courier New" w:cs="Courier New" w:eastAsia="Courier New" w:hAnsi="Courier New"/>
                <w:sz w:val="14"/>
                <w:szCs w:val="14"/>
                <w:color w:val="auto"/>
              </w:rPr>
              <w:t>Total current liabilities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6,988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9,844</w:t>
            </w:r>
          </w:p>
        </w:tc>
      </w:tr>
      <w:tr>
        <w:trPr>
          <w:trHeight w:val="167"/>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Deferred compensation</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8,122</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7,812</w:t>
            </w:r>
          </w:p>
        </w:tc>
      </w:tr>
      <w:tr>
        <w:trPr>
          <w:trHeight w:val="167"/>
        </w:trPr>
        <w:tc>
          <w:tcPr>
            <w:tcW w:w="5220" w:type="dxa"/>
            <w:vAlign w:val="bottom"/>
          </w:tcPr>
          <w:p>
            <w:pPr>
              <w:ind w:left="100"/>
              <w:spacing w:after="0"/>
              <w:rPr>
                <w:sz w:val="20"/>
                <w:szCs w:val="20"/>
                <w:color w:val="auto"/>
              </w:rPr>
            </w:pPr>
            <w:r>
              <w:rPr>
                <w:rFonts w:ascii="Courier New" w:cs="Courier New" w:eastAsia="Courier New" w:hAnsi="Courier New"/>
                <w:sz w:val="14"/>
                <w:szCs w:val="14"/>
                <w:color w:val="auto"/>
              </w:rPr>
              <w:t>Deferred gain and other liabilities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998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1,525</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960"/>
              <w:spacing w:after="0"/>
              <w:rPr>
                <w:sz w:val="20"/>
                <w:szCs w:val="20"/>
                <w:color w:val="auto"/>
              </w:rPr>
            </w:pPr>
            <w:r>
              <w:rPr>
                <w:rFonts w:ascii="Courier New" w:cs="Courier New" w:eastAsia="Courier New" w:hAnsi="Courier New"/>
                <w:sz w:val="14"/>
                <w:szCs w:val="14"/>
                <w:color w:val="auto"/>
              </w:rPr>
              <w:t>Total liabilities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16,108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19,181</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20"/>
                <w:szCs w:val="20"/>
                <w:color w:val="auto"/>
              </w:rPr>
            </w:pPr>
            <w:r>
              <w:rPr>
                <w:rFonts w:ascii="Courier New" w:cs="Courier New" w:eastAsia="Courier New" w:hAnsi="Courier New"/>
                <w:sz w:val="14"/>
                <w:szCs w:val="14"/>
                <w:color w:val="auto"/>
              </w:rPr>
              <w:t>Commitments and contingencies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34"/>
        </w:trPr>
        <w:tc>
          <w:tcPr>
            <w:tcW w:w="52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Preferred stock - authorized 600,000 shares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of $1.00 par value; no shares issued</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Common stock - authorized 20,000,000 shares</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of $1.00 par value; issued - 9,163,940 shares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9,164</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9,164</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Additional paid-in capital</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45,688</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45,289</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Retained earnings</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15,527</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12,440</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70,379</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66,893</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Common stock reacquired and held in treasury -</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at cost (592,194 shares in 2006 and</w:t>
            </w: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7"/>
        </w:trPr>
        <w:tc>
          <w:tcPr>
            <w:tcW w:w="5220" w:type="dxa"/>
            <w:vAlign w:val="bottom"/>
          </w:tcPr>
          <w:p>
            <w:pPr>
              <w:ind w:left="700"/>
              <w:spacing w:after="0"/>
              <w:rPr>
                <w:sz w:val="20"/>
                <w:szCs w:val="20"/>
                <w:color w:val="auto"/>
              </w:rPr>
            </w:pPr>
            <w:r>
              <w:rPr>
                <w:rFonts w:ascii="Courier New" w:cs="Courier New" w:eastAsia="Courier New" w:hAnsi="Courier New"/>
                <w:sz w:val="14"/>
                <w:szCs w:val="14"/>
                <w:color w:val="auto"/>
              </w:rPr>
              <w:t>646,709 shares in 2005)</w:t>
            </w:r>
          </w:p>
        </w:tc>
        <w:tc>
          <w:tcPr>
            <w:tcW w:w="480" w:type="dxa"/>
            <w:vAlign w:val="bottom"/>
          </w:tcPr>
          <w:p>
            <w:pPr>
              <w:spacing w:after="0"/>
              <w:rPr>
                <w:sz w:val="14"/>
                <w:szCs w:val="14"/>
                <w:color w:val="auto"/>
              </w:rPr>
            </w:pP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(2,437)</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(2,601)</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Accumulated other comprehensive income</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2,691</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4,901</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960"/>
              <w:spacing w:after="0"/>
              <w:rPr>
                <w:sz w:val="20"/>
                <w:szCs w:val="20"/>
                <w:color w:val="auto"/>
              </w:rPr>
            </w:pPr>
            <w:r>
              <w:rPr>
                <w:rFonts w:ascii="Courier New" w:cs="Courier New" w:eastAsia="Courier New" w:hAnsi="Courier New"/>
                <w:sz w:val="14"/>
                <w:szCs w:val="14"/>
                <w:color w:val="auto"/>
              </w:rPr>
              <w:t>Total stockholders' equity</w:t>
            </w:r>
          </w:p>
        </w:tc>
        <w:tc>
          <w:tcPr>
            <w:tcW w:w="48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70,633</w:t>
            </w:r>
          </w:p>
        </w:tc>
        <w:tc>
          <w:tcPr>
            <w:tcW w:w="660" w:type="dxa"/>
            <w:vAlign w:val="bottom"/>
          </w:tcPr>
          <w:p>
            <w:pPr>
              <w:spacing w:after="0"/>
              <w:rPr>
                <w:sz w:val="14"/>
                <w:szCs w:val="1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69,193</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20" w:type="dxa"/>
            <w:vAlign w:val="bottom"/>
          </w:tcPr>
          <w:p>
            <w:pPr>
              <w:ind w:left="36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$ 86,741</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$ 88,374</w:t>
            </w:r>
          </w:p>
        </w:tc>
      </w:tr>
      <w:tr>
        <w:trPr>
          <w:trHeight w:val="167"/>
        </w:trPr>
        <w:tc>
          <w:tcPr>
            <w:tcW w:w="5220" w:type="dxa"/>
            <w:vAlign w:val="bottom"/>
          </w:tcPr>
          <w:p>
            <w:pPr>
              <w:spacing w:after="0"/>
              <w:rPr>
                <w:sz w:val="14"/>
                <w:szCs w:val="14"/>
                <w:color w:val="auto"/>
              </w:rPr>
            </w:pPr>
          </w:p>
        </w:tc>
        <w:tc>
          <w:tcPr>
            <w:tcW w:w="160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20" w:right="1440" w:bottom="1440" w:gutter="0" w:footer="0" w:header="0"/>
        </w:sectPr>
      </w:pPr>
    </w:p>
    <w:bookmarkStart w:id="34" w:name="page35"/>
    <w:bookmarkEnd w:id="34"/>
    <w:p>
      <w:pPr>
        <w:ind w:left="1580"/>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Operations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Years ended April 30, 2006, 2005 and 2004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ind w:left="304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668"/>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2006</w:t>
            </w:r>
          </w:p>
        </w:tc>
        <w:tc>
          <w:tcPr>
            <w:tcW w:w="400" w:type="dxa"/>
            <w:vAlign w:val="bottom"/>
          </w:tcPr>
          <w:p>
            <w:pPr>
              <w:spacing w:after="0"/>
              <w:rPr>
                <w:sz w:val="24"/>
                <w:szCs w:val="2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2005</w:t>
            </w:r>
          </w:p>
        </w:tc>
        <w:tc>
          <w:tcPr>
            <w:tcW w:w="34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5"/>
              </w:rPr>
              <w:t>----</w:t>
            </w:r>
          </w:p>
        </w:tc>
        <w:tc>
          <w:tcPr>
            <w:tcW w:w="34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(In thousands, except share data)</w:t>
            </w:r>
          </w:p>
        </w:tc>
      </w:tr>
      <w:tr>
        <w:trPr>
          <w:trHeight w:val="334"/>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$52,810</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$55,173</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$50,106</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Cost of sales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34,193</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37,013</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34,529</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Gross margin</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18,617</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18,160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15,577</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Selling and administrative expenses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10,616</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11,719</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9"/>
              </w:rPr>
              <w:t>11,162</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Compensation charges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876</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725</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Research and development expenses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6,291</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6,834</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5,336</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Operating profit (loss)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1,710</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(1,269)</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(1,646)</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Investment income</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3,280</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2,321</w:t>
            </w: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Equity in Morion</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634</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315</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158</w:t>
            </w: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34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(118)</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(298)</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(365)</w:t>
            </w: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1,121</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4,548</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before minority interest and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700" w:type="dxa"/>
            <w:vAlign w:val="bottom"/>
          </w:tcPr>
          <w:p>
            <w:pPr>
              <w:ind w:left="260"/>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6,627</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7,146</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287</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Minority interest in loss of consolidated subsidiary</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before provision for income taxes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6,627</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7,147</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34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1,829</w:t>
            </w:r>
          </w:p>
        </w:tc>
        <w:tc>
          <w:tcPr>
            <w:tcW w:w="40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2,110</w:t>
            </w:r>
          </w:p>
        </w:tc>
        <w:tc>
          <w:tcPr>
            <w:tcW w:w="34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960"/>
              <w:spacing w:after="0"/>
              <w:rPr>
                <w:sz w:val="20"/>
                <w:szCs w:val="20"/>
                <w:color w:val="auto"/>
              </w:rPr>
            </w:pPr>
            <w:r>
              <w:rPr>
                <w:rFonts w:ascii="Courier New" w:cs="Courier New" w:eastAsia="Courier New" w:hAnsi="Courier New"/>
                <w:sz w:val="14"/>
                <w:szCs w:val="14"/>
                <w:color w:val="auto"/>
              </w:rPr>
              <w:t>Net income</w:t>
            </w: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$ 4,798</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$ 5,037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0.56</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0.04</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0.55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0.58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0.04</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spacing w:after="0"/>
              <w:rPr>
                <w:sz w:val="20"/>
                <w:szCs w:val="20"/>
                <w:color w:val="auto"/>
              </w:rPr>
            </w:pPr>
            <w:r>
              <w:rPr>
                <w:rFonts w:ascii="Courier New" w:cs="Courier New" w:eastAsia="Courier New" w:hAnsi="Courier New"/>
                <w:sz w:val="14"/>
                <w:szCs w:val="14"/>
                <w:color w:val="auto"/>
              </w:rPr>
              <w:t>Average shares outstanding:</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8,537,427</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8,484,682</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8,374,399</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70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8,690,617</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8,684,758</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8,542,575</w:t>
            </w:r>
          </w:p>
        </w:tc>
      </w:tr>
      <w:tr>
        <w:trPr>
          <w:trHeight w:val="167"/>
        </w:trPr>
        <w:tc>
          <w:tcPr>
            <w:tcW w:w="4700" w:type="dxa"/>
            <w:vAlign w:val="bottom"/>
          </w:tcPr>
          <w:p>
            <w:pPr>
              <w:spacing w:after="0"/>
              <w:rPr>
                <w:sz w:val="14"/>
                <w:szCs w:val="14"/>
                <w:color w:val="auto"/>
              </w:rPr>
            </w:pPr>
          </w:p>
        </w:tc>
        <w:tc>
          <w:tcPr>
            <w:tcW w:w="116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20" w:right="1440" w:bottom="1440" w:gutter="0" w:footer="0" w:header="0"/>
        </w:sectPr>
      </w:pPr>
    </w:p>
    <w:bookmarkStart w:id="35" w:name="page36"/>
    <w:bookmarkEnd w:id="35"/>
    <w:p>
      <w:pPr>
        <w:ind w:left="1580"/>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175"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Years ended April 30, 2006, 2005 and 2004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304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68"/>
        </w:trPr>
        <w:tc>
          <w:tcPr>
            <w:tcW w:w="5260" w:type="dxa"/>
            <w:vAlign w:val="bottom"/>
          </w:tcPr>
          <w:p>
            <w:pPr>
              <w:spacing w:after="0"/>
              <w:rPr>
                <w:sz w:val="24"/>
                <w:szCs w:val="2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5260" w:type="dxa"/>
            <w:vAlign w:val="bottom"/>
          </w:tcPr>
          <w:p>
            <w:pPr>
              <w:spacing w:after="0"/>
              <w:rPr>
                <w:sz w:val="14"/>
                <w:szCs w:val="14"/>
                <w:color w:val="auto"/>
              </w:rPr>
            </w:pP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780" w:type="dxa"/>
            <w:vAlign w:val="bottom"/>
          </w:tcPr>
          <w:p>
            <w:pPr>
              <w:spacing w:after="0"/>
              <w:rPr>
                <w:sz w:val="14"/>
                <w:szCs w:val="14"/>
                <w:color w:val="auto"/>
              </w:rPr>
            </w:pPr>
          </w:p>
        </w:tc>
      </w:tr>
      <w:tr>
        <w:trPr>
          <w:trHeight w:val="334"/>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8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Net income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$5,037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320</w:t>
            </w: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Adjustments to reconcile net income</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to net cash provided by (used in) operating activities:</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Deferred tax (benefit) expense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886</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(2,610)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Depreciation and amortization</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1,870</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2,014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2,098</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Provision for losses on accounts</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receivable and inventories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771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710</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Gain on REIT conversion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(4,629)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Gain on marketable securities and other assets, net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(618)</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Stock grant to officer</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Minority interest in loss of consolidated subsidiary</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Equity income from Morion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7"/>
        </w:trPr>
        <w:tc>
          <w:tcPr>
            <w:tcW w:w="5260" w:type="dxa"/>
            <w:vAlign w:val="bottom"/>
          </w:tcPr>
          <w:p>
            <w:pPr>
              <w:ind w:left="260"/>
              <w:spacing w:after="0"/>
              <w:rPr>
                <w:sz w:val="20"/>
                <w:szCs w:val="20"/>
                <w:color w:val="auto"/>
              </w:rPr>
            </w:pPr>
            <w:r>
              <w:rPr>
                <w:rFonts w:ascii="Courier New" w:cs="Courier New" w:eastAsia="Courier New" w:hAnsi="Courier New"/>
                <w:sz w:val="14"/>
                <w:szCs w:val="14"/>
                <w:color w:val="auto"/>
              </w:rPr>
              <w:t>Changes in assets and liabilities, exclusive of</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800"/>
              <w:spacing w:after="0"/>
              <w:rPr>
                <w:sz w:val="20"/>
                <w:szCs w:val="20"/>
                <w:color w:val="auto"/>
              </w:rPr>
            </w:pPr>
            <w:r>
              <w:rPr>
                <w:rFonts w:ascii="Courier New" w:cs="Courier New" w:eastAsia="Courier New" w:hAnsi="Courier New"/>
                <w:sz w:val="14"/>
                <w:szCs w:val="14"/>
                <w:color w:val="auto"/>
              </w:rPr>
              <w:t>assets and liabilities acquired:</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(3,667)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2,868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(4,149)</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(904)</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(3,035)</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Prepaid and other</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364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(379)</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Other assets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(500)</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 trade</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(1,729)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1,004</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Accrued liabilities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189</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Liability for employee benefit plans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1,052</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1,655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719</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Income taxes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(3,253)</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3,517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975</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Other liabilities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(320)</w:t>
            </w:r>
          </w:p>
        </w:tc>
      </w:tr>
      <w:tr>
        <w:trPr>
          <w:trHeight w:val="167"/>
        </w:trPr>
        <w:tc>
          <w:tcPr>
            <w:tcW w:w="5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Net cash (used in) provided by operating activities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(2,504)</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2,536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(2,569)</w:t>
            </w:r>
          </w:p>
        </w:tc>
      </w:tr>
      <w:tr>
        <w:trPr>
          <w:trHeight w:val="167"/>
        </w:trPr>
        <w:tc>
          <w:tcPr>
            <w:tcW w:w="5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Payment for acquisition</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(2,538)</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Purchase of minority interest in manufacturing partner</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Purchase of marketable securities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(11,518)</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(6,393)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(6,053)</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or redemption of marketable</w:t>
            </w:r>
          </w:p>
        </w:tc>
        <w:tc>
          <w:tcPr>
            <w:tcW w:w="8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securities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13,068</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12,514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10,435</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Proceeds from sale of real property</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975</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Capital expenditures</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(2,104)</w:t>
            </w:r>
          </w:p>
        </w:tc>
        <w:tc>
          <w:tcPr>
            <w:tcW w:w="14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(1,640)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(1,343)</w:t>
            </w:r>
          </w:p>
        </w:tc>
      </w:tr>
      <w:tr>
        <w:trPr>
          <w:trHeight w:val="167"/>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Other- net</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w:t>
            </w:r>
          </w:p>
        </w:tc>
      </w:tr>
      <w:tr>
        <w:trPr>
          <w:trHeight w:val="167"/>
        </w:trPr>
        <w:tc>
          <w:tcPr>
            <w:tcW w:w="5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260" w:type="dxa"/>
            <w:vAlign w:val="bottom"/>
          </w:tcPr>
          <w:p>
            <w:pPr>
              <w:ind w:left="620"/>
              <w:spacing w:after="0"/>
              <w:rPr>
                <w:sz w:val="20"/>
                <w:szCs w:val="20"/>
                <w:color w:val="auto"/>
              </w:rPr>
            </w:pPr>
            <w:r>
              <w:rPr>
                <w:rFonts w:ascii="Courier New" w:cs="Courier New" w:eastAsia="Courier New" w:hAnsi="Courier New"/>
                <w:sz w:val="14"/>
                <w:szCs w:val="14"/>
                <w:color w:val="auto"/>
              </w:rPr>
              <w:t>Net cash provided by investing activities</w:t>
            </w: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3,583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529</w:t>
            </w:r>
          </w:p>
        </w:tc>
      </w:tr>
      <w:tr>
        <w:trPr>
          <w:trHeight w:val="167"/>
        </w:trPr>
        <w:tc>
          <w:tcPr>
            <w:tcW w:w="5260" w:type="dxa"/>
            <w:vAlign w:val="bottom"/>
          </w:tcPr>
          <w:p>
            <w:pPr>
              <w:spacing w:after="0"/>
              <w:rPr>
                <w:sz w:val="14"/>
                <w:szCs w:val="14"/>
                <w:color w:val="auto"/>
              </w:rPr>
            </w:pPr>
          </w:p>
        </w:tc>
        <w:tc>
          <w:tcPr>
            <w:tcW w:w="8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20" w:right="1440" w:bottom="1440" w:gutter="0" w:footer="0" w:header="0"/>
        </w:sectPr>
      </w:pPr>
    </w:p>
    <w:bookmarkStart w:id="36" w:name="page37"/>
    <w:bookmarkEnd w:id="36"/>
    <w:p>
      <w:pPr>
        <w:jc w:val="center"/>
        <w:ind w:right="3279"/>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Consolidated Statements of Cash Flows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Years ended April 30, 2006, 2005 and 2004</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(Continued)</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2006</w:t>
            </w:r>
          </w:p>
        </w:tc>
        <w:tc>
          <w:tcPr>
            <w:tcW w:w="56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w:t>
            </w:r>
          </w:p>
        </w:tc>
        <w:tc>
          <w:tcPr>
            <w:tcW w:w="560" w:type="dxa"/>
            <w:vAlign w:val="bottom"/>
          </w:tcPr>
          <w:p>
            <w:pPr>
              <w:spacing w:after="0"/>
              <w:rPr>
                <w:sz w:val="14"/>
                <w:szCs w:val="14"/>
                <w:color w:val="auto"/>
              </w:rPr>
            </w:pPr>
          </w:p>
        </w:tc>
        <w:tc>
          <w:tcPr>
            <w:tcW w:w="8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(In thousands)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Payment of short-term credit and</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5340" w:type="dxa"/>
            <w:vAlign w:val="bottom"/>
          </w:tcPr>
          <w:p>
            <w:pPr>
              <w:ind w:left="700"/>
              <w:spacing w:after="0"/>
              <w:rPr>
                <w:sz w:val="20"/>
                <w:szCs w:val="20"/>
                <w:color w:val="auto"/>
              </w:rPr>
            </w:pPr>
            <w:r>
              <w:rPr>
                <w:rFonts w:ascii="Courier New" w:cs="Courier New" w:eastAsia="Courier New" w:hAnsi="Courier New"/>
                <w:sz w:val="14"/>
                <w:szCs w:val="14"/>
                <w:color w:val="auto"/>
              </w:rPr>
              <w:t>other long-term obligations</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(1,009)</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(5,264)</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Proceeds from short-term debt</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1,000</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1,548</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3,361</w:t>
            </w: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Payment of cash dividend</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(1,706)</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(1,692)</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(1,671)</w:t>
            </w: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Repurchase of stock for treasury</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(66)</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Repayment of officer loan</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w:t>
            </w: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Exercise of stock options</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144</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177</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153</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5340" w:type="dxa"/>
            <w:vAlign w:val="bottom"/>
          </w:tcPr>
          <w:p>
            <w:pPr>
              <w:ind w:left="620"/>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(1,571)</w:t>
            </w:r>
          </w:p>
        </w:tc>
        <w:tc>
          <w:tcPr>
            <w:tcW w:w="14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(5,280)</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1,463</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before effect of exchange rate changes</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(3,758)</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839</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(577)</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 on cash and</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5340" w:type="dxa"/>
            <w:vAlign w:val="bottom"/>
          </w:tcPr>
          <w:p>
            <w:pPr>
              <w:ind w:left="360"/>
              <w:spacing w:after="0"/>
              <w:rPr>
                <w:sz w:val="20"/>
                <w:szCs w:val="20"/>
                <w:color w:val="auto"/>
              </w:rPr>
            </w:pPr>
            <w:r>
              <w:rPr>
                <w:rFonts w:ascii="Courier New" w:cs="Courier New" w:eastAsia="Courier New" w:hAnsi="Courier New"/>
                <w:sz w:val="14"/>
                <w:szCs w:val="14"/>
                <w:color w:val="auto"/>
              </w:rPr>
              <w:t>cash equivalents</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(304)</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163</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324</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Net (decrease) increase in cash and cash equivalents</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(4,062)</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1,002</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(253)</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year</w:t>
            </w:r>
          </w:p>
        </w:tc>
        <w:tc>
          <w:tcPr>
            <w:tcW w:w="140" w:type="dxa"/>
            <w:vAlign w:val="bottom"/>
          </w:tcPr>
          <w:p>
            <w:pPr>
              <w:spacing w:after="0"/>
              <w:rPr>
                <w:sz w:val="24"/>
                <w:szCs w:val="2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6,701</w:t>
            </w:r>
          </w:p>
        </w:tc>
        <w:tc>
          <w:tcPr>
            <w:tcW w:w="560" w:type="dxa"/>
            <w:vAlign w:val="bottom"/>
          </w:tcPr>
          <w:p>
            <w:pPr>
              <w:spacing w:after="0"/>
              <w:rPr>
                <w:sz w:val="24"/>
                <w:szCs w:val="2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w w:val="99"/>
              </w:rPr>
              <w:t>5,699</w:t>
            </w:r>
          </w:p>
        </w:tc>
        <w:tc>
          <w:tcPr>
            <w:tcW w:w="34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5,952</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534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$2,639</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$6,701</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$5,699</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spacing w:after="0"/>
              <w:rPr>
                <w:sz w:val="20"/>
                <w:szCs w:val="20"/>
                <w:color w:val="auto"/>
              </w:rPr>
            </w:pPr>
            <w:r>
              <w:rPr>
                <w:rFonts w:ascii="Courier New" w:cs="Courier New" w:eastAsia="Courier New" w:hAnsi="Courier New"/>
                <w:sz w:val="14"/>
                <w:szCs w:val="14"/>
                <w:color w:val="auto"/>
              </w:rPr>
              <w:t>Supplemental disclosures of cash flow information:</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Cash paid during the year for:</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5340" w:type="dxa"/>
            <w:vAlign w:val="bottom"/>
          </w:tcPr>
          <w:p>
            <w:pPr>
              <w:ind w:left="880"/>
              <w:spacing w:after="0"/>
              <w:rPr>
                <w:sz w:val="20"/>
                <w:szCs w:val="20"/>
                <w:color w:val="auto"/>
              </w:rPr>
            </w:pPr>
            <w:r>
              <w:rPr>
                <w:rFonts w:ascii="Courier New" w:cs="Courier New" w:eastAsia="Courier New" w:hAnsi="Courier New"/>
                <w:sz w:val="14"/>
                <w:szCs w:val="14"/>
                <w:color w:val="auto"/>
              </w:rPr>
              <w:t>Interest</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118</w:t>
            </w: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303</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$ 271</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5340" w:type="dxa"/>
            <w:vAlign w:val="bottom"/>
          </w:tcPr>
          <w:p>
            <w:pPr>
              <w:ind w:left="800"/>
              <w:spacing w:after="0"/>
              <w:rPr>
                <w:sz w:val="20"/>
                <w:szCs w:val="20"/>
                <w:color w:val="auto"/>
              </w:rPr>
            </w:pPr>
            <w:r>
              <w:rPr>
                <w:rFonts w:ascii="Courier New" w:cs="Courier New" w:eastAsia="Courier New" w:hAnsi="Courier New"/>
                <w:sz w:val="14"/>
                <w:szCs w:val="14"/>
                <w:color w:val="auto"/>
              </w:rPr>
              <w:t>Income taxes</w:t>
            </w: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$4,204</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$1,200</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$ 450</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Other activities which affect assets or liabilities but</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5340" w:type="dxa"/>
            <w:vAlign w:val="bottom"/>
          </w:tcPr>
          <w:p>
            <w:pPr>
              <w:ind w:left="520"/>
              <w:spacing w:after="0"/>
              <w:rPr>
                <w:sz w:val="20"/>
                <w:szCs w:val="20"/>
                <w:color w:val="auto"/>
              </w:rPr>
            </w:pPr>
            <w:r>
              <w:rPr>
                <w:rFonts w:ascii="Courier New" w:cs="Courier New" w:eastAsia="Courier New" w:hAnsi="Courier New"/>
                <w:sz w:val="14"/>
                <w:szCs w:val="14"/>
                <w:color w:val="auto"/>
              </w:rPr>
              <w:t>did not result in cash flow during the fiscal years:</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5340" w:type="dxa"/>
            <w:vAlign w:val="bottom"/>
          </w:tcPr>
          <w:p>
            <w:pPr>
              <w:ind w:left="700"/>
              <w:spacing w:after="0"/>
              <w:rPr>
                <w:sz w:val="20"/>
                <w:szCs w:val="20"/>
                <w:color w:val="auto"/>
              </w:rPr>
            </w:pPr>
            <w:r>
              <w:rPr>
                <w:rFonts w:ascii="Courier New" w:cs="Courier New" w:eastAsia="Courier New" w:hAnsi="Courier New"/>
                <w:sz w:val="14"/>
                <w:szCs w:val="14"/>
                <w:color w:val="auto"/>
              </w:rPr>
              <w:t>Declaration of cash dividend, not paid</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857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852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843</w:t>
            </w:r>
          </w:p>
        </w:tc>
      </w:tr>
      <w:tr>
        <w:trPr>
          <w:trHeight w:val="167"/>
        </w:trPr>
        <w:tc>
          <w:tcPr>
            <w:tcW w:w="5340" w:type="dxa"/>
            <w:vAlign w:val="bottom"/>
          </w:tcPr>
          <w:p>
            <w:pPr>
              <w:spacing w:after="0"/>
              <w:rPr>
                <w:sz w:val="14"/>
                <w:szCs w:val="14"/>
                <w:color w:val="auto"/>
              </w:rPr>
            </w:pPr>
          </w:p>
        </w:tc>
        <w:tc>
          <w:tcPr>
            <w:tcW w:w="7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44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5340" w:type="dxa"/>
            <w:vAlign w:val="bottom"/>
          </w:tcPr>
          <w:p>
            <w:pPr>
              <w:ind w:left="700"/>
              <w:spacing w:after="0"/>
              <w:rPr>
                <w:sz w:val="20"/>
                <w:szCs w:val="20"/>
                <w:color w:val="auto"/>
              </w:rPr>
            </w:pPr>
            <w:r>
              <w:rPr>
                <w:rFonts w:ascii="Courier New" w:cs="Courier New" w:eastAsia="Courier New" w:hAnsi="Courier New"/>
                <w:sz w:val="14"/>
                <w:szCs w:val="14"/>
                <w:color w:val="auto"/>
              </w:rPr>
              <w:t>Acquired net assets of Zyfer, Inc.</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Accounts receivable</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894</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Inventory</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1,397</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Customer Lists</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602</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Goodwill</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134</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Other current assets</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Fixed assets</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787</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Accounts payable</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(974)</w:t>
            </w:r>
          </w:p>
        </w:tc>
      </w:tr>
      <w:tr>
        <w:trPr>
          <w:trHeight w:val="167"/>
        </w:trPr>
        <w:tc>
          <w:tcPr>
            <w:tcW w:w="5340" w:type="dxa"/>
            <w:vAlign w:val="bottom"/>
          </w:tcPr>
          <w:p>
            <w:pPr>
              <w:ind w:left="1320"/>
              <w:spacing w:after="0"/>
              <w:rPr>
                <w:sz w:val="20"/>
                <w:szCs w:val="20"/>
                <w:color w:val="auto"/>
              </w:rPr>
            </w:pPr>
            <w:r>
              <w:rPr>
                <w:rFonts w:ascii="Courier New" w:cs="Courier New" w:eastAsia="Courier New" w:hAnsi="Courier New"/>
                <w:sz w:val="14"/>
                <w:szCs w:val="14"/>
                <w:color w:val="auto"/>
              </w:rPr>
              <w:t>Accrued expenses</w:t>
            </w: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(71)</w:t>
            </w:r>
          </w:p>
        </w:tc>
      </w:tr>
      <w:tr>
        <w:trPr>
          <w:trHeight w:val="167"/>
        </w:trPr>
        <w:tc>
          <w:tcPr>
            <w:tcW w:w="5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83</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$2,794</w:t>
            </w:r>
          </w:p>
        </w:tc>
      </w:tr>
    </w:tbl>
    <w:p>
      <w:pPr>
        <w:spacing w:after="0" w:line="200" w:lineRule="exact"/>
        <w:rPr>
          <w:sz w:val="20"/>
          <w:szCs w:val="20"/>
          <w:color w:val="auto"/>
        </w:rPr>
      </w:pPr>
    </w:p>
    <w:p>
      <w:pPr>
        <w:spacing w:after="0" w:line="30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20" w:right="1440" w:bottom="1440" w:gutter="0" w:footer="0" w:header="0"/>
        </w:sectPr>
      </w:pPr>
    </w:p>
    <w:bookmarkStart w:id="37" w:name="page38"/>
    <w:bookmarkEnd w:id="37"/>
    <w:p>
      <w:pPr>
        <w:jc w:val="center"/>
        <w:ind w:right="4580"/>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Consolidated Statements of Changes in Stockholders' Equity</w:t>
      </w:r>
    </w:p>
    <w:p>
      <w:pPr>
        <w:spacing w:after="0" w:line="8" w:lineRule="exact"/>
        <w:rPr>
          <w:sz w:val="20"/>
          <w:szCs w:val="20"/>
          <w:color w:val="auto"/>
        </w:rPr>
      </w:pPr>
    </w:p>
    <w:p>
      <w:pPr>
        <w:ind w:left="1740"/>
        <w:spacing w:after="0"/>
        <w:rPr>
          <w:sz w:val="20"/>
          <w:szCs w:val="20"/>
          <w:color w:val="auto"/>
        </w:rPr>
      </w:pPr>
      <w:r>
        <w:rPr>
          <w:rFonts w:ascii="Courier New" w:cs="Courier New" w:eastAsia="Courier New" w:hAnsi="Courier New"/>
          <w:sz w:val="14"/>
          <w:szCs w:val="14"/>
          <w:color w:val="auto"/>
        </w:rPr>
        <w:t>Years ended April 30, 2006, 2005 and 2004</w:t>
      </w:r>
    </w:p>
    <w:p>
      <w:pPr>
        <w:spacing w:after="0" w:line="8"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Treasury stock</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Accumulated</w:t>
            </w: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14"/>
                <w:szCs w:val="14"/>
                <w:color w:val="auto"/>
              </w:rPr>
            </w:pPr>
          </w:p>
        </w:tc>
        <w:tc>
          <w:tcPr>
            <w:tcW w:w="16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Common Stock</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Additional</w:t>
            </w:r>
          </w:p>
        </w:tc>
        <w:tc>
          <w:tcPr>
            <w:tcW w:w="940" w:type="dxa"/>
            <w:vAlign w:val="bottom"/>
          </w:tcPr>
          <w:p>
            <w:pPr>
              <w:spacing w:after="0"/>
              <w:rPr>
                <w:sz w:val="14"/>
                <w:szCs w:val="14"/>
                <w:color w:val="auto"/>
              </w:rPr>
            </w:pPr>
          </w:p>
        </w:tc>
        <w:tc>
          <w:tcPr>
            <w:tcW w:w="1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(at cost)</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Other</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other</w:t>
            </w: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14"/>
                <w:szCs w:val="14"/>
                <w:color w:val="auto"/>
              </w:rPr>
            </w:pPr>
          </w:p>
        </w:tc>
        <w:tc>
          <w:tcPr>
            <w:tcW w:w="166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paid in</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Retained</w:t>
            </w:r>
          </w:p>
        </w:tc>
        <w:tc>
          <w:tcPr>
            <w:tcW w:w="780" w:type="dxa"/>
            <w:vAlign w:val="bottom"/>
          </w:tcPr>
          <w:p>
            <w:pPr>
              <w:ind w:left="260"/>
              <w:spacing w:after="0"/>
              <w:rPr>
                <w:sz w:val="20"/>
                <w:szCs w:val="20"/>
                <w:color w:val="auto"/>
              </w:rPr>
            </w:pPr>
            <w:r>
              <w:rPr>
                <w:rFonts w:ascii="Courier New" w:cs="Courier New" w:eastAsia="Courier New" w:hAnsi="Courier New"/>
                <w:sz w:val="13"/>
                <w:szCs w:val="13"/>
                <w:color w:val="auto"/>
                <w:w w:val="71"/>
              </w:rPr>
              <w:t>---------</w:t>
            </w:r>
          </w:p>
        </w:tc>
        <w:tc>
          <w:tcPr>
            <w:tcW w:w="304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Stockholders' comprehensive</w:t>
            </w: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Shares</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Amount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capital</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earnings</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Amount</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equity</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income(loss)</w:t>
            </w:r>
          </w:p>
        </w:tc>
        <w:tc>
          <w:tcPr>
            <w:tcW w:w="8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3260" w:type="dxa"/>
            <w:vAlign w:val="bottom"/>
          </w:tcPr>
          <w:p>
            <w:pPr>
              <w:spacing w:after="0"/>
              <w:rPr>
                <w:sz w:val="14"/>
                <w:szCs w:val="14"/>
                <w:color w:val="auto"/>
              </w:rPr>
            </w:pP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8"/>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r>
      <w:tr>
        <w:trPr>
          <w:trHeight w:val="334"/>
        </w:trPr>
        <w:tc>
          <w:tcPr>
            <w:tcW w:w="3260" w:type="dxa"/>
            <w:vAlign w:val="bottom"/>
          </w:tcPr>
          <w:p>
            <w:pPr>
              <w:spacing w:after="0"/>
              <w:rPr>
                <w:sz w:val="20"/>
                <w:szCs w:val="20"/>
                <w:color w:val="auto"/>
              </w:rPr>
            </w:pPr>
            <w:r>
              <w:rPr>
                <w:rFonts w:ascii="Courier New" w:cs="Courier New" w:eastAsia="Courier New" w:hAnsi="Courier New"/>
                <w:sz w:val="14"/>
                <w:szCs w:val="14"/>
                <w:color w:val="auto"/>
              </w:rPr>
              <w:t>Balance at May 1, 2003</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9,163,940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$43,806</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$10,464</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824,739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($3,062)</w:t>
            </w:r>
          </w:p>
        </w:tc>
        <w:tc>
          <w:tcPr>
            <w:tcW w:w="180" w:type="dxa"/>
            <w:vAlign w:val="bottom"/>
          </w:tcPr>
          <w:p>
            <w:pPr>
              <w:spacing w:after="0"/>
              <w:rPr>
                <w:sz w:val="24"/>
                <w:szCs w:val="2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($116)</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$61,758</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74</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(25,300)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Stock grant to officer</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(20,000)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297</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Contribution of stock to 401(k) plan</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326</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(41,011)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Repayment of receivable common stock</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99</w:t>
            </w: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Cash dividend</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(1,680)</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(1,680)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Increase in market value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994</w:t>
            </w:r>
          </w:p>
        </w:tc>
      </w:tr>
      <w:tr>
        <w:trPr>
          <w:trHeight w:val="167"/>
        </w:trPr>
        <w:tc>
          <w:tcPr>
            <w:tcW w:w="3260" w:type="dxa"/>
            <w:vAlign w:val="bottom"/>
          </w:tcPr>
          <w:p>
            <w:pPr>
              <w:ind w:left="440"/>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income (restated)</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320</w:t>
            </w:r>
          </w:p>
        </w:tc>
      </w:tr>
      <w:tr>
        <w:trPr>
          <w:trHeight w:val="167"/>
        </w:trPr>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Comprehensive income- 2004</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2,305</w:t>
            </w:r>
          </w:p>
        </w:tc>
      </w:tr>
      <w:tr>
        <w:trPr>
          <w:trHeight w:val="167"/>
        </w:trPr>
        <w:tc>
          <w:tcPr>
            <w:tcW w:w="3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Balance at April 30, 2004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9,163,940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44,442</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9,104</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738,428</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(2,797)</w:t>
            </w:r>
          </w:p>
        </w:tc>
        <w:tc>
          <w:tcPr>
            <w:tcW w:w="180" w:type="dxa"/>
            <w:vAlign w:val="bottom"/>
          </w:tcPr>
          <w:p>
            <w:pPr>
              <w:spacing w:after="0"/>
              <w:rPr>
                <w:sz w:val="14"/>
                <w:szCs w:val="14"/>
                <w:color w:val="auto"/>
              </w:rPr>
            </w:pP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3,487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63,383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(24,950)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177</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Contribution of stock to 401(k) plan</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(30,621)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Repayment of receivable common stock</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Cash dividend</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(1,701)</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Additional investment in Morion, Inc.</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(42,448)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539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Repurchase of stock for treasury</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rPr>
              <w:t>6,300</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Increase in market value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1,018</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396</w:t>
            </w:r>
          </w:p>
        </w:tc>
      </w:tr>
      <w:tr>
        <w:trPr>
          <w:trHeight w:val="167"/>
        </w:trPr>
        <w:tc>
          <w:tcPr>
            <w:tcW w:w="3260" w:type="dxa"/>
            <w:vAlign w:val="bottom"/>
          </w:tcPr>
          <w:p>
            <w:pPr>
              <w:ind w:left="440"/>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5,037</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5,037</w:t>
            </w:r>
          </w:p>
        </w:tc>
      </w:tr>
      <w:tr>
        <w:trPr>
          <w:trHeight w:val="167"/>
        </w:trPr>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Comprehensive income- 2005</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6,451</w:t>
            </w:r>
          </w:p>
        </w:tc>
      </w:tr>
      <w:tr>
        <w:trPr>
          <w:trHeight w:val="167"/>
        </w:trPr>
        <w:tc>
          <w:tcPr>
            <w:tcW w:w="3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Balance at April 30, 2005</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9,163,940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45,289</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12,440</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646,709</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(2,601)</w:t>
            </w:r>
          </w:p>
        </w:tc>
        <w:tc>
          <w:tcPr>
            <w:tcW w:w="180" w:type="dxa"/>
            <w:vAlign w:val="bottom"/>
          </w:tcPr>
          <w:p>
            <w:pPr>
              <w:spacing w:after="0"/>
              <w:rPr>
                <w:sz w:val="14"/>
                <w:szCs w:val="14"/>
                <w:color w:val="auto"/>
              </w:rPr>
            </w:pP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4,901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69,193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Exercise of stock options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(19,792)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Contribution of stock to 401(k) plan</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315</w:t>
            </w:r>
          </w:p>
        </w:tc>
        <w:tc>
          <w:tcPr>
            <w:tcW w:w="9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Courier New" w:cs="Courier New" w:eastAsia="Courier New" w:hAnsi="Courier New"/>
                <w:sz w:val="14"/>
                <w:szCs w:val="14"/>
                <w:color w:val="auto"/>
              </w:rPr>
              <w:t>(34,723)</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419</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Cash dividend</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(1,711)</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(1,711)</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Decrease in market value of</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ind w:left="440"/>
              <w:spacing w:after="0"/>
              <w:rPr>
                <w:sz w:val="20"/>
                <w:szCs w:val="20"/>
                <w:color w:val="auto"/>
              </w:rPr>
            </w:pPr>
            <w:r>
              <w:rPr>
                <w:rFonts w:ascii="Courier New" w:cs="Courier New" w:eastAsia="Courier New" w:hAnsi="Courier New"/>
                <w:sz w:val="14"/>
                <w:szCs w:val="14"/>
                <w:color w:val="auto"/>
              </w:rPr>
              <w:t>marketable securities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(1,390)</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(820)</w:t>
            </w:r>
          </w:p>
        </w:tc>
      </w:tr>
      <w:tr>
        <w:trPr>
          <w:trHeight w:val="167"/>
        </w:trPr>
        <w:tc>
          <w:tcPr>
            <w:tcW w:w="3260" w:type="dxa"/>
            <w:vAlign w:val="bottom"/>
          </w:tcPr>
          <w:p>
            <w:pPr>
              <w:ind w:left="440"/>
              <w:spacing w:after="0"/>
              <w:rPr>
                <w:sz w:val="20"/>
                <w:szCs w:val="20"/>
                <w:color w:val="auto"/>
              </w:rPr>
            </w:pPr>
            <w:r>
              <w:rPr>
                <w:rFonts w:ascii="Courier New" w:cs="Courier New" w:eastAsia="Courier New" w:hAnsi="Courier New"/>
                <w:sz w:val="14"/>
                <w:szCs w:val="14"/>
                <w:color w:val="auto"/>
              </w:rPr>
              <w:t>adjustment</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4,798</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4,798</w:t>
            </w:r>
          </w:p>
        </w:tc>
      </w:tr>
      <w:tr>
        <w:trPr>
          <w:trHeight w:val="167"/>
        </w:trPr>
        <w:tc>
          <w:tcPr>
            <w:tcW w:w="3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Comprehensive income- 2006</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2,588</w:t>
            </w:r>
          </w:p>
        </w:tc>
      </w:tr>
      <w:tr>
        <w:trPr>
          <w:trHeight w:val="167"/>
        </w:trPr>
        <w:tc>
          <w:tcPr>
            <w:tcW w:w="3260" w:type="dxa"/>
            <w:vAlign w:val="bottom"/>
          </w:tcPr>
          <w:p>
            <w:pPr>
              <w:spacing w:after="0"/>
              <w:rPr>
                <w:sz w:val="14"/>
                <w:szCs w:val="1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w w:val="98"/>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Balance at April 30, 2006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9,163,940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$9,164</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$45,688</w:t>
            </w:r>
          </w:p>
        </w:tc>
        <w:tc>
          <w:tcPr>
            <w:tcW w:w="9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$15,527</w:t>
            </w:r>
          </w:p>
        </w:tc>
        <w:tc>
          <w:tcPr>
            <w:tcW w:w="780" w:type="dxa"/>
            <w:vAlign w:val="bottom"/>
          </w:tcPr>
          <w:p>
            <w:pPr>
              <w:spacing w:after="0"/>
              <w:rPr>
                <w:sz w:val="20"/>
                <w:szCs w:val="20"/>
                <w:color w:val="auto"/>
              </w:rPr>
            </w:pPr>
            <w:r>
              <w:rPr>
                <w:rFonts w:ascii="Courier New" w:cs="Courier New" w:eastAsia="Courier New" w:hAnsi="Courier New"/>
                <w:sz w:val="14"/>
                <w:szCs w:val="14"/>
                <w:color w:val="auto"/>
              </w:rPr>
              <w:t>592,194</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($2,437)</w:t>
            </w:r>
          </w:p>
        </w:tc>
        <w:tc>
          <w:tcPr>
            <w:tcW w:w="1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$2,691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$70,633</w:t>
            </w:r>
          </w:p>
        </w:tc>
      </w:tr>
      <w:tr>
        <w:trPr>
          <w:trHeight w:val="167"/>
        </w:trPr>
        <w:tc>
          <w:tcPr>
            <w:tcW w:w="32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6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4"/>
                <w:szCs w:val="14"/>
                <w:color w:val="auto"/>
                <w:w w:val="98"/>
              </w:rPr>
              <w:t>========</w:t>
            </w:r>
          </w:p>
        </w:tc>
      </w:tr>
    </w:tbl>
    <w:p>
      <w:pPr>
        <w:spacing w:after="0" w:line="200" w:lineRule="exact"/>
        <w:rPr>
          <w:sz w:val="20"/>
          <w:szCs w:val="20"/>
          <w:color w:val="auto"/>
        </w:rPr>
      </w:pPr>
    </w:p>
    <w:p>
      <w:pPr>
        <w:spacing w:after="0" w:line="30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1540"/>
          </w:cols>
          <w:pgMar w:left="220" w:top="620" w:right="139" w:bottom="1440" w:gutter="0" w:footer="0" w:header="0"/>
        </w:sectPr>
      </w:pPr>
    </w:p>
    <w:bookmarkStart w:id="38" w:name="page39"/>
    <w:bookmarkEnd w:id="38"/>
    <w:p>
      <w:pPr>
        <w:ind w:left="166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right="7359" w:firstLine="9"/>
        <w:spacing w:after="0" w:line="505" w:lineRule="auto"/>
        <w:tabs>
          <w:tab w:leader="none" w:pos="2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Accounting Policies Principles of Consolidation:</w:t>
      </w:r>
    </w:p>
    <w:p>
      <w:pPr>
        <w:ind w:right="3379" w:firstLine="434"/>
        <w:spacing w:after="0" w:line="253" w:lineRule="auto"/>
        <w:rPr>
          <w:sz w:val="20"/>
          <w:szCs w:val="20"/>
          <w:color w:val="auto"/>
        </w:rPr>
      </w:pPr>
      <w:r>
        <w:rPr>
          <w:rFonts w:ascii="Courier New" w:cs="Courier New" w:eastAsia="Courier New" w:hAnsi="Courier New"/>
          <w:sz w:val="14"/>
          <w:szCs w:val="14"/>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15 for information regarding the Company's Commercial Communications (which includes the subsidiaries FEI Communications, Inc., and FEI-Asia, Inc.), U.S. Government (subsidiary FEI-Government Systems, Inc.),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330"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These financial statements have been prepared in conformity with generally accepted accounting principles and require management to make estimates and assumptions that affect amounts reported and disclosed in the financial statements and related notes. Actual results could differ from these estimates.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Change in Accounting:</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Prior period financial statements have been restated to reflect the Company's change in accounting from the cost method to the equity method for its investment in Morion, Inc. (See Note 10.)</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Reclassifications:</w:t>
      </w:r>
    </w:p>
    <w:p>
      <w:pPr>
        <w:spacing w:after="0" w:line="175" w:lineRule="exact"/>
        <w:rPr>
          <w:sz w:val="20"/>
          <w:szCs w:val="20"/>
          <w:color w:val="auto"/>
        </w:rPr>
      </w:pPr>
    </w:p>
    <w:p>
      <w:pPr>
        <w:ind w:right="3639" w:firstLine="434"/>
        <w:spacing w:after="0" w:line="255" w:lineRule="auto"/>
        <w:rPr>
          <w:sz w:val="20"/>
          <w:szCs w:val="20"/>
          <w:color w:val="auto"/>
        </w:rPr>
      </w:pPr>
      <w:r>
        <w:rPr>
          <w:rFonts w:ascii="Courier New" w:cs="Courier New" w:eastAsia="Courier New" w:hAnsi="Courier New"/>
          <w:sz w:val="14"/>
          <w:szCs w:val="14"/>
          <w:color w:val="auto"/>
        </w:rPr>
        <w:t>Certain prior year amounts have been reclassified to conform to current year presentation. These reclassifications had no effect on reported consolidated earnings.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Equivalents: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The Company considers certificates of deposit and other highly liquid investments with original maturities of three months or less to be cash equivalents. The Company places its temporary cash investments with high credit quality financial institutions. Such investments may be in excess of the FDIC insurance limit. No losses have been experienced on such investments.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Marketable Securities: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Marketable securities consist of investments in common stocks, mutual funds, and debt securities of U.S. government agencies. Substantially all marketable securities at April 30, 2006 were held in the custody of two financial institutions.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Allowance for Doubtful Accounts: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Inventories:</w:t>
      </w:r>
    </w:p>
    <w:p>
      <w:pPr>
        <w:spacing w:after="0" w:line="175"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Inventories, which consist of finished goods, work-in-process, raw materials and components, are accounted for at the lower of cost (specific and average) or market.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20" w:right="1440" w:bottom="1440" w:gutter="0" w:footer="0" w:header="0"/>
        </w:sectPr>
      </w:pPr>
    </w:p>
    <w:bookmarkStart w:id="39" w:name="page40"/>
    <w:bookmarkEnd w:id="39"/>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Property, Plant and Equipment:</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Depreciation of fixed assets is computed on the straight-line method based upon the estimated useful lives of the assets (40 years for buildings and 3 to 10 years for other depreciable assets). Leasehold improvements are amortized on the straight-line method over the shorter of the term of the lease or the useful life of the related improvement.</w:t>
      </w:r>
    </w:p>
    <w:p>
      <w:pPr>
        <w:spacing w:after="0" w:line="162" w:lineRule="exact"/>
        <w:rPr>
          <w:sz w:val="20"/>
          <w:szCs w:val="20"/>
          <w:color w:val="auto"/>
        </w:rPr>
      </w:pPr>
    </w:p>
    <w:p>
      <w:pPr>
        <w:jc w:val="both"/>
        <w:ind w:right="3459" w:firstLine="434"/>
        <w:spacing w:after="0" w:line="255" w:lineRule="auto"/>
        <w:rPr>
          <w:sz w:val="20"/>
          <w:szCs w:val="20"/>
          <w:color w:val="auto"/>
        </w:rPr>
      </w:pPr>
      <w:r>
        <w:rPr>
          <w:rFonts w:ascii="Courier New" w:cs="Courier New" w:eastAsia="Courier New" w:hAnsi="Courier New"/>
          <w:sz w:val="14"/>
          <w:szCs w:val="14"/>
          <w:color w:val="auto"/>
        </w:rPr>
        <w:t>Amortization of identifiable intangible assets is based upon the expected lives of the assets and is recorded at a rate which approximates the Company's utilization of the assets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Intangible Assets</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Intangible assets consist of customer lists which result from the excess purchase price over the fair value of acquired tangible assets. The customer lists are measured at fair value and amortized over the estimated useful life of 3 to 5 years.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Goodwill: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records goodwill as the excess of purchase price over the fair value of identifiable net assets acquired. In accordance with Statement of Financial Accounting Standards ("FAS") No. 142 "Goodwill and Other Intangible Assets," goodwill is tested for impairment on at least an annual basis.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 and Cost Recognition: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w:t>
      </w:r>
    </w:p>
    <w:p>
      <w:pPr>
        <w:spacing w:after="0" w:line="16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On production-type orders, revenue is recorded as units are delivered with the related cost of sales recognized on each shipment based upon a percentage of estimated final program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16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63" w:lineRule="exact"/>
        <w:rPr>
          <w:sz w:val="20"/>
          <w:szCs w:val="20"/>
          <w:color w:val="auto"/>
        </w:rPr>
      </w:pPr>
    </w:p>
    <w:p>
      <w:pPr>
        <w:ind w:right="3459" w:firstLine="434"/>
        <w:spacing w:after="0" w:line="255" w:lineRule="auto"/>
        <w:rPr>
          <w:sz w:val="20"/>
          <w:szCs w:val="20"/>
          <w:color w:val="auto"/>
        </w:rPr>
      </w:pPr>
      <w:r>
        <w:rPr>
          <w:rFonts w:ascii="Courier New" w:cs="Courier New" w:eastAsia="Courier New" w:hAnsi="Courier New"/>
          <w:sz w:val="14"/>
          <w:szCs w:val="14"/>
          <w:color w:val="auto"/>
        </w:rPr>
        <w:t>Contract costs include all direct material, direct labor costs, manufacturing overhead and other direct costs related to contract performance. Selling, general and administrative costs are charged to expense as incurred.</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20" w:right="1440" w:bottom="1440" w:gutter="0" w:footer="0" w:header="0"/>
        </w:sectPr>
      </w:pPr>
    </w:p>
    <w:bookmarkStart w:id="40" w:name="page41"/>
    <w:bookmarkEnd w:id="40"/>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jc w:val="both"/>
        <w:ind w:right="3639" w:firstLine="434"/>
        <w:spacing w:after="0" w:line="255" w:lineRule="auto"/>
        <w:rPr>
          <w:sz w:val="20"/>
          <w:szCs w:val="20"/>
          <w:color w:val="auto"/>
        </w:rPr>
      </w:pPr>
      <w:r>
        <w:rPr>
          <w:rFonts w:ascii="Courier New" w:cs="Courier New" w:eastAsia="Courier New" w:hAnsi="Courier New"/>
          <w:sz w:val="14"/>
          <w:szCs w:val="14"/>
          <w:color w:val="auto"/>
        </w:rPr>
        <w:t>In accordance with industry practice, inventoried costs contain amounts relating to contracts and programs with long production cycles, a portion of which will not be realized within one year.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Comprehensive income consists of net income and other comprehensive income. Other comprehensive income includes unrealized gains or losses, net of tax, on securities available for sale during the year and the effects of foreign currency translation adjustments.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Research and Development expenses: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In the normal course of business the Company is also contracted to perform research and development for others. The costs incurred under such contracts are recorded in cost of sales.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when necessary to reduce deferred tax assets to the amount expected to be realized.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Earnings Per Share:</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Values of Financial Instruments:</w:t>
      </w:r>
    </w:p>
    <w:p>
      <w:pPr>
        <w:spacing w:after="0" w:line="17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Cash and cash equivalents and loans payable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Adjustments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Equity-based Compensation: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Through fiscal year 2006, the Company applied the disclosure-only provisions of FAS No. 148, "Accounting for Stock-Based Compensation," and continues to measure compensation cost in accordance with Accounting Principles Board Opinion No. 25 ("APB 25"), "Accounting for Stock Issued to Employees." Historically, this has not resulted in compensation cost upon the grant of options under a qualified stock option plan. However, in accordance with FAS No. 148, the Company provides pro forma disclosures of net income (loss) and income (loss) per share as if the fair value method had been applied beginning in fiscal 1996.</w:t>
      </w:r>
    </w:p>
    <w:p>
      <w:pPr>
        <w:spacing w:after="0" w:line="200" w:lineRule="exact"/>
        <w:rPr>
          <w:sz w:val="20"/>
          <w:szCs w:val="20"/>
          <w:color w:val="auto"/>
        </w:rPr>
      </w:pPr>
    </w:p>
    <w:p>
      <w:pPr>
        <w:spacing w:after="0" w:line="29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20" w:right="1440" w:bottom="1440" w:gutter="0" w:footer="0" w:header="0"/>
        </w:sectPr>
      </w:pPr>
    </w:p>
    <w:bookmarkStart w:id="41" w:name="page42"/>
    <w:bookmarkEnd w:id="41"/>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No. 123:</w:t>
      </w:r>
    </w:p>
    <w:p>
      <w:pPr>
        <w:spacing w:after="0" w:line="200" w:lineRule="exact"/>
        <w:rPr>
          <w:sz w:val="20"/>
          <w:szCs w:val="20"/>
          <w:color w:val="auto"/>
        </w:rPr>
      </w:pPr>
    </w:p>
    <w:p>
      <w:pPr>
        <w:spacing w:after="0" w:line="297"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1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except per share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data)</w:t>
            </w:r>
          </w:p>
        </w:tc>
      </w:tr>
      <w:tr>
        <w:trPr>
          <w:trHeight w:val="334"/>
        </w:trPr>
        <w:tc>
          <w:tcPr>
            <w:tcW w:w="3300" w:type="dxa"/>
            <w:vAlign w:val="bottom"/>
          </w:tcPr>
          <w:p>
            <w:pPr>
              <w:spacing w:after="0"/>
              <w:rPr>
                <w:sz w:val="24"/>
                <w:szCs w:val="2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2006</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2005</w:t>
            </w:r>
          </w:p>
        </w:tc>
        <w:tc>
          <w:tcPr>
            <w:tcW w:w="480" w:type="dxa"/>
            <w:vAlign w:val="bottom"/>
          </w:tcPr>
          <w:p>
            <w:pPr>
              <w:spacing w:after="0"/>
              <w:rPr>
                <w:sz w:val="24"/>
                <w:szCs w:val="2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$4,798</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$5,037</w:t>
            </w:r>
          </w:p>
        </w:tc>
        <w:tc>
          <w:tcPr>
            <w:tcW w:w="48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$320</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Cost of stock options, net of taxes</w:t>
            </w:r>
          </w:p>
        </w:tc>
        <w:tc>
          <w:tcPr>
            <w:tcW w:w="1520" w:type="dxa"/>
            <w:vAlign w:val="bottom"/>
          </w:tcPr>
          <w:p>
            <w:pPr>
              <w:jc w:val="right"/>
              <w:ind w:right="508"/>
              <w:spacing w:after="0"/>
              <w:rPr>
                <w:sz w:val="20"/>
                <w:szCs w:val="20"/>
                <w:color w:val="auto"/>
              </w:rPr>
            </w:pPr>
            <w:r>
              <w:rPr>
                <w:rFonts w:ascii="Courier New" w:cs="Courier New" w:eastAsia="Courier New" w:hAnsi="Courier New"/>
                <w:sz w:val="14"/>
                <w:szCs w:val="14"/>
                <w:color w:val="auto"/>
              </w:rPr>
              <w:t>(309)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(525)</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(707)</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Net Income (Loss)- pro forma</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$4,489</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$4,512</w:t>
            </w:r>
          </w:p>
        </w:tc>
        <w:tc>
          <w:tcPr>
            <w:tcW w:w="4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($387)</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Income per share, as reported:</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$0.56</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0.04</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$0.55</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$0.58</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0.04</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Income (Loss) per share- pro forma</w:t>
            </w:r>
          </w:p>
        </w:tc>
        <w:tc>
          <w:tcPr>
            <w:tcW w:w="1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Basic</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$0.53</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$0.53</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Diluted</w:t>
            </w: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$0.52</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$0.52</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0.05)</w:t>
            </w:r>
          </w:p>
        </w:tc>
      </w:tr>
      <w:tr>
        <w:trPr>
          <w:trHeight w:val="167"/>
        </w:trPr>
        <w:tc>
          <w:tcPr>
            <w:tcW w:w="3300" w:type="dxa"/>
            <w:vAlign w:val="bottom"/>
          </w:tcPr>
          <w:p>
            <w:pPr>
              <w:spacing w:after="0"/>
              <w:rPr>
                <w:sz w:val="14"/>
                <w:szCs w:val="14"/>
                <w:color w:val="auto"/>
              </w:rPr>
            </w:pPr>
          </w:p>
        </w:tc>
        <w:tc>
          <w:tcPr>
            <w:tcW w:w="15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weighted average fair value of each option has been estimated on the date of grant using the Black-Scholes options pricing model with the following weighted average assumptions used for grants in each of the three years ended April 30, 2006, 2005 and 2004; dividend yield of 1.4%, 1.1% and 1.8%; expected volatility of 59%, 59% and 63%; risk free interest rate of 4.1%, 3.9% and 3.6%; and expected lives of six and one-half years,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Pronouncements: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November 2004, the FASB issued Statement No. 151 "Inventory Costs." ("FAS 151") This statement amends Accounting Research Bulletin No. 43, Chapter 4, "Inventory Pricing" and removes the "so abnormal" criterion that under certain circumstances could have led to the capitalization of these items. FAS 151 requires that idle facility expense, excess spoilage, double freight and re-handling costs be recognized as current-period charges regardless of whether they meet the criterion of "so abnormal." FAS 151 also requires that allocation of fixed production overhead expenses to the costs of conversion be based on the normal capacity of the production facilities. The provisions of this statement are effective for fiscal years beginning after June 15, 2005; i.e., fiscal year 2007 for the Company. The adoption of FAS 151 is not expected to have a material impact on the Company's financial position or results of operations.</w:t>
      </w:r>
    </w:p>
    <w:p>
      <w:pPr>
        <w:spacing w:after="0" w:line="164"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December 2004, the FASB issued Statement No. 123(R), "Stock-Based Payment" ("FAS 123(R)"). FAS 123(R) supercedes APB Opinion No. 25, "Accounting for Stock Issued to Employees," and amends FAS No. 95, "Statement of Cash Flows." Generally, the approach in FAS 123(R) is similar to the approach described in FAS 123. FAS 123(R) establishes standards for the accounting for transactions in which an entity exchanges its equity instruments for goods or services. This statement focuses primarily on accounting for transactions in which an entity obtains employee services in share-based payment transactions. FAS 123(R) requires that the fair value of such equity instruments be recognized as an expense in the historical financial statements as services are performed. Prior to FAS 123(R), only certain pro forma disclosures of fair value were required. The provisions of this statement are effective for fiscal years beginning after June 15, 2005; i.e., fiscal year 2007 for the Company. The adoption of FAS 123(R) will have an impact on the Company's financial position and results of operations similar to the pro forma disclosure in the Equity-based Compensation disclosure in Note 1.</w:t>
      </w:r>
    </w:p>
    <w:p>
      <w:pPr>
        <w:spacing w:after="0" w:line="330"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May 2005, the FASB issued Statement No. 154, "Accounting Changes and Error Corrections - a replacement of APB Opinion No. 20 and FASB Statement No. 3." ("FAS 154") This Statement requires retrospective application to prior period financial statements of a voluntary change in accounting principle unless it is impracticable and is effective for fiscal years beginning after December 15, 2005. Previously, most voluntary changes in accounting principle were recognized by including in net income of the period of the change the cumulative effect of changing to the new accounting principle. The</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42</w:t>
      </w:r>
    </w:p>
    <w:p>
      <w:pPr>
        <w:sectPr>
          <w:pgSz w:w="11900" w:h="16838" w:orient="portrait"/>
          <w:cols w:equalWidth="0" w:num="1">
            <w:col w:w="10239"/>
          </w:cols>
          <w:pgMar w:left="220" w:top="620" w:right="1440" w:bottom="1440" w:gutter="0" w:footer="0" w:header="0"/>
        </w:sectPr>
      </w:pPr>
    </w:p>
    <w:bookmarkStart w:id="42" w:name="page43"/>
    <w:bookmarkEnd w:id="42"/>
    <w:p>
      <w:pPr>
        <w:ind w:right="3459"/>
        <w:spacing w:after="0" w:line="258" w:lineRule="auto"/>
        <w:rPr>
          <w:sz w:val="20"/>
          <w:szCs w:val="20"/>
          <w:color w:val="auto"/>
        </w:rPr>
      </w:pPr>
      <w:r>
        <w:rPr>
          <w:rFonts w:ascii="Courier New" w:cs="Courier New" w:eastAsia="Courier New" w:hAnsi="Courier New"/>
          <w:sz w:val="14"/>
          <w:szCs w:val="14"/>
          <w:color w:val="auto"/>
        </w:rPr>
        <w:t>Company will comply with the provisions of FAS 154 although the impact of such adoption is not determinable at this time.</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43</w:t>
      </w:r>
    </w:p>
    <w:p>
      <w:pPr>
        <w:sectPr>
          <w:pgSz w:w="11900" w:h="16838" w:orient="portrait"/>
          <w:cols w:equalWidth="0" w:num="1">
            <w:col w:w="10239"/>
          </w:cols>
          <w:pgMar w:left="220" w:top="787" w:right="1440" w:bottom="1440" w:gutter="0" w:footer="0" w:header="0"/>
        </w:sectPr>
      </w:pPr>
    </w:p>
    <w:bookmarkStart w:id="43" w:name="page44"/>
    <w:bookmarkEnd w:id="43"/>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Accounts Receivable</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Accounts receivable include costs and estimated earnings in excess of billings on uncompleted contracts accounted for on the percentage of completion basis of approximately $4,857,000 at April 30, 2006 and $4,138,000 at April 30, 2005. Such amounts represent revenue recognized on long-term contracts that has not been billed, pursuant to contract terms, and was not billable at the balance sheet date.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Earnings Per Share</w:t>
      </w:r>
    </w:p>
    <w:p>
      <w:pPr>
        <w:spacing w:after="0" w:line="175" w:lineRule="exact"/>
        <w:rPr>
          <w:sz w:val="20"/>
          <w:szCs w:val="20"/>
          <w:color w:val="auto"/>
        </w:rPr>
      </w:pPr>
    </w:p>
    <w:p>
      <w:pPr>
        <w:ind w:right="3539" w:firstLine="434"/>
        <w:spacing w:after="0" w:line="258" w:lineRule="auto"/>
        <w:rPr>
          <w:sz w:val="20"/>
          <w:szCs w:val="20"/>
          <w:color w:val="auto"/>
        </w:rPr>
      </w:pPr>
      <w:r>
        <w:rPr>
          <w:rFonts w:ascii="Courier New" w:cs="Courier New" w:eastAsia="Courier New" w:hAnsi="Courier New"/>
          <w:sz w:val="14"/>
          <w:szCs w:val="14"/>
          <w:color w:val="auto"/>
        </w:rPr>
        <w:t>Reconciliations of the weighted average shares outstanding for basic and diluted Earnings Per Share are as follows:</w:t>
      </w:r>
    </w:p>
    <w:p>
      <w:pPr>
        <w:spacing w:after="0" w:line="160"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20" w:type="dxa"/>
            <w:vAlign w:val="bottom"/>
            <w:gridSpan w:val="2"/>
          </w:tcPr>
          <w:p>
            <w:pPr>
              <w:jc w:val="right"/>
              <w:ind w:right="608"/>
              <w:spacing w:after="0"/>
              <w:rPr>
                <w:sz w:val="20"/>
                <w:szCs w:val="20"/>
                <w:color w:val="auto"/>
              </w:rPr>
            </w:pPr>
            <w:r>
              <w:rPr>
                <w:rFonts w:ascii="Courier New" w:cs="Courier New" w:eastAsia="Courier New" w:hAnsi="Courier New"/>
                <w:sz w:val="14"/>
                <w:szCs w:val="14"/>
                <w:color w:val="auto"/>
              </w:rPr>
              <w:t>Years ended April 30,</w:t>
            </w:r>
          </w:p>
        </w:tc>
      </w:tr>
      <w:tr>
        <w:trPr>
          <w:trHeight w:val="167"/>
        </w:trPr>
        <w:tc>
          <w:tcPr>
            <w:tcW w:w="2960" w:type="dxa"/>
            <w:vAlign w:val="bottom"/>
          </w:tcPr>
          <w:p>
            <w:pPr>
              <w:spacing w:after="0"/>
              <w:rPr>
                <w:sz w:val="14"/>
                <w:szCs w:val="14"/>
                <w:color w:val="auto"/>
              </w:rPr>
            </w:pPr>
          </w:p>
        </w:tc>
        <w:tc>
          <w:tcPr>
            <w:tcW w:w="36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2006</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2960" w:type="dxa"/>
            <w:vAlign w:val="bottom"/>
          </w:tcPr>
          <w:p>
            <w:pPr>
              <w:spacing w:after="0"/>
              <w:rPr>
                <w:sz w:val="14"/>
                <w:szCs w:val="14"/>
                <w:color w:val="auto"/>
              </w:rPr>
            </w:pP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Basic EPS Shares outstanding</w:t>
            </w:r>
          </w:p>
        </w:tc>
        <w:tc>
          <w:tcPr>
            <w:tcW w:w="11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7"/>
        </w:trPr>
        <w:tc>
          <w:tcPr>
            <w:tcW w:w="2960" w:type="dxa"/>
            <w:vAlign w:val="bottom"/>
          </w:tcPr>
          <w:p>
            <w:pPr>
              <w:ind w:left="260"/>
              <w:spacing w:after="0"/>
              <w:rPr>
                <w:sz w:val="20"/>
                <w:szCs w:val="20"/>
                <w:color w:val="auto"/>
              </w:rPr>
            </w:pPr>
            <w:r>
              <w:rPr>
                <w:rFonts w:ascii="Courier New" w:cs="Courier New" w:eastAsia="Courier New" w:hAnsi="Courier New"/>
                <w:sz w:val="14"/>
                <w:szCs w:val="14"/>
                <w:color w:val="auto"/>
              </w:rPr>
              <w:t>(weighted average)</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8,537,427</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8,484,682</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8,374,399</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Effect of Dilutive Securities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153,190</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200,076</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168,176</w:t>
            </w:r>
          </w:p>
        </w:tc>
      </w:tr>
      <w:tr>
        <w:trPr>
          <w:trHeight w:val="167"/>
        </w:trPr>
        <w:tc>
          <w:tcPr>
            <w:tcW w:w="2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960" w:type="dxa"/>
            <w:vAlign w:val="bottom"/>
          </w:tcPr>
          <w:p>
            <w:pPr>
              <w:spacing w:after="0"/>
              <w:rPr>
                <w:sz w:val="20"/>
                <w:szCs w:val="20"/>
                <w:color w:val="auto"/>
              </w:rPr>
            </w:pPr>
            <w:r>
              <w:rPr>
                <w:rFonts w:ascii="Courier New" w:cs="Courier New" w:eastAsia="Courier New" w:hAnsi="Courier New"/>
                <w:sz w:val="14"/>
                <w:szCs w:val="14"/>
                <w:color w:val="auto"/>
              </w:rPr>
              <w:t>Diluted EPS Shares outstanding</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8,690,617</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8,684,758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8,542,575</w:t>
            </w:r>
          </w:p>
        </w:tc>
      </w:tr>
      <w:tr>
        <w:trPr>
          <w:trHeight w:val="167"/>
        </w:trPr>
        <w:tc>
          <w:tcPr>
            <w:tcW w:w="296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Options to purchase 430,500, 505,550 and 471,750 shares of common stock were outstanding during the years ended April 30, 2006, 2005 and 2004, respectively, but were not included in the computation of diluted earnings per share because the exercise price of the options was greater than the average market price of the Company's common shares during the respective periods. Since the inclusion of such options would have been antidilutive they are excluded from the computation.</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Inventories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Inventories, which are reported net of reserves of $3,923,000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$4,289,000 at April 30, 2006 and 2005, respectively, consisted of the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34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2006</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2005</w:t>
            </w:r>
          </w:p>
        </w:tc>
      </w:tr>
      <w:tr>
        <w:trPr>
          <w:trHeight w:val="167"/>
        </w:trPr>
        <w:tc>
          <w:tcPr>
            <w:tcW w:w="334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40" w:type="dxa"/>
            <w:vAlign w:val="bottom"/>
          </w:tcPr>
          <w:p>
            <w:pPr>
              <w:spacing w:after="0"/>
              <w:rPr>
                <w:sz w:val="20"/>
                <w:szCs w:val="20"/>
                <w:color w:val="auto"/>
              </w:rPr>
            </w:pPr>
            <w:r>
              <w:rPr>
                <w:rFonts w:ascii="Courier New" w:cs="Courier New" w:eastAsia="Courier New" w:hAnsi="Courier New"/>
                <w:sz w:val="14"/>
                <w:szCs w:val="14"/>
                <w:color w:val="auto"/>
              </w:rPr>
              <w:t>Raw Materials and Component Parts</w:t>
            </w: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$ 11,172</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$ 10,353</w:t>
            </w:r>
          </w:p>
        </w:tc>
      </w:tr>
      <w:tr>
        <w:trPr>
          <w:trHeight w:val="167"/>
        </w:trPr>
        <w:tc>
          <w:tcPr>
            <w:tcW w:w="3340" w:type="dxa"/>
            <w:vAlign w:val="bottom"/>
          </w:tcPr>
          <w:p>
            <w:pPr>
              <w:spacing w:after="0"/>
              <w:rPr>
                <w:sz w:val="20"/>
                <w:szCs w:val="20"/>
                <w:color w:val="auto"/>
              </w:rPr>
            </w:pPr>
            <w:r>
              <w:rPr>
                <w:rFonts w:ascii="Courier New" w:cs="Courier New" w:eastAsia="Courier New" w:hAnsi="Courier New"/>
                <w:sz w:val="14"/>
                <w:szCs w:val="14"/>
                <w:color w:val="auto"/>
              </w:rPr>
              <w:t>Work in Progress</w:t>
            </w:r>
          </w:p>
        </w:tc>
        <w:tc>
          <w:tcPr>
            <w:tcW w:w="14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11,799</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12,595</w:t>
            </w:r>
          </w:p>
        </w:tc>
      </w:tr>
      <w:tr>
        <w:trPr>
          <w:trHeight w:val="167"/>
        </w:trPr>
        <w:tc>
          <w:tcPr>
            <w:tcW w:w="334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4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$ 22,971</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$ 22,948</w:t>
            </w:r>
          </w:p>
        </w:tc>
      </w:tr>
      <w:tr>
        <w:trPr>
          <w:trHeight w:val="167"/>
        </w:trPr>
        <w:tc>
          <w:tcPr>
            <w:tcW w:w="3340" w:type="dxa"/>
            <w:vAlign w:val="bottom"/>
          </w:tcPr>
          <w:p>
            <w:pPr>
              <w:spacing w:after="0"/>
              <w:rPr>
                <w:sz w:val="14"/>
                <w:szCs w:val="14"/>
                <w:color w:val="auto"/>
              </w:rPr>
            </w:pPr>
          </w:p>
        </w:tc>
        <w:tc>
          <w:tcPr>
            <w:tcW w:w="1480" w:type="dxa"/>
            <w:vAlign w:val="bottom"/>
          </w:tcPr>
          <w:p>
            <w:pPr>
              <w:jc w:val="center"/>
              <w:ind w:lef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left="2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5.</w:t>
        <w:tab/>
        <w:t>Marketable Securities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Marketable securities at April 30, 2006 and 2005 are summarized as follows (in thousands):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162"/>
        </w:trPr>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April 30, 2006</w:t>
            </w:r>
          </w:p>
        </w:tc>
        <w:tc>
          <w:tcPr>
            <w:tcW w:w="1000" w:type="dxa"/>
            <w:vAlign w:val="bottom"/>
          </w:tcPr>
          <w:p>
            <w:pPr>
              <w:spacing w:after="0"/>
              <w:rPr>
                <w:sz w:val="14"/>
                <w:szCs w:val="14"/>
                <w:color w:val="auto"/>
              </w:rPr>
            </w:pPr>
          </w:p>
        </w:tc>
      </w:tr>
      <w:tr>
        <w:trPr>
          <w:trHeight w:val="167"/>
        </w:trPr>
        <w:tc>
          <w:tcPr>
            <w:tcW w:w="2440" w:type="dxa"/>
            <w:vAlign w:val="bottom"/>
          </w:tcPr>
          <w:p>
            <w:pPr>
              <w:spacing w:after="0"/>
              <w:rPr>
                <w:sz w:val="14"/>
                <w:szCs w:val="14"/>
                <w:color w:val="auto"/>
              </w:rPr>
            </w:pPr>
          </w:p>
        </w:tc>
        <w:tc>
          <w:tcPr>
            <w:tcW w:w="38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Unrealized</w:t>
            </w:r>
          </w:p>
        </w:tc>
      </w:tr>
      <w:tr>
        <w:trPr>
          <w:trHeight w:val="167"/>
        </w:trPr>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Market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Holding</w:t>
            </w:r>
          </w:p>
        </w:tc>
      </w:tr>
      <w:tr>
        <w:trPr>
          <w:trHeight w:val="167"/>
        </w:trPr>
        <w:tc>
          <w:tcPr>
            <w:tcW w:w="244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Cost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Loss</w:t>
            </w:r>
          </w:p>
        </w:tc>
      </w:tr>
      <w:tr>
        <w:trPr>
          <w:trHeight w:val="167"/>
        </w:trPr>
        <w:tc>
          <w:tcPr>
            <w:tcW w:w="244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Fixed income securities</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$22,531</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$21,799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(732)</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167"/>
        </w:trPr>
        <w:tc>
          <w:tcPr>
            <w:tcW w:w="24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$22,577</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$21,836</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(741)</w:t>
            </w:r>
          </w:p>
        </w:tc>
      </w:tr>
      <w:tr>
        <w:trPr>
          <w:trHeight w:val="167"/>
        </w:trPr>
        <w:tc>
          <w:tcPr>
            <w:tcW w:w="24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2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April 30, 2005</w:t>
            </w:r>
          </w:p>
        </w:tc>
        <w:tc>
          <w:tcPr>
            <w:tcW w:w="1000" w:type="dxa"/>
            <w:vAlign w:val="bottom"/>
          </w:tcPr>
          <w:p>
            <w:pPr>
              <w:spacing w:after="0"/>
              <w:rPr>
                <w:sz w:val="24"/>
                <w:szCs w:val="24"/>
                <w:color w:val="auto"/>
              </w:rPr>
            </w:pPr>
          </w:p>
        </w:tc>
      </w:tr>
      <w:tr>
        <w:trPr>
          <w:trHeight w:val="167"/>
        </w:trPr>
        <w:tc>
          <w:tcPr>
            <w:tcW w:w="2440" w:type="dxa"/>
            <w:vAlign w:val="bottom"/>
          </w:tcPr>
          <w:p>
            <w:pPr>
              <w:spacing w:after="0"/>
              <w:rPr>
                <w:sz w:val="14"/>
                <w:szCs w:val="14"/>
                <w:color w:val="auto"/>
              </w:rPr>
            </w:pPr>
          </w:p>
        </w:tc>
        <w:tc>
          <w:tcPr>
            <w:tcW w:w="38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Unrealized</w:t>
            </w:r>
          </w:p>
        </w:tc>
      </w:tr>
      <w:tr>
        <w:trPr>
          <w:trHeight w:val="167"/>
        </w:trPr>
        <w:tc>
          <w:tcPr>
            <w:tcW w:w="2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Market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Holding</w:t>
            </w:r>
          </w:p>
        </w:tc>
      </w:tr>
      <w:tr>
        <w:trPr>
          <w:trHeight w:val="167"/>
        </w:trPr>
        <w:tc>
          <w:tcPr>
            <w:tcW w:w="244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Cost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Value</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(Loss) Gain</w:t>
            </w:r>
          </w:p>
        </w:tc>
      </w:tr>
      <w:tr>
        <w:trPr>
          <w:trHeight w:val="167"/>
        </w:trPr>
        <w:tc>
          <w:tcPr>
            <w:tcW w:w="2440" w:type="dxa"/>
            <w:vAlign w:val="bottom"/>
          </w:tcPr>
          <w:p>
            <w:pPr>
              <w:spacing w:after="0"/>
              <w:rPr>
                <w:sz w:val="14"/>
                <w:szCs w:val="14"/>
                <w:color w:val="auto"/>
              </w:rPr>
            </w:pPr>
          </w:p>
        </w:tc>
        <w:tc>
          <w:tcPr>
            <w:tcW w:w="1300" w:type="dxa"/>
            <w:vAlign w:val="bottom"/>
          </w:tcPr>
          <w:p>
            <w:pPr>
              <w:ind w:left="52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2440" w:type="dxa"/>
            <w:vAlign w:val="bottom"/>
          </w:tcPr>
          <w:p>
            <w:pPr>
              <w:spacing w:after="0"/>
              <w:rPr>
                <w:sz w:val="20"/>
                <w:szCs w:val="20"/>
                <w:color w:val="auto"/>
              </w:rPr>
            </w:pPr>
            <w:r>
              <w:rPr>
                <w:rFonts w:ascii="Courier New" w:cs="Courier New" w:eastAsia="Courier New" w:hAnsi="Courier New"/>
                <w:sz w:val="14"/>
                <w:szCs w:val="14"/>
                <w:color w:val="auto"/>
              </w:rPr>
              <w:t>Fixed income securities</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$16,627</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$16,221</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(406)</w:t>
            </w: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5,331</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7,311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1,980</w:t>
            </w:r>
          </w:p>
        </w:tc>
      </w:tr>
      <w:tr>
        <w:trPr>
          <w:trHeight w:val="167"/>
        </w:trPr>
        <w:tc>
          <w:tcPr>
            <w:tcW w:w="24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24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$21,958</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$23,532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$ 1,574</w:t>
            </w:r>
          </w:p>
        </w:tc>
      </w:tr>
      <w:tr>
        <w:trPr>
          <w:trHeight w:val="167"/>
        </w:trPr>
        <w:tc>
          <w:tcPr>
            <w:tcW w:w="2440" w:type="dxa"/>
            <w:vAlign w:val="bottom"/>
          </w:tcPr>
          <w:p>
            <w:pPr>
              <w:spacing w:after="0"/>
              <w:rPr>
                <w:sz w:val="14"/>
                <w:szCs w:val="1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5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501"/>
        </w:trPr>
        <w:tc>
          <w:tcPr>
            <w:tcW w:w="2440" w:type="dxa"/>
            <w:vAlign w:val="bottom"/>
          </w:tcPr>
          <w:p>
            <w:pPr>
              <w:spacing w:after="0"/>
              <w:rPr>
                <w:sz w:val="24"/>
                <w:szCs w:val="24"/>
                <w:color w:val="auto"/>
              </w:rPr>
            </w:pP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44</w:t>
            </w: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44" w:name="page45"/>
    <w:bookmarkEnd w:id="44"/>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Maturities of fixed income securities classified as available-for-sale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2006 are as follows (in thousands):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$ 2,197</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Due after one year through five years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16,954</w:t>
            </w:r>
          </w:p>
        </w:tc>
      </w:tr>
      <w:tr>
        <w:trPr>
          <w:trHeight w:val="334"/>
        </w:trPr>
        <w:tc>
          <w:tcPr>
            <w:tcW w:w="3780" w:type="dxa"/>
            <w:vAlign w:val="bottom"/>
          </w:tcPr>
          <w:p>
            <w:pPr>
              <w:spacing w:after="0"/>
              <w:rPr>
                <w:sz w:val="20"/>
                <w:szCs w:val="20"/>
                <w:color w:val="auto"/>
              </w:rPr>
            </w:pPr>
            <w:r>
              <w:rPr>
                <w:rFonts w:ascii="Courier New" w:cs="Courier New" w:eastAsia="Courier New" w:hAnsi="Courier New"/>
                <w:sz w:val="14"/>
                <w:szCs w:val="14"/>
                <w:color w:val="auto"/>
              </w:rPr>
              <w:t>Due after five years through ten years</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3,380</w:t>
            </w:r>
          </w:p>
        </w:tc>
      </w:tr>
      <w:tr>
        <w:trPr>
          <w:trHeight w:val="167"/>
        </w:trPr>
        <w:tc>
          <w:tcPr>
            <w:tcW w:w="3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$22,531</w:t>
            </w:r>
          </w:p>
        </w:tc>
      </w:tr>
      <w:tr>
        <w:trPr>
          <w:trHeight w:val="167"/>
        </w:trPr>
        <w:tc>
          <w:tcPr>
            <w:tcW w:w="37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During fiscal year 2005, the decline in market value of certain fixed income securities was deemed to be other than temporary. Accordingly, during that fiscal year, the Company charged $20,000 against investment income to record the impairment in value of these securities.</w:t>
      </w:r>
    </w:p>
    <w:p>
      <w:pPr>
        <w:spacing w:after="0" w:line="163" w:lineRule="exact"/>
        <w:rPr>
          <w:sz w:val="20"/>
          <w:szCs w:val="20"/>
          <w:color w:val="auto"/>
        </w:rPr>
      </w:pPr>
    </w:p>
    <w:p>
      <w:pPr>
        <w:ind w:left="440" w:hanging="431"/>
        <w:spacing w:after="0"/>
        <w:tabs>
          <w:tab w:leader="none" w:pos="4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w:t>
      </w:r>
    </w:p>
    <w:p>
      <w:pPr>
        <w:spacing w:after="0" w:line="175" w:lineRule="exact"/>
        <w:rPr>
          <w:rFonts w:ascii="Courier New" w:cs="Courier New" w:eastAsia="Courier New" w:hAnsi="Courier New"/>
          <w:sz w:val="14"/>
          <w:szCs w:val="14"/>
          <w:color w:val="auto"/>
        </w:rPr>
      </w:pPr>
    </w:p>
    <w:p>
      <w:pPr>
        <w:ind w:left="440" w:right="34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Property, plant and equipment at April 30, 2006 and 2005, consists of the following (in thousands):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42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r>
      <w:tr>
        <w:trPr>
          <w:trHeight w:val="167"/>
        </w:trPr>
        <w:tc>
          <w:tcPr>
            <w:tcW w:w="35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Buildings and building improvements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2,649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4,185</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Machinery, equipment and furniture</w:t>
            </w:r>
          </w:p>
        </w:tc>
        <w:tc>
          <w:tcPr>
            <w:tcW w:w="600" w:type="dxa"/>
            <w:vAlign w:val="bottom"/>
          </w:tcPr>
          <w:p>
            <w:pPr>
              <w:spacing w:after="0"/>
              <w:rPr>
                <w:sz w:val="24"/>
                <w:szCs w:val="2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32,765</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31,351</w:t>
            </w:r>
          </w:p>
        </w:tc>
      </w:tr>
      <w:tr>
        <w:trPr>
          <w:trHeight w:val="167"/>
        </w:trPr>
        <w:tc>
          <w:tcPr>
            <w:tcW w:w="35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35,414</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35,536</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Less, accumulated depreciation</w:t>
            </w:r>
          </w:p>
        </w:tc>
        <w:tc>
          <w:tcPr>
            <w:tcW w:w="600" w:type="dxa"/>
            <w:vAlign w:val="bottom"/>
          </w:tcPr>
          <w:p>
            <w:pPr>
              <w:spacing w:after="0"/>
              <w:rPr>
                <w:sz w:val="24"/>
                <w:szCs w:val="24"/>
                <w:color w:val="auto"/>
              </w:rPr>
            </w:pP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28,751</w:t>
            </w: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28,766</w:t>
            </w:r>
          </w:p>
        </w:tc>
      </w:tr>
      <w:tr>
        <w:trPr>
          <w:trHeight w:val="167"/>
        </w:trPr>
        <w:tc>
          <w:tcPr>
            <w:tcW w:w="35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6,663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6,770</w:t>
            </w:r>
          </w:p>
        </w:tc>
      </w:tr>
      <w:tr>
        <w:trPr>
          <w:trHeight w:val="167"/>
        </w:trPr>
        <w:tc>
          <w:tcPr>
            <w:tcW w:w="3520" w:type="dxa"/>
            <w:vAlign w:val="bottom"/>
          </w:tcPr>
          <w:p>
            <w:pPr>
              <w:spacing w:after="0"/>
              <w:rPr>
                <w:sz w:val="14"/>
                <w:szCs w:val="14"/>
                <w:color w:val="auto"/>
              </w:rPr>
            </w:pPr>
          </w:p>
        </w:tc>
        <w:tc>
          <w:tcPr>
            <w:tcW w:w="14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Depreciation expense for the years ended April 30, 2006, 2005 and 2004 was $1,783,000, $1,908,000, and $1,969,000, respectively.</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Maintenance and repairs charged to operations for the years ended April 30, 2006, 2005 and 2004 was approximately $724,000, $585,000 and $437,000, respectively.</w:t>
      </w:r>
    </w:p>
    <w:p>
      <w:pPr>
        <w:spacing w:after="0" w:line="162"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January 1998, the Company sold the Long Island New York building that it occupies to Reckson Associates Realty Corp., a real estate investment trust ("REIT") whose shares are traded on the New York Stock Exchange. The sale involved a tax-deferred exchange of the building for approximately 513,000 participation units of Reckson Operating Partnership, L.P. ("REIT units") which were valued at closing at $12 million. Each REIT unit was convertible into one share of the common stock of the REIT.</w:t>
      </w:r>
    </w:p>
    <w:p>
      <w:pPr>
        <w:spacing w:after="0" w:line="16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Company leased back approximately 43% of the building from the purchaser (the "Reckson lease"). Under the accounting provisions for sale and leaseback transactions, the sale of this building was considered a financing and the REIT units received were reflected as a noncurrent liability ($10,534,000 at April 30, 2004) while the related building continued to be reflected as an asset. In March 2005, the Company exercised its option to convert all of the REIT units into 513,000 shares of the REIT. Upon conversion of the REIT units, the Company recognized a gain of $4.6 million and deferred an additional $1.3 million gain. The deferred gain will be recognized into income over the remaining term of the initial leaseback period. As a result of the conversion of the REIT units, both the building and the noncurrent liability were removed from the balance sheet of the Company. Prior to conversion of the REIT units, the Company's annual rental payment of $400,000 was characterized as repayment of the financing with a portion allocated to interest expense at an assumed interest rate of 6.5% and the balance was considered repayment of principal. During the years ended April 30, 2005 and 2004, the Company charged $80,000 and $114,000, respectively, to interest expense under the financing agreement.</w:t>
      </w:r>
    </w:p>
    <w:p>
      <w:pPr>
        <w:spacing w:after="0" w:line="17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Reckson lease contains two five-year renewal periods at the option of the Company. Annual rental payments are $400,000 for the initial 11-year term which ends in January 2009. Under the terms of the lease, the Company is required to pay its proportional share of real estate taxes, insurance and other charges. In addition, the Company's subsidiaries in China, France and California lease their office and manufacturing facilities. The lease for the FEI-Asia facility is for a one-year term with rent of $14,000 payable quarterly. The lease for the FEI-Zyfer facility is for a two year term at a rate of $22,600 per</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45</w:t>
      </w:r>
    </w:p>
    <w:p>
      <w:pPr>
        <w:sectPr>
          <w:pgSz w:w="11900" w:h="16838" w:orient="portrait"/>
          <w:cols w:equalWidth="0" w:num="1">
            <w:col w:w="10239"/>
          </w:cols>
          <w:pgMar w:left="220" w:top="620" w:right="1440" w:bottom="1440" w:gutter="0" w:footer="0" w:header="0"/>
        </w:sectPr>
      </w:pPr>
    </w:p>
    <w:bookmarkStart w:id="45" w:name="page46"/>
    <w:bookmarkEnd w:id="45"/>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month, terminable with six months written notice. Satel-FEI, a wholly-owned subsidiary of Gillam-FEI, occupies office space under a 9-year lease, cancelable after three years, at an approximate rate of $2,000 per month.</w:t>
      </w:r>
    </w:p>
    <w:p>
      <w:pPr>
        <w:spacing w:after="0" w:line="162"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Future minimum lease payments required by the leases are as follows</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p>
      <w:pPr>
        <w:ind w:left="1480"/>
        <w:spacing w:after="0"/>
        <w:rPr>
          <w:sz w:val="20"/>
          <w:szCs w:val="20"/>
          <w:color w:val="auto"/>
        </w:rPr>
      </w:pPr>
      <w:r>
        <w:rPr>
          <w:rFonts w:ascii="Courier New" w:cs="Courier New" w:eastAsia="Courier New" w:hAnsi="Courier New"/>
          <w:sz w:val="14"/>
          <w:szCs w:val="14"/>
          <w:color w:val="auto"/>
        </w:rPr>
        <w:t>Years ending</w:t>
      </w:r>
    </w:p>
    <w:p>
      <w:pPr>
        <w:spacing w:after="0" w:line="8" w:lineRule="exact"/>
        <w:rPr>
          <w:sz w:val="20"/>
          <w:szCs w:val="20"/>
          <w:color w:val="auto"/>
        </w:rPr>
      </w:pPr>
    </w:p>
    <w:tbl>
      <w:tblPr>
        <w:tblLayout w:type="fixed"/>
        <w:tblInd w:w="1580" w:type="dxa"/>
        <w:tblCellMar>
          <w:top w:w="0" w:type="dxa"/>
          <w:left w:w="0" w:type="dxa"/>
          <w:bottom w:w="0" w:type="dxa"/>
          <w:right w:w="0" w:type="dxa"/>
        </w:tblCellMar>
      </w:tblPr>
      <w:tr>
        <w:trPr>
          <w:trHeight w:val="162"/>
        </w:trPr>
        <w:tc>
          <w:tcPr>
            <w:tcW w:w="2200" w:type="dxa"/>
            <w:vAlign w:val="bottom"/>
          </w:tcPr>
          <w:p>
            <w:pPr>
              <w:spacing w:after="0"/>
              <w:rPr>
                <w:sz w:val="20"/>
                <w:szCs w:val="20"/>
                <w:color w:val="auto"/>
              </w:rPr>
            </w:pPr>
            <w:r>
              <w:rPr>
                <w:rFonts w:ascii="Courier New" w:cs="Courier New" w:eastAsia="Courier New" w:hAnsi="Courier New"/>
                <w:sz w:val="14"/>
                <w:szCs w:val="14"/>
                <w:color w:val="auto"/>
              </w:rPr>
              <w:t>April 30,</w:t>
            </w:r>
          </w:p>
        </w:tc>
        <w:tc>
          <w:tcPr>
            <w:tcW w:w="1620" w:type="dxa"/>
            <w:vAlign w:val="bottom"/>
          </w:tcPr>
          <w:p>
            <w:pPr>
              <w:spacing w:after="0"/>
              <w:rPr>
                <w:sz w:val="14"/>
                <w:szCs w:val="14"/>
                <w:color w:val="auto"/>
              </w:rPr>
            </w:pPr>
          </w:p>
        </w:tc>
      </w:tr>
      <w:tr>
        <w:trPr>
          <w:trHeight w:val="334"/>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2007</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  736</w:t>
            </w:r>
          </w:p>
        </w:tc>
      </w:tr>
      <w:tr>
        <w:trPr>
          <w:trHeight w:val="167"/>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2008</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r>
        <w:trPr>
          <w:trHeight w:val="167"/>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2009</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324</w:t>
            </w:r>
          </w:p>
        </w:tc>
      </w:tr>
      <w:tr>
        <w:trPr>
          <w:trHeight w:val="167"/>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2010</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2011</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2200" w:type="dxa"/>
            <w:vAlign w:val="bottom"/>
          </w:tcPr>
          <w:p>
            <w:pPr>
              <w:ind w:left="260"/>
              <w:spacing w:after="0"/>
              <w:rPr>
                <w:sz w:val="20"/>
                <w:szCs w:val="20"/>
                <w:color w:val="auto"/>
              </w:rPr>
            </w:pPr>
            <w:r>
              <w:rPr>
                <w:rFonts w:ascii="Courier New" w:cs="Courier New" w:eastAsia="Courier New" w:hAnsi="Courier New"/>
                <w:sz w:val="14"/>
                <w:szCs w:val="14"/>
                <w:color w:val="auto"/>
              </w:rPr>
              <w:t>Thereafter</w:t>
            </w: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96</w:t>
            </w:r>
          </w:p>
        </w:tc>
      </w:tr>
      <w:tr>
        <w:trPr>
          <w:trHeight w:val="167"/>
        </w:trPr>
        <w:tc>
          <w:tcPr>
            <w:tcW w:w="2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$1,634</w:t>
            </w:r>
          </w:p>
        </w:tc>
      </w:tr>
      <w:tr>
        <w:trPr>
          <w:trHeight w:val="167"/>
        </w:trPr>
        <w:tc>
          <w:tcPr>
            <w:tcW w:w="2200" w:type="dxa"/>
            <w:vAlign w:val="bottom"/>
          </w:tcPr>
          <w:p>
            <w:pPr>
              <w:spacing w:after="0"/>
              <w:rPr>
                <w:sz w:val="14"/>
                <w:szCs w:val="14"/>
                <w:color w:val="auto"/>
              </w:rPr>
            </w:pPr>
          </w:p>
        </w:tc>
        <w:tc>
          <w:tcPr>
            <w:tcW w:w="1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Related Party Transaction</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During the year ended April 30, 2006, the Company sold the remaining building formerly owned by its French subsidiary to the president of Gillam-FEI. The sale price of the building was approximately $975,000 and was based upon an independent appraisal of the building. The Company recognized a gain of approximately $680,000 on the sale.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Debt Obligations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a $5 million line of credit with the financial institution which also manages a substantial portion of its investment in marketable securities. The line is secured by the investments. During the 2006 fiscal year, the Company borrowed and repaid $1 million. No amount is outstanding as of April 30, 2006. During the year, advances against the line of credit bore interest at variable interest rates between 5.67% and 5.91%.</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Company's European subsidiaries have available approximately 2.4 million Euros (approximately $3.0 million based on current rates of exchange between the dollar and the Euro) in bank credit lines to meet short-term cash flow requirements. As of April 30, 2006, no amount was outstanding under such lines of credit. Interest on these credit lines varies from 0.5% to 1.5% over the EURO Interbank Offered rate (EURIBOR). At April 30, 2006 and 2005, the rate was 3.166% and 2.096%, respectively, based on the 1 month EURIBOR.</w:t>
      </w:r>
    </w:p>
    <w:p>
      <w:pPr>
        <w:spacing w:after="0" w:line="16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All remaining debt that was scheduled to mature has been repaid in full at April 30, 2006.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Accrued Liabilities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Accrued liabilities at April 30, 2006 and 2005 consist of the following</w:t>
      </w:r>
    </w:p>
    <w:p>
      <w:pPr>
        <w:spacing w:after="0" w:line="8"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(in thousands):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2006</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w:t>
            </w:r>
          </w:p>
        </w:tc>
      </w:tr>
      <w:tr>
        <w:trPr>
          <w:trHeight w:val="167"/>
        </w:trPr>
        <w:tc>
          <w:tcPr>
            <w:tcW w:w="4040" w:type="dxa"/>
            <w:vAlign w:val="bottom"/>
          </w:tcPr>
          <w:p>
            <w:pPr>
              <w:spacing w:after="0"/>
              <w:rPr>
                <w:sz w:val="14"/>
                <w:szCs w:val="14"/>
                <w:color w:val="auto"/>
              </w:rPr>
            </w:pP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 compensation including payroll taxes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$2,161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$2,202</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Due customers</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491</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506</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Vacation accrual</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593</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552</w:t>
            </w:r>
          </w:p>
        </w:tc>
      </w:tr>
      <w:tr>
        <w:trPr>
          <w:trHeight w:val="334"/>
        </w:trPr>
        <w:tc>
          <w:tcPr>
            <w:tcW w:w="40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652</w:t>
            </w:r>
          </w:p>
        </w:tc>
      </w:tr>
      <w:tr>
        <w:trPr>
          <w:trHeight w:val="167"/>
        </w:trPr>
        <w:tc>
          <w:tcPr>
            <w:tcW w:w="404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4040" w:type="dxa"/>
            <w:vAlign w:val="bottom"/>
          </w:tcPr>
          <w:p>
            <w:pPr>
              <w:spacing w:after="0"/>
              <w:rPr>
                <w:sz w:val="24"/>
                <w:szCs w:val="2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$3,929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$3,912</w:t>
            </w:r>
          </w:p>
        </w:tc>
      </w:tr>
      <w:tr>
        <w:trPr>
          <w:trHeight w:val="167"/>
        </w:trPr>
        <w:tc>
          <w:tcPr>
            <w:tcW w:w="4040" w:type="dxa"/>
            <w:vAlign w:val="bottom"/>
          </w:tcPr>
          <w:p>
            <w:pPr>
              <w:spacing w:after="0"/>
              <w:rPr>
                <w:sz w:val="14"/>
                <w:szCs w:val="14"/>
                <w:color w:val="auto"/>
              </w:rPr>
            </w:pPr>
          </w:p>
        </w:tc>
        <w:tc>
          <w:tcPr>
            <w:tcW w:w="13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Investment in Morion, Inc.</w:t>
      </w:r>
    </w:p>
    <w:p>
      <w:pPr>
        <w:spacing w:after="0" w:line="175"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On September 28, 2004, the Company increased its investment in Morion from 19.8% to 36% of the privately-held Russian company's outstanding shares. The acquisition was accomplished by a cash payment and the issuance of 42,448 shares of the Company's common stock. During fiscal year 2006, the Company acquired another 200 shares of Morion to increase the ownership interest to 36.6%.</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46</w:t>
      </w:r>
    </w:p>
    <w:p>
      <w:pPr>
        <w:sectPr>
          <w:pgSz w:w="11900" w:h="16838" w:orient="portrait"/>
          <w:cols w:equalWidth="0" w:num="1">
            <w:col w:w="10239"/>
          </w:cols>
          <w:pgMar w:left="220" w:top="620" w:right="1440" w:bottom="1440" w:gutter="0" w:footer="0" w:header="0"/>
        </w:sectPr>
      </w:pPr>
    </w:p>
    <w:bookmarkStart w:id="46" w:name="page47"/>
    <w:bookmarkEnd w:id="46"/>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As a result of the increased ownership of Morion, in fiscal year 2005 the Company changed its method of carrying the investment from cost to equity as required by generally accepted accounting principles. Under the equity method, the Company records its proportionate share of the earnings of Morion. The effect of the change in accounting method for the fiscal year ended April 30, 2005, was to increase income before provision for income taxes and net income by $315,000 ($0.04 per diluted share). The financial statements for the prior fiscal years were restated for the change in accounting method. For the fiscal year ended April 30, 2004, income before income taxes and net income were increased by $158,000 ($0.02 per share). Retained earnings as of the beginning of fiscal year 2005 were increased by $207,000 for the effect of retroactive application of the equity method.</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At April 30, 2006, 2005, and 2004, the Company's share of the underlying net assets of Morion exceeded the investment by $471,000, $549,000 and $249,000, respectively. The excess relates to certain property, plant and equipment and is being amortized into income by increasing the Company's share of Morion's net income. The Company uses the straightline method to amortize the excess over the remaining useful lives of the property, plant and equipment.</w:t>
      </w:r>
    </w:p>
    <w:p>
      <w:pPr>
        <w:spacing w:after="0" w:line="165" w:lineRule="exact"/>
        <w:rPr>
          <w:sz w:val="20"/>
          <w:szCs w:val="20"/>
          <w:color w:val="auto"/>
        </w:rPr>
      </w:pPr>
    </w:p>
    <w:p>
      <w:pPr>
        <w:ind w:right="3379" w:firstLine="434"/>
        <w:spacing w:after="0" w:line="254" w:lineRule="auto"/>
        <w:rPr>
          <w:sz w:val="20"/>
          <w:szCs w:val="20"/>
          <w:color w:val="auto"/>
        </w:rPr>
      </w:pPr>
      <w:r>
        <w:rPr>
          <w:rFonts w:ascii="Courier New" w:cs="Courier New" w:eastAsia="Courier New" w:hAnsi="Courier New"/>
          <w:sz w:val="14"/>
          <w:szCs w:val="14"/>
          <w:color w:val="auto"/>
        </w:rPr>
        <w:t>During the fiscal years ended April 30, 2006, 2005 and 2004, the Company acquired product from Morion in the aggregate amount of approximately $467,000, $659,000 and $730,000, respectively, and the Company sold product to Morion in the aggregate amount of approximately $462,000, $181,000 and $181,000,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Acquisition of Zyfer, Inc.</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On May 9, 2003, the Company acquired the business and net assets of Zyfer, Inc., a wholly-owned subsidiary of Odetics, Inc., in a cash transaction. (Note-Subsequent to this transaction, Odetics changed its corporate name to Iteris, Inc.) The business of the new subsidiary, FEI-Zyfer, Inc., is the design and manufacture of products for precision time and frequency generation and synchronization, primarily incorporating GPS technology.</w:t>
      </w:r>
    </w:p>
    <w:p>
      <w:pPr>
        <w:spacing w:after="0" w:line="16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The Company paid $2.3 million at closing, plus acquisition costs of approximately $400,000. According to the terms of the purchase agreement, the Company was required to make additional payments up to a maximum of $1 million in each of fiscal years 2004 and 2005 if FEI-Zyfer achieved certain revenue levels in those years. The contingent payments were based on a percentage of revenues in excess of $6 million in fiscal year 2004 and as a percentage of revenues in excess of $8 million in fiscal year 2005. Based on FEI-Zyfer's performance, with sales of $8.8 million and $6.5 million during fiscal years 2005 and 2004, respectively, the Company paid an additional $217,000 to Iteris, Inc. This amount was recorded as goodwill in the accompanying consolidated balance sheet and is included in intangible assets.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FEI-Zyfer acquisition is treated as a purchase acquisition.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was allocated to net assets acquired of approximately $1.8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The purchase price in excess of net assets acquired, approximately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$900,000, was allocated to fixed assets ($300,000) and to customer lists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 which will be amortized over 6 years. Amortization expense for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years ended April 30, 2006, 2005 and 2004 was approximately $78,000, $106,000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$127,000, respectively. For the next two fiscal years ending April 30, 2008,</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amortization expense will decline to $48,000, followed by a "balloon" writeoff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customer list balance, expected to be $186,000, for the year ending April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30, 2009.</w:t>
      </w:r>
    </w:p>
    <w:p>
      <w:pPr>
        <w:spacing w:after="0" w:line="175" w:lineRule="exact"/>
        <w:rPr>
          <w:sz w:val="20"/>
          <w:szCs w:val="20"/>
          <w:color w:val="auto"/>
        </w:rPr>
      </w:pPr>
    </w:p>
    <w:p>
      <w:pPr>
        <w:ind w:right="7979" w:firstLine="9"/>
        <w:spacing w:after="0" w:line="505" w:lineRule="auto"/>
        <w:tabs>
          <w:tab w:leader="none" w:pos="347"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Benefit Plans Profit Sharing Plan:</w:t>
      </w: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adopted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2006, 2005 and 2004, the Company contributed 34,723, 30,621 and 41,011 shares of common stock,</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47</w:t>
      </w:r>
    </w:p>
    <w:p>
      <w:pPr>
        <w:sectPr>
          <w:pgSz w:w="11900" w:h="16838" w:orient="portrait"/>
          <w:cols w:equalWidth="0" w:num="1">
            <w:col w:w="10239"/>
          </w:cols>
          <w:pgMar w:left="220" w:top="620" w:right="1440" w:bottom="1440" w:gutter="0" w:footer="0" w:header="0"/>
        </w:sectPr>
      </w:pPr>
    </w:p>
    <w:bookmarkStart w:id="47" w:name="page48"/>
    <w:bookmarkEnd w:id="47"/>
    <w:p>
      <w:pPr>
        <w:ind w:right="3379"/>
        <w:spacing w:after="0" w:line="255" w:lineRule="auto"/>
        <w:rPr>
          <w:sz w:val="20"/>
          <w:szCs w:val="20"/>
          <w:color w:val="auto"/>
        </w:rPr>
      </w:pPr>
      <w:r>
        <w:rPr>
          <w:rFonts w:ascii="Courier New" w:cs="Courier New" w:eastAsia="Courier New" w:hAnsi="Courier New"/>
          <w:sz w:val="14"/>
          <w:szCs w:val="14"/>
          <w:color w:val="auto"/>
        </w:rPr>
        <w:t>respectively. The approximate value of these shares at the date of issuance was $419,000 in fiscal year 2006, $393,000 in fiscal year 2005 and $451,000 in fiscal year 2004.</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48</w:t>
      </w:r>
    </w:p>
    <w:p>
      <w:pPr>
        <w:sectPr>
          <w:pgSz w:w="11900" w:h="16838" w:orient="portrait"/>
          <w:cols w:equalWidth="0" w:num="1">
            <w:col w:w="10239"/>
          </w:cols>
          <w:pgMar w:left="220" w:top="620" w:right="1440" w:bottom="1440" w:gutter="0" w:footer="0" w:header="0"/>
        </w:sectPr>
      </w:pPr>
    </w:p>
    <w:bookmarkStart w:id="48" w:name="page49"/>
    <w:bookmarkEnd w:id="48"/>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Incentive Pool:</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$572,000, $694,000 and $315,000 to operations under these plans for the fiscal years ended April 30, 2006, 2005 and 2004, respectively.</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Independent Contractor Stock Option Plan:</w:t>
      </w:r>
    </w:p>
    <w:p>
      <w:pPr>
        <w:spacing w:after="0" w:line="175" w:lineRule="exact"/>
        <w:rPr>
          <w:sz w:val="20"/>
          <w:szCs w:val="20"/>
          <w:color w:val="auto"/>
        </w:rPr>
      </w:pPr>
    </w:p>
    <w:p>
      <w:pPr>
        <w:ind w:right="3279" w:firstLine="434"/>
        <w:spacing w:after="0" w:line="252" w:lineRule="auto"/>
        <w:rPr>
          <w:sz w:val="20"/>
          <w:szCs w:val="20"/>
          <w:color w:val="auto"/>
        </w:rPr>
      </w:pPr>
      <w:r>
        <w:rPr>
          <w:rFonts w:ascii="Courier New" w:cs="Courier New" w:eastAsia="Courier New" w:hAnsi="Courier New"/>
          <w:sz w:val="14"/>
          <w:szCs w:val="14"/>
          <w:color w:val="auto"/>
        </w:rPr>
        <w:t>Through early fiscal year 2006, the Company had an Independent Contractor Stock Option Plan under which up to 350,000 shares could be granted. An Independent Contractor Stock Option Committee determined to whom options may be granted from among eligible participants, the timing and duration of option grants, the option price, and the number of shares of common stock subject to each option. Options were granted in prior fiscal years to certain independent contractors at a price equal to the then fair market value of the Company's common stock. The options were exercisable over specified periods per terms of the individual agreements. In fiscal year 2005, the Company granted 30,000 shares to a new member of the Company's Board of Directors. One-third of the options may be exercised one year after the grant date; two-thirds, two years after the grant date and all of the options, three years after the grant date. The exercise price of the grant was at the then fair market value of the Company's common stock, consequently, no compensation expense was recognized because the Company applied the intrinsic value method for a director of the Company under the provisions of APB 25. No compensation expense was recorded during the years ended April 30, 2006, 2005 and 2004 as no other grants were made in those years and previous grants have been fully expensed. As a result of the adoption by the stockholders of the 2005 Stock Award Plan, the Independent Contractor Stock Option Plan was discontinued. No additional grants will be made under this plan.</w:t>
      </w:r>
    </w:p>
    <w:p>
      <w:pPr>
        <w:spacing w:after="0" w:line="341" w:lineRule="exact"/>
        <w:rPr>
          <w:sz w:val="20"/>
          <w:szCs w:val="20"/>
          <w:color w:val="auto"/>
        </w:rPr>
      </w:pPr>
    </w:p>
    <w:p>
      <w:pPr>
        <w:ind w:right="3799" w:firstLine="434"/>
        <w:spacing w:after="0" w:line="258" w:lineRule="auto"/>
        <w:rPr>
          <w:sz w:val="20"/>
          <w:szCs w:val="20"/>
          <w:color w:val="auto"/>
        </w:rPr>
      </w:pPr>
      <w:r>
        <w:rPr>
          <w:rFonts w:ascii="Courier New" w:cs="Courier New" w:eastAsia="Courier New" w:hAnsi="Courier New"/>
          <w:sz w:val="14"/>
          <w:szCs w:val="14"/>
          <w:color w:val="auto"/>
        </w:rPr>
        <w:t>Transactions under this plan, including the weighted average exercise prices of the options,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jc w:val="right"/>
              <w:ind w:right="568"/>
              <w:spacing w:after="0"/>
              <w:rPr>
                <w:sz w:val="20"/>
                <w:szCs w:val="20"/>
                <w:color w:val="auto"/>
              </w:rPr>
            </w:pPr>
            <w:r>
              <w:rPr>
                <w:rFonts w:ascii="Courier New" w:cs="Courier New" w:eastAsia="Courier New" w:hAnsi="Courier New"/>
                <w:sz w:val="14"/>
                <w:szCs w:val="14"/>
                <w:color w:val="auto"/>
                <w:w w:val="95"/>
              </w:rPr>
              <w:t>2005</w:t>
            </w: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1880" w:type="dxa"/>
            <w:vAlign w:val="bottom"/>
            <w:gridSpan w:val="3"/>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7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Wtd Avg</w:t>
            </w:r>
          </w:p>
        </w:tc>
        <w:tc>
          <w:tcPr>
            <w:tcW w:w="740" w:type="dxa"/>
            <w:vAlign w:val="bottom"/>
          </w:tcPr>
          <w:p>
            <w:pPr>
              <w:spacing w:after="0"/>
              <w:rPr>
                <w:sz w:val="14"/>
                <w:szCs w:val="14"/>
                <w:color w:val="auto"/>
              </w:rPr>
            </w:pP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Wtd Avg</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Shares</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Shares</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Price</w:t>
            </w:r>
          </w:p>
        </w:tc>
        <w:tc>
          <w:tcPr>
            <w:tcW w:w="2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Shares</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w w:val="99"/>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99"/>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0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260" w:type="dxa"/>
            <w:vAlign w:val="bottom"/>
          </w:tcPr>
          <w:p>
            <w:pPr>
              <w:spacing w:after="0"/>
              <w:rPr>
                <w:sz w:val="24"/>
                <w:szCs w:val="2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141,050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111,050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$15.49</w:t>
            </w:r>
          </w:p>
        </w:tc>
        <w:tc>
          <w:tcPr>
            <w:tcW w:w="220" w:type="dxa"/>
            <w:vAlign w:val="bottom"/>
          </w:tcPr>
          <w:p>
            <w:pPr>
              <w:spacing w:after="0"/>
              <w:rPr>
                <w:sz w:val="24"/>
                <w:szCs w:val="2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114,350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$15.31</w:t>
            </w: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30,000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$14.76</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(3,300)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$9.25</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141,050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141,050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$15.33</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$15.49</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121,050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$15.43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111,050</w:t>
            </w:r>
          </w:p>
        </w:tc>
        <w:tc>
          <w:tcPr>
            <w:tcW w:w="9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$15.49</w:t>
            </w: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111,050</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$15.49</w:t>
            </w: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Available for grant at end of year</w:t>
            </w: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189,500</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219,500</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20"/>
                <w:szCs w:val="20"/>
                <w:color w:val="auto"/>
              </w:rPr>
            </w:pPr>
            <w:r>
              <w:rPr>
                <w:rFonts w:ascii="Courier New" w:cs="Courier New" w:eastAsia="Courier New" w:hAnsi="Courier New"/>
                <w:sz w:val="14"/>
                <w:szCs w:val="14"/>
                <w:color w:val="auto"/>
              </w:rPr>
              <w:t>of options granted during the year</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$7.81</w:t>
            </w:r>
          </w:p>
        </w:tc>
        <w:tc>
          <w:tcPr>
            <w:tcW w:w="9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r>
        <w:trPr>
          <w:trHeight w:val="167"/>
        </w:trPr>
        <w:tc>
          <w:tcPr>
            <w:tcW w:w="3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spacing w:after="0"/>
              <w:rPr>
                <w:sz w:val="14"/>
                <w:szCs w:val="14"/>
                <w:color w:val="auto"/>
              </w:rPr>
            </w:pP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Option Plans:</w:t>
      </w:r>
    </w:p>
    <w:p>
      <w:pPr>
        <w:spacing w:after="0" w:line="175" w:lineRule="exact"/>
        <w:rPr>
          <w:sz w:val="20"/>
          <w:szCs w:val="20"/>
          <w:color w:val="auto"/>
        </w:rPr>
      </w:pPr>
    </w:p>
    <w:p>
      <w:pPr>
        <w:ind w:right="3379" w:firstLine="434"/>
        <w:spacing w:after="0" w:line="252" w:lineRule="auto"/>
        <w:rPr>
          <w:sz w:val="20"/>
          <w:szCs w:val="20"/>
          <w:color w:val="auto"/>
        </w:rPr>
      </w:pPr>
      <w:r>
        <w:rPr>
          <w:rFonts w:ascii="Courier New" w:cs="Courier New" w:eastAsia="Courier New" w:hAnsi="Courier New"/>
          <w:sz w:val="14"/>
          <w:szCs w:val="14"/>
          <w:color w:val="auto"/>
        </w:rPr>
        <w:t>The Company has various stock option plans for key management employees, including officers and directors who are employees. The plans are both Nonqualified Stock Option ("NQSO") plans and Incentive Stock Option ("ISO") plans. Under both types of plans, options are granted at the discretion of the Stock Option committee at an exercise price not less than the fair market value of the Company's common stock on the date of grant. Under one NQSO plan the options are exercisable one year after the date of grant. Under the remaining plans the options are exercisable over a four-year period beginning one year after the date of grant. The options expire ten years after the date of grant and are subject to certain restrictions on transferability of the shares obtained on exercise. As of April 30, 2006, eligible employees had been granted options to purchase 1,182,500 shares of Company stock under ISO plans of which approximately 395,000 options are outstanding and approximately 234,000 are exercisable. Through April 30, 2006, eligible employees have been granted options to acquire 1,090,000 shares of</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49</w:t>
      </w:r>
    </w:p>
    <w:p>
      <w:pPr>
        <w:sectPr>
          <w:pgSz w:w="11900" w:h="16838" w:orient="portrait"/>
          <w:cols w:equalWidth="0" w:num="1">
            <w:col w:w="10239"/>
          </w:cols>
          <w:pgMar w:left="220" w:top="620" w:right="1440" w:bottom="1440" w:gutter="0" w:footer="0" w:header="0"/>
        </w:sectPr>
      </w:pPr>
    </w:p>
    <w:bookmarkStart w:id="49" w:name="page50"/>
    <w:bookmarkEnd w:id="49"/>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459"/>
        <w:spacing w:after="0" w:line="258" w:lineRule="auto"/>
        <w:rPr>
          <w:sz w:val="20"/>
          <w:szCs w:val="20"/>
          <w:color w:val="auto"/>
        </w:rPr>
      </w:pPr>
      <w:r>
        <w:rPr>
          <w:rFonts w:ascii="Courier New" w:cs="Courier New" w:eastAsia="Courier New" w:hAnsi="Courier New"/>
          <w:sz w:val="14"/>
          <w:szCs w:val="14"/>
          <w:color w:val="auto"/>
        </w:rPr>
        <w:t>Company stock under NQSO plans. Of the NQSO options, approximately 738,000 are both outstanding and exercisable (see tables below).</w:t>
      </w:r>
    </w:p>
    <w:p>
      <w:pPr>
        <w:spacing w:after="0" w:line="16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excess of the consideration received over the par value of the common stock or cost of treasury stock issued under both types of option plans has been recognized as an increase in additional paid-in capital. No charges are made to income with respect to the ISO or NQSO plans.</w:t>
      </w:r>
    </w:p>
    <w:p>
      <w:pPr>
        <w:spacing w:after="0" w:line="163"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Transactions under these plans, including the weighted average exercise prices of the options, are as follows: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2006</w:t>
            </w:r>
          </w:p>
        </w:tc>
        <w:tc>
          <w:tcPr>
            <w:tcW w:w="780" w:type="dxa"/>
            <w:vAlign w:val="bottom"/>
          </w:tcPr>
          <w:p>
            <w:pPr>
              <w:spacing w:after="0"/>
              <w:rPr>
                <w:sz w:val="14"/>
                <w:szCs w:val="14"/>
                <w:color w:val="auto"/>
              </w:rPr>
            </w:pP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64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2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2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Wtd Avg</w:t>
            </w:r>
          </w:p>
        </w:tc>
        <w:tc>
          <w:tcPr>
            <w:tcW w:w="1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Wtd Avg</w:t>
            </w:r>
          </w:p>
        </w:tc>
        <w:tc>
          <w:tcPr>
            <w:tcW w:w="1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140" w:type="dxa"/>
            <w:vAlign w:val="bottom"/>
          </w:tcPr>
          <w:p>
            <w:pPr>
              <w:spacing w:after="0"/>
              <w:rPr>
                <w:sz w:val="14"/>
                <w:szCs w:val="14"/>
                <w:color w:val="auto"/>
              </w:rPr>
            </w:pP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Price</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12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Shares</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Outstanding at beginning of year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1,109,987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1,081,437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$11.00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1,031,062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$12.63</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59,500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$14.40</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128,500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$9.13</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(19,725)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$7.27</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(24,950)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$7.06</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(22,000)</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$5.58</w:t>
            </w: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Expired or canceled</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(6,000)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$8.80</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(56,125)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$5.86</w:t>
            </w:r>
          </w:p>
        </w:tc>
      </w:tr>
      <w:tr>
        <w:trPr>
          <w:trHeight w:val="167"/>
        </w:trPr>
        <w:tc>
          <w:tcPr>
            <w:tcW w:w="3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Outstanding at end of year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1,133,387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$11.32</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1,109,987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$11.26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1,081,437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r>
      <w:tr>
        <w:trPr>
          <w:trHeight w:val="167"/>
        </w:trPr>
        <w:tc>
          <w:tcPr>
            <w:tcW w:w="3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972,337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$11.39</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895,587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$11.46</w:t>
            </w: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760,312</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$11.07</w:t>
            </w:r>
          </w:p>
        </w:tc>
      </w:tr>
      <w:tr>
        <w:trPr>
          <w:trHeight w:val="167"/>
        </w:trPr>
        <w:tc>
          <w:tcPr>
            <w:tcW w:w="3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Available for grant at end of year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399,000</w:t>
            </w:r>
          </w:p>
        </w:tc>
        <w:tc>
          <w:tcPr>
            <w:tcW w:w="78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11,500</w:t>
            </w:r>
          </w:p>
        </w:tc>
        <w:tc>
          <w:tcPr>
            <w:tcW w:w="860" w:type="dxa"/>
            <w:vAlign w:val="bottom"/>
          </w:tcPr>
          <w:p>
            <w:pPr>
              <w:spacing w:after="0"/>
              <w:rPr>
                <w:sz w:val="24"/>
                <w:szCs w:val="2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71,000</w:t>
            </w:r>
          </w:p>
        </w:tc>
        <w:tc>
          <w:tcPr>
            <w:tcW w:w="640" w:type="dxa"/>
            <w:vAlign w:val="bottom"/>
          </w:tcPr>
          <w:p>
            <w:pPr>
              <w:spacing w:after="0"/>
              <w:rPr>
                <w:sz w:val="24"/>
                <w:szCs w:val="24"/>
                <w:color w:val="auto"/>
              </w:rPr>
            </w:pPr>
          </w:p>
        </w:tc>
      </w:tr>
      <w:tr>
        <w:trPr>
          <w:trHeight w:val="167"/>
        </w:trPr>
        <w:tc>
          <w:tcPr>
            <w:tcW w:w="3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r>
        <w:trPr>
          <w:trHeight w:val="334"/>
        </w:trPr>
        <w:tc>
          <w:tcPr>
            <w:tcW w:w="3140" w:type="dxa"/>
            <w:vAlign w:val="bottom"/>
          </w:tcPr>
          <w:p>
            <w:pPr>
              <w:spacing w:after="0"/>
              <w:rPr>
                <w:sz w:val="20"/>
                <w:szCs w:val="20"/>
                <w:color w:val="auto"/>
              </w:rPr>
            </w:pPr>
            <w:r>
              <w:rPr>
                <w:rFonts w:ascii="Courier New" w:cs="Courier New" w:eastAsia="Courier New" w:hAnsi="Courier New"/>
                <w:sz w:val="14"/>
                <w:szCs w:val="14"/>
                <w:color w:val="auto"/>
              </w:rPr>
              <w:t>Weighted average fair value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7"/>
        </w:trPr>
        <w:tc>
          <w:tcPr>
            <w:tcW w:w="3140" w:type="dxa"/>
            <w:vAlign w:val="bottom"/>
          </w:tcPr>
          <w:p>
            <w:pPr>
              <w:spacing w:after="0"/>
              <w:rPr>
                <w:sz w:val="20"/>
                <w:szCs w:val="20"/>
                <w:color w:val="auto"/>
              </w:rPr>
            </w:pPr>
            <w:r>
              <w:rPr>
                <w:rFonts w:ascii="Courier New" w:cs="Courier New" w:eastAsia="Courier New" w:hAnsi="Courier New"/>
                <w:sz w:val="14"/>
                <w:szCs w:val="14"/>
                <w:color w:val="auto"/>
              </w:rPr>
              <w:t>of options granted during the year</w:t>
            </w: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$6.08</w:t>
            </w:r>
          </w:p>
        </w:tc>
        <w:tc>
          <w:tcPr>
            <w:tcW w:w="7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$7.60</w:t>
            </w: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$5.57</w:t>
            </w:r>
          </w:p>
        </w:tc>
        <w:tc>
          <w:tcPr>
            <w:tcW w:w="640" w:type="dxa"/>
            <w:vAlign w:val="bottom"/>
          </w:tcPr>
          <w:p>
            <w:pPr>
              <w:spacing w:after="0"/>
              <w:rPr>
                <w:sz w:val="14"/>
                <w:szCs w:val="14"/>
                <w:color w:val="auto"/>
              </w:rPr>
            </w:pPr>
          </w:p>
        </w:tc>
      </w:tr>
      <w:tr>
        <w:trPr>
          <w:trHeight w:val="167"/>
        </w:trPr>
        <w:tc>
          <w:tcPr>
            <w:tcW w:w="3140" w:type="dxa"/>
            <w:vAlign w:val="bottom"/>
          </w:tcPr>
          <w:p>
            <w:pPr>
              <w:spacing w:after="0"/>
              <w:rPr>
                <w:sz w:val="14"/>
                <w:szCs w:val="14"/>
                <w:color w:val="auto"/>
              </w:rPr>
            </w:pPr>
          </w:p>
        </w:tc>
        <w:tc>
          <w:tcPr>
            <w:tcW w:w="12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c>
          <w:tcPr>
            <w:tcW w:w="12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spacing w:after="0"/>
              <w:rPr>
                <w:sz w:val="14"/>
                <w:szCs w:val="14"/>
                <w:color w:val="auto"/>
              </w:rPr>
            </w:pPr>
          </w:p>
        </w:tc>
      </w:tr>
    </w:tbl>
    <w:p>
      <w:pPr>
        <w:spacing w:after="0" w:line="338"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following table summarizes information about stock options outstanding at April 30, 2006:</w:t>
      </w:r>
    </w:p>
    <w:p>
      <w:pPr>
        <w:spacing w:after="0" w:line="200" w:lineRule="exact"/>
        <w:rPr>
          <w:sz w:val="20"/>
          <w:szCs w:val="20"/>
          <w:color w:val="auto"/>
        </w:rPr>
      </w:pPr>
    </w:p>
    <w:p>
      <w:pPr>
        <w:spacing w:after="0" w:line="294"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4"/>
                <w:szCs w:val="14"/>
                <w:color w:val="auto"/>
              </w:rPr>
              <w:t>Options Outstanding</w:t>
            </w:r>
          </w:p>
        </w:tc>
        <w:tc>
          <w:tcPr>
            <w:tcW w:w="900" w:type="dxa"/>
            <w:vAlign w:val="bottom"/>
          </w:tcPr>
          <w:p>
            <w:pPr>
              <w:spacing w:after="0"/>
              <w:rPr>
                <w:sz w:val="14"/>
                <w:szCs w:val="14"/>
                <w:color w:val="auto"/>
              </w:rPr>
            </w:pPr>
          </w:p>
        </w:tc>
        <w:tc>
          <w:tcPr>
            <w:tcW w:w="2300" w:type="dxa"/>
            <w:vAlign w:val="bottom"/>
            <w:gridSpan w:val="2"/>
          </w:tcPr>
          <w:p>
            <w:pPr>
              <w:ind w:left="400"/>
              <w:spacing w:after="0"/>
              <w:rPr>
                <w:sz w:val="20"/>
                <w:szCs w:val="20"/>
                <w:color w:val="auto"/>
              </w:rPr>
            </w:pPr>
            <w:r>
              <w:rPr>
                <w:rFonts w:ascii="Courier New" w:cs="Courier New" w:eastAsia="Courier New" w:hAnsi="Courier New"/>
                <w:sz w:val="14"/>
                <w:szCs w:val="14"/>
                <w:color w:val="auto"/>
              </w:rPr>
              <w:t>Options Exercisable</w:t>
            </w:r>
          </w:p>
        </w:tc>
      </w:tr>
      <w:tr>
        <w:trPr>
          <w:trHeight w:val="167"/>
        </w:trPr>
        <w:tc>
          <w:tcPr>
            <w:tcW w:w="1480" w:type="dxa"/>
            <w:vAlign w:val="bottom"/>
          </w:tcPr>
          <w:p>
            <w:pPr>
              <w:spacing w:after="0"/>
              <w:rPr>
                <w:sz w:val="14"/>
                <w:szCs w:val="14"/>
                <w:color w:val="auto"/>
              </w:rPr>
            </w:pPr>
          </w:p>
        </w:tc>
        <w:tc>
          <w:tcPr>
            <w:tcW w:w="2780" w:type="dxa"/>
            <w:vAlign w:val="bottom"/>
            <w:gridSpan w:val="2"/>
          </w:tcPr>
          <w:p>
            <w:pPr>
              <w:ind w:left="180"/>
              <w:spacing w:after="0"/>
              <w:rPr>
                <w:sz w:val="20"/>
                <w:szCs w:val="20"/>
                <w:color w:val="auto"/>
              </w:rPr>
            </w:pPr>
            <w:r>
              <w:rPr>
                <w:rFonts w:ascii="Courier New" w:cs="Courier New" w:eastAsia="Courier New" w:hAnsi="Courier New"/>
                <w:sz w:val="14"/>
                <w:szCs w:val="14"/>
                <w:color w:val="auto"/>
                <w:w w:val="80"/>
              </w:rPr>
              <w:t>--------------------------------------</w:t>
            </w:r>
          </w:p>
        </w:tc>
        <w:tc>
          <w:tcPr>
            <w:tcW w:w="900" w:type="dxa"/>
            <w:vAlign w:val="bottom"/>
          </w:tcPr>
          <w:p>
            <w:pPr>
              <w:spacing w:after="0"/>
              <w:rPr>
                <w:sz w:val="14"/>
                <w:szCs w:val="14"/>
                <w:color w:val="auto"/>
              </w:rPr>
            </w:pPr>
          </w:p>
        </w:tc>
        <w:tc>
          <w:tcPr>
            <w:tcW w:w="230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r>
      <w:tr>
        <w:trPr>
          <w:trHeight w:val="167"/>
        </w:trPr>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Weighted</w:t>
            </w: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4"/>
                <w:szCs w:val="14"/>
                <w:color w:val="auto"/>
              </w:rPr>
              <w:t>Average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Weighted</w:t>
            </w:r>
          </w:p>
        </w:tc>
        <w:tc>
          <w:tcPr>
            <w:tcW w:w="1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1480" w:type="dxa"/>
            <w:vAlign w:val="bottom"/>
          </w:tcPr>
          <w:p>
            <w:pPr>
              <w:spacing w:after="0"/>
              <w:rPr>
                <w:sz w:val="14"/>
                <w:szCs w:val="14"/>
                <w:color w:val="auto"/>
              </w:rPr>
            </w:pP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Number</w:t>
            </w:r>
          </w:p>
        </w:tc>
        <w:tc>
          <w:tcPr>
            <w:tcW w:w="1660" w:type="dxa"/>
            <w:vAlign w:val="bottom"/>
          </w:tcPr>
          <w:p>
            <w:pPr>
              <w:jc w:val="center"/>
              <w:spacing w:after="0"/>
              <w:rPr>
                <w:sz w:val="20"/>
                <w:szCs w:val="20"/>
                <w:color w:val="auto"/>
              </w:rPr>
            </w:pPr>
            <w:r>
              <w:rPr>
                <w:rFonts w:ascii="Courier New" w:cs="Courier New" w:eastAsia="Courier New" w:hAnsi="Courier New"/>
                <w:sz w:val="14"/>
                <w:szCs w:val="14"/>
                <w:color w:val="auto"/>
              </w:rPr>
              <w:t>Remaining</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Average</w:t>
            </w:r>
          </w:p>
        </w:tc>
        <w:tc>
          <w:tcPr>
            <w:tcW w:w="1400" w:type="dxa"/>
            <w:vAlign w:val="bottom"/>
          </w:tcPr>
          <w:p>
            <w:pPr>
              <w:ind w:left="400"/>
              <w:spacing w:after="0"/>
              <w:rPr>
                <w:sz w:val="20"/>
                <w:szCs w:val="20"/>
                <w:color w:val="auto"/>
              </w:rPr>
            </w:pPr>
            <w:r>
              <w:rPr>
                <w:rFonts w:ascii="Courier New" w:cs="Courier New" w:eastAsia="Courier New" w:hAnsi="Courier New"/>
                <w:sz w:val="14"/>
                <w:szCs w:val="14"/>
                <w:color w:val="auto"/>
              </w:rPr>
              <w:t>Number</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Actual Range of</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w w:val="99"/>
              </w:rPr>
              <w:t>Outstanding</w:t>
            </w:r>
          </w:p>
        </w:tc>
        <w:tc>
          <w:tcPr>
            <w:tcW w:w="1660" w:type="dxa"/>
            <w:vAlign w:val="bottom"/>
          </w:tcPr>
          <w:p>
            <w:pPr>
              <w:jc w:val="center"/>
              <w:spacing w:after="0"/>
              <w:rPr>
                <w:sz w:val="20"/>
                <w:szCs w:val="20"/>
                <w:color w:val="auto"/>
              </w:rPr>
            </w:pPr>
            <w:r>
              <w:rPr>
                <w:rFonts w:ascii="Courier New" w:cs="Courier New" w:eastAsia="Courier New" w:hAnsi="Courier New"/>
                <w:sz w:val="14"/>
                <w:szCs w:val="14"/>
                <w:color w:val="auto"/>
              </w:rPr>
              <w:t>Contractual</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Exercise</w:t>
            </w:r>
          </w:p>
        </w:tc>
        <w:tc>
          <w:tcPr>
            <w:tcW w:w="1400" w:type="dxa"/>
            <w:vAlign w:val="bottom"/>
          </w:tcPr>
          <w:p>
            <w:pPr>
              <w:ind w:left="220"/>
              <w:spacing w:after="0"/>
              <w:rPr>
                <w:sz w:val="20"/>
                <w:szCs w:val="20"/>
                <w:color w:val="auto"/>
              </w:rPr>
            </w:pPr>
            <w:r>
              <w:rPr>
                <w:rFonts w:ascii="Courier New" w:cs="Courier New" w:eastAsia="Courier New" w:hAnsi="Courier New"/>
                <w:sz w:val="14"/>
                <w:szCs w:val="14"/>
                <w:color w:val="auto"/>
              </w:rPr>
              <w:t>Exercisable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Exercise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Exercise Prices</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at 4/30/06</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Life</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Price</w:t>
            </w:r>
          </w:p>
        </w:tc>
        <w:tc>
          <w:tcPr>
            <w:tcW w:w="1400" w:type="dxa"/>
            <w:vAlign w:val="bottom"/>
          </w:tcPr>
          <w:p>
            <w:pPr>
              <w:ind w:left="220"/>
              <w:spacing w:after="0"/>
              <w:rPr>
                <w:sz w:val="20"/>
                <w:szCs w:val="20"/>
                <w:color w:val="auto"/>
              </w:rPr>
            </w:pPr>
            <w:r>
              <w:rPr>
                <w:rFonts w:ascii="Courier New" w:cs="Courier New" w:eastAsia="Courier New" w:hAnsi="Courier New"/>
                <w:sz w:val="14"/>
                <w:szCs w:val="14"/>
                <w:color w:val="auto"/>
              </w:rPr>
              <w:t>at 4/30/06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$4.375 - 9.970</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488,700</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4.4</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w w:val="99"/>
              </w:rPr>
              <w:t>$ 7.64</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411,275</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$ 7.45</w:t>
            </w:r>
          </w:p>
        </w:tc>
      </w:tr>
      <w:tr>
        <w:trPr>
          <w:trHeight w:val="334"/>
        </w:trPr>
        <w:tc>
          <w:tcPr>
            <w:tcW w:w="1480" w:type="dxa"/>
            <w:vAlign w:val="bottom"/>
          </w:tcPr>
          <w:p>
            <w:pPr>
              <w:spacing w:after="0"/>
              <w:rPr>
                <w:sz w:val="20"/>
                <w:szCs w:val="20"/>
                <w:color w:val="auto"/>
              </w:rPr>
            </w:pPr>
            <w:r>
              <w:rPr>
                <w:rFonts w:ascii="Courier New" w:cs="Courier New" w:eastAsia="Courier New" w:hAnsi="Courier New"/>
                <w:sz w:val="14"/>
                <w:szCs w:val="14"/>
                <w:color w:val="auto"/>
              </w:rPr>
              <w:t>10.167 - 16.625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562,687</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4.8</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12.71</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479,062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12.66</w:t>
            </w:r>
          </w:p>
        </w:tc>
      </w:tr>
      <w:tr>
        <w:trPr>
          <w:trHeight w:val="334"/>
        </w:trPr>
        <w:tc>
          <w:tcPr>
            <w:tcW w:w="1480" w:type="dxa"/>
            <w:vAlign w:val="bottom"/>
          </w:tcPr>
          <w:p>
            <w:pPr>
              <w:ind w:left="360"/>
              <w:spacing w:after="0"/>
              <w:rPr>
                <w:sz w:val="20"/>
                <w:szCs w:val="20"/>
                <w:color w:val="auto"/>
              </w:rPr>
            </w:pPr>
            <w:r>
              <w:rPr>
                <w:rFonts w:ascii="Courier New" w:cs="Courier New" w:eastAsia="Courier New" w:hAnsi="Courier New"/>
                <w:sz w:val="14"/>
                <w:szCs w:val="14"/>
                <w:color w:val="auto"/>
              </w:rPr>
              <w:t>23.75</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82,000</w:t>
            </w:r>
          </w:p>
        </w:tc>
        <w:tc>
          <w:tcPr>
            <w:tcW w:w="1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23.75</w:t>
            </w:r>
          </w:p>
        </w:tc>
        <w:tc>
          <w:tcPr>
            <w:tcW w:w="14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82,000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23.75</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Restricted Stock Plan:</w:t>
      </w:r>
    </w:p>
    <w:p>
      <w:pPr>
        <w:spacing w:after="0" w:line="175"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jc w:val="right"/>
              <w:ind w:right="548"/>
              <w:spacing w:after="0"/>
              <w:rPr>
                <w:sz w:val="20"/>
                <w:szCs w:val="20"/>
                <w:color w:val="auto"/>
              </w:rPr>
            </w:pPr>
            <w:r>
              <w:rPr>
                <w:rFonts w:ascii="Courier New" w:cs="Courier New" w:eastAsia="Courier New" w:hAnsi="Courier New"/>
                <w:sz w:val="14"/>
                <w:szCs w:val="14"/>
                <w:color w:val="auto"/>
              </w:rPr>
              <w:t>2006</w:t>
            </w:r>
          </w:p>
        </w:tc>
        <w:tc>
          <w:tcPr>
            <w:tcW w:w="600" w:type="dxa"/>
            <w:vAlign w:val="bottom"/>
          </w:tcPr>
          <w:p>
            <w:pPr>
              <w:spacing w:after="0"/>
              <w:rPr>
                <w:sz w:val="14"/>
                <w:szCs w:val="14"/>
                <w:color w:val="auto"/>
              </w:rPr>
            </w:pPr>
          </w:p>
        </w:tc>
        <w:tc>
          <w:tcPr>
            <w:tcW w:w="1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2005</w:t>
            </w:r>
          </w:p>
        </w:tc>
        <w:tc>
          <w:tcPr>
            <w:tcW w:w="620" w:type="dxa"/>
            <w:vAlign w:val="bottom"/>
          </w:tcPr>
          <w:p>
            <w:pPr>
              <w:spacing w:after="0"/>
              <w:rPr>
                <w:sz w:val="14"/>
                <w:szCs w:val="14"/>
                <w:color w:val="auto"/>
              </w:rPr>
            </w:pPr>
          </w:p>
        </w:tc>
        <w:tc>
          <w:tcPr>
            <w:tcW w:w="860" w:type="dxa"/>
            <w:vAlign w:val="bottom"/>
          </w:tcPr>
          <w:p>
            <w:pPr>
              <w:jc w:val="right"/>
              <w:ind w:right="448"/>
              <w:spacing w:after="0"/>
              <w:rPr>
                <w:sz w:val="20"/>
                <w:szCs w:val="20"/>
                <w:color w:val="auto"/>
              </w:rPr>
            </w:pPr>
            <w:r>
              <w:rPr>
                <w:rFonts w:ascii="Courier New" w:cs="Courier New" w:eastAsia="Courier New" w:hAnsi="Courier New"/>
                <w:sz w:val="14"/>
                <w:szCs w:val="14"/>
                <w:color w:val="auto"/>
                <w:w w:val="95"/>
              </w:rPr>
              <w:t>2004</w:t>
            </w:r>
          </w:p>
        </w:tc>
      </w:tr>
      <w:tr>
        <w:trPr>
          <w:trHeight w:val="167"/>
        </w:trPr>
        <w:tc>
          <w:tcPr>
            <w:tcW w:w="3080" w:type="dxa"/>
            <w:vAlign w:val="bottom"/>
          </w:tcPr>
          <w:p>
            <w:pPr>
              <w:spacing w:after="0"/>
              <w:rPr>
                <w:sz w:val="14"/>
                <w:szCs w:val="14"/>
                <w:color w:val="auto"/>
              </w:rPr>
            </w:pPr>
          </w:p>
        </w:tc>
        <w:tc>
          <w:tcPr>
            <w:tcW w:w="17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64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4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Wtd Avg</w:t>
            </w:r>
          </w:p>
        </w:tc>
        <w:tc>
          <w:tcPr>
            <w:tcW w:w="600" w:type="dxa"/>
            <w:vAlign w:val="bottom"/>
          </w:tcPr>
          <w:p>
            <w:pPr>
              <w:spacing w:after="0"/>
              <w:rPr>
                <w:sz w:val="24"/>
                <w:szCs w:val="24"/>
                <w:color w:val="auto"/>
              </w:rPr>
            </w:pP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Wtd Avg</w:t>
            </w:r>
          </w:p>
        </w:tc>
        <w:tc>
          <w:tcPr>
            <w:tcW w:w="6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Wtd Avg</w:t>
            </w:r>
          </w:p>
        </w:tc>
      </w:tr>
      <w:tr>
        <w:trPr>
          <w:trHeight w:val="167"/>
        </w:trPr>
        <w:tc>
          <w:tcPr>
            <w:tcW w:w="308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Courier New" w:cs="Courier New" w:eastAsia="Courier New" w:hAnsi="Courier New"/>
                <w:sz w:val="14"/>
                <w:szCs w:val="14"/>
                <w:color w:val="auto"/>
              </w:rPr>
              <w:t>Shares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Shares</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Price</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Shares</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Price</w:t>
            </w:r>
          </w:p>
        </w:tc>
      </w:tr>
      <w:tr>
        <w:trPr>
          <w:trHeight w:val="167"/>
        </w:trPr>
        <w:tc>
          <w:tcPr>
            <w:tcW w:w="3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3080" w:type="dxa"/>
            <w:vAlign w:val="bottom"/>
          </w:tcPr>
          <w:p>
            <w:pPr>
              <w:ind w:left="180"/>
              <w:spacing w:after="0"/>
              <w:rPr>
                <w:sz w:val="20"/>
                <w:szCs w:val="20"/>
                <w:color w:val="auto"/>
              </w:rPr>
            </w:pPr>
            <w:r>
              <w:rPr>
                <w:rFonts w:ascii="Courier New" w:cs="Courier New" w:eastAsia="Courier New" w:hAnsi="Courier New"/>
                <w:sz w:val="14"/>
                <w:szCs w:val="14"/>
                <w:color w:val="auto"/>
              </w:rPr>
              <w:t>Outstanding at beginning of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334"/>
        </w:trPr>
        <w:tc>
          <w:tcPr>
            <w:tcW w:w="3080" w:type="dxa"/>
            <w:vAlign w:val="bottom"/>
          </w:tcPr>
          <w:p>
            <w:pPr>
              <w:ind w:left="180"/>
              <w:spacing w:after="0"/>
              <w:rPr>
                <w:sz w:val="20"/>
                <w:szCs w:val="20"/>
                <w:color w:val="auto"/>
              </w:rPr>
            </w:pPr>
            <w:r>
              <w:rPr>
                <w:rFonts w:ascii="Courier New" w:cs="Courier New" w:eastAsia="Courier New" w:hAnsi="Courier New"/>
                <w:sz w:val="14"/>
                <w:szCs w:val="14"/>
                <w:color w:val="auto"/>
              </w:rPr>
              <w:t>Exercised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080" w:type="dxa"/>
            <w:vAlign w:val="bottom"/>
          </w:tcPr>
          <w:p>
            <w:pPr>
              <w:ind w:left="180"/>
              <w:spacing w:after="0"/>
              <w:rPr>
                <w:sz w:val="20"/>
                <w:szCs w:val="20"/>
                <w:color w:val="auto"/>
              </w:rPr>
            </w:pPr>
            <w:r>
              <w:rPr>
                <w:rFonts w:ascii="Courier New" w:cs="Courier New" w:eastAsia="Courier New" w:hAnsi="Courier New"/>
                <w:sz w:val="14"/>
                <w:szCs w:val="14"/>
                <w:color w:val="auto"/>
              </w:rPr>
              <w:t>Outstanding at end of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r>
        <w:trPr>
          <w:trHeight w:val="334"/>
        </w:trPr>
        <w:tc>
          <w:tcPr>
            <w:tcW w:w="3080" w:type="dxa"/>
            <w:vAlign w:val="bottom"/>
          </w:tcPr>
          <w:p>
            <w:pPr>
              <w:spacing w:after="0"/>
              <w:rPr>
                <w:sz w:val="20"/>
                <w:szCs w:val="20"/>
                <w:color w:val="auto"/>
              </w:rPr>
            </w:pPr>
            <w:r>
              <w:rPr>
                <w:rFonts w:ascii="Courier New" w:cs="Courier New" w:eastAsia="Courier New" w:hAnsi="Courier New"/>
                <w:sz w:val="14"/>
                <w:szCs w:val="14"/>
                <w:color w:val="auto"/>
              </w:rPr>
              <w:t>Exercisable at end of year</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22,500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30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spacing w:after="0"/>
              <w:rPr>
                <w:sz w:val="14"/>
                <w:szCs w:val="14"/>
                <w:color w:val="auto"/>
              </w:rPr>
            </w:pPr>
          </w:p>
        </w:tc>
      </w:tr>
    </w:tbl>
    <w:p>
      <w:pPr>
        <w:sectPr>
          <w:pgSz w:w="11900" w:h="16838" w:orient="portrait"/>
          <w:cols w:equalWidth="0" w:num="1">
            <w:col w:w="10239"/>
          </w:cols>
          <w:pgMar w:left="220" w:top="620" w:right="1440" w:bottom="0" w:gutter="0" w:footer="0" w:header="0"/>
        </w:sectPr>
      </w:pPr>
    </w:p>
    <w:bookmarkStart w:id="50" w:name="page51"/>
    <w:bookmarkEnd w:id="50"/>
    <w:p>
      <w:pPr>
        <w:ind w:left="360"/>
        <w:spacing w:after="0"/>
        <w:rPr>
          <w:sz w:val="20"/>
          <w:szCs w:val="20"/>
          <w:color w:val="auto"/>
        </w:rPr>
      </w:pPr>
      <w:r>
        <w:rPr>
          <w:rFonts w:ascii="Courier New" w:cs="Courier New" w:eastAsia="Courier New" w:hAnsi="Courier New"/>
          <w:sz w:val="14"/>
          <w:szCs w:val="14"/>
          <w:color w:val="auto"/>
        </w:rPr>
        <w:t>Balance of shares available for</w:t>
      </w:r>
    </w:p>
    <w:p>
      <w:pPr>
        <w:sectPr>
          <w:pgSz w:w="11900" w:h="16838" w:orient="portrait"/>
          <w:cols w:equalWidth="0" w:num="1">
            <w:col w:w="10239"/>
          </w:cols>
          <w:pgMar w:left="220" w:top="141" w:right="1440" w:bottom="1440" w:gutter="0" w:footer="0" w:header="0"/>
        </w:sectPr>
      </w:pPr>
    </w:p>
    <w:p>
      <w:pPr>
        <w:spacing w:after="0" w:line="8"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4"/>
          <w:szCs w:val="14"/>
          <w:color w:val="auto"/>
        </w:rPr>
        <w:t>grant at end of year</w:t>
      </w:r>
    </w:p>
    <w:p>
      <w:pPr>
        <w:spacing w:after="0" w:line="20" w:lineRule="exact"/>
        <w:rPr>
          <w:sz w:val="20"/>
          <w:szCs w:val="20"/>
          <w:color w:val="auto"/>
        </w:rPr>
      </w:pPr>
      <w:r>
        <w:rPr>
          <w:sz w:val="20"/>
          <w:szCs w:val="20"/>
          <w:color w:val="auto"/>
        </w:rPr>
        <w:br w:type="column"/>
      </w:r>
    </w:p>
    <w:p>
      <w:pPr>
        <w:jc w:val="right"/>
        <w:ind w:right="4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98,250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98,250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2680" w:space="720"/>
            <w:col w:w="920" w:space="720"/>
            <w:col w:w="940" w:space="720"/>
            <w:col w:w="3539"/>
          </w:cols>
          <w:pgMar w:left="220" w:top="141" w:right="1440" w:bottom="1440" w:gutter="0" w:footer="0" w:header="0"/>
          <w:type w:val="continuous"/>
        </w:sectPr>
      </w:pPr>
    </w:p>
    <w:p>
      <w:pPr>
        <w:spacing w:after="0" w:line="142" w:lineRule="exact"/>
        <w:rPr>
          <w:sz w:val="20"/>
          <w:szCs w:val="20"/>
          <w:color w:val="auto"/>
        </w:rPr>
      </w:pPr>
    </w:p>
    <w:p>
      <w:pPr>
        <w:ind w:right="3459" w:firstLine="434"/>
        <w:spacing w:after="0" w:line="258" w:lineRule="auto"/>
        <w:rPr>
          <w:sz w:val="20"/>
          <w:szCs w:val="20"/>
          <w:color w:val="auto"/>
        </w:rPr>
      </w:pPr>
      <w:r>
        <w:rPr>
          <w:rFonts w:ascii="Courier New" w:cs="Courier New" w:eastAsia="Courier New" w:hAnsi="Courier New"/>
          <w:sz w:val="14"/>
          <w:szCs w:val="14"/>
          <w:color w:val="auto"/>
        </w:rPr>
        <w:t>Transferability of shares is restricted for a four-year period, except in the event of a change in control as defined.</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50</w:t>
      </w:r>
    </w:p>
    <w:p>
      <w:pPr>
        <w:sectPr>
          <w:pgSz w:w="11900" w:h="16838" w:orient="portrait"/>
          <w:cols w:equalWidth="0" w:num="1">
            <w:col w:w="10239"/>
          </w:cols>
          <w:pgMar w:left="220" w:top="141" w:right="1440" w:bottom="1440" w:gutter="0" w:footer="0" w:header="0"/>
          <w:type w:val="continuous"/>
        </w:sectPr>
      </w:pPr>
    </w:p>
    <w:bookmarkStart w:id="51" w:name="page52"/>
    <w:bookmarkEnd w:id="51"/>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 Stock Ownership Plan/Stock Bonus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562,052 shares remain in the ESOP.</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Deferred Compensation Plan:</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has a program for key employees providing for the payment of benefits upon retirement or death. Under the plan, each key employee receives specified retirement payments for the remainder of the employee's life with a minimum payment of ten years' benefits to either the employee or his beneficiaries. The plan also provides for reduced benefits upon early retirement or termination of employment. The Company pays the benefits out of its working capital but has also purchased whole life or term life insurance policies on the lives of certain of the participants to cover the optional lump sum obligations of the plan upon the death of the participant.</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Deferred compensation expense charged to operations during the years ended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30, 2006, 2005 and 2004 was approximately $636,000, $1,266,000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$371,000, respectively. During fiscal year 2005, the Company recorded a 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accounting estimate in the amount of $327,000 to reflect the use of a revised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actuarial mortality tables to determine its deferred compensation liability.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Income Taxes</w:t>
      </w:r>
    </w:p>
    <w:p>
      <w:pPr>
        <w:spacing w:after="0" w:line="175" w:lineRule="exact"/>
        <w:rPr>
          <w:sz w:val="20"/>
          <w:szCs w:val="20"/>
          <w:color w:val="auto"/>
        </w:rPr>
      </w:pPr>
    </w:p>
    <w:p>
      <w:pPr>
        <w:ind w:right="3379" w:firstLine="434"/>
        <w:spacing w:after="0" w:line="258" w:lineRule="auto"/>
        <w:rPr>
          <w:sz w:val="20"/>
          <w:szCs w:val="20"/>
          <w:color w:val="auto"/>
        </w:rPr>
      </w:pPr>
      <w:r>
        <w:rPr>
          <w:rFonts w:ascii="Courier New" w:cs="Courier New" w:eastAsia="Courier New" w:hAnsi="Courier New"/>
          <w:sz w:val="14"/>
          <w:szCs w:val="14"/>
          <w:color w:val="auto"/>
        </w:rPr>
        <w:t>The income (loss) before provision (benefit) for income taxes consisted of (in thousands):</w:t>
      </w:r>
    </w:p>
    <w:p>
      <w:pPr>
        <w:spacing w:after="0" w:line="160"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Year Ended April 30,</w:t>
            </w:r>
          </w:p>
        </w:tc>
        <w:tc>
          <w:tcPr>
            <w:tcW w:w="52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19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2005</w:t>
            </w:r>
          </w:p>
        </w:tc>
        <w:tc>
          <w:tcPr>
            <w:tcW w:w="3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2004</w:t>
            </w:r>
          </w:p>
        </w:tc>
      </w:tr>
      <w:tr>
        <w:trPr>
          <w:trHeight w:val="167"/>
        </w:trPr>
        <w:tc>
          <w:tcPr>
            <w:tcW w:w="1780" w:type="dxa"/>
            <w:vAlign w:val="bottom"/>
          </w:tcPr>
          <w:p>
            <w:pPr>
              <w:spacing w:after="0"/>
              <w:rPr>
                <w:sz w:val="14"/>
                <w:szCs w:val="14"/>
                <w:color w:val="auto"/>
              </w:rPr>
            </w:pPr>
          </w:p>
        </w:tc>
        <w:tc>
          <w:tcPr>
            <w:tcW w:w="19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U.S.</w:t>
            </w:r>
          </w:p>
        </w:tc>
        <w:tc>
          <w:tcPr>
            <w:tcW w:w="19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$5,446</w:t>
            </w:r>
          </w:p>
        </w:tc>
        <w:tc>
          <w:tcPr>
            <w:tcW w:w="10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$6,977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466</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Foreign</w:t>
            </w:r>
          </w:p>
        </w:tc>
        <w:tc>
          <w:tcPr>
            <w:tcW w:w="19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1,181</w:t>
            </w:r>
          </w:p>
        </w:tc>
        <w:tc>
          <w:tcPr>
            <w:tcW w:w="10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170</w:t>
            </w:r>
          </w:p>
        </w:tc>
        <w:tc>
          <w:tcPr>
            <w:tcW w:w="3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(35)</w:t>
            </w:r>
          </w:p>
        </w:tc>
      </w:tr>
      <w:tr>
        <w:trPr>
          <w:trHeight w:val="167"/>
        </w:trPr>
        <w:tc>
          <w:tcPr>
            <w:tcW w:w="1780" w:type="dxa"/>
            <w:vAlign w:val="bottom"/>
          </w:tcPr>
          <w:p>
            <w:pPr>
              <w:spacing w:after="0"/>
              <w:rPr>
                <w:sz w:val="14"/>
                <w:szCs w:val="14"/>
                <w:color w:val="auto"/>
              </w:rPr>
            </w:pPr>
          </w:p>
        </w:tc>
        <w:tc>
          <w:tcPr>
            <w:tcW w:w="19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14"/>
                <w:szCs w:val="14"/>
                <w:color w:val="auto"/>
              </w:rPr>
            </w:pPr>
          </w:p>
        </w:tc>
        <w:tc>
          <w:tcPr>
            <w:tcW w:w="19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$6,627</w:t>
            </w:r>
          </w:p>
        </w:tc>
        <w:tc>
          <w:tcPr>
            <w:tcW w:w="10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$7,147</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431</w:t>
            </w:r>
          </w:p>
        </w:tc>
      </w:tr>
      <w:tr>
        <w:trPr>
          <w:trHeight w:val="167"/>
        </w:trPr>
        <w:tc>
          <w:tcPr>
            <w:tcW w:w="1780" w:type="dxa"/>
            <w:vAlign w:val="bottom"/>
          </w:tcPr>
          <w:p>
            <w:pPr>
              <w:spacing w:after="0"/>
              <w:rPr>
                <w:sz w:val="14"/>
                <w:szCs w:val="14"/>
                <w:color w:val="auto"/>
              </w:rPr>
            </w:pPr>
          </w:p>
        </w:tc>
        <w:tc>
          <w:tcPr>
            <w:tcW w:w="1980" w:type="dxa"/>
            <w:vAlign w:val="bottom"/>
          </w:tcPr>
          <w:p>
            <w:pPr>
              <w:jc w:val="center"/>
              <w:ind w:left="7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719" w:firstLine="434"/>
        <w:spacing w:after="0" w:line="258" w:lineRule="auto"/>
        <w:rPr>
          <w:sz w:val="20"/>
          <w:szCs w:val="20"/>
          <w:color w:val="auto"/>
        </w:rPr>
      </w:pPr>
      <w:r>
        <w:rPr>
          <w:rFonts w:ascii="Courier New" w:cs="Courier New" w:eastAsia="Courier New" w:hAnsi="Courier New"/>
          <w:sz w:val="14"/>
          <w:szCs w:val="14"/>
          <w:color w:val="auto"/>
        </w:rPr>
        <w:t>The provision (benefit) for income taxes consists of the following (in thousands):</w:t>
      </w:r>
    </w:p>
    <w:p>
      <w:pPr>
        <w:spacing w:after="0" w:line="160"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2006</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300" w:type="dxa"/>
            <w:vAlign w:val="bottom"/>
          </w:tcPr>
          <w:p>
            <w:pPr>
              <w:spacing w:after="0"/>
              <w:rPr>
                <w:sz w:val="14"/>
                <w:szCs w:val="14"/>
                <w:color w:val="auto"/>
              </w:rPr>
            </w:pP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Current:</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850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($ 300)</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Current provision (benefit)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943</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(300)</w:t>
            </w:r>
          </w:p>
        </w:tc>
      </w:tr>
      <w:tr>
        <w:trPr>
          <w:trHeight w:val="167"/>
        </w:trPr>
        <w:tc>
          <w:tcPr>
            <w:tcW w:w="3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Deferred</w:t>
            </w: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Federal</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650</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Foreign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95</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State</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100</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260"/>
              <w:spacing w:after="0"/>
              <w:rPr>
                <w:sz w:val="20"/>
                <w:szCs w:val="20"/>
                <w:color w:val="auto"/>
              </w:rPr>
            </w:pPr>
            <w:r>
              <w:rPr>
                <w:rFonts w:ascii="Courier New" w:cs="Courier New" w:eastAsia="Courier New" w:hAnsi="Courier New"/>
                <w:sz w:val="14"/>
                <w:szCs w:val="14"/>
                <w:color w:val="auto"/>
              </w:rPr>
              <w:t>Valuation allowance- foreign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316</w:t>
            </w:r>
          </w:p>
        </w:tc>
      </w:tr>
      <w:tr>
        <w:trPr>
          <w:trHeight w:val="167"/>
        </w:trPr>
        <w:tc>
          <w:tcPr>
            <w:tcW w:w="3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620"/>
              <w:spacing w:after="0"/>
              <w:rPr>
                <w:sz w:val="20"/>
                <w:szCs w:val="20"/>
                <w:color w:val="auto"/>
              </w:rPr>
            </w:pPr>
            <w:r>
              <w:rPr>
                <w:rFonts w:ascii="Courier New" w:cs="Courier New" w:eastAsia="Courier New" w:hAnsi="Courier New"/>
                <w:sz w:val="14"/>
                <w:szCs w:val="14"/>
                <w:color w:val="auto"/>
              </w:rPr>
              <w:t>Deferred provision (benefit)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886</w:t>
            </w:r>
          </w:p>
        </w:tc>
        <w:tc>
          <w:tcPr>
            <w:tcW w:w="10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(2,610)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w:t>
            </w:r>
          </w:p>
        </w:tc>
      </w:tr>
      <w:tr>
        <w:trPr>
          <w:trHeight w:val="167"/>
        </w:trPr>
        <w:tc>
          <w:tcPr>
            <w:tcW w:w="3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Total provision</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$1,829</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$2,110</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$ 111</w:t>
            </w:r>
          </w:p>
        </w:tc>
      </w:tr>
      <w:tr>
        <w:trPr>
          <w:trHeight w:val="167"/>
        </w:trPr>
        <w:tc>
          <w:tcPr>
            <w:tcW w:w="3300" w:type="dxa"/>
            <w:vAlign w:val="bottom"/>
          </w:tcPr>
          <w:p>
            <w:pPr>
              <w:spacing w:after="0"/>
              <w:rPr>
                <w:sz w:val="14"/>
                <w:szCs w:val="14"/>
                <w:color w:val="auto"/>
              </w:rPr>
            </w:pP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3300" w:type="dxa"/>
            <w:vAlign w:val="bottom"/>
          </w:tcPr>
          <w:p>
            <w:pPr>
              <w:ind w:left="2700"/>
              <w:spacing w:after="0"/>
              <w:rPr>
                <w:sz w:val="20"/>
                <w:szCs w:val="20"/>
                <w:color w:val="auto"/>
              </w:rPr>
            </w:pPr>
            <w:r>
              <w:rPr>
                <w:rFonts w:ascii="Courier New" w:cs="Courier New" w:eastAsia="Courier New" w:hAnsi="Courier New"/>
                <w:sz w:val="14"/>
                <w:szCs w:val="14"/>
                <w:color w:val="auto"/>
              </w:rPr>
              <w:t>51</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2" w:name="page53"/>
    <w:bookmarkEnd w:id="52"/>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ind w:right="3639" w:firstLine="434"/>
        <w:spacing w:after="0" w:line="258" w:lineRule="auto"/>
        <w:rPr>
          <w:sz w:val="20"/>
          <w:szCs w:val="20"/>
          <w:color w:val="auto"/>
        </w:rPr>
      </w:pPr>
      <w:r>
        <w:rPr>
          <w:rFonts w:ascii="Courier New" w:cs="Courier New" w:eastAsia="Courier New" w:hAnsi="Courier New"/>
          <w:sz w:val="14"/>
          <w:szCs w:val="14"/>
          <w:color w:val="auto"/>
        </w:rPr>
        <w:t>The following table reconciles the reported income tax expense with the amount computed using the federal statutory income tax rate (in thousands).</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340" w:type="dxa"/>
            <w:vAlign w:val="bottom"/>
          </w:tcPr>
          <w:p>
            <w:pPr>
              <w:spacing w:after="0"/>
              <w:rPr>
                <w:sz w:val="14"/>
                <w:szCs w:val="14"/>
                <w:color w:val="auto"/>
              </w:rPr>
            </w:pP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4340" w:type="dxa"/>
            <w:vAlign w:val="bottom"/>
          </w:tcPr>
          <w:p>
            <w:pPr>
              <w:spacing w:after="0"/>
              <w:rPr>
                <w:sz w:val="20"/>
                <w:szCs w:val="20"/>
                <w:color w:val="auto"/>
              </w:rPr>
            </w:pPr>
            <w:r>
              <w:rPr>
                <w:rFonts w:ascii="Courier New" w:cs="Courier New" w:eastAsia="Courier New" w:hAnsi="Courier New"/>
                <w:sz w:val="14"/>
                <w:szCs w:val="14"/>
                <w:color w:val="auto"/>
              </w:rPr>
              <w:t>Computed "expected" tax (benefit) expense</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$2,253</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$2,430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$ 147</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State and local tax, net of federal benefit</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132</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Nontaxable income from foreign subsidiaries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Valuation allowance on foreign deferred taxes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316</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Nondeductible losses at foreign subsidiaries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218</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Nondeductible expenses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Nontaxable life insurance cash value increase</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(103)</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Reversal of tax liabilities</w:t>
            </w: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(400)</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Tax credits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(217)</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(549)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7"/>
        </w:trPr>
        <w:tc>
          <w:tcPr>
            <w:tcW w:w="4340" w:type="dxa"/>
            <w:vAlign w:val="bottom"/>
          </w:tcPr>
          <w:p>
            <w:pPr>
              <w:spacing w:after="0"/>
              <w:rPr>
                <w:sz w:val="20"/>
                <w:szCs w:val="20"/>
                <w:color w:val="auto"/>
              </w:rPr>
            </w:pPr>
            <w:r>
              <w:rPr>
                <w:rFonts w:ascii="Courier New" w:cs="Courier New" w:eastAsia="Courier New" w:hAnsi="Courier New"/>
                <w:sz w:val="14"/>
                <w:szCs w:val="14"/>
                <w:color w:val="auto"/>
              </w:rPr>
              <w:t>Other items, net, none of which individually</w:t>
            </w:r>
          </w:p>
        </w:tc>
        <w:tc>
          <w:tcPr>
            <w:tcW w:w="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4340" w:type="dxa"/>
            <w:vAlign w:val="bottom"/>
          </w:tcPr>
          <w:p>
            <w:pPr>
              <w:ind w:left="260"/>
              <w:spacing w:after="0"/>
              <w:rPr>
                <w:sz w:val="20"/>
                <w:szCs w:val="20"/>
                <w:color w:val="auto"/>
              </w:rPr>
            </w:pPr>
            <w:r>
              <w:rPr>
                <w:rFonts w:ascii="Courier New" w:cs="Courier New" w:eastAsia="Courier New" w:hAnsi="Courier New"/>
                <w:sz w:val="14"/>
                <w:szCs w:val="14"/>
                <w:color w:val="auto"/>
              </w:rPr>
              <w:t>exceeds 5% of federal taxes at statutory rates</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167"/>
        </w:trPr>
        <w:tc>
          <w:tcPr>
            <w:tcW w:w="4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$1,829</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$2,110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$ 111</w:t>
            </w:r>
          </w:p>
        </w:tc>
      </w:tr>
      <w:tr>
        <w:trPr>
          <w:trHeight w:val="167"/>
        </w:trPr>
        <w:tc>
          <w:tcPr>
            <w:tcW w:w="434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components of deferred taxes are as follows (in thousands):</w:t>
      </w:r>
    </w:p>
    <w:p>
      <w:pPr>
        <w:spacing w:after="0" w:line="175"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2005</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394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Employee benefits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$4,157</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$4,012</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Inventory</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1,450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1,550</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Accounts receivable</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Marketable securities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296</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Research &amp; development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632</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Other liabilities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61</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Foreign net operating loss carryforwards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116</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430</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Miscellaneous</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110</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118</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Total deferred tax asset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7,022</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6,818</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40" w:type="dxa"/>
            <w:vAlign w:val="bottom"/>
          </w:tcPr>
          <w:p>
            <w:pPr>
              <w:ind w:left="80"/>
              <w:spacing w:after="0"/>
              <w:rPr>
                <w:sz w:val="20"/>
                <w:szCs w:val="20"/>
                <w:color w:val="auto"/>
              </w:rPr>
            </w:pPr>
            <w:r>
              <w:rPr>
                <w:rFonts w:ascii="Courier New" w:cs="Courier New" w:eastAsia="Courier New" w:hAnsi="Courier New"/>
                <w:sz w:val="14"/>
                <w:szCs w:val="14"/>
                <w:color w:val="auto"/>
              </w:rPr>
              <w:t>Deferred tax liabilities: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Property, plant and equipment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1,048</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838</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40" w:type="dxa"/>
            <w:vAlign w:val="bottom"/>
          </w:tcPr>
          <w:p>
            <w:pPr>
              <w:ind w:left="340"/>
              <w:spacing w:after="0"/>
              <w:rPr>
                <w:sz w:val="20"/>
                <w:szCs w:val="20"/>
                <w:color w:val="auto"/>
              </w:rPr>
            </w:pPr>
            <w:r>
              <w:rPr>
                <w:rFonts w:ascii="Courier New" w:cs="Courier New" w:eastAsia="Courier New" w:hAnsi="Courier New"/>
                <w:sz w:val="14"/>
                <w:szCs w:val="14"/>
                <w:color w:val="auto"/>
              </w:rPr>
              <w:t>Net deferred tax asset</w:t>
            </w: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5,974</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5,980</w:t>
            </w:r>
          </w:p>
        </w:tc>
      </w:tr>
      <w:tr>
        <w:trPr>
          <w:trHeight w:val="167"/>
        </w:trPr>
        <w:tc>
          <w:tcPr>
            <w:tcW w:w="39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(1,067)</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$4,977</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$4,913</w:t>
            </w:r>
          </w:p>
        </w:tc>
      </w:tr>
      <w:tr>
        <w:trPr>
          <w:trHeight w:val="167"/>
        </w:trPr>
        <w:tc>
          <w:tcPr>
            <w:tcW w:w="3940" w:type="dxa"/>
            <w:vAlign w:val="bottom"/>
          </w:tcPr>
          <w:p>
            <w:pPr>
              <w:spacing w:after="0"/>
              <w:rPr>
                <w:sz w:val="14"/>
                <w:szCs w:val="14"/>
                <w:color w:val="auto"/>
              </w:rPr>
            </w:pPr>
          </w:p>
        </w:tc>
        <w:tc>
          <w:tcPr>
            <w:tcW w:w="10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At April 30, 2006, the Company has available approximately $1.5 million in net operating losses available to offset future income of certain of its foreign subsidiaries. The total valuation allowance relates to deferred tax assets of foreign subsidiaries.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Product Warranties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65"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4"/>
          <w:szCs w:val="14"/>
          <w:color w:val="auto"/>
        </w:rPr>
        <w:t>Year Ended April 30,</w:t>
      </w:r>
    </w:p>
    <w:p>
      <w:pPr>
        <w:spacing w:after="0" w:line="8"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27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$200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Warranty costs incurred</w:t>
            </w:r>
          </w:p>
        </w:tc>
        <w:tc>
          <w:tcPr>
            <w:tcW w:w="156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(280)</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Product warranty accrual</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561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119</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380</w:t>
            </w:r>
          </w:p>
        </w:tc>
      </w:tr>
      <w:tr>
        <w:trPr>
          <w:trHeight w:val="167"/>
        </w:trPr>
        <w:tc>
          <w:tcPr>
            <w:tcW w:w="27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Balance at end of year</w:t>
            </w: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$400</w:t>
            </w:r>
          </w:p>
        </w:tc>
      </w:tr>
      <w:tr>
        <w:trPr>
          <w:trHeight w:val="167"/>
        </w:trPr>
        <w:tc>
          <w:tcPr>
            <w:tcW w:w="2700" w:type="dxa"/>
            <w:vAlign w:val="bottom"/>
          </w:tcPr>
          <w:p>
            <w:pPr>
              <w:spacing w:after="0"/>
              <w:rPr>
                <w:sz w:val="14"/>
                <w:szCs w:val="14"/>
                <w:color w:val="auto"/>
              </w:rPr>
            </w:pPr>
          </w:p>
        </w:tc>
        <w:tc>
          <w:tcPr>
            <w:tcW w:w="15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501"/>
        </w:trPr>
        <w:tc>
          <w:tcPr>
            <w:tcW w:w="2700" w:type="dxa"/>
            <w:vAlign w:val="bottom"/>
          </w:tcPr>
          <w:p>
            <w:pPr>
              <w:spacing w:after="0"/>
              <w:rPr>
                <w:sz w:val="24"/>
                <w:szCs w:val="24"/>
                <w:color w:val="auto"/>
              </w:rPr>
            </w:pPr>
          </w:p>
        </w:tc>
        <w:tc>
          <w:tcPr>
            <w:tcW w:w="156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52</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53" w:name="page54"/>
    <w:bookmarkEnd w:id="53"/>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15. Segment Information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operates under four reportable segments:</w:t>
      </w:r>
    </w:p>
    <w:p>
      <w:pPr>
        <w:spacing w:after="0" w:line="175" w:lineRule="exact"/>
        <w:rPr>
          <w:sz w:val="20"/>
          <w:szCs w:val="20"/>
          <w:color w:val="auto"/>
        </w:rPr>
      </w:pPr>
    </w:p>
    <w:p>
      <w:pPr>
        <w:ind w:left="880" w:right="3279" w:hanging="437"/>
        <w:spacing w:after="0" w:line="254"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Communications - consists principally of precision time and frequency control products used in two principal markets- commercial communication satellites and terrestrial cellular telephone or other ground-based telecommunication stations. and other components and systems for the U.S. military.</w:t>
      </w:r>
    </w:p>
    <w:p>
      <w:pPr>
        <w:spacing w:after="0" w:line="162" w:lineRule="exact"/>
        <w:rPr>
          <w:rFonts w:ascii="Courier New" w:cs="Courier New" w:eastAsia="Courier New" w:hAnsi="Courier New"/>
          <w:sz w:val="14"/>
          <w:szCs w:val="14"/>
          <w:color w:val="auto"/>
        </w:rPr>
      </w:pPr>
    </w:p>
    <w:p>
      <w:pPr>
        <w:ind w:left="880" w:right="3279" w:hanging="437"/>
        <w:spacing w:after="0" w:line="258"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U.S. Government - consists of time and frequency control products used for national defense or space-related programs.</w:t>
      </w:r>
    </w:p>
    <w:p>
      <w:pPr>
        <w:spacing w:after="0" w:line="159" w:lineRule="exact"/>
        <w:rPr>
          <w:rFonts w:ascii="Courier New" w:cs="Courier New" w:eastAsia="Courier New" w:hAnsi="Courier New"/>
          <w:sz w:val="14"/>
          <w:szCs w:val="14"/>
          <w:color w:val="auto"/>
        </w:rPr>
      </w:pPr>
    </w:p>
    <w:p>
      <w:pPr>
        <w:ind w:left="880" w:right="3279" w:hanging="437"/>
        <w:spacing w:after="0" w:line="258"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Gillam-FEI - the Company's Belgian subsidiary primarily sells wireline synchronization and network management systems</w:t>
      </w:r>
    </w:p>
    <w:p>
      <w:pPr>
        <w:spacing w:after="0" w:line="159" w:lineRule="exact"/>
        <w:rPr>
          <w:rFonts w:ascii="Courier New" w:cs="Courier New" w:eastAsia="Courier New" w:hAnsi="Courier New"/>
          <w:sz w:val="14"/>
          <w:szCs w:val="14"/>
          <w:color w:val="auto"/>
        </w:rPr>
      </w:pPr>
    </w:p>
    <w:p>
      <w:pPr>
        <w:ind w:left="880" w:right="3379" w:hanging="437"/>
        <w:spacing w:after="0" w:line="254" w:lineRule="auto"/>
        <w:tabs>
          <w:tab w:leader="none" w:pos="8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163"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accounting policies of the four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Company's Commercial Communications and U.S. Government segments operate principally out of a U.S.-based manufacturing facility with both segments sharing the same managers, manufacturing personnel, and machinery and equipment. Consequently, data for these two segments includes allocations of depreciation and corporate-wide general and administrative charges. The assets of these two segments consist principally of inventory and accounts receivable. All other U.S.-based assets are assigned to the corporation for the benefit of all four segments. The European-based director of Gillam-FEI and the president of FEI-Zyfer manage the assets of these segments. All acquired assets, including intangible assets, are included in the assets of these two segments.</w:t>
      </w:r>
    </w:p>
    <w:p>
      <w:pPr>
        <w:spacing w:after="0" w:line="330" w:lineRule="exact"/>
        <w:rPr>
          <w:sz w:val="20"/>
          <w:szCs w:val="20"/>
          <w:color w:val="auto"/>
        </w:rPr>
      </w:pPr>
    </w:p>
    <w:p>
      <w:pPr>
        <w:ind w:right="3279" w:firstLine="434"/>
        <w:spacing w:after="0" w:line="254" w:lineRule="auto"/>
        <w:rPr>
          <w:sz w:val="20"/>
          <w:szCs w:val="20"/>
          <w:color w:val="auto"/>
        </w:rPr>
      </w:pPr>
      <w:r>
        <w:rPr>
          <w:rFonts w:ascii="Courier New" w:cs="Courier New" w:eastAsia="Courier New" w:hAnsi="Courier New"/>
          <w:sz w:val="14"/>
          <w:szCs w:val="14"/>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2006</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2005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3660" w:type="dxa"/>
            <w:vAlign w:val="bottom"/>
          </w:tcPr>
          <w:p>
            <w:pPr>
              <w:spacing w:after="0"/>
              <w:rPr>
                <w:sz w:val="14"/>
                <w:szCs w:val="14"/>
                <w:color w:val="auto"/>
              </w:rPr>
            </w:pPr>
          </w:p>
        </w:tc>
        <w:tc>
          <w:tcPr>
            <w:tcW w:w="12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Net sales:</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4"/>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Commercial Communications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$29,491</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$31,464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$28,235</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U.S. Government</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6,310</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5,603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7,053</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Gillam-FEI</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9,169**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12,599**</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12,197**</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FEI-Zyfer</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10,055</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8,803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6,560</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less intersegment sales</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(2,215)**</w:t>
            </w:r>
          </w:p>
        </w:tc>
        <w:tc>
          <w:tcPr>
            <w:tcW w:w="12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(3,296)**</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(3,939)**</w:t>
            </w:r>
          </w:p>
        </w:tc>
      </w:tr>
      <w:tr>
        <w:trPr>
          <w:trHeight w:val="167"/>
        </w:trPr>
        <w:tc>
          <w:tcPr>
            <w:tcW w:w="36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Consolidated Sales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$52,810</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$55,173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$50,106</w:t>
            </w:r>
          </w:p>
        </w:tc>
      </w:tr>
      <w:tr>
        <w:trPr>
          <w:trHeight w:val="167"/>
        </w:trPr>
        <w:tc>
          <w:tcPr>
            <w:tcW w:w="36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 profit (loss):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Commercial Communications</w:t>
            </w:r>
          </w:p>
        </w:tc>
        <w:tc>
          <w:tcPr>
            <w:tcW w:w="12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$3,509**</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$968**</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($1,093)**</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U.S. Government</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(1,645)</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(1,584)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Gillam-FEI</w:t>
            </w:r>
          </w:p>
        </w:tc>
        <w:tc>
          <w:tcPr>
            <w:tcW w:w="12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(525)**</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353**</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FEI-Zyfer</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903</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292</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(1,059)</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Corporate</w:t>
            </w: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(532)</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(1,145)</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(503)</w:t>
            </w:r>
          </w:p>
        </w:tc>
      </w:tr>
      <w:tr>
        <w:trPr>
          <w:trHeight w:val="167"/>
        </w:trPr>
        <w:tc>
          <w:tcPr>
            <w:tcW w:w="36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Consolidated Operating Profit (Loss)</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$1,710</w:t>
            </w:r>
          </w:p>
        </w:tc>
        <w:tc>
          <w:tcPr>
            <w:tcW w:w="12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($1,269)</w:t>
            </w:r>
          </w:p>
        </w:tc>
        <w:tc>
          <w:tcPr>
            <w:tcW w:w="10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($1,646)</w:t>
            </w:r>
          </w:p>
        </w:tc>
      </w:tr>
      <w:tr>
        <w:trPr>
          <w:trHeight w:val="167"/>
        </w:trPr>
        <w:tc>
          <w:tcPr>
            <w:tcW w:w="3660" w:type="dxa"/>
            <w:vAlign w:val="bottom"/>
          </w:tcPr>
          <w:p>
            <w:pPr>
              <w:spacing w:after="0"/>
              <w:rPr>
                <w:sz w:val="14"/>
                <w:szCs w:val="14"/>
                <w:color w:val="auto"/>
              </w:rPr>
            </w:pP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440" w:right="3279" w:hanging="431"/>
        <w:spacing w:after="0" w:line="253" w:lineRule="auto"/>
        <w:tabs>
          <w:tab w:leader="none" w:pos="4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fiscal years ended April 30, 2006, 2005 and 2004, includes Gillam-FEI intersegment sales of $945,000, $2.4 million and $3.5 million, respectively, to the Commercial Communications segment for development of a wireline synchronization product for ultimate production and sale in the U.S. These amounts were recorded as research and development expense of the Commercial Communications segment, resulting in lower operating profits in fiscal years 2006 and 2005 and an operating loss in fiscal year 2004 at that segment. In the Gillam-FEI segment, these transactions reduced the operating loss in fiscal year 2006 and produced operating profits in each of fiscal years 2005 and 2004.</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53</w:t>
      </w:r>
    </w:p>
    <w:p>
      <w:pPr>
        <w:sectPr>
          <w:pgSz w:w="11900" w:h="16838" w:orient="portrait"/>
          <w:cols w:equalWidth="0" w:num="1">
            <w:col w:w="10239"/>
          </w:cols>
          <w:pgMar w:left="220" w:top="620" w:right="1440" w:bottom="1440" w:gutter="0" w:footer="0" w:header="0"/>
        </w:sectPr>
      </w:pPr>
    </w:p>
    <w:bookmarkStart w:id="54" w:name="page55"/>
    <w:bookmarkEnd w:id="54"/>
    <w:tbl>
      <w:tblPr>
        <w:tblLayout w:type="fixed"/>
        <w:tblInd w:w="100" w:type="dxa"/>
        <w:tblCellMar>
          <w:top w:w="0" w:type="dxa"/>
          <w:left w:w="0" w:type="dxa"/>
          <w:bottom w:w="0" w:type="dxa"/>
          <w:right w:w="0" w:type="dxa"/>
        </w:tblCellMar>
      </w:tblPr>
      <w:tr>
        <w:trPr>
          <w:trHeight w:val="162"/>
        </w:trPr>
        <w:tc>
          <w:tcPr>
            <w:tcW w:w="58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NOTES TO CONSOLIDATED FINANCIAL STATEMENTS - Continued</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68"/>
        </w:trPr>
        <w:tc>
          <w:tcPr>
            <w:tcW w:w="4760" w:type="dxa"/>
            <w:vAlign w:val="bottom"/>
          </w:tcPr>
          <w:p>
            <w:pPr>
              <w:spacing w:after="0"/>
              <w:rPr>
                <w:sz w:val="24"/>
                <w:szCs w:val="2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2006</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2005</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4760" w:type="dxa"/>
            <w:vAlign w:val="bottom"/>
          </w:tcPr>
          <w:p>
            <w:pPr>
              <w:spacing w:after="0"/>
              <w:rPr>
                <w:sz w:val="14"/>
                <w:szCs w:val="14"/>
                <w:color w:val="auto"/>
              </w:rPr>
            </w:pPr>
          </w:p>
        </w:tc>
        <w:tc>
          <w:tcPr>
            <w:tcW w:w="11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334"/>
        </w:trPr>
        <w:tc>
          <w:tcPr>
            <w:tcW w:w="476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Commercial Communications</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$33,956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$26,261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$22,988</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U.S. Government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5,592</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6,245</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5,189</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Gillam-FEI</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13,755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13,877</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14,904</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FEI-Zyfer</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5,356</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4,796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5,541</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less intersegment balances</w:t>
            </w:r>
          </w:p>
        </w:tc>
        <w:tc>
          <w:tcPr>
            <w:tcW w:w="11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(14,585)</w:t>
            </w:r>
          </w:p>
        </w:tc>
        <w:tc>
          <w:tcPr>
            <w:tcW w:w="9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(9,892)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(5,673)</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Corporate</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42,667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47,087</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49,918</w:t>
            </w:r>
          </w:p>
        </w:tc>
      </w:tr>
      <w:tr>
        <w:trPr>
          <w:trHeight w:val="167"/>
        </w:trPr>
        <w:tc>
          <w:tcPr>
            <w:tcW w:w="47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Consolidated Identifiable Assets</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$86,741</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$88,374</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$92,867</w:t>
            </w:r>
          </w:p>
        </w:tc>
      </w:tr>
      <w:tr>
        <w:trPr>
          <w:trHeight w:val="167"/>
        </w:trPr>
        <w:tc>
          <w:tcPr>
            <w:tcW w:w="47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 (allocated):</w:t>
            </w:r>
          </w:p>
        </w:tc>
        <w:tc>
          <w:tcPr>
            <w:tcW w:w="1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Commercial Communications</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$1,013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$1,105</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$1,100</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U.S. Government</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220</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267</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Gillam-FEI</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185</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244</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307</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FEI-Zyfer</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428</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405</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Corporate</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19</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7"/>
        </w:trPr>
        <w:tc>
          <w:tcPr>
            <w:tcW w:w="47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Consolidated Depreciation and Amortization Expense</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$1,870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$2,014</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$2,098</w:t>
            </w:r>
          </w:p>
        </w:tc>
      </w:tr>
      <w:tr>
        <w:trPr>
          <w:trHeight w:val="167"/>
        </w:trPr>
        <w:tc>
          <w:tcPr>
            <w:tcW w:w="4760" w:type="dxa"/>
            <w:vAlign w:val="bottom"/>
          </w:tcPr>
          <w:p>
            <w:pPr>
              <w:spacing w:after="0"/>
              <w:rPr>
                <w:sz w:val="14"/>
                <w:szCs w:val="14"/>
                <w:color w:val="auto"/>
              </w:rPr>
            </w:pP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Major Customers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fiscal year 2006, sales to three customers of the Commercial Communications segment aggregated $22.5 million or 76% of that segment's total sales. These customers accounted for 16%, 14% and 13%, respectively, of the Company's consolidated sales for the year. During the year ended April 30, 2006, sales to four customers of the U.S. Government segment aggregated $5.2 million or 82% of that segments revenues. In the Gillam-FEI segment, sales to two customers aggregated $3.8 million or 46% of that segment's revenues (exclusive of the $945,000 intersegment sale). In the FEI-Zyfer segment, two customers accounted for $1.9 million or 19% of that segment's sales. None of the customers in the U.S. Government, Gillam-FEI or FEI-Zyfer segments accounted for more than 10% of consolidated revenues.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During fiscal year 2005, sales to two customers accounted for approximately $22.0 million of the Commercial Communications segment's total sales. This amount represents 70% of Commercial Communications' total revenues and 28% and 12%, respectively, of the Company's consolidated sales for that year. In the U.S. Government segment, sales to four customers aggregated $4.9 million or 87% of that segment's revenues in fiscal year 2005. Sales to two customers, aggregating $6.0 million, accounted for 59% of the revenues of the Gillam-FEI segment (exclusive of the $2.4 million intersegment sale). In the FEI-Zyfer segment, two customers accounted for $1.9 million or 21% of that segment's sales. None of the customers in the U.S. Government, Gillam-FEI or FEI-Zyfer segments accounted for more than 10% of consolidated revenues.</w:t>
      </w:r>
    </w:p>
    <w:p>
      <w:pPr>
        <w:spacing w:after="0" w:line="164"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In fiscal year 2004, sales to two customers of the Commercial Communications segment aggregated $21.6 million or 76% of that segment's total sales. These customers accounted for 32% and 11%, respectively, of the Company's consolidated sales for the year. In the U.S. Government segment, sales to three customers aggregated $5.8 million or 82% of that segment's revenues in fiscal year 2004. In the Gillam-FEI segment, sales to two customers aggregated $2.7 million or 31% of that segment's revenues (exclusive of the $3.5 million intersegment sale). In the FEI-Zyfer segment, one customer accounted for $1.2 million or 19% of that segment's sales. None of the customers in the U.S. Government, Gillam-FEI or FEI-Zyfer segments accounted for more than 10% of consolidated revenues.</w:t>
      </w:r>
    </w:p>
    <w:p>
      <w:pPr>
        <w:spacing w:after="0" w:line="331"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The loss by the Company of any one of these customers would have a material adverse effect on the Company's business. The Company believes its relationship with these companies to be mutually satisfactory.</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54</w:t>
      </w:r>
    </w:p>
    <w:p>
      <w:pPr>
        <w:sectPr>
          <w:pgSz w:w="11900" w:h="16838" w:orient="portrait"/>
          <w:cols w:equalWidth="0" w:num="1">
            <w:col w:w="10239"/>
          </w:cols>
          <w:pgMar w:left="220" w:top="620" w:right="1440" w:bottom="1440" w:gutter="0" w:footer="0" w:header="0"/>
        </w:sectPr>
      </w:pPr>
    </w:p>
    <w:bookmarkStart w:id="55" w:name="page56"/>
    <w:bookmarkEnd w:id="55"/>
    <w:p>
      <w:pPr>
        <w:ind w:left="1140"/>
        <w:spacing w:after="0"/>
        <w:rPr>
          <w:sz w:val="20"/>
          <w:szCs w:val="20"/>
          <w:color w:val="auto"/>
        </w:rPr>
      </w:pPr>
      <w:r>
        <w:rPr>
          <w:rFonts w:ascii="Courier New" w:cs="Courier New" w:eastAsia="Courier New" w:hAnsi="Courier New"/>
          <w:sz w:val="14"/>
          <w:szCs w:val="14"/>
          <w:color w:val="auto"/>
        </w:rPr>
        <w:t>NOTES TO CONSOLIDATED FINANCIAL STATEMENTS - Continued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Sales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Revenues in the each of the Company's segments include sales to foreign governments or to companies located in foreign countries. Revenues, based on the location of the procurement entity, were derived from the following countries:</w:t>
      </w:r>
    </w:p>
    <w:p>
      <w:pPr>
        <w:spacing w:after="0" w:line="162" w:lineRule="exact"/>
        <w:rPr>
          <w:sz w:val="20"/>
          <w:szCs w:val="20"/>
          <w:color w:val="auto"/>
        </w:rPr>
      </w:pPr>
    </w:p>
    <w:tbl>
      <w:tblPr>
        <w:tblLayout w:type="fixed"/>
        <w:tblInd w:w="192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(in thousands)</w:t>
            </w:r>
          </w:p>
        </w:tc>
        <w:tc>
          <w:tcPr>
            <w:tcW w:w="660" w:type="dxa"/>
            <w:vAlign w:val="bottom"/>
          </w:tcPr>
          <w:p>
            <w:pPr>
              <w:spacing w:after="0"/>
              <w:rPr>
                <w:sz w:val="14"/>
                <w:szCs w:val="14"/>
                <w:color w:val="auto"/>
              </w:rPr>
            </w:pPr>
          </w:p>
        </w:tc>
      </w:tr>
      <w:tr>
        <w:trPr>
          <w:trHeight w:val="334"/>
        </w:trPr>
        <w:tc>
          <w:tcPr>
            <w:tcW w:w="1080" w:type="dxa"/>
            <w:vAlign w:val="bottom"/>
          </w:tcPr>
          <w:p>
            <w:pPr>
              <w:spacing w:after="0"/>
              <w:rPr>
                <w:sz w:val="24"/>
                <w:szCs w:val="2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2006</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r>
        <w:trPr>
          <w:trHeight w:val="167"/>
        </w:trPr>
        <w:tc>
          <w:tcPr>
            <w:tcW w:w="1080" w:type="dxa"/>
            <w:vAlign w:val="bottom"/>
          </w:tcPr>
          <w:p>
            <w:pPr>
              <w:spacing w:after="0"/>
              <w:rPr>
                <w:sz w:val="14"/>
                <w:szCs w:val="14"/>
                <w:color w:val="auto"/>
              </w:rPr>
            </w:pP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China</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$ 5,301</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$11,422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$14,141</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Belgium</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4,198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5,171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3,876</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France</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2,924</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4,412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3,987</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Canada</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2,447</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1,021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1,046</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3,748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5,385</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4,242</w:t>
            </w:r>
          </w:p>
        </w:tc>
      </w:tr>
      <w:tr>
        <w:trPr>
          <w:trHeight w:val="167"/>
        </w:trPr>
        <w:tc>
          <w:tcPr>
            <w:tcW w:w="10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0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$18,618</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$27,411</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$27,292</w:t>
            </w:r>
          </w:p>
        </w:tc>
      </w:tr>
      <w:tr>
        <w:trPr>
          <w:trHeight w:val="167"/>
        </w:trPr>
        <w:tc>
          <w:tcPr>
            <w:tcW w:w="1080" w:type="dxa"/>
            <w:vAlign w:val="bottom"/>
          </w:tcPr>
          <w:p>
            <w:pPr>
              <w:spacing w:after="0"/>
              <w:rPr>
                <w:sz w:val="14"/>
                <w:szCs w:val="14"/>
                <w:color w:val="auto"/>
              </w:rPr>
            </w:pPr>
          </w:p>
        </w:tc>
        <w:tc>
          <w:tcPr>
            <w:tcW w:w="12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Interim Results (Unaudited)</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Quarterly results for fiscal years 2006 and 2005 are as follows:</w:t>
      </w:r>
    </w:p>
    <w:p>
      <w:pPr>
        <w:spacing w:after="0" w:line="200" w:lineRule="exact"/>
        <w:rPr>
          <w:sz w:val="20"/>
          <w:szCs w:val="20"/>
          <w:color w:val="auto"/>
        </w:rPr>
      </w:pPr>
    </w:p>
    <w:p>
      <w:pPr>
        <w:spacing w:after="0" w:line="309"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490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7"/>
        </w:trPr>
        <w:tc>
          <w:tcPr>
            <w:tcW w:w="27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2006 Quarter</w:t>
            </w:r>
          </w:p>
        </w:tc>
        <w:tc>
          <w:tcPr>
            <w:tcW w:w="820" w:type="dxa"/>
            <w:vAlign w:val="bottom"/>
          </w:tcPr>
          <w:p>
            <w:pPr>
              <w:spacing w:after="0"/>
              <w:rPr>
                <w:sz w:val="14"/>
                <w:szCs w:val="14"/>
                <w:color w:val="auto"/>
              </w:rPr>
            </w:pPr>
          </w:p>
        </w:tc>
      </w:tr>
      <w:tr>
        <w:trPr>
          <w:trHeight w:val="167"/>
        </w:trPr>
        <w:tc>
          <w:tcPr>
            <w:tcW w:w="2740" w:type="dxa"/>
            <w:vAlign w:val="bottom"/>
          </w:tcPr>
          <w:p>
            <w:pPr>
              <w:spacing w:after="0"/>
              <w:rPr>
                <w:sz w:val="14"/>
                <w:szCs w:val="14"/>
                <w:color w:val="auto"/>
              </w:rPr>
            </w:pPr>
          </w:p>
        </w:tc>
        <w:tc>
          <w:tcPr>
            <w:tcW w:w="49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40" w:type="dxa"/>
            <w:vAlign w:val="bottom"/>
          </w:tcPr>
          <w:p>
            <w:pPr>
              <w:spacing w:after="0"/>
              <w:rPr>
                <w:sz w:val="14"/>
                <w:szCs w:val="14"/>
                <w:color w:val="auto"/>
              </w:rPr>
            </w:pPr>
          </w:p>
        </w:tc>
        <w:tc>
          <w:tcPr>
            <w:tcW w:w="186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1st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2nd</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3rd</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4th</w:t>
            </w:r>
          </w:p>
        </w:tc>
      </w:tr>
      <w:tr>
        <w:trPr>
          <w:trHeight w:val="167"/>
        </w:trPr>
        <w:tc>
          <w:tcPr>
            <w:tcW w:w="2740" w:type="dxa"/>
            <w:vAlign w:val="bottom"/>
          </w:tcPr>
          <w:p>
            <w:pPr>
              <w:spacing w:after="0"/>
              <w:rPr>
                <w:sz w:val="14"/>
                <w:szCs w:val="14"/>
                <w:color w:val="auto"/>
              </w:rPr>
            </w:pPr>
          </w:p>
        </w:tc>
        <w:tc>
          <w:tcPr>
            <w:tcW w:w="1860" w:type="dxa"/>
            <w:vAlign w:val="bottom"/>
          </w:tcPr>
          <w:p>
            <w:pPr>
              <w:jc w:val="center"/>
              <w:ind w:left="8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$11,057</w:t>
            </w:r>
          </w:p>
        </w:tc>
        <w:tc>
          <w:tcPr>
            <w:tcW w:w="1140" w:type="dxa"/>
            <w:vAlign w:val="bottom"/>
          </w:tcPr>
          <w:p>
            <w:pPr>
              <w:ind w:left="260"/>
              <w:spacing w:after="0"/>
              <w:rPr>
                <w:sz w:val="20"/>
                <w:szCs w:val="20"/>
                <w:color w:val="auto"/>
              </w:rPr>
            </w:pPr>
            <w:r>
              <w:rPr>
                <w:rFonts w:ascii="Courier New" w:cs="Courier New" w:eastAsia="Courier New" w:hAnsi="Courier New"/>
                <w:sz w:val="14"/>
                <w:szCs w:val="14"/>
                <w:color w:val="auto"/>
              </w:rPr>
              <w:t>$11,499</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$15,113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$15,141</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86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4,097</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4,098</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5,462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4,960</w:t>
            </w:r>
          </w:p>
        </w:tc>
      </w:tr>
      <w:tr>
        <w:trPr>
          <w:trHeight w:val="334"/>
        </w:trPr>
        <w:tc>
          <w:tcPr>
            <w:tcW w:w="2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86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1,142</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1,332</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1,248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1,076</w:t>
            </w:r>
          </w:p>
        </w:tc>
      </w:tr>
      <w:tr>
        <w:trPr>
          <w:trHeight w:val="167"/>
        </w:trPr>
        <w:tc>
          <w:tcPr>
            <w:tcW w:w="274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2740" w:type="dxa"/>
            <w:vAlign w:val="bottom"/>
          </w:tcPr>
          <w:p>
            <w:pPr>
              <w:ind w:left="1140"/>
              <w:spacing w:after="0"/>
              <w:rPr>
                <w:sz w:val="20"/>
                <w:szCs w:val="20"/>
                <w:color w:val="auto"/>
              </w:rPr>
            </w:pPr>
            <w:r>
              <w:rPr>
                <w:rFonts w:ascii="Courier New" w:cs="Courier New" w:eastAsia="Courier New" w:hAnsi="Courier New"/>
                <w:sz w:val="14"/>
                <w:szCs w:val="14"/>
                <w:color w:val="auto"/>
              </w:rPr>
              <w:t>Basic</w:t>
            </w:r>
          </w:p>
        </w:tc>
        <w:tc>
          <w:tcPr>
            <w:tcW w:w="186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$0.13</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$0.16</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$0.15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$0.13</w:t>
            </w:r>
          </w:p>
        </w:tc>
      </w:tr>
      <w:tr>
        <w:trPr>
          <w:trHeight w:val="334"/>
        </w:trPr>
        <w:tc>
          <w:tcPr>
            <w:tcW w:w="2740" w:type="dxa"/>
            <w:vAlign w:val="bottom"/>
          </w:tcPr>
          <w:p>
            <w:pPr>
              <w:ind w:left="1140"/>
              <w:spacing w:after="0"/>
              <w:rPr>
                <w:sz w:val="20"/>
                <w:szCs w:val="20"/>
                <w:color w:val="auto"/>
              </w:rPr>
            </w:pPr>
            <w:r>
              <w:rPr>
                <w:rFonts w:ascii="Courier New" w:cs="Courier New" w:eastAsia="Courier New" w:hAnsi="Courier New"/>
                <w:sz w:val="14"/>
                <w:szCs w:val="14"/>
                <w:color w:val="auto"/>
              </w:rPr>
              <w:t>Diluted</w:t>
            </w:r>
          </w:p>
        </w:tc>
        <w:tc>
          <w:tcPr>
            <w:tcW w:w="186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$0.13</w:t>
            </w:r>
          </w:p>
        </w:tc>
        <w:tc>
          <w:tcPr>
            <w:tcW w:w="1140" w:type="dxa"/>
            <w:vAlign w:val="bottom"/>
          </w:tcPr>
          <w:p>
            <w:pPr>
              <w:ind w:left="440"/>
              <w:spacing w:after="0"/>
              <w:rPr>
                <w:sz w:val="20"/>
                <w:szCs w:val="20"/>
                <w:color w:val="auto"/>
              </w:rPr>
            </w:pPr>
            <w:r>
              <w:rPr>
                <w:rFonts w:ascii="Courier New" w:cs="Courier New" w:eastAsia="Courier New" w:hAnsi="Courier New"/>
                <w:sz w:val="14"/>
                <w:szCs w:val="14"/>
                <w:color w:val="auto"/>
              </w:rPr>
              <w:t>$0.15</w:t>
            </w:r>
          </w:p>
        </w:tc>
        <w:tc>
          <w:tcPr>
            <w:tcW w:w="1080" w:type="dxa"/>
            <w:vAlign w:val="bottom"/>
          </w:tcPr>
          <w:p>
            <w:pPr>
              <w:ind w:left="420"/>
              <w:spacing w:after="0"/>
              <w:rPr>
                <w:sz w:val="20"/>
                <w:szCs w:val="20"/>
                <w:color w:val="auto"/>
              </w:rPr>
            </w:pPr>
            <w:r>
              <w:rPr>
                <w:rFonts w:ascii="Courier New" w:cs="Courier New" w:eastAsia="Courier New" w:hAnsi="Courier New"/>
                <w:sz w:val="14"/>
                <w:szCs w:val="14"/>
                <w:color w:val="auto"/>
              </w:rPr>
              <w:t>$0.14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$0.12</w:t>
            </w:r>
          </w:p>
        </w:tc>
      </w:tr>
    </w:tbl>
    <w:p>
      <w:pPr>
        <w:spacing w:after="0" w:line="338" w:lineRule="exact"/>
        <w:rPr>
          <w:sz w:val="20"/>
          <w:szCs w:val="20"/>
          <w:color w:val="auto"/>
        </w:rPr>
      </w:pPr>
    </w:p>
    <w:p>
      <w:pPr>
        <w:ind w:left="440" w:right="3539"/>
        <w:spacing w:after="0" w:line="258" w:lineRule="auto"/>
        <w:rPr>
          <w:sz w:val="20"/>
          <w:szCs w:val="20"/>
          <w:color w:val="auto"/>
        </w:rPr>
      </w:pPr>
      <w:r>
        <w:rPr>
          <w:rFonts w:ascii="Courier New" w:cs="Courier New" w:eastAsia="Courier New" w:hAnsi="Courier New"/>
          <w:sz w:val="14"/>
          <w:szCs w:val="14"/>
          <w:color w:val="auto"/>
        </w:rPr>
        <w:t>*Quarterly earnings per share data do not equal the annual amount due to changes in the average common equivalent shares outstanding.</w:t>
      </w:r>
    </w:p>
    <w:p>
      <w:pPr>
        <w:spacing w:after="0" w:line="200" w:lineRule="exact"/>
        <w:rPr>
          <w:sz w:val="20"/>
          <w:szCs w:val="20"/>
          <w:color w:val="auto"/>
        </w:rPr>
      </w:pPr>
    </w:p>
    <w:p>
      <w:pPr>
        <w:spacing w:after="0" w:line="294"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4120" w:type="dxa"/>
            <w:vAlign w:val="bottom"/>
            <w:gridSpan w:val="4"/>
          </w:tcPr>
          <w:p>
            <w:pPr>
              <w:jc w:val="right"/>
              <w:ind w:right="188"/>
              <w:spacing w:after="0"/>
              <w:rPr>
                <w:sz w:val="20"/>
                <w:szCs w:val="20"/>
                <w:color w:val="auto"/>
              </w:rPr>
            </w:pPr>
            <w:r>
              <w:rPr>
                <w:rFonts w:ascii="Courier New" w:cs="Courier New" w:eastAsia="Courier New" w:hAnsi="Courier New"/>
                <w:sz w:val="14"/>
                <w:szCs w:val="14"/>
                <w:color w:val="auto"/>
              </w:rPr>
              <w:t>(in thousands, except per share data)</w:t>
            </w:r>
          </w:p>
        </w:tc>
      </w:tr>
      <w:tr>
        <w:trPr>
          <w:trHeight w:val="167"/>
        </w:trPr>
        <w:tc>
          <w:tcPr>
            <w:tcW w:w="3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gridSpan w:val="2"/>
          </w:tcPr>
          <w:p>
            <w:pPr>
              <w:jc w:val="right"/>
              <w:ind w:right="448"/>
              <w:spacing w:after="0"/>
              <w:rPr>
                <w:sz w:val="20"/>
                <w:szCs w:val="20"/>
                <w:color w:val="auto"/>
              </w:rPr>
            </w:pPr>
            <w:r>
              <w:rPr>
                <w:rFonts w:ascii="Courier New" w:cs="Courier New" w:eastAsia="Courier New" w:hAnsi="Courier New"/>
                <w:sz w:val="14"/>
                <w:szCs w:val="14"/>
                <w:color w:val="auto"/>
              </w:rPr>
              <w:t>2005 Quarter</w:t>
            </w:r>
          </w:p>
        </w:tc>
        <w:tc>
          <w:tcPr>
            <w:tcW w:w="86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41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1st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2nd</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3rd</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4th</w:t>
            </w:r>
          </w:p>
        </w:tc>
      </w:tr>
      <w:tr>
        <w:trPr>
          <w:trHeight w:val="167"/>
        </w:trPr>
        <w:tc>
          <w:tcPr>
            <w:tcW w:w="3520" w:type="dxa"/>
            <w:vAlign w:val="bottom"/>
          </w:tcPr>
          <w:p>
            <w:pPr>
              <w:spacing w:after="0"/>
              <w:rPr>
                <w:sz w:val="14"/>
                <w:szCs w:val="14"/>
                <w:color w:val="auto"/>
              </w:rPr>
            </w:pP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$17,683</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$14,362</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$11,222</w:t>
            </w:r>
          </w:p>
        </w:tc>
        <w:tc>
          <w:tcPr>
            <w:tcW w:w="860" w:type="dxa"/>
            <w:vAlign w:val="bottom"/>
          </w:tcPr>
          <w:p>
            <w:pPr>
              <w:ind w:left="160"/>
              <w:spacing w:after="0"/>
              <w:rPr>
                <w:sz w:val="20"/>
                <w:szCs w:val="20"/>
                <w:color w:val="auto"/>
              </w:rPr>
            </w:pPr>
            <w:r>
              <w:rPr>
                <w:rFonts w:ascii="Courier New" w:cs="Courier New" w:eastAsia="Courier New" w:hAnsi="Courier New"/>
                <w:sz w:val="14"/>
                <w:szCs w:val="14"/>
                <w:color w:val="auto"/>
              </w:rPr>
              <w:t>$11,906</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Gross margin</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5,778</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5,259</w:t>
            </w:r>
          </w:p>
        </w:tc>
        <w:tc>
          <w:tcPr>
            <w:tcW w:w="11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3,693</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3,430</w:t>
            </w: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income (loss), as reported</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977</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854</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(368)</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3,520</w:t>
            </w: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Restated Equity in Morion (see Note 10)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54</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2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3520" w:type="dxa"/>
            <w:vAlign w:val="bottom"/>
          </w:tcPr>
          <w:p>
            <w:pPr>
              <w:spacing w:after="0"/>
              <w:rPr>
                <w:sz w:val="20"/>
                <w:szCs w:val="20"/>
                <w:color w:val="auto"/>
              </w:rPr>
            </w:pPr>
            <w:r>
              <w:rPr>
                <w:rFonts w:ascii="Courier New" w:cs="Courier New" w:eastAsia="Courier New" w:hAnsi="Courier New"/>
                <w:sz w:val="14"/>
                <w:szCs w:val="14"/>
                <w:color w:val="auto"/>
              </w:rPr>
              <w:t>Net income (loss), restated</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1,031</w:t>
            </w: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4"/>
        </w:trPr>
        <w:tc>
          <w:tcPr>
            <w:tcW w:w="3520" w:type="dxa"/>
            <w:vAlign w:val="bottom"/>
          </w:tcPr>
          <w:p>
            <w:pPr>
              <w:spacing w:after="0"/>
              <w:rPr>
                <w:sz w:val="20"/>
                <w:szCs w:val="20"/>
                <w:color w:val="auto"/>
              </w:rPr>
            </w:pPr>
            <w:r>
              <w:rPr>
                <w:rFonts w:ascii="Courier New" w:cs="Courier New" w:eastAsia="Courier New" w:hAnsi="Courier New"/>
                <w:sz w:val="14"/>
                <w:szCs w:val="14"/>
                <w:color w:val="auto"/>
              </w:rPr>
              <w:t>*Earnings (loss) per share</w:t>
            </w:r>
          </w:p>
        </w:tc>
        <w:tc>
          <w:tcPr>
            <w:tcW w:w="10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7"/>
        </w:trPr>
        <w:tc>
          <w:tcPr>
            <w:tcW w:w="3520" w:type="dxa"/>
            <w:vAlign w:val="bottom"/>
          </w:tcPr>
          <w:p>
            <w:pPr>
              <w:ind w:left="1140"/>
              <w:spacing w:after="0"/>
              <w:rPr>
                <w:sz w:val="20"/>
                <w:szCs w:val="20"/>
                <w:color w:val="auto"/>
              </w:rPr>
            </w:pPr>
            <w:r>
              <w:rPr>
                <w:rFonts w:ascii="Courier New" w:cs="Courier New" w:eastAsia="Courier New" w:hAnsi="Courier New"/>
                <w:sz w:val="14"/>
                <w:szCs w:val="14"/>
                <w:color w:val="auto"/>
              </w:rPr>
              <w:t>Basic</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($0.04)</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$0.41</w:t>
            </w:r>
          </w:p>
        </w:tc>
      </w:tr>
      <w:tr>
        <w:trPr>
          <w:trHeight w:val="334"/>
        </w:trPr>
        <w:tc>
          <w:tcPr>
            <w:tcW w:w="3520" w:type="dxa"/>
            <w:vAlign w:val="bottom"/>
          </w:tcPr>
          <w:p>
            <w:pPr>
              <w:ind w:left="1140"/>
              <w:spacing w:after="0"/>
              <w:rPr>
                <w:sz w:val="20"/>
                <w:szCs w:val="20"/>
                <w:color w:val="auto"/>
              </w:rPr>
            </w:pPr>
            <w:r>
              <w:rPr>
                <w:rFonts w:ascii="Courier New" w:cs="Courier New" w:eastAsia="Courier New" w:hAnsi="Courier New"/>
                <w:sz w:val="14"/>
                <w:szCs w:val="14"/>
                <w:color w:val="auto"/>
              </w:rPr>
              <w:t>Diluted</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$0.12</w:t>
            </w:r>
          </w:p>
        </w:tc>
        <w:tc>
          <w:tcPr>
            <w:tcW w:w="11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$0.10</w:t>
            </w:r>
          </w:p>
        </w:tc>
        <w:tc>
          <w:tcPr>
            <w:tcW w:w="1140" w:type="dxa"/>
            <w:vAlign w:val="bottom"/>
          </w:tcPr>
          <w:p>
            <w:pPr>
              <w:jc w:val="center"/>
              <w:spacing w:after="0"/>
              <w:rPr>
                <w:sz w:val="20"/>
                <w:szCs w:val="20"/>
                <w:color w:val="auto"/>
              </w:rPr>
            </w:pPr>
            <w:r>
              <w:rPr>
                <w:rFonts w:ascii="Courier New" w:cs="Courier New" w:eastAsia="Courier New" w:hAnsi="Courier New"/>
                <w:sz w:val="14"/>
                <w:szCs w:val="14"/>
                <w:color w:val="auto"/>
              </w:rPr>
              <w:t>($0.04)</w:t>
            </w:r>
          </w:p>
        </w:tc>
        <w:tc>
          <w:tcPr>
            <w:tcW w:w="860" w:type="dxa"/>
            <w:vAlign w:val="bottom"/>
          </w:tcPr>
          <w:p>
            <w:pPr>
              <w:ind w:left="340"/>
              <w:spacing w:after="0"/>
              <w:rPr>
                <w:sz w:val="20"/>
                <w:szCs w:val="20"/>
                <w:color w:val="auto"/>
              </w:rPr>
            </w:pPr>
            <w:r>
              <w:rPr>
                <w:rFonts w:ascii="Courier New" w:cs="Courier New" w:eastAsia="Courier New" w:hAnsi="Courier New"/>
                <w:sz w:val="14"/>
                <w:szCs w:val="14"/>
                <w:color w:val="auto"/>
              </w:rPr>
              <w:t>$0.41</w:t>
            </w:r>
          </w:p>
        </w:tc>
      </w:tr>
    </w:tbl>
    <w:p>
      <w:pPr>
        <w:spacing w:after="0" w:line="338" w:lineRule="exact"/>
        <w:rPr>
          <w:sz w:val="20"/>
          <w:szCs w:val="20"/>
          <w:color w:val="auto"/>
        </w:rPr>
      </w:pPr>
    </w:p>
    <w:p>
      <w:pPr>
        <w:ind w:right="3639" w:firstLine="434"/>
        <w:spacing w:after="0" w:line="254" w:lineRule="auto"/>
        <w:rPr>
          <w:sz w:val="20"/>
          <w:szCs w:val="20"/>
          <w:color w:val="auto"/>
        </w:rPr>
      </w:pPr>
      <w:r>
        <w:rPr>
          <w:rFonts w:ascii="Courier New" w:cs="Courier New" w:eastAsia="Courier New" w:hAnsi="Courier New"/>
          <w:sz w:val="14"/>
          <w:szCs w:val="14"/>
          <w:color w:val="auto"/>
        </w:rPr>
        <w:t>During the fourth quarter of fiscal year 2005, the Company recorded additional deferred compensation expense of $327,000 to reflect a change in accounting estimate based on updated life expectancy tables for its deferred compensation program.</w:t>
      </w:r>
    </w:p>
    <w:p>
      <w:pPr>
        <w:spacing w:after="0" w:line="163" w:lineRule="exact"/>
        <w:rPr>
          <w:sz w:val="20"/>
          <w:szCs w:val="20"/>
          <w:color w:val="auto"/>
        </w:rPr>
      </w:pPr>
    </w:p>
    <w:p>
      <w:pPr>
        <w:ind w:left="440" w:right="3539"/>
        <w:spacing w:after="0" w:line="258" w:lineRule="auto"/>
        <w:rPr>
          <w:sz w:val="20"/>
          <w:szCs w:val="20"/>
          <w:color w:val="auto"/>
        </w:rPr>
      </w:pPr>
      <w:r>
        <w:rPr>
          <w:rFonts w:ascii="Courier New" w:cs="Courier New" w:eastAsia="Courier New" w:hAnsi="Courier New"/>
          <w:sz w:val="14"/>
          <w:szCs w:val="14"/>
          <w:color w:val="auto"/>
        </w:rPr>
        <w:t>*Quarterly earnings per share data do not equal the annual amount due to changes in the average common equivalent shares outstanding.</w:t>
      </w:r>
    </w:p>
    <w:p>
      <w:pPr>
        <w:spacing w:after="0" w:line="32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55</w:t>
      </w:r>
    </w:p>
    <w:p>
      <w:pPr>
        <w:sectPr>
          <w:pgSz w:w="11900" w:h="16838" w:orient="portrait"/>
          <w:cols w:equalWidth="0" w:num="1">
            <w:col w:w="10239"/>
          </w:cols>
          <w:pgMar w:left="220" w:top="620" w:right="1440" w:bottom="1440" w:gutter="0" w:footer="0" w:header="0"/>
        </w:sectPr>
      </w:pPr>
    </w:p>
    <w:bookmarkStart w:id="56" w:name="page57"/>
    <w:bookmarkEnd w:id="56"/>
    <w:p>
      <w:pPr>
        <w:ind w:left="1580"/>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175"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4"/>
          <w:szCs w:val="14"/>
          <w:color w:val="auto"/>
        </w:rPr>
        <w:t>SCHEDULE II - VALUATION AND QUALIFYING ACCOUNTS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(In thousands)</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Column A</w:t>
      </w:r>
    </w:p>
    <w:p>
      <w:pPr>
        <w:spacing w:after="0" w:line="8"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B</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Column 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ectPr>
          <w:pgSz w:w="11900" w:h="16838" w:orient="portrait"/>
          <w:cols w:equalWidth="0" w:num="5">
            <w:col w:w="2060" w:space="720"/>
            <w:col w:w="1100" w:space="720"/>
            <w:col w:w="1020" w:space="720"/>
            <w:col w:w="700" w:space="600"/>
            <w:col w:w="2599"/>
          </w:cols>
          <w:pgMar w:left="220" w:top="620" w:right="1440" w:bottom="1440" w:gutter="0" w:footer="0" w:header="0"/>
          <w:type w:val="continuous"/>
        </w:sectPr>
      </w:pPr>
    </w:p>
    <w:p>
      <w:pPr>
        <w:ind w:left="4520"/>
        <w:spacing w:after="0"/>
        <w:rPr>
          <w:sz w:val="20"/>
          <w:szCs w:val="20"/>
          <w:color w:val="auto"/>
        </w:rPr>
      </w:pPr>
      <w:r>
        <w:rPr>
          <w:rFonts w:ascii="Courier New" w:cs="Courier New" w:eastAsia="Courier New" w:hAnsi="Courier New"/>
          <w:sz w:val="14"/>
          <w:szCs w:val="14"/>
          <w:color w:val="auto"/>
        </w:rPr>
        <w:t>Additions</w:t>
      </w:r>
    </w:p>
    <w:p>
      <w:pPr>
        <w:spacing w:after="0" w:line="8"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ind w:left="880"/>
              <w:spacing w:after="0"/>
              <w:rPr>
                <w:sz w:val="20"/>
                <w:szCs w:val="20"/>
                <w:color w:val="auto"/>
              </w:rPr>
            </w:pPr>
            <w:r>
              <w:rPr>
                <w:rFonts w:ascii="Courier New" w:cs="Courier New" w:eastAsia="Courier New" w:hAnsi="Courier New"/>
                <w:sz w:val="14"/>
                <w:szCs w:val="14"/>
                <w:color w:val="auto"/>
              </w:rPr>
              <w:t>Description</w:t>
            </w:r>
          </w:p>
        </w:tc>
        <w:tc>
          <w:tcPr>
            <w:tcW w:w="12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Balance</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Charged</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Charged</w:t>
            </w: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60" w:type="dxa"/>
            <w:vAlign w:val="bottom"/>
          </w:tcPr>
          <w:p>
            <w:pPr>
              <w:spacing w:after="0"/>
              <w:rPr>
                <w:sz w:val="14"/>
                <w:szCs w:val="14"/>
                <w:color w:val="auto"/>
              </w:rPr>
            </w:pP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at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 costs</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to other</w:t>
            </w:r>
          </w:p>
        </w:tc>
        <w:tc>
          <w:tcPr>
            <w:tcW w:w="1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Balance at</w:t>
            </w:r>
          </w:p>
        </w:tc>
      </w:tr>
      <w:tr>
        <w:trPr>
          <w:trHeight w:val="167"/>
        </w:trPr>
        <w:tc>
          <w:tcPr>
            <w:tcW w:w="25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beginning</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and</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accounts-</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Deductions</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end of</w:t>
            </w:r>
          </w:p>
        </w:tc>
      </w:tr>
      <w:tr>
        <w:trPr>
          <w:trHeight w:val="167"/>
        </w:trPr>
        <w:tc>
          <w:tcPr>
            <w:tcW w:w="25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period</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expenses</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describe</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-describe</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period</w:t>
            </w:r>
          </w:p>
        </w:tc>
      </w:tr>
      <w:tr>
        <w:trPr>
          <w:trHeight w:val="167"/>
        </w:trPr>
        <w:tc>
          <w:tcPr>
            <w:tcW w:w="256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Year ended April 30, 2006</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7"/>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accounts</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$172</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$117</w:t>
            </w:r>
          </w:p>
        </w:tc>
        <w:tc>
          <w:tcPr>
            <w:tcW w:w="116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$276</w:t>
            </w:r>
          </w:p>
        </w:tc>
      </w:tr>
      <w:tr>
        <w:trPr>
          <w:trHeight w:val="334"/>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Inventory reserves</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$4,289</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$680</w:t>
            </w:r>
          </w:p>
        </w:tc>
        <w:tc>
          <w:tcPr>
            <w:tcW w:w="11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($52)(c)</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$994(b)</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$3,923</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Year ended April 30, 2005</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accounts</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$140</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$ 45</w:t>
            </w:r>
          </w:p>
        </w:tc>
        <w:tc>
          <w:tcPr>
            <w:tcW w:w="1160" w:type="dxa"/>
            <w:vAlign w:val="bottom"/>
          </w:tcPr>
          <w:p>
            <w:pPr>
              <w:spacing w:after="0"/>
              <w:rPr>
                <w:sz w:val="14"/>
                <w:szCs w:val="14"/>
                <w:color w:val="auto"/>
              </w:rPr>
            </w:pP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$13(a)</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$172</w:t>
            </w:r>
          </w:p>
        </w:tc>
      </w:tr>
      <w:tr>
        <w:trPr>
          <w:trHeight w:val="334"/>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Inventory reserves</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$3,495</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$726</w:t>
            </w:r>
          </w:p>
        </w:tc>
        <w:tc>
          <w:tcPr>
            <w:tcW w:w="11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$68(c,d)</w:t>
            </w: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$4,289</w:t>
            </w:r>
          </w:p>
        </w:tc>
      </w:tr>
      <w:tr>
        <w:trPr>
          <w:trHeight w:val="334"/>
        </w:trPr>
        <w:tc>
          <w:tcPr>
            <w:tcW w:w="2560" w:type="dxa"/>
            <w:vAlign w:val="bottom"/>
          </w:tcPr>
          <w:p>
            <w:pPr>
              <w:spacing w:after="0"/>
              <w:rPr>
                <w:sz w:val="20"/>
                <w:szCs w:val="20"/>
                <w:color w:val="auto"/>
              </w:rPr>
            </w:pPr>
            <w:r>
              <w:rPr>
                <w:rFonts w:ascii="Courier New" w:cs="Courier New" w:eastAsia="Courier New" w:hAnsi="Courier New"/>
                <w:sz w:val="14"/>
                <w:szCs w:val="14"/>
                <w:color w:val="auto"/>
              </w:rPr>
              <w:t>Year ended April 30, 2004</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4"/>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Allowance for doubtful</w:t>
            </w:r>
          </w:p>
        </w:tc>
        <w:tc>
          <w:tcPr>
            <w:tcW w:w="1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7"/>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accounts</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$124</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$16</w:t>
            </w:r>
          </w:p>
        </w:tc>
        <w:tc>
          <w:tcPr>
            <w:tcW w:w="1160" w:type="dxa"/>
            <w:vAlign w:val="bottom"/>
          </w:tcPr>
          <w:p>
            <w:pPr>
              <w:spacing w:after="0"/>
              <w:rPr>
                <w:sz w:val="14"/>
                <w:szCs w:val="14"/>
                <w:color w:val="auto"/>
              </w:rPr>
            </w:pPr>
          </w:p>
        </w:tc>
        <w:tc>
          <w:tcPr>
            <w:tcW w:w="12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$140</w:t>
            </w:r>
          </w:p>
        </w:tc>
      </w:tr>
      <w:tr>
        <w:trPr>
          <w:trHeight w:val="334"/>
        </w:trPr>
        <w:tc>
          <w:tcPr>
            <w:tcW w:w="2560" w:type="dxa"/>
            <w:vAlign w:val="bottom"/>
          </w:tcPr>
          <w:p>
            <w:pPr>
              <w:ind w:left="360"/>
              <w:spacing w:after="0"/>
              <w:rPr>
                <w:sz w:val="20"/>
                <w:szCs w:val="20"/>
                <w:color w:val="auto"/>
              </w:rPr>
            </w:pPr>
            <w:r>
              <w:rPr>
                <w:rFonts w:ascii="Courier New" w:cs="Courier New" w:eastAsia="Courier New" w:hAnsi="Courier New"/>
                <w:sz w:val="14"/>
                <w:szCs w:val="14"/>
                <w:color w:val="auto"/>
              </w:rPr>
              <w:t>Inventory reserves</w:t>
            </w:r>
          </w:p>
        </w:tc>
        <w:tc>
          <w:tcPr>
            <w:tcW w:w="12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$3,598</w:t>
            </w:r>
          </w:p>
        </w:tc>
        <w:tc>
          <w:tcPr>
            <w:tcW w:w="114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$694</w:t>
            </w:r>
          </w:p>
        </w:tc>
        <w:tc>
          <w:tcPr>
            <w:tcW w:w="11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$28(c)</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$825(b)</w:t>
            </w:r>
          </w:p>
        </w:tc>
        <w:tc>
          <w:tcPr>
            <w:tcW w:w="10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$3,495</w:t>
            </w:r>
          </w:p>
        </w:tc>
      </w:tr>
    </w:tbl>
    <w:p>
      <w:pPr>
        <w:spacing w:after="0" w:line="338" w:lineRule="exact"/>
        <w:rPr>
          <w:sz w:val="20"/>
          <w:szCs w:val="20"/>
          <w:color w:val="auto"/>
        </w:rPr>
      </w:pPr>
    </w:p>
    <w:p>
      <w:pPr>
        <w:ind w:left="700" w:hanging="691"/>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Accounts written off</w:t>
      </w:r>
    </w:p>
    <w:p>
      <w:pPr>
        <w:spacing w:after="0" w:line="8" w:lineRule="exact"/>
        <w:rPr>
          <w:rFonts w:ascii="Courier New" w:cs="Courier New" w:eastAsia="Courier New" w:hAnsi="Courier New"/>
          <w:sz w:val="14"/>
          <w:szCs w:val="14"/>
          <w:color w:val="auto"/>
        </w:rPr>
      </w:pPr>
    </w:p>
    <w:p>
      <w:pPr>
        <w:ind w:left="700" w:hanging="691"/>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Inventory disposed or written off</w:t>
      </w:r>
    </w:p>
    <w:p>
      <w:pPr>
        <w:spacing w:after="0" w:line="8" w:lineRule="exact"/>
        <w:rPr>
          <w:rFonts w:ascii="Courier New" w:cs="Courier New" w:eastAsia="Courier New" w:hAnsi="Courier New"/>
          <w:sz w:val="14"/>
          <w:szCs w:val="14"/>
          <w:color w:val="auto"/>
        </w:rPr>
      </w:pPr>
    </w:p>
    <w:p>
      <w:pPr>
        <w:ind w:left="700" w:hanging="691"/>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currency translation adjustments</w:t>
      </w:r>
    </w:p>
    <w:p>
      <w:pPr>
        <w:spacing w:after="0" w:line="8" w:lineRule="exact"/>
        <w:rPr>
          <w:rFonts w:ascii="Courier New" w:cs="Courier New" w:eastAsia="Courier New" w:hAnsi="Courier New"/>
          <w:sz w:val="14"/>
          <w:szCs w:val="14"/>
          <w:color w:val="auto"/>
        </w:rPr>
      </w:pPr>
    </w:p>
    <w:p>
      <w:pPr>
        <w:ind w:left="700" w:hanging="691"/>
        <w:spacing w:after="0"/>
        <w:tabs>
          <w:tab w:leader="none" w:pos="70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$30 reclassification of other liabilities to inventory reserves</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56</w:t>
      </w:r>
    </w:p>
    <w:p>
      <w:pPr>
        <w:sectPr>
          <w:pgSz w:w="11900" w:h="16838" w:orient="portrait"/>
          <w:cols w:equalWidth="0" w:num="1">
            <w:col w:w="10239"/>
          </w:cols>
          <w:pgMar w:left="220" w:top="620" w:right="1440" w:bottom="1440" w:gutter="0" w:footer="0" w:header="0"/>
          <w:type w:val="continuous"/>
        </w:sectPr>
      </w:pPr>
    </w:p>
    <w:bookmarkStart w:id="57" w:name="page58"/>
    <w:bookmarkEnd w:id="57"/>
    <w:p>
      <w:pPr>
        <w:ind w:right="4059"/>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520"/>
        <w:spacing w:after="0"/>
        <w:tabs>
          <w:tab w:leader="none" w:pos="1300" w:val="left"/>
        </w:tabs>
        <w:rPr>
          <w:sz w:val="20"/>
          <w:szCs w:val="20"/>
          <w:color w:val="auto"/>
        </w:rPr>
      </w:pPr>
      <w:r>
        <w:rPr>
          <w:rFonts w:ascii="Courier New" w:cs="Courier New" w:eastAsia="Courier New" w:hAnsi="Courier New"/>
          <w:sz w:val="14"/>
          <w:szCs w:val="14"/>
          <w:color w:val="auto"/>
        </w:rPr>
        <w:t>Item 9A</w:t>
        <w:tab/>
        <w:t>Controls and Procedures</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Disclosure Controls and Procedures.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164" w:lineRule="exact"/>
        <w:rPr>
          <w:sz w:val="20"/>
          <w:szCs w:val="20"/>
          <w:color w:val="auto"/>
        </w:rPr>
      </w:pPr>
    </w:p>
    <w:p>
      <w:pPr>
        <w:ind w:right="3379" w:firstLine="434"/>
        <w:spacing w:after="0" w:line="253" w:lineRule="auto"/>
        <w:rPr>
          <w:sz w:val="20"/>
          <w:szCs w:val="20"/>
          <w:color w:val="auto"/>
        </w:rPr>
      </w:pPr>
      <w:r>
        <w:rPr>
          <w:rFonts w:ascii="Courier New" w:cs="Courier New" w:eastAsia="Courier New" w:hAnsi="Courier New"/>
          <w:sz w:val="14"/>
          <w:szCs w:val="14"/>
          <w:color w:val="auto"/>
        </w:rPr>
        <w:t>Internal Control Over Financial Reporting. There have not been any changes in the Company's internal control over financial reporting (as such term is defined in Rules 13a-15(f) and 15d-15(f) under the Exchange Act) during the fourth fiscal quarter to which this report relates that have materially affected, or are reasonably likely to materially affect, the Company's internal control over financial reporting.</w:t>
      </w:r>
    </w:p>
    <w:p>
      <w:pPr>
        <w:spacing w:after="0" w:line="16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Item 9B Other Information</w:t>
      </w:r>
    </w:p>
    <w:p>
      <w:pPr>
        <w:spacing w:after="0" w:line="17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Company</w:t>
      </w:r>
    </w:p>
    <w:p>
      <w:pPr>
        <w:spacing w:after="0" w:line="175" w:lineRule="exact"/>
        <w:rPr>
          <w:sz w:val="20"/>
          <w:szCs w:val="20"/>
          <w:color w:val="auto"/>
        </w:rPr>
      </w:pPr>
    </w:p>
    <w:p>
      <w:pPr>
        <w:ind w:right="3279" w:firstLine="434"/>
        <w:spacing w:after="0" w:line="253" w:lineRule="auto"/>
        <w:rPr>
          <w:sz w:val="20"/>
          <w:szCs w:val="20"/>
          <w:color w:val="auto"/>
        </w:rPr>
      </w:pPr>
      <w:r>
        <w:rPr>
          <w:rFonts w:ascii="Courier New" w:cs="Courier New" w:eastAsia="Courier New" w:hAnsi="Courier New"/>
          <w:sz w:val="14"/>
          <w:szCs w:val="14"/>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September 27, 2006. The information required to be furnished pursuant to this item with respect to Executive Officers is set forth, pursuant to General Instruction G of Form 10-K, under Part I of this Report.</w:t>
      </w:r>
    </w:p>
    <w:p>
      <w:pPr>
        <w:spacing w:after="0" w:line="16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27, 2006.</w:t>
      </w:r>
    </w:p>
    <w:p>
      <w:pPr>
        <w:spacing w:after="0" w:line="162" w:lineRule="exact"/>
        <w:rPr>
          <w:sz w:val="20"/>
          <w:szCs w:val="20"/>
          <w:color w:val="auto"/>
        </w:rPr>
      </w:pPr>
    </w:p>
    <w:p>
      <w:pPr>
        <w:ind w:left="800" w:right="3719" w:hanging="780"/>
        <w:spacing w:after="0" w:line="258" w:lineRule="auto"/>
        <w:rPr>
          <w:sz w:val="20"/>
          <w:szCs w:val="20"/>
          <w:color w:val="auto"/>
        </w:rPr>
      </w:pPr>
      <w:r>
        <w:rPr>
          <w:rFonts w:ascii="Courier New" w:cs="Courier New" w:eastAsia="Courier New" w:hAnsi="Courier New"/>
          <w:sz w:val="14"/>
          <w:szCs w:val="14"/>
          <w:color w:val="auto"/>
        </w:rPr>
        <w:t>Item 12. Security Ownership of Certain Beneficial Owners and Management and Related Stockholder Matters</w:t>
      </w:r>
    </w:p>
    <w:p>
      <w:pPr>
        <w:spacing w:after="0" w:line="160"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27, 2006.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27, 2006.</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Principal Accountant Fees and Services</w:t>
      </w:r>
    </w:p>
    <w:p>
      <w:pPr>
        <w:spacing w:after="0" w:line="175" w:lineRule="exact"/>
        <w:rPr>
          <w:sz w:val="20"/>
          <w:szCs w:val="20"/>
          <w:color w:val="auto"/>
        </w:rPr>
      </w:pPr>
    </w:p>
    <w:p>
      <w:pPr>
        <w:ind w:right="3279" w:firstLine="434"/>
        <w:spacing w:after="0" w:line="255" w:lineRule="auto"/>
        <w:rPr>
          <w:sz w:val="20"/>
          <w:szCs w:val="20"/>
          <w:color w:val="auto"/>
        </w:rPr>
      </w:pPr>
      <w:r>
        <w:rPr>
          <w:rFonts w:ascii="Courier New" w:cs="Courier New" w:eastAsia="Courier New" w:hAnsi="Courier New"/>
          <w:sz w:val="14"/>
          <w:szCs w:val="14"/>
          <w:color w:val="auto"/>
        </w:rPr>
        <w:t>This item is incorporated herein by reference from the Company's definitive proxy statement for the annual meeting of stockholders to be held on or about September 27, 2006.</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57</w:t>
      </w:r>
    </w:p>
    <w:p>
      <w:pPr>
        <w:sectPr>
          <w:pgSz w:w="11900" w:h="16838" w:orient="portrait"/>
          <w:cols w:equalWidth="0" w:num="1">
            <w:col w:w="10239"/>
          </w:cols>
          <w:pgMar w:left="220" w:top="620" w:right="1440" w:bottom="1440" w:gutter="0" w:footer="0" w:header="0"/>
        </w:sectPr>
      </w:pPr>
    </w:p>
    <w:bookmarkStart w:id="58" w:name="page59"/>
    <w:bookmarkEnd w:id="58"/>
    <w:p>
      <w:pPr>
        <w:ind w:left="322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15. Exhibits and Financial Statement Schedules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Index to Financial Statements, Financial Statement Schedule and Exhibits</w:t>
      </w:r>
    </w:p>
    <w:p>
      <w:pPr>
        <w:spacing w:after="0" w:line="175" w:lineRule="exact"/>
        <w:rPr>
          <w:sz w:val="20"/>
          <w:szCs w:val="20"/>
          <w:color w:val="auto"/>
        </w:rPr>
      </w:pPr>
    </w:p>
    <w:p>
      <w:pPr>
        <w:ind w:left="440" w:right="3639"/>
        <w:spacing w:after="0" w:line="258" w:lineRule="auto"/>
        <w:rPr>
          <w:sz w:val="20"/>
          <w:szCs w:val="20"/>
          <w:color w:val="auto"/>
        </w:rPr>
      </w:pPr>
      <w:r>
        <w:rPr>
          <w:rFonts w:ascii="Courier New" w:cs="Courier New" w:eastAsia="Courier New" w:hAnsi="Courier New"/>
          <w:sz w:val="14"/>
          <w:szCs w:val="14"/>
          <w:color w:val="auto"/>
        </w:rPr>
        <w:t>The financial statements, financial statement schedule and exhibits are listed below and are filed as part of this report.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FINANCIAL STATEMENTS</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Included in Part II of this report:</w:t>
      </w:r>
    </w:p>
    <w:p>
      <w:pPr>
        <w:spacing w:after="0" w:line="200" w:lineRule="exact"/>
        <w:rPr>
          <w:sz w:val="20"/>
          <w:szCs w:val="20"/>
          <w:color w:val="auto"/>
        </w:rPr>
      </w:pPr>
    </w:p>
    <w:p>
      <w:pPr>
        <w:spacing w:after="0" w:line="309" w:lineRule="exact"/>
        <w:rPr>
          <w:sz w:val="20"/>
          <w:szCs w:val="20"/>
          <w:color w:val="auto"/>
        </w:rPr>
      </w:pPr>
    </w:p>
    <w:tbl>
      <w:tblPr>
        <w:tblLayout w:type="fixed"/>
        <w:tblInd w:w="132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4"/>
                <w:szCs w:val="14"/>
                <w:color w:val="auto"/>
              </w:rPr>
              <w:t>Page(s)</w:t>
            </w:r>
          </w:p>
        </w:tc>
      </w:tr>
      <w:tr>
        <w:trPr>
          <w:trHeight w:val="167"/>
        </w:trPr>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520" w:type="dxa"/>
            <w:vAlign w:val="bottom"/>
          </w:tcPr>
          <w:p>
            <w:pPr>
              <w:jc w:val="center"/>
              <w:ind w:left="828"/>
              <w:spacing w:after="0"/>
              <w:rPr>
                <w:sz w:val="20"/>
                <w:szCs w:val="20"/>
                <w:color w:val="auto"/>
              </w:rPr>
            </w:pPr>
            <w:r>
              <w:rPr>
                <w:rFonts w:ascii="Courier New" w:cs="Courier New" w:eastAsia="Courier New" w:hAnsi="Courier New"/>
                <w:sz w:val="14"/>
                <w:szCs w:val="14"/>
                <w:color w:val="auto"/>
              </w:rPr>
              <w:t>-------</w:t>
            </w:r>
          </w:p>
        </w:tc>
      </w:tr>
      <w:tr>
        <w:trPr>
          <w:trHeight w:val="334"/>
        </w:trPr>
        <w:tc>
          <w:tcPr>
            <w:tcW w:w="5940" w:type="dxa"/>
            <w:vAlign w:val="bottom"/>
            <w:gridSpan w:val="3"/>
          </w:tcPr>
          <w:p>
            <w:pPr>
              <w:spacing w:after="0"/>
              <w:rPr>
                <w:sz w:val="20"/>
                <w:szCs w:val="20"/>
                <w:color w:val="auto"/>
              </w:rPr>
            </w:pPr>
            <w:r>
              <w:rPr>
                <w:rFonts w:ascii="Courier New" w:cs="Courier New" w:eastAsia="Courier New" w:hAnsi="Courier New"/>
                <w:sz w:val="14"/>
                <w:szCs w:val="14"/>
                <w:color w:val="auto"/>
              </w:rPr>
              <w:t>Reports of Independent Registered Public Accounting Firms</w:t>
            </w:r>
          </w:p>
        </w:tc>
        <w:tc>
          <w:tcPr>
            <w:tcW w:w="152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9"/>
              </w:rPr>
              <w:t>32-33</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Balance Sheets</w:t>
            </w:r>
          </w:p>
        </w:tc>
        <w:tc>
          <w:tcPr>
            <w:tcW w:w="36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67"/>
        </w:trPr>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April 30,</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2006 and 2005</w:t>
            </w:r>
          </w:p>
        </w:tc>
        <w:tc>
          <w:tcPr>
            <w:tcW w:w="3600" w:type="dxa"/>
            <w:vAlign w:val="bottom"/>
          </w:tcPr>
          <w:p>
            <w:pPr>
              <w:spacing w:after="0"/>
              <w:rPr>
                <w:sz w:val="14"/>
                <w:szCs w:val="14"/>
                <w:color w:val="auto"/>
              </w:rPr>
            </w:pP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 of</w:t>
            </w:r>
          </w:p>
        </w:tc>
        <w:tc>
          <w:tcPr>
            <w:tcW w:w="3600" w:type="dxa"/>
            <w:vAlign w:val="bottom"/>
          </w:tcPr>
          <w:p>
            <w:pPr>
              <w:spacing w:after="0"/>
              <w:rPr>
                <w:sz w:val="20"/>
                <w:szCs w:val="20"/>
                <w:color w:val="auto"/>
              </w:rPr>
            </w:pPr>
            <w:r>
              <w:rPr>
                <w:rFonts w:ascii="Courier New" w:cs="Courier New" w:eastAsia="Courier New" w:hAnsi="Courier New"/>
                <w:sz w:val="14"/>
                <w:szCs w:val="14"/>
                <w:color w:val="auto"/>
              </w:rPr>
              <w:t>Operations</w:t>
            </w:r>
          </w:p>
        </w:tc>
        <w:tc>
          <w:tcPr>
            <w:tcW w:w="1520" w:type="dxa"/>
            <w:vAlign w:val="bottom"/>
          </w:tcPr>
          <w:p>
            <w:pPr>
              <w:spacing w:after="0"/>
              <w:rPr>
                <w:sz w:val="24"/>
                <w:szCs w:val="24"/>
                <w:color w:val="auto"/>
              </w:rPr>
            </w:pPr>
          </w:p>
        </w:tc>
      </w:tr>
      <w:tr>
        <w:trPr>
          <w:trHeight w:val="167"/>
        </w:trPr>
        <w:tc>
          <w:tcPr>
            <w:tcW w:w="594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-years ended April 30, 2006, 2005 and 2004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 of</w:t>
            </w:r>
          </w:p>
        </w:tc>
        <w:tc>
          <w:tcPr>
            <w:tcW w:w="3600" w:type="dxa"/>
            <w:vAlign w:val="bottom"/>
          </w:tcPr>
          <w:p>
            <w:pPr>
              <w:spacing w:after="0"/>
              <w:rPr>
                <w:sz w:val="20"/>
                <w:szCs w:val="20"/>
                <w:color w:val="auto"/>
              </w:rPr>
            </w:pPr>
            <w:r>
              <w:rPr>
                <w:rFonts w:ascii="Courier New" w:cs="Courier New" w:eastAsia="Courier New" w:hAnsi="Courier New"/>
                <w:sz w:val="14"/>
                <w:szCs w:val="14"/>
                <w:color w:val="auto"/>
              </w:rPr>
              <w:t>Cash Flows</w:t>
            </w:r>
          </w:p>
        </w:tc>
        <w:tc>
          <w:tcPr>
            <w:tcW w:w="1520" w:type="dxa"/>
            <w:vAlign w:val="bottom"/>
          </w:tcPr>
          <w:p>
            <w:pPr>
              <w:spacing w:after="0"/>
              <w:rPr>
                <w:sz w:val="24"/>
                <w:szCs w:val="24"/>
                <w:color w:val="auto"/>
              </w:rPr>
            </w:pPr>
          </w:p>
        </w:tc>
      </w:tr>
      <w:tr>
        <w:trPr>
          <w:trHeight w:val="167"/>
        </w:trPr>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years ended April 30,</w:t>
            </w:r>
          </w:p>
        </w:tc>
        <w:tc>
          <w:tcPr>
            <w:tcW w:w="3600" w:type="dxa"/>
            <w:vAlign w:val="bottom"/>
          </w:tcPr>
          <w:p>
            <w:pPr>
              <w:spacing w:after="0"/>
              <w:rPr>
                <w:sz w:val="20"/>
                <w:szCs w:val="20"/>
                <w:color w:val="auto"/>
              </w:rPr>
            </w:pPr>
            <w:r>
              <w:rPr>
                <w:rFonts w:ascii="Courier New" w:cs="Courier New" w:eastAsia="Courier New" w:hAnsi="Courier New"/>
                <w:sz w:val="14"/>
                <w:szCs w:val="14"/>
                <w:color w:val="auto"/>
              </w:rPr>
              <w:t>2006, 2005 and 2004</w:t>
            </w:r>
          </w:p>
        </w:tc>
        <w:tc>
          <w:tcPr>
            <w:tcW w:w="152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9"/>
              </w:rPr>
              <w:t>36-37</w:t>
            </w:r>
          </w:p>
        </w:tc>
      </w:tr>
      <w:tr>
        <w:trPr>
          <w:trHeight w:val="334"/>
        </w:trPr>
        <w:tc>
          <w:tcPr>
            <w:tcW w:w="1080" w:type="dxa"/>
            <w:vAlign w:val="bottom"/>
          </w:tcPr>
          <w:p>
            <w:pPr>
              <w:spacing w:after="0"/>
              <w:rPr>
                <w:sz w:val="20"/>
                <w:szCs w:val="20"/>
                <w:color w:val="auto"/>
              </w:rPr>
            </w:pPr>
            <w:r>
              <w:rPr>
                <w:rFonts w:ascii="Courier New" w:cs="Courier New" w:eastAsia="Courier New" w:hAnsi="Courier New"/>
                <w:sz w:val="14"/>
                <w:szCs w:val="14"/>
                <w:color w:val="auto"/>
              </w:rPr>
              <w:t>Consolidated</w:t>
            </w:r>
          </w:p>
        </w:tc>
        <w:tc>
          <w:tcPr>
            <w:tcW w:w="12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Statements of</w:t>
            </w:r>
          </w:p>
        </w:tc>
        <w:tc>
          <w:tcPr>
            <w:tcW w:w="3600" w:type="dxa"/>
            <w:vAlign w:val="bottom"/>
          </w:tcPr>
          <w:p>
            <w:pPr>
              <w:spacing w:after="0"/>
              <w:rPr>
                <w:sz w:val="20"/>
                <w:szCs w:val="20"/>
                <w:color w:val="auto"/>
              </w:rPr>
            </w:pPr>
            <w:r>
              <w:rPr>
                <w:rFonts w:ascii="Courier New" w:cs="Courier New" w:eastAsia="Courier New" w:hAnsi="Courier New"/>
                <w:sz w:val="14"/>
                <w:szCs w:val="14"/>
                <w:color w:val="auto"/>
              </w:rPr>
              <w:t>Changes in Stockholders' Equity</w:t>
            </w:r>
          </w:p>
        </w:tc>
        <w:tc>
          <w:tcPr>
            <w:tcW w:w="1520" w:type="dxa"/>
            <w:vAlign w:val="bottom"/>
          </w:tcPr>
          <w:p>
            <w:pPr>
              <w:spacing w:after="0"/>
              <w:rPr>
                <w:sz w:val="24"/>
                <w:szCs w:val="24"/>
                <w:color w:val="auto"/>
              </w:rPr>
            </w:pPr>
          </w:p>
        </w:tc>
      </w:tr>
      <w:tr>
        <w:trPr>
          <w:trHeight w:val="167"/>
        </w:trPr>
        <w:tc>
          <w:tcPr>
            <w:tcW w:w="23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years ended April 30,</w:t>
            </w:r>
          </w:p>
        </w:tc>
        <w:tc>
          <w:tcPr>
            <w:tcW w:w="3600" w:type="dxa"/>
            <w:vAlign w:val="bottom"/>
          </w:tcPr>
          <w:p>
            <w:pPr>
              <w:spacing w:after="0"/>
              <w:rPr>
                <w:sz w:val="20"/>
                <w:szCs w:val="20"/>
                <w:color w:val="auto"/>
              </w:rPr>
            </w:pPr>
            <w:r>
              <w:rPr>
                <w:rFonts w:ascii="Courier New" w:cs="Courier New" w:eastAsia="Courier New" w:hAnsi="Courier New"/>
                <w:sz w:val="14"/>
                <w:szCs w:val="14"/>
                <w:color w:val="auto"/>
              </w:rPr>
              <w:t>2006, 2005 and 2004</w:t>
            </w:r>
          </w:p>
        </w:tc>
        <w:tc>
          <w:tcPr>
            <w:tcW w:w="1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r>
      <w:tr>
        <w:trPr>
          <w:trHeight w:val="334"/>
        </w:trPr>
        <w:tc>
          <w:tcPr>
            <w:tcW w:w="5940" w:type="dxa"/>
            <w:vAlign w:val="bottom"/>
            <w:gridSpan w:val="3"/>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520" w:type="dxa"/>
            <w:vAlign w:val="bottom"/>
          </w:tcPr>
          <w:p>
            <w:pPr>
              <w:jc w:val="center"/>
              <w:ind w:left="828"/>
              <w:spacing w:after="0"/>
              <w:rPr>
                <w:sz w:val="20"/>
                <w:szCs w:val="20"/>
                <w:color w:val="auto"/>
              </w:rPr>
            </w:pPr>
            <w:r>
              <w:rPr>
                <w:rFonts w:ascii="Courier New" w:cs="Courier New" w:eastAsia="Courier New" w:hAnsi="Courier New"/>
                <w:sz w:val="14"/>
                <w:szCs w:val="14"/>
                <w:color w:val="auto"/>
                <w:w w:val="99"/>
              </w:rPr>
              <w:t>39-53</w:t>
            </w:r>
          </w:p>
        </w:tc>
      </w:tr>
    </w:tbl>
    <w:p>
      <w:pPr>
        <w:spacing w:after="0" w:line="171" w:lineRule="exact"/>
        <w:rPr>
          <w:sz w:val="20"/>
          <w:szCs w:val="20"/>
          <w:color w:val="auto"/>
        </w:rPr>
      </w:pPr>
    </w:p>
    <w:p>
      <w:pPr>
        <w:ind w:left="1060" w:right="6159" w:hanging="270"/>
        <w:spacing w:after="0" w:line="505" w:lineRule="auto"/>
        <w:tabs>
          <w:tab w:leader="none" w:pos="114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 SCHEDULE Included in Part II of this report:</w:t>
      </w:r>
    </w:p>
    <w:tbl>
      <w:tblPr>
        <w:tblLayout w:type="fixed"/>
        <w:tblInd w:w="1320" w:type="dxa"/>
        <w:tblCellMar>
          <w:top w:w="0" w:type="dxa"/>
          <w:left w:w="0" w:type="dxa"/>
          <w:bottom w:w="0" w:type="dxa"/>
          <w:right w:w="0" w:type="dxa"/>
        </w:tblCellMar>
      </w:tblPr>
      <w:tr>
        <w:trPr>
          <w:trHeight w:val="162"/>
        </w:trPr>
        <w:tc>
          <w:tcPr>
            <w:tcW w:w="5540" w:type="dxa"/>
            <w:vAlign w:val="bottom"/>
          </w:tcPr>
          <w:p>
            <w:pPr>
              <w:spacing w:after="0"/>
              <w:rPr>
                <w:sz w:val="20"/>
                <w:szCs w:val="20"/>
                <w:color w:val="auto"/>
              </w:rPr>
            </w:pPr>
            <w:r>
              <w:rPr>
                <w:rFonts w:ascii="Courier New" w:cs="Courier New" w:eastAsia="Courier New" w:hAnsi="Courier New"/>
                <w:sz w:val="14"/>
                <w:szCs w:val="14"/>
                <w:color w:val="auto"/>
              </w:rPr>
              <w:t>Schedule II - Valuation and Qualifying Accounts</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54</w:t>
            </w:r>
          </w:p>
        </w:tc>
      </w:tr>
    </w:tbl>
    <w:p>
      <w:pPr>
        <w:spacing w:after="0" w:line="171" w:lineRule="exact"/>
        <w:rPr>
          <w:sz w:val="20"/>
          <w:szCs w:val="20"/>
          <w:color w:val="auto"/>
        </w:rPr>
      </w:pPr>
    </w:p>
    <w:p>
      <w:pPr>
        <w:ind w:left="1320" w:right="1559"/>
        <w:spacing w:after="0" w:line="258" w:lineRule="auto"/>
        <w:rPr>
          <w:sz w:val="20"/>
          <w:szCs w:val="20"/>
          <w:color w:val="auto"/>
        </w:rPr>
      </w:pPr>
      <w:r>
        <w:rPr>
          <w:rFonts w:ascii="Courier New" w:cs="Courier New" w:eastAsia="Courier New" w:hAnsi="Courier New"/>
          <w:sz w:val="14"/>
          <w:szCs w:val="14"/>
          <w:color w:val="auto"/>
        </w:rPr>
        <w:t>Other financial statement schedules are omitted because they are not required, or the information is presented in the consolidated financial statements or notes thereto.</w:t>
      </w:r>
    </w:p>
    <w:p>
      <w:pPr>
        <w:spacing w:after="0" w:line="160" w:lineRule="exact"/>
        <w:rPr>
          <w:sz w:val="20"/>
          <w:szCs w:val="20"/>
          <w:color w:val="auto"/>
        </w:rPr>
      </w:pPr>
    </w:p>
    <w:tbl>
      <w:tblPr>
        <w:tblLayout w:type="fixed"/>
        <w:tblInd w:w="800" w:type="dxa"/>
        <w:tblCellMar>
          <w:top w:w="0" w:type="dxa"/>
          <w:left w:w="0" w:type="dxa"/>
          <w:bottom w:w="0" w:type="dxa"/>
          <w:right w:w="0" w:type="dxa"/>
        </w:tblCellMar>
      </w:tblPr>
      <w:tr>
        <w:trPr>
          <w:trHeight w:val="162"/>
        </w:trPr>
        <w:tc>
          <w:tcPr>
            <w:tcW w:w="1680" w:type="dxa"/>
            <w:vAlign w:val="bottom"/>
          </w:tcPr>
          <w:p>
            <w:pPr>
              <w:spacing w:after="0"/>
              <w:rPr>
                <w:sz w:val="20"/>
                <w:szCs w:val="20"/>
                <w:color w:val="auto"/>
              </w:rPr>
            </w:pPr>
            <w:r>
              <w:rPr>
                <w:rFonts w:ascii="Courier New" w:cs="Courier New" w:eastAsia="Courier New" w:hAnsi="Courier New"/>
                <w:sz w:val="14"/>
                <w:szCs w:val="14"/>
                <w:color w:val="auto"/>
              </w:rPr>
              <w:t>(3) EXHIBITS</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34"/>
        </w:trPr>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Exhibit 23.1</w:t>
            </w:r>
          </w:p>
        </w:tc>
        <w:tc>
          <w:tcPr>
            <w:tcW w:w="5520" w:type="dxa"/>
            <w:vAlign w:val="bottom"/>
            <w:gridSpan w:val="4"/>
          </w:tcPr>
          <w:p>
            <w:pPr>
              <w:ind w:left="140"/>
              <w:spacing w:after="0"/>
              <w:rPr>
                <w:sz w:val="20"/>
                <w:szCs w:val="20"/>
                <w:color w:val="auto"/>
              </w:rPr>
            </w:pPr>
            <w:r>
              <w:rPr>
                <w:rFonts w:ascii="Courier New" w:cs="Courier New" w:eastAsia="Courier New" w:hAnsi="Courier New"/>
                <w:sz w:val="14"/>
                <w:szCs w:val="14"/>
                <w:color w:val="auto"/>
              </w:rPr>
              <w:t>Consents of Independent Registered Public Accounting Firms</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r>
        <w:trPr>
          <w:trHeight w:val="334"/>
        </w:trPr>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Exhibit 31.1</w:t>
            </w:r>
          </w:p>
        </w:tc>
        <w:tc>
          <w:tcPr>
            <w:tcW w:w="1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Certification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Chief Executive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Officer pursuant to</w:t>
            </w:r>
          </w:p>
        </w:tc>
        <w:tc>
          <w:tcPr>
            <w:tcW w:w="520" w:type="dxa"/>
            <w:vAlign w:val="bottom"/>
          </w:tcPr>
          <w:p>
            <w:pPr>
              <w:spacing w:after="0"/>
              <w:rPr>
                <w:sz w:val="24"/>
                <w:szCs w:val="24"/>
                <w:color w:val="auto"/>
              </w:rPr>
            </w:pPr>
          </w:p>
        </w:tc>
      </w:tr>
      <w:tr>
        <w:trPr>
          <w:trHeight w:val="167"/>
        </w:trPr>
        <w:tc>
          <w:tcPr>
            <w:tcW w:w="168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Sarbanes-Oxley Act of 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62</w:t>
            </w:r>
          </w:p>
        </w:tc>
      </w:tr>
      <w:tr>
        <w:trPr>
          <w:trHeight w:val="334"/>
        </w:trPr>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Exhibit 31.2</w:t>
            </w:r>
          </w:p>
        </w:tc>
        <w:tc>
          <w:tcPr>
            <w:tcW w:w="1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Certification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Chief Financial</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Officer pursuant to</w:t>
            </w:r>
          </w:p>
        </w:tc>
        <w:tc>
          <w:tcPr>
            <w:tcW w:w="520" w:type="dxa"/>
            <w:vAlign w:val="bottom"/>
          </w:tcPr>
          <w:p>
            <w:pPr>
              <w:spacing w:after="0"/>
              <w:rPr>
                <w:sz w:val="24"/>
                <w:szCs w:val="24"/>
                <w:color w:val="auto"/>
              </w:rPr>
            </w:pPr>
          </w:p>
        </w:tc>
      </w:tr>
      <w:tr>
        <w:trPr>
          <w:trHeight w:val="167"/>
        </w:trPr>
        <w:tc>
          <w:tcPr>
            <w:tcW w:w="168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Section 302</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Sarbanes-Oxley Act of 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63</w:t>
            </w:r>
          </w:p>
        </w:tc>
      </w:tr>
      <w:tr>
        <w:trPr>
          <w:trHeight w:val="334"/>
        </w:trPr>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Exhibit 32.1</w:t>
            </w:r>
          </w:p>
        </w:tc>
        <w:tc>
          <w:tcPr>
            <w:tcW w:w="1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Certification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Chief Executive</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Officer pursuant to</w:t>
            </w:r>
          </w:p>
        </w:tc>
        <w:tc>
          <w:tcPr>
            <w:tcW w:w="520" w:type="dxa"/>
            <w:vAlign w:val="bottom"/>
          </w:tcPr>
          <w:p>
            <w:pPr>
              <w:spacing w:after="0"/>
              <w:rPr>
                <w:sz w:val="24"/>
                <w:szCs w:val="24"/>
                <w:color w:val="auto"/>
              </w:rPr>
            </w:pPr>
          </w:p>
        </w:tc>
      </w:tr>
      <w:tr>
        <w:trPr>
          <w:trHeight w:val="167"/>
        </w:trPr>
        <w:tc>
          <w:tcPr>
            <w:tcW w:w="168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Section 906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Sarbanes-Oxley Act of 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334"/>
        </w:trPr>
        <w:tc>
          <w:tcPr>
            <w:tcW w:w="1680" w:type="dxa"/>
            <w:vAlign w:val="bottom"/>
          </w:tcPr>
          <w:p>
            <w:pPr>
              <w:ind w:left="520"/>
              <w:spacing w:after="0"/>
              <w:rPr>
                <w:sz w:val="20"/>
                <w:szCs w:val="20"/>
                <w:color w:val="auto"/>
              </w:rPr>
            </w:pPr>
            <w:r>
              <w:rPr>
                <w:rFonts w:ascii="Courier New" w:cs="Courier New" w:eastAsia="Courier New" w:hAnsi="Courier New"/>
                <w:sz w:val="14"/>
                <w:szCs w:val="14"/>
                <w:color w:val="auto"/>
              </w:rPr>
              <w:t>Exhibit 32.2</w:t>
            </w:r>
          </w:p>
        </w:tc>
        <w:tc>
          <w:tcPr>
            <w:tcW w:w="1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Certification</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Chief Financial</w:t>
            </w:r>
          </w:p>
        </w:tc>
        <w:tc>
          <w:tcPr>
            <w:tcW w:w="2080" w:type="dxa"/>
            <w:vAlign w:val="bottom"/>
          </w:tcPr>
          <w:p>
            <w:pPr>
              <w:ind w:left="80"/>
              <w:spacing w:after="0"/>
              <w:rPr>
                <w:sz w:val="20"/>
                <w:szCs w:val="20"/>
                <w:color w:val="auto"/>
              </w:rPr>
            </w:pPr>
            <w:r>
              <w:rPr>
                <w:rFonts w:ascii="Courier New" w:cs="Courier New" w:eastAsia="Courier New" w:hAnsi="Courier New"/>
                <w:sz w:val="14"/>
                <w:szCs w:val="14"/>
                <w:color w:val="auto"/>
              </w:rPr>
              <w:t>Officer pursuant to</w:t>
            </w:r>
          </w:p>
        </w:tc>
        <w:tc>
          <w:tcPr>
            <w:tcW w:w="520" w:type="dxa"/>
            <w:vAlign w:val="bottom"/>
          </w:tcPr>
          <w:p>
            <w:pPr>
              <w:spacing w:after="0"/>
              <w:rPr>
                <w:sz w:val="24"/>
                <w:szCs w:val="24"/>
                <w:color w:val="auto"/>
              </w:rPr>
            </w:pPr>
          </w:p>
        </w:tc>
      </w:tr>
      <w:tr>
        <w:trPr>
          <w:trHeight w:val="167"/>
        </w:trPr>
        <w:tc>
          <w:tcPr>
            <w:tcW w:w="1680" w:type="dxa"/>
            <w:vAlign w:val="bottom"/>
          </w:tcPr>
          <w:p>
            <w:pPr>
              <w:spacing w:after="0"/>
              <w:rPr>
                <w:sz w:val="14"/>
                <w:szCs w:val="14"/>
                <w:color w:val="auto"/>
              </w:rPr>
            </w:pPr>
          </w:p>
        </w:tc>
        <w:tc>
          <w:tcPr>
            <w:tcW w:w="1140" w:type="dxa"/>
            <w:vAlign w:val="bottom"/>
          </w:tcPr>
          <w:p>
            <w:pPr>
              <w:ind w:left="140"/>
              <w:spacing w:after="0"/>
              <w:rPr>
                <w:sz w:val="20"/>
                <w:szCs w:val="20"/>
                <w:color w:val="auto"/>
              </w:rPr>
            </w:pPr>
            <w:r>
              <w:rPr>
                <w:rFonts w:ascii="Courier New" w:cs="Courier New" w:eastAsia="Courier New" w:hAnsi="Courier New"/>
                <w:sz w:val="14"/>
                <w:szCs w:val="14"/>
                <w:color w:val="auto"/>
              </w:rPr>
              <w:t>Section 906</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Sarbanes-Oxley Act of 2002</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65</w:t>
            </w:r>
          </w:p>
        </w:tc>
      </w:tr>
    </w:tbl>
    <w:p>
      <w:pPr>
        <w:spacing w:after="0" w:line="171" w:lineRule="exact"/>
        <w:rPr>
          <w:sz w:val="20"/>
          <w:szCs w:val="20"/>
          <w:color w:val="auto"/>
        </w:rPr>
      </w:pPr>
    </w:p>
    <w:p>
      <w:pPr>
        <w:ind w:left="1320" w:right="1299"/>
        <w:spacing w:after="0" w:line="258" w:lineRule="auto"/>
        <w:rPr>
          <w:sz w:val="20"/>
          <w:szCs w:val="20"/>
          <w:color w:val="auto"/>
        </w:rPr>
      </w:pPr>
      <w:r>
        <w:rPr>
          <w:rFonts w:ascii="Courier New" w:cs="Courier New" w:eastAsia="Courier New" w:hAnsi="Courier New"/>
          <w:sz w:val="14"/>
          <w:szCs w:val="14"/>
          <w:color w:val="auto"/>
        </w:rPr>
        <w:t>The exhibits listed on the accompanying Index to Exhibits beginning on page 58 are filed as part of this annual report.</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58</w:t>
      </w:r>
    </w:p>
    <w:p>
      <w:pPr>
        <w:sectPr>
          <w:pgSz w:w="11900" w:h="16838" w:orient="portrait"/>
          <w:cols w:equalWidth="0" w:num="1">
            <w:col w:w="10239"/>
          </w:cols>
          <w:pgMar w:left="220" w:top="620" w:right="1440" w:bottom="1440" w:gutter="0" w:footer="0" w:header="0"/>
        </w:sectPr>
      </w:pPr>
    </w:p>
    <w:bookmarkStart w:id="59" w:name="page60"/>
    <w:bookmarkEnd w:id="59"/>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ind w:right="3279" w:firstLine="521"/>
        <w:spacing w:after="0" w:line="255"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4"/>
          <w:szCs w:val="14"/>
          <w:color w:val="auto"/>
        </w:rPr>
        <w:t>FREQUENCY ELECTRONICS, INC.</w:t>
      </w:r>
    </w:p>
    <w:p>
      <w:pPr>
        <w:spacing w:after="0" w:line="175"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4"/>
          <w:szCs w:val="14"/>
          <w:color w:val="auto"/>
        </w:rPr>
        <w:t>By</w:t>
        <w:tab/>
        <w:t>/s/ Martin B. Bloch</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Martin B. Bloch</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President and CEO</w:t>
      </w:r>
    </w:p>
    <w:p>
      <w:pPr>
        <w:spacing w:after="0" w:line="342" w:lineRule="exact"/>
        <w:rPr>
          <w:sz w:val="20"/>
          <w:szCs w:val="20"/>
          <w:color w:val="auto"/>
        </w:rPr>
      </w:pPr>
    </w:p>
    <w:p>
      <w:pPr>
        <w:ind w:left="4440"/>
        <w:spacing w:after="0"/>
        <w:tabs>
          <w:tab w:leader="none" w:pos="4840" w:val="left"/>
        </w:tabs>
        <w:rPr>
          <w:sz w:val="20"/>
          <w:szCs w:val="20"/>
          <w:color w:val="auto"/>
        </w:rPr>
      </w:pPr>
      <w:r>
        <w:rPr>
          <w:rFonts w:ascii="Courier New" w:cs="Courier New" w:eastAsia="Courier New" w:hAnsi="Courier New"/>
          <w:sz w:val="14"/>
          <w:szCs w:val="14"/>
          <w:color w:val="auto"/>
        </w:rPr>
        <w:t>By:</w:t>
        <w:tab/>
        <w:t>/s/ Alan L. Miller</w:t>
      </w:r>
    </w:p>
    <w:p>
      <w:pPr>
        <w:spacing w:after="0" w:line="8" w:lineRule="exact"/>
        <w:rPr>
          <w:sz w:val="20"/>
          <w:szCs w:val="20"/>
          <w:color w:val="auto"/>
        </w:rPr>
      </w:pPr>
    </w:p>
    <w:p>
      <w:pPr>
        <w:ind w:left="44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Alan L. Miller</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Chief Financial Officer</w:t>
      </w:r>
    </w:p>
    <w:p>
      <w:pPr>
        <w:spacing w:after="0" w:line="8" w:lineRule="exact"/>
        <w:rPr>
          <w:sz w:val="20"/>
          <w:szCs w:val="20"/>
          <w:color w:val="auto"/>
        </w:rPr>
      </w:pPr>
    </w:p>
    <w:p>
      <w:pPr>
        <w:ind w:left="4780"/>
        <w:spacing w:after="0"/>
        <w:rPr>
          <w:sz w:val="20"/>
          <w:szCs w:val="20"/>
          <w:color w:val="auto"/>
        </w:rPr>
      </w:pPr>
      <w:r>
        <w:rPr>
          <w:rFonts w:ascii="Courier New" w:cs="Courier New" w:eastAsia="Courier New" w:hAnsi="Courier New"/>
          <w:sz w:val="14"/>
          <w:szCs w:val="14"/>
          <w:color w:val="auto"/>
        </w:rPr>
        <w:t>and Controller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July 28, 2006</w:t>
      </w:r>
    </w:p>
    <w:p>
      <w:pPr>
        <w:spacing w:after="0" w:line="175" w:lineRule="exact"/>
        <w:rPr>
          <w:sz w:val="20"/>
          <w:szCs w:val="20"/>
          <w:color w:val="auto"/>
        </w:rPr>
      </w:pPr>
    </w:p>
    <w:p>
      <w:pPr>
        <w:ind w:right="3379" w:firstLine="521"/>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Signature</w:t>
            </w:r>
          </w:p>
        </w:tc>
        <w:tc>
          <w:tcPr>
            <w:tcW w:w="4160" w:type="dxa"/>
            <w:vAlign w:val="bottom"/>
          </w:tcPr>
          <w:p>
            <w:pPr>
              <w:ind w:left="1860"/>
              <w:spacing w:after="0"/>
              <w:rPr>
                <w:sz w:val="20"/>
                <w:szCs w:val="20"/>
                <w:color w:val="auto"/>
              </w:rPr>
            </w:pPr>
            <w:r>
              <w:rPr>
                <w:rFonts w:ascii="Courier New" w:cs="Courier New" w:eastAsia="Courier New" w:hAnsi="Courier New"/>
                <w:sz w:val="14"/>
                <w:szCs w:val="14"/>
                <w:color w:val="auto"/>
              </w:rPr>
              <w:t>Title</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Date</w:t>
            </w:r>
          </w:p>
        </w:tc>
      </w:tr>
      <w:tr>
        <w:trPr>
          <w:trHeight w:val="167"/>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860"/>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Joseph P. Franklin</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Chairman of the Board</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Joseph P. Franklin</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Joel Girsky</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Director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380" w:type="dxa"/>
            <w:vAlign w:val="bottom"/>
          </w:tcPr>
          <w:p>
            <w:pPr>
              <w:ind w:left="180"/>
              <w:spacing w:after="0"/>
              <w:rPr>
                <w:sz w:val="20"/>
                <w:szCs w:val="20"/>
                <w:color w:val="auto"/>
              </w:rPr>
            </w:pPr>
            <w:r>
              <w:rPr>
                <w:rFonts w:ascii="Courier New" w:cs="Courier New" w:eastAsia="Courier New" w:hAnsi="Courier New"/>
                <w:sz w:val="14"/>
                <w:szCs w:val="14"/>
                <w:color w:val="auto"/>
              </w:rPr>
              <w:t>Joel Girsky</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E. Donald Shapiro</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Director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E. Donald Shapiro</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S. Robert Foley</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Director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S. Robert Foley</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Richard Schwartz</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Director</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Richard Schwartz</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Martin B. Bloch</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President and CEO</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(Principal Executive Officer)</w:t>
            </w:r>
          </w:p>
        </w:tc>
        <w:tc>
          <w:tcPr>
            <w:tcW w:w="840" w:type="dxa"/>
            <w:vAlign w:val="bottom"/>
          </w:tcPr>
          <w:p>
            <w:pPr>
              <w:spacing w:after="0"/>
              <w:rPr>
                <w:sz w:val="14"/>
                <w:szCs w:val="14"/>
                <w:color w:val="auto"/>
              </w:rPr>
            </w:pPr>
          </w:p>
        </w:tc>
      </w:tr>
      <w:tr>
        <w:trPr>
          <w:trHeight w:val="167"/>
        </w:trPr>
        <w:tc>
          <w:tcPr>
            <w:tcW w:w="2380" w:type="dxa"/>
            <w:vAlign w:val="bottom"/>
          </w:tcPr>
          <w:p>
            <w:pPr>
              <w:ind w:left="260"/>
              <w:spacing w:after="0"/>
              <w:rPr>
                <w:sz w:val="20"/>
                <w:szCs w:val="20"/>
                <w:color w:val="auto"/>
              </w:rPr>
            </w:pPr>
            <w:r>
              <w:rPr>
                <w:rFonts w:ascii="Courier New" w:cs="Courier New" w:eastAsia="Courier New" w:hAnsi="Courier New"/>
                <w:sz w:val="14"/>
                <w:szCs w:val="14"/>
                <w:color w:val="auto"/>
              </w:rPr>
              <w:t>Martin B. Bloch</w:t>
            </w:r>
          </w:p>
        </w:tc>
        <w:tc>
          <w:tcPr>
            <w:tcW w:w="4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4"/>
        </w:trPr>
        <w:tc>
          <w:tcPr>
            <w:tcW w:w="2380" w:type="dxa"/>
            <w:vAlign w:val="bottom"/>
          </w:tcPr>
          <w:p>
            <w:pPr>
              <w:spacing w:after="0"/>
              <w:rPr>
                <w:sz w:val="20"/>
                <w:szCs w:val="20"/>
                <w:color w:val="auto"/>
              </w:rPr>
            </w:pPr>
            <w:r>
              <w:rPr>
                <w:rFonts w:ascii="Courier New" w:cs="Courier New" w:eastAsia="Courier New" w:hAnsi="Courier New"/>
                <w:sz w:val="14"/>
                <w:szCs w:val="14"/>
                <w:color w:val="auto"/>
              </w:rPr>
              <w:t>/s/ Alan L. Miller</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Chief Financial Officer</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7/28/06</w:t>
            </w:r>
          </w:p>
        </w:tc>
      </w:tr>
      <w:tr>
        <w:trPr>
          <w:trHeight w:val="167"/>
        </w:trPr>
        <w:tc>
          <w:tcPr>
            <w:tcW w:w="23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and Controller</w:t>
            </w:r>
          </w:p>
        </w:tc>
        <w:tc>
          <w:tcPr>
            <w:tcW w:w="840" w:type="dxa"/>
            <w:vAlign w:val="bottom"/>
          </w:tcPr>
          <w:p>
            <w:pPr>
              <w:spacing w:after="0"/>
              <w:rPr>
                <w:sz w:val="14"/>
                <w:szCs w:val="14"/>
                <w:color w:val="auto"/>
              </w:rPr>
            </w:pPr>
          </w:p>
        </w:tc>
      </w:tr>
      <w:tr>
        <w:trPr>
          <w:trHeight w:val="167"/>
        </w:trPr>
        <w:tc>
          <w:tcPr>
            <w:tcW w:w="2380" w:type="dxa"/>
            <w:vAlign w:val="bottom"/>
          </w:tcPr>
          <w:p>
            <w:pPr>
              <w:ind w:left="340"/>
              <w:spacing w:after="0"/>
              <w:rPr>
                <w:sz w:val="20"/>
                <w:szCs w:val="20"/>
                <w:color w:val="auto"/>
              </w:rPr>
            </w:pPr>
            <w:r>
              <w:rPr>
                <w:rFonts w:ascii="Courier New" w:cs="Courier New" w:eastAsia="Courier New" w:hAnsi="Courier New"/>
                <w:sz w:val="14"/>
                <w:szCs w:val="14"/>
                <w:color w:val="auto"/>
              </w:rPr>
              <w:t>Alan L. Miller</w:t>
            </w:r>
          </w:p>
        </w:tc>
        <w:tc>
          <w:tcPr>
            <w:tcW w:w="4160" w:type="dxa"/>
            <w:vAlign w:val="bottom"/>
          </w:tcPr>
          <w:p>
            <w:pPr>
              <w:ind w:left="1520"/>
              <w:spacing w:after="0"/>
              <w:rPr>
                <w:sz w:val="20"/>
                <w:szCs w:val="20"/>
                <w:color w:val="auto"/>
              </w:rPr>
            </w:pPr>
            <w:r>
              <w:rPr>
                <w:rFonts w:ascii="Courier New" w:cs="Courier New" w:eastAsia="Courier New" w:hAnsi="Courier New"/>
                <w:sz w:val="14"/>
                <w:szCs w:val="14"/>
                <w:color w:val="auto"/>
              </w:rPr>
              <w:t>(Principal Financial Officer)</w:t>
            </w:r>
          </w:p>
        </w:tc>
        <w:tc>
          <w:tcPr>
            <w:tcW w:w="840" w:type="dxa"/>
            <w:vAlign w:val="bottom"/>
          </w:tcPr>
          <w:p>
            <w:pPr>
              <w:spacing w:after="0"/>
              <w:rPr>
                <w:sz w:val="14"/>
                <w:szCs w:val="14"/>
                <w:color w:val="auto"/>
              </w:rPr>
            </w:pPr>
          </w:p>
        </w:tc>
      </w:tr>
      <w:tr>
        <w:trPr>
          <w:trHeight w:val="668"/>
        </w:trPr>
        <w:tc>
          <w:tcPr>
            <w:tcW w:w="2380" w:type="dxa"/>
            <w:vAlign w:val="bottom"/>
          </w:tcPr>
          <w:p>
            <w:pPr>
              <w:spacing w:after="0"/>
              <w:rPr>
                <w:sz w:val="24"/>
                <w:szCs w:val="24"/>
                <w:color w:val="auto"/>
              </w:rPr>
            </w:pPr>
          </w:p>
        </w:tc>
        <w:tc>
          <w:tcPr>
            <w:tcW w:w="4160" w:type="dxa"/>
            <w:vAlign w:val="bottom"/>
          </w:tcPr>
          <w:p>
            <w:pPr>
              <w:ind w:left="400"/>
              <w:spacing w:after="0"/>
              <w:rPr>
                <w:sz w:val="20"/>
                <w:szCs w:val="20"/>
                <w:color w:val="auto"/>
              </w:rPr>
            </w:pPr>
            <w:r>
              <w:rPr>
                <w:rFonts w:ascii="Courier New" w:cs="Courier New" w:eastAsia="Courier New" w:hAnsi="Courier New"/>
                <w:sz w:val="14"/>
                <w:szCs w:val="14"/>
                <w:color w:val="auto"/>
              </w:rPr>
              <w:t>59</w:t>
            </w:r>
          </w:p>
        </w:tc>
        <w:tc>
          <w:tcPr>
            <w:tcW w:w="8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0" w:name="page61"/>
    <w:bookmarkEnd w:id="60"/>
    <w:p>
      <w:pPr>
        <w:jc w:val="center"/>
        <w:ind w:right="3199"/>
        <w:spacing w:after="0"/>
        <w:rPr>
          <w:sz w:val="20"/>
          <w:szCs w:val="20"/>
          <w:color w:val="auto"/>
        </w:rPr>
      </w:pPr>
      <w:r>
        <w:rPr>
          <w:rFonts w:ascii="Courier New" w:cs="Courier New" w:eastAsia="Courier New" w:hAnsi="Courier New"/>
          <w:sz w:val="14"/>
          <w:szCs w:val="14"/>
          <w:color w:val="auto"/>
        </w:rPr>
        <w:t>INDEX TO EXHIBITS</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ITEM 15(a)(3)</w:t>
      </w:r>
    </w:p>
    <w:p>
      <w:pPr>
        <w:spacing w:after="0" w:line="175" w:lineRule="exact"/>
        <w:rPr>
          <w:sz w:val="20"/>
          <w:szCs w:val="20"/>
          <w:color w:val="auto"/>
        </w:rPr>
      </w:pPr>
    </w:p>
    <w:p>
      <w:pPr>
        <w:ind w:right="3459"/>
        <w:spacing w:after="0" w:line="254" w:lineRule="auto"/>
        <w:rPr>
          <w:sz w:val="20"/>
          <w:szCs w:val="20"/>
          <w:color w:val="auto"/>
        </w:rPr>
      </w:pPr>
      <w:r>
        <w:rPr>
          <w:rFonts w:ascii="Courier New" w:cs="Courier New" w:eastAsia="Courier New" w:hAnsi="Courier New"/>
          <w:sz w:val="14"/>
          <w:szCs w:val="14"/>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Exhibit No. in</w:t>
            </w:r>
          </w:p>
        </w:tc>
        <w:tc>
          <w:tcPr>
            <w:tcW w:w="1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this Form 10-K</w:t>
            </w:r>
          </w:p>
        </w:tc>
        <w:tc>
          <w:tcPr>
            <w:tcW w:w="1160" w:type="dxa"/>
            <w:vAlign w:val="bottom"/>
          </w:tcPr>
          <w:p>
            <w:pPr>
              <w:spacing w:after="0"/>
              <w:rPr>
                <w:sz w:val="14"/>
                <w:szCs w:val="14"/>
                <w:color w:val="auto"/>
              </w:rPr>
            </w:pPr>
          </w:p>
        </w:tc>
        <w:tc>
          <w:tcPr>
            <w:tcW w:w="252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Description of Exhibit</w:t>
            </w:r>
          </w:p>
        </w:tc>
        <w:tc>
          <w:tcPr>
            <w:tcW w:w="20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NOTE</w:t>
            </w: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680" w:type="dxa"/>
            <w:vAlign w:val="bottom"/>
            <w:gridSpan w:val="4"/>
          </w:tcPr>
          <w:p>
            <w:pPr>
              <w:ind w:left="4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w:t>
            </w:r>
          </w:p>
        </w:tc>
        <w:tc>
          <w:tcPr>
            <w:tcW w:w="3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Copy of Certificate of Incorporation of</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the Registrant</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filed with</w:t>
            </w:r>
          </w:p>
        </w:tc>
        <w:tc>
          <w:tcPr>
            <w:tcW w:w="4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the Secretary of State of Delaware</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3.2</w:t>
            </w: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Amendment to Certificate of Incorporation of the</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Registrant filed with the Secretary of State</w:t>
            </w:r>
          </w:p>
        </w:tc>
        <w:tc>
          <w:tcPr>
            <w:tcW w:w="6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2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of Delaware on March</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27, 1981</w:t>
            </w:r>
          </w:p>
        </w:tc>
        <w:tc>
          <w:tcPr>
            <w:tcW w:w="20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3.3</w:t>
            </w: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Amendment to Certificate of Incorporation of the Registrant</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filed with</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Secretary</w:t>
            </w:r>
          </w:p>
        </w:tc>
        <w:tc>
          <w:tcPr>
            <w:tcW w:w="3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State of Delaware on October 26, 1984</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3.4</w:t>
            </w: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Amendment to Certificate of Incorporation of the Registrant</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filed with</w:t>
            </w:r>
          </w:p>
        </w:tc>
        <w:tc>
          <w:tcPr>
            <w:tcW w:w="4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the Secretary of State of Delaware on October 22,</w:t>
            </w:r>
          </w:p>
        </w:tc>
        <w:tc>
          <w:tcPr>
            <w:tcW w:w="6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1986</w:t>
            </w: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3.5</w:t>
            </w:r>
          </w:p>
        </w:tc>
        <w:tc>
          <w:tcPr>
            <w:tcW w:w="2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Amended and Restated</w:t>
            </w:r>
          </w:p>
        </w:tc>
        <w:tc>
          <w:tcPr>
            <w:tcW w:w="36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Certificate of Incorporation of the</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Registrant</w:t>
            </w:r>
          </w:p>
        </w:tc>
        <w:tc>
          <w:tcPr>
            <w:tcW w:w="4520" w:type="dxa"/>
            <w:vAlign w:val="bottom"/>
            <w:gridSpan w:val="3"/>
          </w:tcPr>
          <w:p>
            <w:pPr>
              <w:ind w:left="60"/>
              <w:spacing w:after="0"/>
              <w:rPr>
                <w:sz w:val="20"/>
                <w:szCs w:val="20"/>
                <w:color w:val="auto"/>
              </w:rPr>
            </w:pPr>
            <w:r>
              <w:rPr>
                <w:rFonts w:ascii="Courier New" w:cs="Courier New" w:eastAsia="Courier New" w:hAnsi="Courier New"/>
                <w:sz w:val="14"/>
                <w:szCs w:val="14"/>
                <w:color w:val="auto"/>
              </w:rPr>
              <w:t>filed with the Secretary of State of Delaware on</w:t>
            </w:r>
          </w:p>
        </w:tc>
        <w:tc>
          <w:tcPr>
            <w:tcW w:w="66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2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October 26, 1987</w:t>
            </w: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3.6</w:t>
            </w:r>
          </w:p>
        </w:tc>
        <w:tc>
          <w:tcPr>
            <w:tcW w:w="3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Amended Certificate of Incorporation of</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the Company filed</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3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with the Secretary of State of Delaware</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on November 2, 1989</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3.7</w:t>
            </w: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Copy of By-Laws of the Registrant, as amended to date</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4.1</w:t>
            </w:r>
          </w:p>
        </w:tc>
        <w:tc>
          <w:tcPr>
            <w:tcW w:w="3680" w:type="dxa"/>
            <w:vAlign w:val="bottom"/>
            <w:gridSpan w:val="3"/>
          </w:tcPr>
          <w:p>
            <w:pPr>
              <w:ind w:left="260"/>
              <w:spacing w:after="0"/>
              <w:rPr>
                <w:sz w:val="20"/>
                <w:szCs w:val="20"/>
                <w:color w:val="auto"/>
              </w:rPr>
            </w:pPr>
            <w:r>
              <w:rPr>
                <w:rFonts w:ascii="Courier New" w:cs="Courier New" w:eastAsia="Courier New" w:hAnsi="Courier New"/>
                <w:sz w:val="14"/>
                <w:szCs w:val="14"/>
                <w:color w:val="auto"/>
              </w:rPr>
              <w:t>Specimen of Common Stock certificate</w:t>
            </w:r>
          </w:p>
        </w:tc>
        <w:tc>
          <w:tcPr>
            <w:tcW w:w="2000" w:type="dxa"/>
            <w:vAlign w:val="bottom"/>
          </w:tcPr>
          <w:p>
            <w:pPr>
              <w:spacing w:after="0"/>
              <w:rPr>
                <w:sz w:val="24"/>
                <w:szCs w:val="2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10.1</w:t>
            </w: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Registrant's 1997 Independent Contractor Stock Option Plan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10.2</w:t>
            </w:r>
          </w:p>
        </w:tc>
        <w:tc>
          <w:tcPr>
            <w:tcW w:w="568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Stock Bonus Plan of Registrant and Trust Agreement</w:t>
            </w:r>
          </w:p>
        </w:tc>
        <w:tc>
          <w:tcPr>
            <w:tcW w:w="66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thereunder</w:t>
            </w: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10.3</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Martin B. Bloch</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10.4</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Abraham Lazar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10.5</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John C. Ho</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10.6</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Marvin Meirs</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10.7</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Alfred Vulcan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10.8</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Harry Newman</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10.9</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Marcus Hechler</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10.10</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Charles Stone</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10.11</w:t>
            </w:r>
          </w:p>
        </w:tc>
        <w:tc>
          <w:tcPr>
            <w:tcW w:w="1160" w:type="dxa"/>
            <w:vAlign w:val="bottom"/>
          </w:tcPr>
          <w:p>
            <w:pPr>
              <w:ind w:left="260"/>
              <w:spacing w:after="0"/>
              <w:rPr>
                <w:sz w:val="20"/>
                <w:szCs w:val="20"/>
                <w:color w:val="auto"/>
              </w:rPr>
            </w:pPr>
            <w:r>
              <w:rPr>
                <w:rFonts w:ascii="Courier New" w:cs="Courier New" w:eastAsia="Courier New" w:hAnsi="Courier New"/>
                <w:sz w:val="14"/>
                <w:szCs w:val="14"/>
                <w:color w:val="auto"/>
              </w:rPr>
              <w:t>Employment</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agreement</w:t>
            </w:r>
          </w:p>
        </w:tc>
        <w:tc>
          <w:tcPr>
            <w:tcW w:w="1640" w:type="dxa"/>
            <w:vAlign w:val="bottom"/>
          </w:tcPr>
          <w:p>
            <w:pPr>
              <w:ind w:left="40"/>
              <w:spacing w:after="0"/>
              <w:rPr>
                <w:sz w:val="20"/>
                <w:szCs w:val="20"/>
                <w:color w:val="auto"/>
              </w:rPr>
            </w:pPr>
            <w:r>
              <w:rPr>
                <w:rFonts w:ascii="Courier New" w:cs="Courier New" w:eastAsia="Courier New" w:hAnsi="Courier New"/>
                <w:sz w:val="14"/>
                <w:szCs w:val="14"/>
                <w:color w:val="auto"/>
              </w:rPr>
              <w:t>between Registrant</w:t>
            </w:r>
          </w:p>
        </w:tc>
        <w:tc>
          <w:tcPr>
            <w:tcW w:w="2000" w:type="dxa"/>
            <w:vAlign w:val="bottom"/>
          </w:tcPr>
          <w:p>
            <w:pPr>
              <w:ind w:left="60"/>
              <w:spacing w:after="0"/>
              <w:rPr>
                <w:sz w:val="20"/>
                <w:szCs w:val="20"/>
                <w:color w:val="auto"/>
              </w:rPr>
            </w:pPr>
            <w:r>
              <w:rPr>
                <w:rFonts w:ascii="Courier New" w:cs="Courier New" w:eastAsia="Courier New" w:hAnsi="Courier New"/>
                <w:sz w:val="14"/>
                <w:szCs w:val="14"/>
                <w:color w:val="auto"/>
              </w:rPr>
              <w:t>and Jerry Bloch</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w:t>
            </w:r>
          </w:p>
        </w:tc>
      </w:tr>
      <w:tr>
        <w:trPr>
          <w:trHeight w:val="668"/>
        </w:trPr>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Courier New" w:cs="Courier New" w:eastAsia="Courier New" w:hAnsi="Courier New"/>
                <w:sz w:val="14"/>
                <w:szCs w:val="14"/>
                <w:color w:val="auto"/>
              </w:rPr>
              <w:t>60</w:t>
            </w: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Exhibit No. in</w:t>
            </w:r>
          </w:p>
        </w:tc>
        <w:tc>
          <w:tcPr>
            <w:tcW w:w="5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6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this Form 10-K</w:t>
            </w:r>
          </w:p>
        </w:tc>
        <w:tc>
          <w:tcPr>
            <w:tcW w:w="5160" w:type="dxa"/>
            <w:vAlign w:val="bottom"/>
          </w:tcPr>
          <w:p>
            <w:pPr>
              <w:ind w:left="1220"/>
              <w:spacing w:after="0"/>
              <w:rPr>
                <w:sz w:val="20"/>
                <w:szCs w:val="20"/>
                <w:color w:val="auto"/>
              </w:rPr>
            </w:pPr>
            <w:r>
              <w:rPr>
                <w:rFonts w:ascii="Courier New" w:cs="Courier New" w:eastAsia="Courier New" w:hAnsi="Courier New"/>
                <w:sz w:val="14"/>
                <w:szCs w:val="14"/>
                <w:color w:val="auto"/>
              </w:rPr>
              <w:t>Description of Exhibit</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NOTE</w:t>
            </w:r>
          </w:p>
        </w:tc>
      </w:tr>
      <w:tr>
        <w:trPr>
          <w:trHeight w:val="167"/>
        </w:trPr>
        <w:tc>
          <w:tcPr>
            <w:tcW w:w="16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w:t>
            </w:r>
          </w:p>
        </w:tc>
        <w:tc>
          <w:tcPr>
            <w:tcW w:w="572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10.12</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Contribution Agreement between Registrant and Reckson</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Operating Partnership L.P. dated January 6, 1998</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10.13</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Lease agreement between Registrant and Reckson Operating</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Partnership, L.P. dated January 6, 1998</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10.14</w:t>
            </w:r>
          </w:p>
        </w:tc>
        <w:tc>
          <w:tcPr>
            <w:tcW w:w="5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Plea Agreement, Civil Settlement and Related Documents dated</w:t>
            </w: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June 19, 1998</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10.15</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Registrant's 1984 Incentive Stock Option Plan</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10.16</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Registrant's Cash or Deferral Profit Sharing Plan and</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Trust under Internal Revenue Code Section 401,</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dated April 1, 1985</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10.17</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Amendment dated April 19, 1981 to Stock Bonus Plan</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of Registrant and Trust Agreement</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(3)</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10.18</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Amendment Restated Effective as of May 1, 1984 of the</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Stock Bonus Plan and Trust Agreement of Registrant</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10.19</w:t>
            </w:r>
          </w:p>
        </w:tc>
        <w:tc>
          <w:tcPr>
            <w:tcW w:w="5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Amendment Restated Effective as of May 1, 1984 of the Stock</w:t>
            </w: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Bonus Plan and Trust Agreement of Registrant</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(8)</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10.20</w:t>
            </w:r>
          </w:p>
        </w:tc>
        <w:tc>
          <w:tcPr>
            <w:tcW w:w="57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Form of stock escrow agreement between Vincenti &amp; Schickler as</w:t>
            </w: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escrow agent and certain officers of Registrant</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10.21</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Form of Agreement concerning Executive Compensation</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10.22</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Registrant's 1987 Incentive Stock Option Plan</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10.23</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Registrant's Senior Executive Stock Option Plan</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10.24</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Amendment dated Jan. 1, 1988 to Registrant's Cash or</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Deferred Profit Sharing Plan and Trust under Section 401</w:t>
            </w:r>
          </w:p>
        </w:tc>
        <w:tc>
          <w:tcPr>
            <w:tcW w:w="5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of Internal Revenue Code</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10.25</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Executive Incentive Compensation Plan between Registrant</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and various employees</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10.26</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Registrant's Employee Stock Option Plan</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10.27</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Loan agreement between Registrant and Nat West</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dated May 22, 1990</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r>
      <w:tr>
        <w:trPr>
          <w:trHeight w:val="334"/>
        </w:trPr>
        <w:tc>
          <w:tcPr>
            <w:tcW w:w="16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10.28</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Loan Agreement between Registrant's Employee Stock</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7"/>
        </w:trPr>
        <w:tc>
          <w:tcPr>
            <w:tcW w:w="1660" w:type="dxa"/>
            <w:vAlign w:val="bottom"/>
          </w:tcPr>
          <w:p>
            <w:pPr>
              <w:spacing w:after="0"/>
              <w:rPr>
                <w:sz w:val="14"/>
                <w:szCs w:val="14"/>
                <w:color w:val="auto"/>
              </w:rPr>
            </w:pP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Ownership Plan and Registrant dated May 22, 1990</w:t>
            </w:r>
          </w:p>
        </w:tc>
        <w:tc>
          <w:tcPr>
            <w:tcW w:w="560" w:type="dxa"/>
            <w:vAlign w:val="bottom"/>
          </w:tcPr>
          <w:p>
            <w:pPr>
              <w:spacing w:after="0"/>
              <w:rPr>
                <w:sz w:val="14"/>
                <w:szCs w:val="1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r>
      <w:tr>
        <w:trPr>
          <w:trHeight w:val="334"/>
        </w:trPr>
        <w:tc>
          <w:tcPr>
            <w:tcW w:w="16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11</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Computation of Earnings per Share of Common Stock</w:t>
            </w:r>
          </w:p>
        </w:tc>
        <w:tc>
          <w:tcPr>
            <w:tcW w:w="17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Included in the</w:t>
            </w:r>
          </w:p>
        </w:tc>
      </w:tr>
      <w:tr>
        <w:trPr>
          <w:trHeight w:val="167"/>
        </w:trPr>
        <w:tc>
          <w:tcPr>
            <w:tcW w:w="166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 Statements</w:t>
            </w:r>
          </w:p>
        </w:tc>
      </w:tr>
      <w:tr>
        <w:trPr>
          <w:trHeight w:val="334"/>
        </w:trPr>
        <w:tc>
          <w:tcPr>
            <w:tcW w:w="16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15</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Registrant's 1982 Incentive Stock Option Plan</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(5)</w:t>
            </w:r>
          </w:p>
        </w:tc>
      </w:tr>
      <w:tr>
        <w:trPr>
          <w:trHeight w:val="334"/>
        </w:trPr>
        <w:tc>
          <w:tcPr>
            <w:tcW w:w="1660" w:type="dxa"/>
            <w:vAlign w:val="bottom"/>
          </w:tcPr>
          <w:p>
            <w:pPr>
              <w:jc w:val="center"/>
              <w:ind w:right="368"/>
              <w:spacing w:after="0"/>
              <w:rPr>
                <w:sz w:val="20"/>
                <w:szCs w:val="20"/>
                <w:color w:val="auto"/>
              </w:rPr>
            </w:pPr>
            <w:r>
              <w:rPr>
                <w:rFonts w:ascii="Courier New" w:cs="Courier New" w:eastAsia="Courier New" w:hAnsi="Courier New"/>
                <w:sz w:val="14"/>
                <w:szCs w:val="14"/>
                <w:color w:val="auto"/>
              </w:rPr>
              <w:t>21</w:t>
            </w:r>
          </w:p>
        </w:tc>
        <w:tc>
          <w:tcPr>
            <w:tcW w:w="5160" w:type="dxa"/>
            <w:vAlign w:val="bottom"/>
          </w:tcPr>
          <w:p>
            <w:pPr>
              <w:ind w:left="260"/>
              <w:spacing w:after="0"/>
              <w:rPr>
                <w:sz w:val="20"/>
                <w:szCs w:val="20"/>
                <w:color w:val="auto"/>
              </w:rPr>
            </w:pPr>
            <w:r>
              <w:rPr>
                <w:rFonts w:ascii="Courier New" w:cs="Courier New" w:eastAsia="Courier New" w:hAnsi="Courier New"/>
                <w:sz w:val="14"/>
                <w:szCs w:val="14"/>
                <w:color w:val="auto"/>
              </w:rPr>
              <w:t>List of Subsidiaries of Registrant</w:t>
            </w:r>
          </w:p>
        </w:tc>
        <w:tc>
          <w:tcPr>
            <w:tcW w:w="560" w:type="dxa"/>
            <w:vAlign w:val="bottom"/>
          </w:tcPr>
          <w:p>
            <w:pPr>
              <w:spacing w:after="0"/>
              <w:rPr>
                <w:sz w:val="24"/>
                <w:szCs w:val="24"/>
                <w:color w:val="auto"/>
              </w:rPr>
            </w:pPr>
          </w:p>
        </w:tc>
        <w:tc>
          <w:tcPr>
            <w:tcW w:w="12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(10)</w:t>
            </w:r>
          </w:p>
        </w:tc>
      </w:tr>
      <w:tr>
        <w:trPr>
          <w:trHeight w:val="668"/>
        </w:trPr>
        <w:tc>
          <w:tcPr>
            <w:tcW w:w="1660" w:type="dxa"/>
            <w:vAlign w:val="bottom"/>
          </w:tcPr>
          <w:p>
            <w:pPr>
              <w:spacing w:after="0"/>
              <w:rPr>
                <w:sz w:val="24"/>
                <w:szCs w:val="24"/>
                <w:color w:val="auto"/>
              </w:rPr>
            </w:pPr>
          </w:p>
        </w:tc>
        <w:tc>
          <w:tcPr>
            <w:tcW w:w="5160" w:type="dxa"/>
            <w:vAlign w:val="bottom"/>
          </w:tcPr>
          <w:p>
            <w:pPr>
              <w:ind w:left="1740"/>
              <w:spacing w:after="0"/>
              <w:rPr>
                <w:sz w:val="20"/>
                <w:szCs w:val="20"/>
                <w:color w:val="auto"/>
              </w:rPr>
            </w:pPr>
            <w:r>
              <w:rPr>
                <w:rFonts w:ascii="Courier New" w:cs="Courier New" w:eastAsia="Courier New" w:hAnsi="Courier New"/>
                <w:sz w:val="14"/>
                <w:szCs w:val="14"/>
                <w:color w:val="auto"/>
              </w:rPr>
              <w:t>61</w:t>
            </w: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60" w:type="dxa"/>
            <w:vAlign w:val="bottom"/>
          </w:tcPr>
          <w:p>
            <w:pPr>
              <w:spacing w:after="0"/>
              <w:rPr>
                <w:sz w:val="20"/>
                <w:szCs w:val="20"/>
                <w:color w:val="auto"/>
              </w:rPr>
            </w:pPr>
            <w:r>
              <w:rPr>
                <w:rFonts w:ascii="Courier New" w:cs="Courier New" w:eastAsia="Courier New" w:hAnsi="Courier New"/>
                <w:sz w:val="14"/>
                <w:szCs w:val="14"/>
                <w:color w:val="auto"/>
              </w:rPr>
              <w:t>Exhibit No. in</w:t>
            </w:r>
          </w:p>
        </w:tc>
        <w:tc>
          <w:tcPr>
            <w:tcW w:w="1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this Form 10-K</w:t>
            </w:r>
          </w:p>
        </w:tc>
        <w:tc>
          <w:tcPr>
            <w:tcW w:w="3160" w:type="dxa"/>
            <w:vAlign w:val="bottom"/>
            <w:gridSpan w:val="2"/>
          </w:tcPr>
          <w:p>
            <w:pPr>
              <w:ind w:left="1220"/>
              <w:spacing w:after="0"/>
              <w:rPr>
                <w:sz w:val="20"/>
                <w:szCs w:val="20"/>
                <w:color w:val="auto"/>
              </w:rPr>
            </w:pPr>
            <w:r>
              <w:rPr>
                <w:rFonts w:ascii="Courier New" w:cs="Courier New" w:eastAsia="Courier New" w:hAnsi="Courier New"/>
                <w:sz w:val="14"/>
                <w:szCs w:val="14"/>
                <w:color w:val="auto"/>
              </w:rPr>
              <w:t>Description of Exhibit</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7"/>
        </w:trPr>
        <w:tc>
          <w:tcPr>
            <w:tcW w:w="166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30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16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23.1</w:t>
            </w:r>
          </w:p>
        </w:tc>
        <w:tc>
          <w:tcPr>
            <w:tcW w:w="3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Consent of Independent Registered</w:t>
            </w:r>
          </w:p>
        </w:tc>
        <w:tc>
          <w:tcPr>
            <w:tcW w:w="6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Public</w:t>
            </w:r>
          </w:p>
        </w:tc>
        <w:tc>
          <w:tcPr>
            <w:tcW w:w="15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Accounting Firm</w:t>
            </w:r>
          </w:p>
        </w:tc>
      </w:tr>
      <w:tr>
        <w:trPr>
          <w:trHeight w:val="167"/>
        </w:trPr>
        <w:tc>
          <w:tcPr>
            <w:tcW w:w="1660" w:type="dxa"/>
            <w:vAlign w:val="bottom"/>
          </w:tcPr>
          <w:p>
            <w:pPr>
              <w:spacing w:after="0"/>
              <w:rPr>
                <w:sz w:val="14"/>
                <w:szCs w:val="14"/>
                <w:color w:val="auto"/>
              </w:rPr>
            </w:pP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to incorporation</w:t>
            </w:r>
          </w:p>
        </w:tc>
        <w:tc>
          <w:tcPr>
            <w:tcW w:w="1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by reference of 2006</w:t>
            </w:r>
          </w:p>
        </w:tc>
        <w:tc>
          <w:tcPr>
            <w:tcW w:w="178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audit report in</w:t>
            </w:r>
          </w:p>
        </w:tc>
      </w:tr>
      <w:tr>
        <w:trPr>
          <w:trHeight w:val="167"/>
        </w:trPr>
        <w:tc>
          <w:tcPr>
            <w:tcW w:w="1660" w:type="dxa"/>
            <w:vAlign w:val="bottom"/>
          </w:tcPr>
          <w:p>
            <w:pPr>
              <w:spacing w:after="0"/>
              <w:rPr>
                <w:sz w:val="14"/>
                <w:szCs w:val="14"/>
                <w:color w:val="auto"/>
              </w:rPr>
            </w:pPr>
          </w:p>
        </w:tc>
        <w:tc>
          <w:tcPr>
            <w:tcW w:w="530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Registrant's Form S-8 Registration Statement.</w:t>
            </w:r>
          </w:p>
        </w:tc>
      </w:tr>
      <w:tr>
        <w:trPr>
          <w:trHeight w:val="334"/>
        </w:trPr>
        <w:tc>
          <w:tcPr>
            <w:tcW w:w="16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31.1</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Certification of</w:t>
            </w:r>
          </w:p>
        </w:tc>
        <w:tc>
          <w:tcPr>
            <w:tcW w:w="36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the Chief Executive Officer pursuant to</w:t>
            </w:r>
          </w:p>
        </w:tc>
      </w:tr>
      <w:tr>
        <w:trPr>
          <w:trHeight w:val="167"/>
        </w:trPr>
        <w:tc>
          <w:tcPr>
            <w:tcW w:w="1660" w:type="dxa"/>
            <w:vAlign w:val="bottom"/>
          </w:tcPr>
          <w:p>
            <w:pPr>
              <w:spacing w:after="0"/>
              <w:rPr>
                <w:sz w:val="14"/>
                <w:szCs w:val="14"/>
                <w:color w:val="auto"/>
              </w:rPr>
            </w:pPr>
          </w:p>
        </w:tc>
        <w:tc>
          <w:tcPr>
            <w:tcW w:w="3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Section 302 of the Sarbanes-Oxley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2002</w:t>
            </w:r>
          </w:p>
        </w:tc>
      </w:tr>
      <w:tr>
        <w:trPr>
          <w:trHeight w:val="334"/>
        </w:trPr>
        <w:tc>
          <w:tcPr>
            <w:tcW w:w="16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31.2</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Certification of</w:t>
            </w:r>
          </w:p>
        </w:tc>
        <w:tc>
          <w:tcPr>
            <w:tcW w:w="36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the Chief Financial Officer pursuant to</w:t>
            </w:r>
          </w:p>
        </w:tc>
      </w:tr>
      <w:tr>
        <w:trPr>
          <w:trHeight w:val="167"/>
        </w:trPr>
        <w:tc>
          <w:tcPr>
            <w:tcW w:w="1660" w:type="dxa"/>
            <w:vAlign w:val="bottom"/>
          </w:tcPr>
          <w:p>
            <w:pPr>
              <w:spacing w:after="0"/>
              <w:rPr>
                <w:sz w:val="14"/>
                <w:szCs w:val="14"/>
                <w:color w:val="auto"/>
              </w:rPr>
            </w:pPr>
          </w:p>
        </w:tc>
        <w:tc>
          <w:tcPr>
            <w:tcW w:w="3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Section 302 of the Sarbanes-Oxley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2002</w:t>
            </w:r>
          </w:p>
        </w:tc>
      </w:tr>
      <w:tr>
        <w:trPr>
          <w:trHeight w:val="334"/>
        </w:trPr>
        <w:tc>
          <w:tcPr>
            <w:tcW w:w="16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32.1</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Certification of</w:t>
            </w:r>
          </w:p>
        </w:tc>
        <w:tc>
          <w:tcPr>
            <w:tcW w:w="36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the Chief Executive Officer pursuant to</w:t>
            </w:r>
          </w:p>
        </w:tc>
      </w:tr>
      <w:tr>
        <w:trPr>
          <w:trHeight w:val="167"/>
        </w:trPr>
        <w:tc>
          <w:tcPr>
            <w:tcW w:w="1660" w:type="dxa"/>
            <w:vAlign w:val="bottom"/>
          </w:tcPr>
          <w:p>
            <w:pPr>
              <w:spacing w:after="0"/>
              <w:rPr>
                <w:sz w:val="14"/>
                <w:szCs w:val="14"/>
                <w:color w:val="auto"/>
              </w:rPr>
            </w:pPr>
          </w:p>
        </w:tc>
        <w:tc>
          <w:tcPr>
            <w:tcW w:w="3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Section 906 of the Sarbanes-Oxley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2002</w:t>
            </w:r>
          </w:p>
        </w:tc>
      </w:tr>
      <w:tr>
        <w:trPr>
          <w:trHeight w:val="334"/>
        </w:trPr>
        <w:tc>
          <w:tcPr>
            <w:tcW w:w="16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32.2</w:t>
            </w:r>
          </w:p>
        </w:tc>
        <w:tc>
          <w:tcPr>
            <w:tcW w:w="1700" w:type="dxa"/>
            <w:vAlign w:val="bottom"/>
          </w:tcPr>
          <w:p>
            <w:pPr>
              <w:ind w:left="260"/>
              <w:spacing w:after="0"/>
              <w:rPr>
                <w:sz w:val="20"/>
                <w:szCs w:val="20"/>
                <w:color w:val="auto"/>
              </w:rPr>
            </w:pPr>
            <w:r>
              <w:rPr>
                <w:rFonts w:ascii="Courier New" w:cs="Courier New" w:eastAsia="Courier New" w:hAnsi="Courier New"/>
                <w:sz w:val="14"/>
                <w:szCs w:val="14"/>
                <w:color w:val="auto"/>
              </w:rPr>
              <w:t>Certification of</w:t>
            </w:r>
          </w:p>
        </w:tc>
        <w:tc>
          <w:tcPr>
            <w:tcW w:w="3600" w:type="dxa"/>
            <w:vAlign w:val="bottom"/>
            <w:gridSpan w:val="4"/>
          </w:tcPr>
          <w:p>
            <w:pPr>
              <w:jc w:val="right"/>
              <w:ind w:right="108"/>
              <w:spacing w:after="0"/>
              <w:rPr>
                <w:sz w:val="20"/>
                <w:szCs w:val="20"/>
                <w:color w:val="auto"/>
              </w:rPr>
            </w:pPr>
            <w:r>
              <w:rPr>
                <w:rFonts w:ascii="Courier New" w:cs="Courier New" w:eastAsia="Courier New" w:hAnsi="Courier New"/>
                <w:sz w:val="14"/>
                <w:szCs w:val="14"/>
                <w:color w:val="auto"/>
              </w:rPr>
              <w:t>the Chief Financial Officer pursuant to</w:t>
            </w:r>
          </w:p>
        </w:tc>
      </w:tr>
      <w:tr>
        <w:trPr>
          <w:trHeight w:val="167"/>
        </w:trPr>
        <w:tc>
          <w:tcPr>
            <w:tcW w:w="1660" w:type="dxa"/>
            <w:vAlign w:val="bottom"/>
          </w:tcPr>
          <w:p>
            <w:pPr>
              <w:spacing w:after="0"/>
              <w:rPr>
                <w:sz w:val="14"/>
                <w:szCs w:val="14"/>
                <w:color w:val="auto"/>
              </w:rPr>
            </w:pPr>
          </w:p>
        </w:tc>
        <w:tc>
          <w:tcPr>
            <w:tcW w:w="31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Section 906 of the Sarbanes-Oxley</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Act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of</w:t>
            </w:r>
          </w:p>
        </w:tc>
        <w:tc>
          <w:tcPr>
            <w:tcW w:w="1520" w:type="dxa"/>
            <w:vAlign w:val="bottom"/>
          </w:tcPr>
          <w:p>
            <w:pPr>
              <w:jc w:val="right"/>
              <w:ind w:right="1068"/>
              <w:spacing w:after="0"/>
              <w:rPr>
                <w:sz w:val="20"/>
                <w:szCs w:val="20"/>
                <w:color w:val="auto"/>
              </w:rPr>
            </w:pPr>
            <w:r>
              <w:rPr>
                <w:rFonts w:ascii="Courier New" w:cs="Courier New" w:eastAsia="Courier New" w:hAnsi="Courier New"/>
                <w:sz w:val="14"/>
                <w:szCs w:val="14"/>
                <w:color w:val="auto"/>
              </w:rPr>
              <w:t>2002</w:t>
            </w:r>
          </w:p>
        </w:tc>
      </w:tr>
    </w:tbl>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NOTES:</w:t>
      </w:r>
    </w:p>
    <w:p>
      <w:pPr>
        <w:spacing w:after="0" w:line="175" w:lineRule="exact"/>
        <w:rPr>
          <w:sz w:val="20"/>
          <w:szCs w:val="20"/>
          <w:color w:val="auto"/>
        </w:rPr>
      </w:pPr>
    </w:p>
    <w:p>
      <w:pPr>
        <w:ind w:left="880" w:right="100" w:hanging="611"/>
        <w:spacing w:after="0" w:line="255"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S-1, File No. 2-29609, which exhibit is incorporated herein by reference.</w:t>
      </w:r>
    </w:p>
    <w:p>
      <w:pPr>
        <w:spacing w:after="0" w:line="162" w:lineRule="exact"/>
        <w:rPr>
          <w:rFonts w:ascii="Courier New" w:cs="Courier New" w:eastAsia="Courier New" w:hAnsi="Courier New"/>
          <w:sz w:val="14"/>
          <w:szCs w:val="14"/>
          <w:color w:val="auto"/>
        </w:rPr>
      </w:pPr>
    </w:p>
    <w:p>
      <w:pPr>
        <w:ind w:left="880" w:right="100" w:hanging="611"/>
        <w:spacing w:after="0" w:line="255"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S-1, File No. 2-71727, which exhibit is incorporated herein by reference.</w:t>
      </w:r>
    </w:p>
    <w:p>
      <w:pPr>
        <w:spacing w:after="0" w:line="162" w:lineRule="exact"/>
        <w:rPr>
          <w:rFonts w:ascii="Courier New" w:cs="Courier New" w:eastAsia="Courier New" w:hAnsi="Courier New"/>
          <w:sz w:val="14"/>
          <w:szCs w:val="14"/>
          <w:color w:val="auto"/>
        </w:rPr>
      </w:pPr>
    </w:p>
    <w:p>
      <w:pPr>
        <w:ind w:left="880" w:hanging="611"/>
        <w:spacing w:after="0" w:line="256"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1981, which exhibit is incorporated herein by reference.</w:t>
      </w:r>
    </w:p>
    <w:p>
      <w:pPr>
        <w:spacing w:after="0" w:line="327" w:lineRule="exact"/>
        <w:rPr>
          <w:rFonts w:ascii="Courier New" w:cs="Courier New" w:eastAsia="Courier New" w:hAnsi="Courier New"/>
          <w:sz w:val="14"/>
          <w:szCs w:val="14"/>
          <w:color w:val="auto"/>
        </w:rPr>
      </w:pPr>
    </w:p>
    <w:p>
      <w:pPr>
        <w:ind w:left="880" w:right="100" w:hanging="611"/>
        <w:spacing w:after="0" w:line="255"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S-1, File No. 2-69527, which exhibit is incorporated herein by reference.</w:t>
      </w:r>
    </w:p>
    <w:p>
      <w:pPr>
        <w:spacing w:after="0" w:line="162" w:lineRule="exact"/>
        <w:rPr>
          <w:rFonts w:ascii="Courier New" w:cs="Courier New" w:eastAsia="Courier New" w:hAnsi="Courier New"/>
          <w:sz w:val="14"/>
          <w:szCs w:val="14"/>
          <w:color w:val="auto"/>
        </w:rPr>
      </w:pPr>
    </w:p>
    <w:p>
      <w:pPr>
        <w:ind w:left="880" w:right="10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1982, which exhibit is incorporated herein by reference.</w:t>
      </w:r>
    </w:p>
    <w:p>
      <w:pPr>
        <w:spacing w:after="0" w:line="163" w:lineRule="exact"/>
        <w:rPr>
          <w:rFonts w:ascii="Courier New" w:cs="Courier New" w:eastAsia="Courier New" w:hAnsi="Courier New"/>
          <w:sz w:val="14"/>
          <w:szCs w:val="14"/>
          <w:color w:val="auto"/>
        </w:rPr>
      </w:pPr>
    </w:p>
    <w:p>
      <w:pPr>
        <w:ind w:left="880" w:right="10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1985, which exhibit is incorporated herein by reference.</w:t>
      </w:r>
    </w:p>
    <w:p>
      <w:pPr>
        <w:spacing w:after="0" w:line="163" w:lineRule="exact"/>
        <w:rPr>
          <w:rFonts w:ascii="Courier New" w:cs="Courier New" w:eastAsia="Courier New" w:hAnsi="Courier New"/>
          <w:sz w:val="14"/>
          <w:szCs w:val="14"/>
          <w:color w:val="auto"/>
        </w:rPr>
      </w:pPr>
    </w:p>
    <w:p>
      <w:pPr>
        <w:jc w:val="both"/>
        <w:ind w:left="880" w:right="36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exhibit, numbered as indicated above, to the annual report of Registrant on Form 10-K, File No. 1-8061, for the year ended April 30, 1986, which exhibit is incorporated herein by reference.</w:t>
      </w:r>
    </w:p>
    <w:p>
      <w:pPr>
        <w:spacing w:after="0" w:line="163" w:lineRule="exact"/>
        <w:rPr>
          <w:rFonts w:ascii="Courier New" w:cs="Courier New" w:eastAsia="Courier New" w:hAnsi="Courier New"/>
          <w:sz w:val="14"/>
          <w:szCs w:val="14"/>
          <w:color w:val="auto"/>
        </w:rPr>
      </w:pPr>
    </w:p>
    <w:p>
      <w:pPr>
        <w:ind w:left="880" w:right="10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1987, which exhibit is incorporated herein by reference.</w:t>
      </w:r>
    </w:p>
    <w:p>
      <w:pPr>
        <w:spacing w:after="0" w:line="163" w:lineRule="exact"/>
        <w:rPr>
          <w:rFonts w:ascii="Courier New" w:cs="Courier New" w:eastAsia="Courier New" w:hAnsi="Courier New"/>
          <w:sz w:val="14"/>
          <w:szCs w:val="14"/>
          <w:color w:val="auto"/>
        </w:rPr>
      </w:pPr>
    </w:p>
    <w:p>
      <w:pPr>
        <w:ind w:left="880" w:right="10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1989, which exhibit is incorporated herein by reference.</w:t>
      </w:r>
    </w:p>
    <w:p>
      <w:pPr>
        <w:spacing w:after="0" w:line="163" w:lineRule="exact"/>
        <w:rPr>
          <w:rFonts w:ascii="Courier New" w:cs="Courier New" w:eastAsia="Courier New" w:hAnsi="Courier New"/>
          <w:sz w:val="14"/>
          <w:szCs w:val="14"/>
          <w:color w:val="auto"/>
        </w:rPr>
      </w:pPr>
    </w:p>
    <w:p>
      <w:pPr>
        <w:ind w:left="880" w:right="10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1990, which exhibit is incorporated herein by reference.</w:t>
      </w:r>
    </w:p>
    <w:p>
      <w:pPr>
        <w:spacing w:after="0" w:line="163" w:lineRule="exact"/>
        <w:rPr>
          <w:rFonts w:ascii="Courier New" w:cs="Courier New" w:eastAsia="Courier New" w:hAnsi="Courier New"/>
          <w:sz w:val="14"/>
          <w:szCs w:val="14"/>
          <w:color w:val="auto"/>
        </w:rPr>
      </w:pPr>
    </w:p>
    <w:p>
      <w:pPr>
        <w:jc w:val="both"/>
        <w:ind w:left="880" w:right="100" w:hanging="611"/>
        <w:spacing w:after="0" w:line="255"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registration statement of Registrant on Form S-8, File No. 333-42233, which exhibit is incorporated herein by reference.</w:t>
      </w:r>
    </w:p>
    <w:p>
      <w:pPr>
        <w:spacing w:after="0" w:line="162" w:lineRule="exact"/>
        <w:rPr>
          <w:rFonts w:ascii="Courier New" w:cs="Courier New" w:eastAsia="Courier New" w:hAnsi="Courier New"/>
          <w:sz w:val="14"/>
          <w:szCs w:val="14"/>
          <w:color w:val="auto"/>
        </w:rPr>
      </w:pPr>
    </w:p>
    <w:p>
      <w:pPr>
        <w:ind w:left="880" w:right="100" w:hanging="611"/>
        <w:spacing w:after="0" w:line="254" w:lineRule="auto"/>
        <w:tabs>
          <w:tab w:leader="none" w:pos="8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Filed with the SEC as an exhibit, numbered as indicated above, to the annual report of Registrant on Form 10-K, File No. 1-8061, for the year ended April 30, 1998, which exhibit is incorporated herein by reference.</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NOTE</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Filed herewith</w:t>
      </w:r>
    </w:p>
    <w:p>
      <w:pPr>
        <w:spacing w:after="0" w:line="10226" w:lineRule="exact"/>
        <w:rPr>
          <w:sz w:val="20"/>
          <w:szCs w:val="20"/>
          <w:color w:val="auto"/>
        </w:rPr>
      </w:pPr>
    </w:p>
    <w:p>
      <w:pPr>
        <w:sectPr>
          <w:pgSz w:w="11900" w:h="16838" w:orient="portrait"/>
          <w:cols w:equalWidth="0" w:num="2">
            <w:col w:w="6960" w:space="160"/>
            <w:col w:w="3119"/>
          </w:cols>
          <w:pgMar w:left="220" w:top="954" w:right="1440" w:bottom="1440" w:gutter="0" w:footer="0" w:header="0"/>
        </w:sectPr>
      </w:pPr>
    </w:p>
    <w:p>
      <w:pPr>
        <w:spacing w:after="0" w:line="130" w:lineRule="exact"/>
        <w:rPr>
          <w:sz w:val="20"/>
          <w:szCs w:val="20"/>
          <w:color w:val="auto"/>
        </w:rPr>
      </w:pPr>
    </w:p>
    <w:p>
      <w:pPr>
        <w:ind w:left="3400"/>
        <w:spacing w:after="0"/>
        <w:rPr>
          <w:sz w:val="20"/>
          <w:szCs w:val="20"/>
          <w:color w:val="auto"/>
        </w:rPr>
      </w:pPr>
      <w:r>
        <w:rPr>
          <w:rFonts w:ascii="Courier New" w:cs="Courier New" w:eastAsia="Courier New" w:hAnsi="Courier New"/>
          <w:sz w:val="13"/>
          <w:szCs w:val="13"/>
          <w:color w:val="auto"/>
        </w:rPr>
        <w:t>62</w:t>
      </w:r>
    </w:p>
    <w:p>
      <w:pPr>
        <w:sectPr>
          <w:pgSz w:w="11900" w:h="16838" w:orient="portrait"/>
          <w:cols w:equalWidth="0" w:num="1">
            <w:col w:w="10239"/>
          </w:cols>
          <w:pgMar w:left="220" w:top="954" w:right="1440" w:bottom="1440" w:gutter="0" w:footer="0" w:header="0"/>
          <w:type w:val="continuous"/>
        </w:sectPr>
      </w:pPr>
    </w:p>
    <w:bookmarkStart w:id="63" w:name="page64"/>
    <w:bookmarkEnd w:id="63"/>
    <w:p>
      <w:pPr>
        <w:ind w:left="5820"/>
        <w:spacing w:after="0"/>
        <w:rPr>
          <w:sz w:val="20"/>
          <w:szCs w:val="20"/>
          <w:color w:val="auto"/>
        </w:rPr>
      </w:pPr>
      <w:r>
        <w:rPr>
          <w:rFonts w:ascii="Courier New" w:cs="Courier New" w:eastAsia="Courier New" w:hAnsi="Courier New"/>
          <w:sz w:val="14"/>
          <w:szCs w:val="14"/>
          <w:color w:val="auto"/>
        </w:rPr>
        <w:t>EXHIBIT 23.1a</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Board of Directors and Shareholders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Frequency Electronics, Inc. and Subsidiaries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Mitchel Field, New York</w:t>
      </w:r>
    </w:p>
    <w:p>
      <w:pPr>
        <w:spacing w:after="0" w:line="342"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 333-42233) of Frequency Electronics, Inc. of our report dated July 20, 2006 relating to the consolidated financial statements and financial statement schedule, which appears in this Form 10-K.</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Holtz Rubenstein Reminick LLP</w:t>
      </w:r>
    </w:p>
    <w:p>
      <w:pPr>
        <w:spacing w:after="0" w:line="8" w:lineRule="exact"/>
        <w:rPr>
          <w:sz w:val="20"/>
          <w:szCs w:val="20"/>
          <w:color w:val="auto"/>
        </w:rPr>
      </w:pPr>
    </w:p>
    <w:p>
      <w:pPr>
        <w:ind w:left="180" w:hanging="171"/>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771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Holtz Rubenstein Reminick LLP Melville, New York</w:t>
      </w: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July 28, 2006</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right"/>
        <w:ind w:right="3279"/>
        <w:spacing w:after="0"/>
        <w:rPr>
          <w:sz w:val="20"/>
          <w:szCs w:val="20"/>
          <w:color w:val="auto"/>
        </w:rPr>
      </w:pPr>
      <w:r>
        <w:rPr>
          <w:rFonts w:ascii="Courier New" w:cs="Courier New" w:eastAsia="Courier New" w:hAnsi="Courier New"/>
          <w:sz w:val="14"/>
          <w:szCs w:val="14"/>
          <w:color w:val="auto"/>
        </w:rPr>
        <w:t>EXHIBIT 23.1b</w:t>
      </w:r>
    </w:p>
    <w:p>
      <w:pPr>
        <w:spacing w:after="0" w:line="342"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CONSENT OF INDEPENDENT REGISTERED PUBLIC ACCOUNTING FIRM</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We hereby consent to the incorporation by reference in the Registration Statement on Form S-8 (No. 333-42233) of Frequency Electronics, Inc. of our report dated July 6, 2004, except for Note 10 as to which the date is September 28, 2004, relating to the consolidated financial statements and financial statement schedule for the year ended April 30, 2004, which appears in this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PricewaterhouseCoopers LLP</w:t>
      </w:r>
    </w:p>
    <w:p>
      <w:pPr>
        <w:spacing w:after="0" w:line="8"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865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Melville, New York July 28, 2006</w:t>
      </w:r>
    </w:p>
    <w:p>
      <w:pPr>
        <w:spacing w:after="0" w:line="200" w:lineRule="exact"/>
        <w:rPr>
          <w:sz w:val="20"/>
          <w:szCs w:val="20"/>
          <w:color w:val="auto"/>
        </w:rPr>
      </w:pPr>
    </w:p>
    <w:p>
      <w:pPr>
        <w:spacing w:after="0" w:line="294"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63</w:t>
      </w:r>
    </w:p>
    <w:p>
      <w:pPr>
        <w:sectPr>
          <w:pgSz w:w="11900" w:h="16838" w:orient="portrait"/>
          <w:cols w:equalWidth="0" w:num="1">
            <w:col w:w="10239"/>
          </w:cols>
          <w:pgMar w:left="220" w:top="141" w:right="1440" w:bottom="1440" w:gutter="0" w:footer="0" w:header="0"/>
        </w:sectPr>
      </w:pPr>
    </w:p>
    <w:bookmarkStart w:id="64" w:name="page65"/>
    <w:bookmarkEnd w:id="64"/>
    <w:p>
      <w:pPr>
        <w:jc w:val="right"/>
        <w:ind w:right="3279"/>
        <w:spacing w:after="0"/>
        <w:rPr>
          <w:sz w:val="20"/>
          <w:szCs w:val="20"/>
          <w:color w:val="auto"/>
        </w:rPr>
      </w:pPr>
      <w:r>
        <w:rPr>
          <w:rFonts w:ascii="Courier New" w:cs="Courier New" w:eastAsia="Courier New" w:hAnsi="Courier New"/>
          <w:sz w:val="14"/>
          <w:szCs w:val="14"/>
          <w:color w:val="auto"/>
        </w:rPr>
        <w:t>Exhibit 31.1</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Certification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Martin B. Bloch, Chief Executive Officer, certify that:</w:t>
      </w:r>
    </w:p>
    <w:p>
      <w:pPr>
        <w:spacing w:after="0" w:line="175" w:lineRule="exact"/>
        <w:rPr>
          <w:sz w:val="20"/>
          <w:szCs w:val="20"/>
          <w:color w:val="auto"/>
        </w:rPr>
      </w:pPr>
    </w:p>
    <w:p>
      <w:pPr>
        <w:ind w:right="3639" w:firstLine="9"/>
        <w:spacing w:after="0" w:line="258" w:lineRule="auto"/>
        <w:tabs>
          <w:tab w:leader="none" w:pos="2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Frequency Electronics, Inc.;</w:t>
      </w:r>
    </w:p>
    <w:p>
      <w:pPr>
        <w:spacing w:after="0" w:line="159"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ind w:right="3459" w:firstLine="9"/>
        <w:spacing w:after="0" w:line="255" w:lineRule="auto"/>
        <w:tabs>
          <w:tab w:leader="none" w:pos="2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w:t>
      </w:r>
    </w:p>
    <w:p>
      <w:pPr>
        <w:spacing w:after="0" w:line="8" w:lineRule="exact"/>
        <w:rPr>
          <w:rFonts w:ascii="Courier New" w:cs="Courier New" w:eastAsia="Courier New" w:hAnsi="Courier New"/>
          <w:sz w:val="14"/>
          <w:szCs w:val="14"/>
          <w:color w:val="auto"/>
        </w:rPr>
      </w:pPr>
    </w:p>
    <w:p>
      <w:pPr>
        <w:ind w:left="7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Courier New" w:cs="Courier New" w:eastAsia="Courier New" w:hAnsi="Courier New"/>
          <w:sz w:val="14"/>
          <w:szCs w:val="14"/>
          <w:color w:val="auto"/>
        </w:rPr>
      </w:pPr>
    </w:p>
    <w:p>
      <w:pPr>
        <w:ind w:left="700" w:right="3379" w:firstLine="3"/>
        <w:spacing w:after="0" w:line="254" w:lineRule="auto"/>
        <w:tabs>
          <w:tab w:leader="none" w:pos="104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3" w:lineRule="exact"/>
        <w:rPr>
          <w:rFonts w:ascii="Courier New" w:cs="Courier New" w:eastAsia="Courier New" w:hAnsi="Courier New"/>
          <w:sz w:val="14"/>
          <w:szCs w:val="14"/>
          <w:color w:val="auto"/>
        </w:rPr>
      </w:pPr>
    </w:p>
    <w:p>
      <w:pPr>
        <w:ind w:left="700" w:right="3459" w:firstLine="3"/>
        <w:spacing w:after="0" w:line="253" w:lineRule="auto"/>
        <w:tabs>
          <w:tab w:leader="none" w:pos="104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ind w:right="3379" w:firstLine="9"/>
        <w:spacing w:after="0" w:line="254" w:lineRule="auto"/>
        <w:tabs>
          <w:tab w:leader="none" w:pos="26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ind w:left="700" w:right="3459" w:firstLine="3"/>
        <w:spacing w:after="0" w:line="254" w:lineRule="auto"/>
        <w:tabs>
          <w:tab w:leader="none" w:pos="104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700" w:right="3279" w:firstLine="3"/>
        <w:spacing w:after="0" w:line="255" w:lineRule="auto"/>
        <w:tabs>
          <w:tab w:leader="none" w:pos="1047"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July 28, 2006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Martin B. Bloch</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Martin B. Bloch</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Executive Officer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64</w:t>
      </w:r>
    </w:p>
    <w:p>
      <w:pPr>
        <w:sectPr>
          <w:pgSz w:w="11900" w:h="16838" w:orient="portrait"/>
          <w:cols w:equalWidth="0" w:num="1">
            <w:col w:w="10239"/>
          </w:cols>
          <w:pgMar w:left="220" w:top="141" w:right="1440" w:bottom="1440" w:gutter="0" w:footer="0" w:header="0"/>
        </w:sectPr>
      </w:pPr>
    </w:p>
    <w:bookmarkStart w:id="65" w:name="page66"/>
    <w:bookmarkEnd w:id="65"/>
    <w:p>
      <w:pPr>
        <w:jc w:val="right"/>
        <w:ind w:right="3279"/>
        <w:spacing w:after="0"/>
        <w:rPr>
          <w:sz w:val="20"/>
          <w:szCs w:val="20"/>
          <w:color w:val="auto"/>
        </w:rPr>
      </w:pPr>
      <w:r>
        <w:rPr>
          <w:rFonts w:ascii="Courier New" w:cs="Courier New" w:eastAsia="Courier New" w:hAnsi="Courier New"/>
          <w:sz w:val="14"/>
          <w:szCs w:val="14"/>
          <w:color w:val="auto"/>
        </w:rPr>
        <w:t>Exhibit 31.2</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Certification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 Alan L. Miller, Chief Financial Officer, certify that:</w:t>
      </w:r>
    </w:p>
    <w:p>
      <w:pPr>
        <w:spacing w:after="0" w:line="175" w:lineRule="exact"/>
        <w:rPr>
          <w:sz w:val="20"/>
          <w:szCs w:val="20"/>
          <w:color w:val="auto"/>
        </w:rPr>
      </w:pPr>
    </w:p>
    <w:p>
      <w:pPr>
        <w:ind w:right="3639" w:firstLine="9"/>
        <w:spacing w:after="0" w:line="258"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annual report on Form 10-K of Frequency Electronics, Inc.;</w:t>
      </w:r>
    </w:p>
    <w:p>
      <w:pPr>
        <w:spacing w:after="0" w:line="159"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Courier New" w:cs="Courier New" w:eastAsia="Courier New" w:hAnsi="Courier New"/>
          <w:sz w:val="14"/>
          <w:szCs w:val="14"/>
          <w:color w:val="auto"/>
        </w:rPr>
      </w:pPr>
    </w:p>
    <w:p>
      <w:pPr>
        <w:ind w:right="3279" w:firstLine="9"/>
        <w:spacing w:after="0" w:line="254"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Courier New" w:cs="Courier New" w:eastAsia="Courier New" w:hAnsi="Courier New"/>
          <w:sz w:val="14"/>
          <w:szCs w:val="14"/>
          <w:color w:val="auto"/>
        </w:rPr>
      </w:pPr>
    </w:p>
    <w:p>
      <w:pPr>
        <w:ind w:right="3459" w:firstLine="9"/>
        <w:spacing w:after="0" w:line="255"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for the registrant and have:</w:t>
      </w:r>
    </w:p>
    <w:p>
      <w:pPr>
        <w:spacing w:after="0" w:line="162" w:lineRule="exact"/>
        <w:rPr>
          <w:rFonts w:ascii="Courier New" w:cs="Courier New" w:eastAsia="Courier New" w:hAnsi="Courier New"/>
          <w:sz w:val="14"/>
          <w:szCs w:val="14"/>
          <w:color w:val="auto"/>
        </w:rPr>
      </w:pPr>
    </w:p>
    <w:p>
      <w:pPr>
        <w:ind w:left="1060" w:hanging="357"/>
        <w:spacing w:after="0"/>
        <w:tabs>
          <w:tab w:leader="none" w:pos="1060"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w:t>
      </w:r>
    </w:p>
    <w:p>
      <w:pPr>
        <w:spacing w:after="0" w:line="8" w:lineRule="exact"/>
        <w:rPr>
          <w:rFonts w:ascii="Courier New" w:cs="Courier New" w:eastAsia="Courier New" w:hAnsi="Courier New"/>
          <w:sz w:val="14"/>
          <w:szCs w:val="14"/>
          <w:color w:val="auto"/>
        </w:rPr>
      </w:pPr>
    </w:p>
    <w:p>
      <w:pPr>
        <w:ind w:left="700" w:right="327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Courier New" w:cs="Courier New" w:eastAsia="Courier New" w:hAnsi="Courier New"/>
          <w:sz w:val="14"/>
          <w:szCs w:val="14"/>
          <w:color w:val="auto"/>
        </w:rPr>
      </w:pPr>
    </w:p>
    <w:p>
      <w:pPr>
        <w:ind w:left="700" w:right="3379" w:firstLine="3"/>
        <w:spacing w:after="0" w:line="254" w:lineRule="auto"/>
        <w:tabs>
          <w:tab w:leader="none" w:pos="104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63" w:lineRule="exact"/>
        <w:rPr>
          <w:rFonts w:ascii="Courier New" w:cs="Courier New" w:eastAsia="Courier New" w:hAnsi="Courier New"/>
          <w:sz w:val="14"/>
          <w:szCs w:val="14"/>
          <w:color w:val="auto"/>
        </w:rPr>
      </w:pPr>
    </w:p>
    <w:p>
      <w:pPr>
        <w:ind w:left="700" w:right="3459" w:firstLine="3"/>
        <w:spacing w:after="0" w:line="253" w:lineRule="auto"/>
        <w:tabs>
          <w:tab w:leader="none" w:pos="104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Courier New" w:cs="Courier New" w:eastAsia="Courier New" w:hAnsi="Courier New"/>
          <w:sz w:val="14"/>
          <w:szCs w:val="14"/>
          <w:color w:val="auto"/>
        </w:rPr>
      </w:pPr>
    </w:p>
    <w:p>
      <w:pPr>
        <w:ind w:right="3379" w:firstLine="9"/>
        <w:spacing w:after="0" w:line="254" w:lineRule="auto"/>
        <w:tabs>
          <w:tab w:leader="none" w:pos="26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Courier New" w:cs="Courier New" w:eastAsia="Courier New" w:hAnsi="Courier New"/>
          <w:sz w:val="14"/>
          <w:szCs w:val="14"/>
          <w:color w:val="auto"/>
        </w:rPr>
      </w:pPr>
    </w:p>
    <w:p>
      <w:pPr>
        <w:ind w:left="700" w:right="3459" w:firstLine="3"/>
        <w:spacing w:after="0" w:line="254" w:lineRule="auto"/>
        <w:tabs>
          <w:tab w:leader="none" w:pos="104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Courier New" w:cs="Courier New" w:eastAsia="Courier New" w:hAnsi="Courier New"/>
          <w:sz w:val="14"/>
          <w:szCs w:val="14"/>
          <w:color w:val="auto"/>
        </w:rPr>
      </w:pPr>
    </w:p>
    <w:p>
      <w:pPr>
        <w:ind w:left="700" w:right="3279" w:firstLine="3"/>
        <w:spacing w:after="0" w:line="255" w:lineRule="auto"/>
        <w:tabs>
          <w:tab w:leader="none" w:pos="1047"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4"/>
          <w:szCs w:val="14"/>
          <w:color w:val="auto"/>
        </w:rPr>
        <w:t>Date:</w:t>
        <w:tab/>
        <w:t>July 28, 2006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/s/ Alan L. Miller</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Alan L. Miller</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Chief Financial Officer</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65</w:t>
      </w:r>
    </w:p>
    <w:p>
      <w:pPr>
        <w:sectPr>
          <w:pgSz w:w="11900" w:h="16838" w:orient="portrait"/>
          <w:cols w:equalWidth="0" w:num="1">
            <w:col w:w="10239"/>
          </w:cols>
          <w:pgMar w:left="220" w:top="142" w:right="1440" w:bottom="1440" w:gutter="0" w:footer="0" w:header="0"/>
        </w:sectPr>
      </w:pPr>
    </w:p>
    <w:bookmarkStart w:id="66" w:name="page67"/>
    <w:bookmarkEnd w:id="66"/>
    <w:p>
      <w:pPr>
        <w:jc w:val="right"/>
        <w:ind w:right="3279"/>
        <w:spacing w:after="0"/>
        <w:rPr>
          <w:sz w:val="20"/>
          <w:szCs w:val="20"/>
          <w:color w:val="auto"/>
        </w:rPr>
      </w:pPr>
      <w:r>
        <w:rPr>
          <w:rFonts w:ascii="Courier New" w:cs="Courier New" w:eastAsia="Courier New" w:hAnsi="Courier New"/>
          <w:sz w:val="14"/>
          <w:szCs w:val="14"/>
          <w:color w:val="auto"/>
        </w:rPr>
        <w:t>Exhibit 32.1</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CERTIFICATION PURSUANT TO</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906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SARBANES-OXLEY ACT OF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Certification of CEO</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In connection with the Annual Report of Frequency Electronics, Inc. (the "Company") on Form 10-K for the year ended April 30, 2006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165" w:lineRule="exact"/>
        <w:rPr>
          <w:sz w:val="20"/>
          <w:szCs w:val="20"/>
          <w:color w:val="auto"/>
        </w:rPr>
      </w:pPr>
    </w:p>
    <w:p>
      <w:pPr>
        <w:ind w:left="700" w:right="3639" w:hanging="344"/>
        <w:spacing w:after="0" w:line="258" w:lineRule="auto"/>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and 15(d) of the Securities Exchange Act of 1934; and</w:t>
      </w:r>
    </w:p>
    <w:p>
      <w:pPr>
        <w:spacing w:after="0" w:line="159" w:lineRule="exact"/>
        <w:rPr>
          <w:rFonts w:ascii="Courier New" w:cs="Courier New" w:eastAsia="Courier New" w:hAnsi="Courier New"/>
          <w:sz w:val="14"/>
          <w:szCs w:val="14"/>
          <w:color w:val="auto"/>
        </w:rPr>
      </w:pPr>
    </w:p>
    <w:p>
      <w:pPr>
        <w:ind w:left="700" w:right="3279" w:hanging="344"/>
        <w:spacing w:after="0" w:line="255" w:lineRule="auto"/>
        <w:tabs>
          <w:tab w:leader="none" w:pos="70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200" w:val="left"/>
        </w:tabs>
        <w:rPr>
          <w:sz w:val="20"/>
          <w:szCs w:val="20"/>
          <w:color w:val="auto"/>
        </w:rPr>
      </w:pPr>
      <w:r>
        <w:rPr>
          <w:rFonts w:ascii="Courier New" w:cs="Courier New" w:eastAsia="Courier New" w:hAnsi="Courier New"/>
          <w:sz w:val="14"/>
          <w:szCs w:val="14"/>
          <w:color w:val="auto"/>
        </w:rPr>
        <w:t>/s/ Martin B. Bloch</w:t>
      </w:r>
      <w:r>
        <w:rPr>
          <w:sz w:val="20"/>
          <w:szCs w:val="20"/>
          <w:color w:val="auto"/>
        </w:rPr>
        <w:tab/>
      </w:r>
      <w:r>
        <w:rPr>
          <w:rFonts w:ascii="Courier New" w:cs="Courier New" w:eastAsia="Courier New" w:hAnsi="Courier New"/>
          <w:sz w:val="14"/>
          <w:szCs w:val="14"/>
          <w:color w:val="auto"/>
        </w:rPr>
        <w:t>July 28, 2006</w:t>
      </w:r>
    </w:p>
    <w:p>
      <w:pPr>
        <w:spacing w:after="0" w:line="8" w:lineRule="exact"/>
        <w:rPr>
          <w:sz w:val="20"/>
          <w:szCs w:val="20"/>
          <w:color w:val="auto"/>
        </w:rPr>
      </w:pPr>
    </w:p>
    <w:p>
      <w:pPr>
        <w:ind w:left="180" w:hanging="171"/>
        <w:spacing w:after="0"/>
        <w:tabs>
          <w:tab w:leader="none" w:pos="18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Martin B. Bloch</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Executive Officer</w:t>
      </w:r>
    </w:p>
    <w:p>
      <w:pPr>
        <w:spacing w:after="0" w:line="200" w:lineRule="exact"/>
        <w:rPr>
          <w:sz w:val="20"/>
          <w:szCs w:val="20"/>
          <w:color w:val="auto"/>
        </w:rPr>
      </w:pPr>
    </w:p>
    <w:p>
      <w:pPr>
        <w:spacing w:after="0" w:line="309"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66</w:t>
      </w:r>
    </w:p>
    <w:p>
      <w:pPr>
        <w:sectPr>
          <w:pgSz w:w="11900" w:h="16838" w:orient="portrait"/>
          <w:cols w:equalWidth="0" w:num="1">
            <w:col w:w="10239"/>
          </w:cols>
          <w:pgMar w:left="220" w:top="142" w:right="1440" w:bottom="1440" w:gutter="0" w:footer="0" w:header="0"/>
        </w:sectPr>
      </w:pPr>
    </w:p>
    <w:bookmarkStart w:id="67" w:name="page68"/>
    <w:bookmarkEnd w:id="67"/>
    <w:p>
      <w:pPr>
        <w:jc w:val="right"/>
        <w:ind w:right="3279"/>
        <w:spacing w:after="0"/>
        <w:rPr>
          <w:sz w:val="20"/>
          <w:szCs w:val="20"/>
          <w:color w:val="auto"/>
        </w:rPr>
      </w:pPr>
      <w:r>
        <w:rPr>
          <w:rFonts w:ascii="Courier New" w:cs="Courier New" w:eastAsia="Courier New" w:hAnsi="Courier New"/>
          <w:sz w:val="14"/>
          <w:szCs w:val="14"/>
          <w:color w:val="auto"/>
        </w:rPr>
        <w:t>Exhibit 32.2</w:t>
      </w:r>
    </w:p>
    <w:p>
      <w:pPr>
        <w:spacing w:after="0" w:line="175"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4"/>
          <w:szCs w:val="14"/>
          <w:color w:val="auto"/>
        </w:rPr>
        <w:t>CERTIFICATION PURSUANT TO</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SECTION 906 OF</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THE SARBANES-OXLEY ACT OF 2002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Certification of CFO</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In connection with the Annual Report of Frequency Electronics, Inc. (the "Company") on Form 10-K for the year ended April 30, 2006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165" w:lineRule="exact"/>
        <w:rPr>
          <w:sz w:val="20"/>
          <w:szCs w:val="20"/>
          <w:color w:val="auto"/>
        </w:rPr>
      </w:pPr>
    </w:p>
    <w:p>
      <w:pPr>
        <w:ind w:left="700" w:right="3639" w:hanging="344"/>
        <w:spacing w:after="0" w:line="258" w:lineRule="auto"/>
        <w:tabs>
          <w:tab w:leader="none" w:pos="7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and 15(d) of the Securities Exchange Act of 1934; and</w:t>
      </w:r>
    </w:p>
    <w:p>
      <w:pPr>
        <w:spacing w:after="0" w:line="159" w:lineRule="exact"/>
        <w:rPr>
          <w:rFonts w:ascii="Courier New" w:cs="Courier New" w:eastAsia="Courier New" w:hAnsi="Courier New"/>
          <w:sz w:val="14"/>
          <w:szCs w:val="14"/>
          <w:color w:val="auto"/>
        </w:rPr>
      </w:pPr>
    </w:p>
    <w:p>
      <w:pPr>
        <w:ind w:left="700" w:right="3279" w:hanging="344"/>
        <w:spacing w:after="0" w:line="255" w:lineRule="auto"/>
        <w:tabs>
          <w:tab w:leader="none" w:pos="70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spacing w:after="0"/>
        <w:tabs>
          <w:tab w:leader="none" w:pos="5540" w:val="left"/>
        </w:tabs>
        <w:rPr>
          <w:sz w:val="20"/>
          <w:szCs w:val="20"/>
          <w:color w:val="auto"/>
        </w:rPr>
      </w:pPr>
      <w:r>
        <w:rPr>
          <w:rFonts w:ascii="Courier New" w:cs="Courier New" w:eastAsia="Courier New" w:hAnsi="Courier New"/>
          <w:sz w:val="14"/>
          <w:szCs w:val="14"/>
          <w:color w:val="auto"/>
        </w:rPr>
        <w:t>/s/ Alan L. Miller</w:t>
      </w:r>
      <w:r>
        <w:rPr>
          <w:sz w:val="20"/>
          <w:szCs w:val="20"/>
          <w:color w:val="auto"/>
        </w:rPr>
        <w:tab/>
      </w:r>
      <w:r>
        <w:rPr>
          <w:rFonts w:ascii="Courier New" w:cs="Courier New" w:eastAsia="Courier New" w:hAnsi="Courier New"/>
          <w:sz w:val="14"/>
          <w:szCs w:val="14"/>
          <w:color w:val="auto"/>
        </w:rPr>
        <w:t>July 28, 2006</w:t>
      </w:r>
    </w:p>
    <w:p>
      <w:pPr>
        <w:spacing w:after="0" w:line="8" w:lineRule="exact"/>
        <w:rPr>
          <w:sz w:val="20"/>
          <w:szCs w:val="20"/>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Alan L. Miller</w:t>
      </w:r>
    </w:p>
    <w:p>
      <w:pPr>
        <w:spacing w:after="0" w:line="8" w:lineRule="exact"/>
        <w:rPr>
          <w:rFonts w:ascii="Courier New" w:cs="Courier New" w:eastAsia="Courier New" w:hAnsi="Courier New"/>
          <w:sz w:val="14"/>
          <w:szCs w:val="14"/>
          <w:color w:val="auto"/>
        </w:rPr>
      </w:pPr>
    </w:p>
    <w:p>
      <w:pPr>
        <w:ind w:left="3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pacing w:after="0" w:line="309" w:lineRule="exact"/>
        <w:rPr>
          <w:sz w:val="20"/>
          <w:szCs w:val="20"/>
          <w:color w:val="auto"/>
        </w:rPr>
      </w:pPr>
    </w:p>
    <w:p>
      <w:pPr>
        <w:ind w:left="360" w:right="3379"/>
        <w:spacing w:after="0" w:line="253"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67</w:t>
      </w:r>
    </w:p>
    <w:sectPr>
      <w:pgSz w:w="11900" w:h="16838" w:orient="portrait"/>
      <w:cols w:equalWidth="0" w:num="1">
        <w:col w:w="10239"/>
      </w:cols>
      <w:pgMar w:left="22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3"/>
    </w:lvl>
  </w:abstractNum>
  <w:abstractNum w:abstractNumId="5">
    <w:nsid w:val="7C83E458"/>
    <w:multiLevelType w:val="hybridMultilevel"/>
    <w:lvl w:ilvl="0">
      <w:lvlJc w:val="left"/>
      <w:lvlText w:val="o"/>
      <w:numFmt w:val="bullet"/>
      <w:start w:val="1"/>
    </w:lvl>
  </w:abstractNum>
  <w:abstractNum w:abstractNumId="6">
    <w:nsid w:val="257130A3"/>
    <w:multiLevelType w:val="hybridMultilevel"/>
    <w:lvl w:ilvl="0">
      <w:lvlJc w:val="left"/>
      <w:lvlText w:val="o"/>
      <w:numFmt w:val="bullet"/>
      <w:start w:val="1"/>
    </w:lvl>
  </w:abstractNum>
  <w:abstractNum w:abstractNumId="7">
    <w:nsid w:val="62BBD95A"/>
    <w:multiLevelType w:val="hybridMultilevel"/>
    <w:lvl w:ilvl="0">
      <w:lvlJc w:val="left"/>
      <w:lvlText w:val="o"/>
      <w:numFmt w:val="bullet"/>
      <w:start w:val="1"/>
    </w:lvl>
  </w:abstractNum>
  <w:abstractNum w:abstractNumId="8">
    <w:nsid w:val="436C6125"/>
    <w:multiLevelType w:val="hybridMultilevel"/>
    <w:lvl w:ilvl="0">
      <w:lvlJc w:val="left"/>
      <w:lvlText w:val="o"/>
      <w:numFmt w:val="bullet"/>
      <w:start w:val="1"/>
    </w:lvl>
  </w:abstractNum>
  <w:abstractNum w:abstractNumId="9">
    <w:nsid w:val="628C895D"/>
    <w:multiLevelType w:val="hybridMultilevel"/>
    <w:lvl w:ilvl="0">
      <w:lvlJc w:val="left"/>
      <w:lvlText w:val="o"/>
      <w:numFmt w:val="bullet"/>
      <w:start w:val="1"/>
    </w:lvl>
  </w:abstractNum>
  <w:abstractNum w:abstractNumId="10">
    <w:nsid w:val="333AB105"/>
    <w:multiLevelType w:val="hybridMultilevel"/>
    <w:lvl w:ilvl="0">
      <w:lvlJc w:val="left"/>
      <w:lvlText w:val="o"/>
      <w:numFmt w:val="bullet"/>
      <w:start w:val="1"/>
    </w:lvl>
  </w:abstractNum>
  <w:abstractNum w:abstractNumId="11">
    <w:nsid w:val="721DA317"/>
    <w:multiLevelType w:val="hybridMultilevel"/>
    <w:lvl w:ilvl="0">
      <w:lvlJc w:val="left"/>
      <w:lvlText w:val="(%1)"/>
      <w:numFmt w:val="decimal"/>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6"/>
    </w:lvl>
  </w:abstractNum>
  <w:abstractNum w:abstractNumId="18">
    <w:nsid w:val="4353D0CD"/>
    <w:multiLevelType w:val="hybridMultilevel"/>
    <w:lvl w:ilvl="0">
      <w:lvlJc w:val="left"/>
      <w:lvlText w:val="%1."/>
      <w:numFmt w:val="decimal"/>
      <w:start w:val="12"/>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1)"/>
      <w:numFmt w:val="decimal"/>
      <w:start w:val="2"/>
    </w:lvl>
  </w:abstractNum>
  <w:abstractNum w:abstractNumId="23">
    <w:nsid w:val="2CA88611"/>
    <w:multiLevelType w:val="hybridMultilevel"/>
    <w:lvl w:ilvl="0">
      <w:lvlJc w:val="left"/>
      <w:lvlText w:val="(%1)"/>
      <w:numFmt w:val="decimal"/>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2019-12-13T01:37:11Z</dcterms:created>
  <dcterms:modified xsi:type="dcterms:W3CDTF">2019-12-13T01:37:11Z</dcterms:modified>
</cp:coreProperties>
</file>