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800" w:right="2519" w:hanging="528"/>
        <w:spacing w:after="0" w:line="235" w:lineRule="auto"/>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January 31, 2006</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left="1800" w:right="2419" w:hanging="528"/>
        <w:spacing w:after="0" w:line="235" w:lineRule="auto"/>
        <w:tabs>
          <w:tab w:leader="none" w:pos="148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spacing w:after="0" w:line="5"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For the transition period from __________ to __________</w:t>
      </w:r>
    </w:p>
    <w:p>
      <w:pPr>
        <w:spacing w:after="0" w:line="200" w:lineRule="exact"/>
        <w:rPr>
          <w:sz w:val="24"/>
          <w:szCs w:val="24"/>
          <w:color w:val="auto"/>
        </w:rPr>
      </w:pPr>
    </w:p>
    <w:p>
      <w:pPr>
        <w:spacing w:after="0" w:line="22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1-8061</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FREQUENCY ELECTRONICS,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11-1986657</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820" w:space="720"/>
            <w:col w:w="5679"/>
          </w:cols>
          <w:pgMar w:left="240" w:top="244" w:right="1440" w:bottom="0" w:gutter="0" w:footer="0" w:header="0"/>
          <w:type w:val="continuous"/>
        </w:sectPr>
      </w:pPr>
    </w:p>
    <w:p>
      <w:pPr>
        <w:spacing w:after="0" w:line="7" w:lineRule="exact"/>
        <w:rPr>
          <w:sz w:val="24"/>
          <w:szCs w:val="24"/>
          <w:color w:val="auto"/>
        </w:rPr>
      </w:pPr>
    </w:p>
    <w:p>
      <w:pPr>
        <w:ind w:left="320" w:right="340" w:hanging="315"/>
        <w:spacing w:after="0" w:line="290" w:lineRule="auto"/>
        <w:rPr>
          <w:sz w:val="20"/>
          <w:szCs w:val="20"/>
          <w:color w:val="auto"/>
        </w:rPr>
      </w:pPr>
      <w:r>
        <w:rPr>
          <w:rFonts w:ascii="Courier New" w:cs="Courier New" w:eastAsia="Courier New" w:hAnsi="Courier New"/>
          <w:sz w:val="16"/>
          <w:szCs w:val="16"/>
          <w:color w:val="auto"/>
        </w:rPr>
        <w:t>55 CHARLES LINDBERGH BLVD., MITCHEL FIELD, N.Y. (Address of principal executive offices)</w:t>
      </w:r>
    </w:p>
    <w:p>
      <w:pPr>
        <w:spacing w:after="0" w:line="20" w:lineRule="exact"/>
        <w:rPr>
          <w:sz w:val="24"/>
          <w:szCs w:val="24"/>
          <w:color w:val="auto"/>
        </w:rPr>
      </w:pPr>
      <w:r>
        <w:rPr>
          <w:sz w:val="24"/>
          <w:szCs w:val="24"/>
          <w:color w:val="auto"/>
        </w:rPr>
        <w:br w:type="column"/>
      </w:r>
    </w:p>
    <w:p>
      <w:pPr>
        <w:ind w:left="300"/>
        <w:spacing w:after="0"/>
        <w:rPr>
          <w:sz w:val="20"/>
          <w:szCs w:val="20"/>
          <w:color w:val="auto"/>
        </w:rPr>
      </w:pPr>
      <w:r>
        <w:rPr>
          <w:rFonts w:ascii="Courier New" w:cs="Courier New" w:eastAsia="Courier New" w:hAnsi="Courier New"/>
          <w:sz w:val="18"/>
          <w:szCs w:val="18"/>
          <w:color w:val="auto"/>
        </w:rPr>
        <w:t>11553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300" w:space="720"/>
            <w:col w:w="419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Registrant's telephone number, including area code: 516-794-4500</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__</w:t>
      </w: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2" w:lineRule="exact"/>
        <w:rPr>
          <w:sz w:val="24"/>
          <w:szCs w:val="24"/>
          <w:color w:val="auto"/>
        </w:rPr>
      </w:pPr>
    </w:p>
    <w:p>
      <w:pPr>
        <w:spacing w:after="0"/>
        <w:tabs>
          <w:tab w:leader="none" w:pos="3140" w:val="left"/>
          <w:tab w:leader="none" w:pos="5680" w:val="left"/>
        </w:tabs>
        <w:rPr>
          <w:sz w:val="20"/>
          <w:szCs w:val="20"/>
          <w:color w:val="auto"/>
        </w:rPr>
      </w:pPr>
      <w:r>
        <w:rPr>
          <w:rFonts w:ascii="Courier New" w:cs="Courier New" w:eastAsia="Courier New" w:hAnsi="Courier New"/>
          <w:sz w:val="18"/>
          <w:szCs w:val="18"/>
          <w:color w:val="auto"/>
        </w:rPr>
        <w:t>Large accelerated filer ____</w:t>
        <w:tab/>
        <w:t>Accelerated filer ____</w:t>
      </w:r>
      <w:r>
        <w:rPr>
          <w:sz w:val="20"/>
          <w:szCs w:val="20"/>
          <w:color w:val="auto"/>
        </w:rPr>
        <w:tab/>
      </w:r>
      <w:r>
        <w:rPr>
          <w:rFonts w:ascii="Courier New" w:cs="Courier New" w:eastAsia="Courier New" w:hAnsi="Courier New"/>
          <w:sz w:val="16"/>
          <w:szCs w:val="16"/>
          <w:color w:val="auto"/>
        </w:rPr>
        <w:t>Non-accelerated filer__X__</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 shell company (as defined in Rule 12b-2 of the Exchange Act).</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Yes ____ No ____</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number of shares outstanding of Registrant's Common Stock, par value $1.00 as of March 10, 2006 - 8,551,527</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24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FREQUENCY</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ELECTRONICS, INC. and SUBSIDIARIES</w:t>
            </w:r>
          </w:p>
        </w:tc>
        <w:tc>
          <w:tcPr>
            <w:tcW w:w="132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20" w:type="dxa"/>
            <w:vAlign w:val="bottom"/>
          </w:tcPr>
          <w:p>
            <w:pPr>
              <w:ind w:left="1120"/>
              <w:spacing w:after="0"/>
              <w:rPr>
                <w:sz w:val="20"/>
                <w:szCs w:val="20"/>
                <w:color w:val="auto"/>
              </w:rPr>
            </w:pPr>
            <w:r>
              <w:rPr>
                <w:rFonts w:ascii="Courier New" w:cs="Courier New" w:eastAsia="Courier New" w:hAnsi="Courier New"/>
                <w:sz w:val="18"/>
                <w:szCs w:val="18"/>
                <w:color w:val="auto"/>
              </w:rPr>
              <w:t>INDEX</w:t>
            </w:r>
          </w:p>
        </w:tc>
        <w:tc>
          <w:tcPr>
            <w:tcW w:w="1320" w:type="dxa"/>
            <w:vAlign w:val="bottom"/>
          </w:tcPr>
          <w:p>
            <w:pPr>
              <w:spacing w:after="0"/>
              <w:rPr>
                <w:sz w:val="24"/>
                <w:szCs w:val="24"/>
                <w:color w:val="auto"/>
              </w:rPr>
            </w:pPr>
          </w:p>
        </w:tc>
      </w:tr>
      <w:tr>
        <w:trPr>
          <w:trHeight w:val="608"/>
        </w:trPr>
        <w:tc>
          <w:tcPr>
            <w:tcW w:w="7020" w:type="dxa"/>
            <w:vAlign w:val="bottom"/>
            <w:gridSpan w:val="3"/>
          </w:tcPr>
          <w:p>
            <w:pPr>
              <w:jc w:val="right"/>
              <w:ind w:right="3652"/>
              <w:spacing w:after="0"/>
              <w:rPr>
                <w:sz w:val="20"/>
                <w:szCs w:val="20"/>
                <w:color w:val="auto"/>
              </w:rPr>
            </w:pPr>
            <w:r>
              <w:rPr>
                <w:rFonts w:ascii="Courier New" w:cs="Courier New" w:eastAsia="Courier New" w:hAnsi="Courier New"/>
                <w:sz w:val="18"/>
                <w:szCs w:val="18"/>
                <w:color w:val="auto"/>
                <w:w w:val="97"/>
              </w:rPr>
              <w:t>Part I.  Financial Information:</w:t>
            </w:r>
          </w:p>
        </w:tc>
        <w:tc>
          <w:tcPr>
            <w:tcW w:w="1320" w:type="dxa"/>
            <w:vAlign w:val="bottom"/>
          </w:tcPr>
          <w:p>
            <w:pPr>
              <w:ind w:left="460"/>
              <w:spacing w:after="0"/>
              <w:rPr>
                <w:sz w:val="20"/>
                <w:szCs w:val="20"/>
                <w:color w:val="auto"/>
              </w:rPr>
            </w:pPr>
            <w:r>
              <w:rPr>
                <w:rFonts w:ascii="Courier New" w:cs="Courier New" w:eastAsia="Courier New" w:hAnsi="Courier New"/>
                <w:sz w:val="18"/>
                <w:szCs w:val="18"/>
                <w:color w:val="auto"/>
                <w:w w:val="97"/>
              </w:rPr>
              <w:t>Page No.</w:t>
            </w:r>
          </w:p>
        </w:tc>
      </w:tr>
      <w:tr>
        <w:trPr>
          <w:trHeight w:val="405"/>
        </w:trPr>
        <w:tc>
          <w:tcPr>
            <w:tcW w:w="7020" w:type="dxa"/>
            <w:vAlign w:val="bottom"/>
            <w:gridSpan w:val="3"/>
          </w:tcPr>
          <w:p>
            <w:pPr>
              <w:jc w:val="right"/>
              <w:ind w:right="3652"/>
              <w:spacing w:after="0"/>
              <w:rPr>
                <w:sz w:val="20"/>
                <w:szCs w:val="20"/>
                <w:color w:val="auto"/>
              </w:rPr>
            </w:pPr>
            <w:r>
              <w:rPr>
                <w:rFonts w:ascii="Courier New" w:cs="Courier New" w:eastAsia="Courier New" w:hAnsi="Courier New"/>
                <w:sz w:val="18"/>
                <w:szCs w:val="18"/>
                <w:color w:val="auto"/>
              </w:rPr>
              <w:t>Item 1 - Financial Statements:</w:t>
            </w:r>
          </w:p>
        </w:tc>
        <w:tc>
          <w:tcPr>
            <w:tcW w:w="1320" w:type="dxa"/>
            <w:vAlign w:val="bottom"/>
          </w:tcPr>
          <w:p>
            <w:pPr>
              <w:spacing w:after="0"/>
              <w:rPr>
                <w:sz w:val="24"/>
                <w:szCs w:val="24"/>
                <w:color w:val="auto"/>
              </w:rPr>
            </w:pPr>
          </w:p>
        </w:tc>
      </w:tr>
      <w:tr>
        <w:trPr>
          <w:trHeight w:val="405"/>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Consolidated</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Balance Sheets -</w:t>
            </w:r>
          </w:p>
        </w:tc>
        <w:tc>
          <w:tcPr>
            <w:tcW w:w="1320" w:type="dxa"/>
            <w:vAlign w:val="bottom"/>
          </w:tcPr>
          <w:p>
            <w:pPr>
              <w:spacing w:after="0"/>
              <w:rPr>
                <w:sz w:val="24"/>
                <w:szCs w:val="24"/>
                <w:color w:val="auto"/>
              </w:rPr>
            </w:pPr>
          </w:p>
        </w:tc>
      </w:tr>
      <w:tr>
        <w:trPr>
          <w:trHeight w:val="203"/>
        </w:trPr>
        <w:tc>
          <w:tcPr>
            <w:tcW w:w="702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January 31, 2006 and April 30, 2005</w:t>
            </w:r>
          </w:p>
        </w:tc>
        <w:tc>
          <w:tcPr>
            <w:tcW w:w="1320" w:type="dxa"/>
            <w:vAlign w:val="bottom"/>
          </w:tcPr>
          <w:p>
            <w:pPr>
              <w:jc w:val="center"/>
              <w:ind w:left="472"/>
              <w:spacing w:after="0" w:line="203" w:lineRule="exact"/>
              <w:rPr>
                <w:sz w:val="20"/>
                <w:szCs w:val="20"/>
                <w:color w:val="auto"/>
              </w:rPr>
            </w:pPr>
            <w:r>
              <w:rPr>
                <w:rFonts w:ascii="Courier New" w:cs="Courier New" w:eastAsia="Courier New" w:hAnsi="Courier New"/>
                <w:sz w:val="18"/>
                <w:szCs w:val="18"/>
                <w:color w:val="auto"/>
                <w:w w:val="98"/>
              </w:rPr>
              <w:t>3-4</w:t>
            </w:r>
          </w:p>
        </w:tc>
      </w:tr>
      <w:tr>
        <w:trPr>
          <w:trHeight w:val="405"/>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Consolidated</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Statements of Operations</w:t>
            </w:r>
          </w:p>
        </w:tc>
        <w:tc>
          <w:tcPr>
            <w:tcW w:w="1320" w:type="dxa"/>
            <w:vAlign w:val="bottom"/>
          </w:tcPr>
          <w:p>
            <w:pPr>
              <w:spacing w:after="0"/>
              <w:rPr>
                <w:sz w:val="24"/>
                <w:szCs w:val="24"/>
                <w:color w:val="auto"/>
              </w:rPr>
            </w:pPr>
          </w:p>
        </w:tc>
      </w:tr>
      <w:tr>
        <w:trPr>
          <w:trHeight w:val="203"/>
        </w:trPr>
        <w:tc>
          <w:tcPr>
            <w:tcW w:w="702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Nine Months Ended January 31, 2006 and 2005</w:t>
            </w:r>
          </w:p>
        </w:tc>
        <w:tc>
          <w:tcPr>
            <w:tcW w:w="1320" w:type="dxa"/>
            <w:vAlign w:val="bottom"/>
          </w:tcPr>
          <w:p>
            <w:pPr>
              <w:jc w:val="center"/>
              <w:ind w:left="47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Consolidated</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Statements of Operations</w:t>
            </w:r>
          </w:p>
        </w:tc>
        <w:tc>
          <w:tcPr>
            <w:tcW w:w="1320" w:type="dxa"/>
            <w:vAlign w:val="bottom"/>
          </w:tcPr>
          <w:p>
            <w:pPr>
              <w:spacing w:after="0"/>
              <w:rPr>
                <w:sz w:val="24"/>
                <w:szCs w:val="24"/>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Months Ended</w:t>
            </w:r>
          </w:p>
        </w:tc>
        <w:tc>
          <w:tcPr>
            <w:tcW w:w="4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31, 2006 and 2005</w:t>
            </w:r>
          </w:p>
        </w:tc>
        <w:tc>
          <w:tcPr>
            <w:tcW w:w="1320" w:type="dxa"/>
            <w:vAlign w:val="bottom"/>
          </w:tcPr>
          <w:p>
            <w:pPr>
              <w:jc w:val="center"/>
              <w:ind w:left="472"/>
              <w:spacing w:after="0" w:line="203" w:lineRule="exact"/>
              <w:rPr>
                <w:sz w:val="20"/>
                <w:szCs w:val="20"/>
                <w:color w:val="auto"/>
              </w:rPr>
            </w:pPr>
            <w:r>
              <w:rPr>
                <w:rFonts w:ascii="Courier New" w:cs="Courier New" w:eastAsia="Courier New" w:hAnsi="Courier New"/>
                <w:sz w:val="18"/>
                <w:szCs w:val="18"/>
                <w:color w:val="auto"/>
              </w:rPr>
              <w:t>6</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80" w:type="dxa"/>
            <w:vAlign w:val="bottom"/>
          </w:tcPr>
          <w:p>
            <w:pPr>
              <w:ind w:left="540"/>
              <w:spacing w:after="0"/>
              <w:rPr>
                <w:sz w:val="20"/>
                <w:szCs w:val="20"/>
                <w:color w:val="auto"/>
              </w:rPr>
            </w:pPr>
            <w:r>
              <w:rPr>
                <w:rFonts w:ascii="Courier New" w:cs="Courier New" w:eastAsia="Courier New" w:hAnsi="Courier New"/>
                <w:sz w:val="18"/>
                <w:szCs w:val="18"/>
                <w:color w:val="auto"/>
              </w:rPr>
              <w:t>Condensed Consolidated Statements of Cash Flows</w:t>
            </w:r>
          </w:p>
        </w:tc>
        <w:tc>
          <w:tcPr>
            <w:tcW w:w="840" w:type="dxa"/>
            <w:vAlign w:val="bottom"/>
          </w:tcPr>
          <w:p>
            <w:pPr>
              <w:spacing w:after="0"/>
              <w:rPr>
                <w:sz w:val="17"/>
                <w:szCs w:val="17"/>
                <w:color w:val="auto"/>
              </w:rPr>
            </w:pPr>
          </w:p>
        </w:tc>
      </w:tr>
      <w:tr>
        <w:trPr>
          <w:trHeight w:val="203"/>
        </w:trPr>
        <w:tc>
          <w:tcPr>
            <w:tcW w:w="7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Nine Months Ended January 31, 2006 and 2005</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7380" w:type="dxa"/>
            <w:vAlign w:val="bottom"/>
          </w:tcPr>
          <w:p>
            <w:pPr>
              <w:ind w:left="540"/>
              <w:spacing w:after="0"/>
              <w:rPr>
                <w:sz w:val="20"/>
                <w:szCs w:val="20"/>
                <w:color w:val="auto"/>
              </w:rPr>
            </w:pPr>
            <w:r>
              <w:rPr>
                <w:rFonts w:ascii="Courier New" w:cs="Courier New" w:eastAsia="Courier New" w:hAnsi="Courier New"/>
                <w:sz w:val="18"/>
                <w:szCs w:val="18"/>
                <w:color w:val="auto"/>
              </w:rPr>
              <w:t>Notes to Condensed Consolidated Financial Statements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8-11</w:t>
            </w:r>
          </w:p>
        </w:tc>
      </w:tr>
      <w:tr>
        <w:trPr>
          <w:trHeight w:val="405"/>
        </w:trPr>
        <w:tc>
          <w:tcPr>
            <w:tcW w:w="7380" w:type="dxa"/>
            <w:vAlign w:val="bottom"/>
          </w:tcPr>
          <w:p>
            <w:pPr>
              <w:ind w:left="120"/>
              <w:spacing w:after="0"/>
              <w:rPr>
                <w:sz w:val="20"/>
                <w:szCs w:val="20"/>
                <w:color w:val="auto"/>
              </w:rPr>
            </w:pPr>
            <w:r>
              <w:rPr>
                <w:rFonts w:ascii="Courier New" w:cs="Courier New" w:eastAsia="Courier New" w:hAnsi="Courier New"/>
                <w:sz w:val="18"/>
                <w:szCs w:val="18"/>
                <w:color w:val="auto"/>
              </w:rPr>
              <w:t>Item 2 - Management's Discussion and Analysis of</w:t>
            </w:r>
          </w:p>
        </w:tc>
        <w:tc>
          <w:tcPr>
            <w:tcW w:w="840" w:type="dxa"/>
            <w:vAlign w:val="bottom"/>
          </w:tcPr>
          <w:p>
            <w:pPr>
              <w:spacing w:after="0"/>
              <w:rPr>
                <w:sz w:val="24"/>
                <w:szCs w:val="24"/>
                <w:color w:val="auto"/>
              </w:rPr>
            </w:pPr>
          </w:p>
        </w:tc>
      </w:tr>
      <w:tr>
        <w:trPr>
          <w:trHeight w:val="203"/>
        </w:trPr>
        <w:tc>
          <w:tcPr>
            <w:tcW w:w="7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12-18</w:t>
            </w:r>
          </w:p>
        </w:tc>
      </w:tr>
      <w:tr>
        <w:trPr>
          <w:trHeight w:val="405"/>
        </w:trPr>
        <w:tc>
          <w:tcPr>
            <w:tcW w:w="7380" w:type="dxa"/>
            <w:vAlign w:val="bottom"/>
          </w:tcPr>
          <w:p>
            <w:pPr>
              <w:ind w:left="120"/>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w:t>
            </w:r>
          </w:p>
        </w:tc>
      </w:tr>
      <w:tr>
        <w:trPr>
          <w:trHeight w:val="405"/>
        </w:trPr>
        <w:tc>
          <w:tcPr>
            <w:tcW w:w="7380" w:type="dxa"/>
            <w:vAlign w:val="bottom"/>
          </w:tcPr>
          <w:p>
            <w:pPr>
              <w:ind w:left="120"/>
              <w:spacing w:after="0"/>
              <w:rPr>
                <w:sz w:val="20"/>
                <w:szCs w:val="20"/>
                <w:color w:val="auto"/>
              </w:rPr>
            </w:pPr>
            <w:r>
              <w:rPr>
                <w:rFonts w:ascii="Courier New" w:cs="Courier New" w:eastAsia="Courier New" w:hAnsi="Courier New"/>
                <w:sz w:val="18"/>
                <w:szCs w:val="18"/>
                <w:color w:val="auto"/>
              </w:rPr>
              <w:t>Item 4- Controls and Procedures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18-19</w:t>
            </w:r>
          </w:p>
        </w:tc>
      </w:tr>
      <w:tr>
        <w:trPr>
          <w:trHeight w:val="608"/>
        </w:trPr>
        <w:tc>
          <w:tcPr>
            <w:tcW w:w="738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840" w:type="dxa"/>
            <w:vAlign w:val="bottom"/>
          </w:tcPr>
          <w:p>
            <w:pPr>
              <w:spacing w:after="0"/>
              <w:rPr>
                <w:sz w:val="24"/>
                <w:szCs w:val="24"/>
                <w:color w:val="auto"/>
              </w:rPr>
            </w:pPr>
          </w:p>
        </w:tc>
      </w:tr>
      <w:tr>
        <w:trPr>
          <w:trHeight w:val="405"/>
        </w:trPr>
        <w:tc>
          <w:tcPr>
            <w:tcW w:w="7380" w:type="dxa"/>
            <w:vAlign w:val="bottom"/>
          </w:tcPr>
          <w:p>
            <w:pPr>
              <w:ind w:left="120"/>
              <w:spacing w:after="0"/>
              <w:rPr>
                <w:sz w:val="20"/>
                <w:szCs w:val="20"/>
                <w:color w:val="auto"/>
              </w:rPr>
            </w:pPr>
            <w:r>
              <w:rPr>
                <w:rFonts w:ascii="Courier New" w:cs="Courier New" w:eastAsia="Courier New" w:hAnsi="Courier New"/>
                <w:sz w:val="18"/>
                <w:szCs w:val="18"/>
                <w:color w:val="auto"/>
              </w:rPr>
              <w:t>Items 1, 2, 3, 4 and 5 are omitted because they are not applicable</w:t>
            </w:r>
          </w:p>
        </w:tc>
        <w:tc>
          <w:tcPr>
            <w:tcW w:w="840" w:type="dxa"/>
            <w:vAlign w:val="bottom"/>
          </w:tcPr>
          <w:p>
            <w:pPr>
              <w:spacing w:after="0"/>
              <w:rPr>
                <w:sz w:val="24"/>
                <w:szCs w:val="24"/>
                <w:color w:val="auto"/>
              </w:rPr>
            </w:pPr>
          </w:p>
        </w:tc>
      </w:tr>
      <w:tr>
        <w:trPr>
          <w:trHeight w:val="405"/>
        </w:trPr>
        <w:tc>
          <w:tcPr>
            <w:tcW w:w="7380" w:type="dxa"/>
            <w:vAlign w:val="bottom"/>
          </w:tcPr>
          <w:p>
            <w:pPr>
              <w:ind w:left="120"/>
              <w:spacing w:after="0"/>
              <w:rPr>
                <w:sz w:val="20"/>
                <w:szCs w:val="20"/>
                <w:color w:val="auto"/>
              </w:rPr>
            </w:pPr>
            <w:r>
              <w:rPr>
                <w:rFonts w:ascii="Courier New" w:cs="Courier New" w:eastAsia="Courier New" w:hAnsi="Courier New"/>
                <w:sz w:val="18"/>
                <w:szCs w:val="18"/>
                <w:color w:val="auto"/>
              </w:rPr>
              <w:t>Item 6 - Exhibits</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w:t>
            </w:r>
          </w:p>
        </w:tc>
      </w:tr>
      <w:tr>
        <w:trPr>
          <w:trHeight w:val="405"/>
        </w:trPr>
        <w:tc>
          <w:tcPr>
            <w:tcW w:w="7380" w:type="dxa"/>
            <w:vAlign w:val="bottom"/>
          </w:tcPr>
          <w:p>
            <w:pPr>
              <w:ind w:left="120"/>
              <w:spacing w:after="0"/>
              <w:rPr>
                <w:sz w:val="20"/>
                <w:szCs w:val="20"/>
                <w:color w:val="auto"/>
              </w:rPr>
            </w:pPr>
            <w:r>
              <w:rPr>
                <w:rFonts w:ascii="Courier New" w:cs="Courier New" w:eastAsia="Courier New" w:hAnsi="Courier New"/>
                <w:sz w:val="18"/>
                <w:szCs w:val="18"/>
                <w:color w:val="auto"/>
              </w:rPr>
              <w:t>Signatures</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w:t>
            </w:r>
          </w:p>
        </w:tc>
      </w:tr>
      <w:tr>
        <w:trPr>
          <w:trHeight w:val="405"/>
        </w:trPr>
        <w:tc>
          <w:tcPr>
            <w:tcW w:w="7380" w:type="dxa"/>
            <w:vAlign w:val="bottom"/>
          </w:tcPr>
          <w:p>
            <w:pPr>
              <w:ind w:left="120"/>
              <w:spacing w:after="0"/>
              <w:rPr>
                <w:sz w:val="20"/>
                <w:szCs w:val="20"/>
                <w:color w:val="auto"/>
              </w:rPr>
            </w:pPr>
            <w:r>
              <w:rPr>
                <w:rFonts w:ascii="Courier New" w:cs="Courier New" w:eastAsia="Courier New" w:hAnsi="Courier New"/>
                <w:sz w:val="18"/>
                <w:szCs w:val="18"/>
                <w:color w:val="auto"/>
              </w:rPr>
              <w:t>Exhibits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21-24</w:t>
            </w:r>
          </w:p>
        </w:tc>
      </w:tr>
    </w:tbl>
    <w:p>
      <w:pPr>
        <w:sectPr>
          <w:pgSz w:w="11900" w:h="16838" w:orient="portrait"/>
          <w:cols w:equalWidth="0" w:num="1">
            <w:col w:w="10219"/>
          </w:cols>
          <w:pgMar w:left="240" w:top="136" w:right="1440" w:bottom="144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1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January 31,</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April 30,</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2006</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5120" w:type="dxa"/>
            <w:vAlign w:val="bottom"/>
          </w:tcPr>
          <w:p>
            <w:pPr>
              <w:spacing w:after="0"/>
              <w:rPr>
                <w:sz w:val="17"/>
                <w:szCs w:val="17"/>
                <w:color w:val="auto"/>
              </w:rPr>
            </w:pPr>
          </w:p>
        </w:tc>
        <w:tc>
          <w:tcPr>
            <w:tcW w:w="322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5120" w:type="dxa"/>
            <w:vAlign w:val="bottom"/>
          </w:tcPr>
          <w:p>
            <w:pPr>
              <w:ind w:left="120"/>
              <w:spacing w:after="0"/>
              <w:rPr>
                <w:sz w:val="20"/>
                <w:szCs w:val="20"/>
                <w:color w:val="auto"/>
              </w:rPr>
            </w:pPr>
            <w:r>
              <w:rPr>
                <w:rFonts w:ascii="Courier New" w:cs="Courier New" w:eastAsia="Courier New" w:hAnsi="Courier New"/>
                <w:sz w:val="18"/>
                <w:szCs w:val="18"/>
                <w:color w:val="auto"/>
              </w:rPr>
              <w:t>Cash and cash equivalents</w:t>
            </w:r>
          </w:p>
        </w:tc>
        <w:tc>
          <w:tcPr>
            <w:tcW w:w="19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  4,166</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  6,701</w:t>
            </w:r>
          </w:p>
        </w:tc>
      </w:tr>
      <w:tr>
        <w:trPr>
          <w:trHeight w:val="405"/>
        </w:trPr>
        <w:tc>
          <w:tcPr>
            <w:tcW w:w="5120" w:type="dxa"/>
            <w:vAlign w:val="bottom"/>
          </w:tcPr>
          <w:p>
            <w:pPr>
              <w:ind w:left="120"/>
              <w:spacing w:after="0"/>
              <w:rPr>
                <w:sz w:val="20"/>
                <w:szCs w:val="20"/>
                <w:color w:val="auto"/>
              </w:rPr>
            </w:pPr>
            <w:r>
              <w:rPr>
                <w:rFonts w:ascii="Courier New" w:cs="Courier New" w:eastAsia="Courier New" w:hAnsi="Courier New"/>
                <w:sz w:val="18"/>
                <w:szCs w:val="18"/>
                <w:color w:val="auto"/>
              </w:rPr>
              <w:t>Marketable securities</w:t>
            </w:r>
          </w:p>
        </w:tc>
        <w:tc>
          <w:tcPr>
            <w:tcW w:w="19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22,161</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23,532</w:t>
            </w:r>
          </w:p>
        </w:tc>
      </w:tr>
      <w:tr>
        <w:trPr>
          <w:trHeight w:val="405"/>
        </w:trPr>
        <w:tc>
          <w:tcPr>
            <w:tcW w:w="5120" w:type="dxa"/>
            <w:vAlign w:val="bottom"/>
          </w:tcPr>
          <w:p>
            <w:pPr>
              <w:ind w:left="120"/>
              <w:spacing w:after="0"/>
              <w:rPr>
                <w:sz w:val="20"/>
                <w:szCs w:val="20"/>
                <w:color w:val="auto"/>
              </w:rPr>
            </w:pPr>
            <w:r>
              <w:rPr>
                <w:rFonts w:ascii="Courier New" w:cs="Courier New" w:eastAsia="Courier New" w:hAnsi="Courier New"/>
                <w:sz w:val="18"/>
                <w:szCs w:val="18"/>
                <w:color w:val="auto"/>
              </w:rPr>
              <w:t>Accounts receivable, net of allowance</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of $282 at</w:t>
            </w: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January 31, 2006 and $172 at April 30, 2005</w:t>
            </w:r>
          </w:p>
        </w:tc>
        <w:tc>
          <w:tcPr>
            <w:tcW w:w="19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14,850</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12,728</w:t>
            </w:r>
          </w:p>
        </w:tc>
      </w:tr>
      <w:tr>
        <w:trPr>
          <w:trHeight w:val="405"/>
        </w:trPr>
        <w:tc>
          <w:tcPr>
            <w:tcW w:w="5120" w:type="dxa"/>
            <w:vAlign w:val="bottom"/>
          </w:tcPr>
          <w:p>
            <w:pPr>
              <w:ind w:left="120"/>
              <w:spacing w:after="0"/>
              <w:rPr>
                <w:sz w:val="20"/>
                <w:szCs w:val="20"/>
                <w:color w:val="auto"/>
              </w:rPr>
            </w:pPr>
            <w:r>
              <w:rPr>
                <w:rFonts w:ascii="Courier New" w:cs="Courier New" w:eastAsia="Courier New" w:hAnsi="Courier New"/>
                <w:sz w:val="18"/>
                <w:szCs w:val="18"/>
                <w:color w:val="auto"/>
              </w:rPr>
              <w:t>Inventories</w:t>
            </w:r>
          </w:p>
        </w:tc>
        <w:tc>
          <w:tcPr>
            <w:tcW w:w="19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23,445</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22,948</w:t>
            </w:r>
          </w:p>
        </w:tc>
      </w:tr>
      <w:tr>
        <w:trPr>
          <w:trHeight w:val="405"/>
        </w:trPr>
        <w:tc>
          <w:tcPr>
            <w:tcW w:w="5120" w:type="dxa"/>
            <w:vAlign w:val="bottom"/>
          </w:tcPr>
          <w:p>
            <w:pPr>
              <w:ind w:left="120"/>
              <w:spacing w:after="0"/>
              <w:rPr>
                <w:sz w:val="20"/>
                <w:szCs w:val="20"/>
                <w:color w:val="auto"/>
              </w:rPr>
            </w:pPr>
            <w:r>
              <w:rPr>
                <w:rFonts w:ascii="Courier New" w:cs="Courier New" w:eastAsia="Courier New" w:hAnsi="Courier New"/>
                <w:sz w:val="18"/>
                <w:szCs w:val="18"/>
                <w:color w:val="auto"/>
              </w:rPr>
              <w:t>Deferred income taxes</w:t>
            </w:r>
          </w:p>
        </w:tc>
        <w:tc>
          <w:tcPr>
            <w:tcW w:w="19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3,057</w:t>
            </w:r>
          </w:p>
        </w:tc>
        <w:tc>
          <w:tcPr>
            <w:tcW w:w="1320" w:type="dxa"/>
            <w:vAlign w:val="bottom"/>
          </w:tcPr>
          <w:p>
            <w:pPr>
              <w:jc w:val="center"/>
              <w:ind w:left="472"/>
              <w:spacing w:after="0"/>
              <w:rPr>
                <w:sz w:val="20"/>
                <w:szCs w:val="20"/>
                <w:color w:val="auto"/>
              </w:rPr>
            </w:pPr>
            <w:r>
              <w:rPr>
                <w:rFonts w:ascii="Courier New" w:cs="Courier New" w:eastAsia="Courier New" w:hAnsi="Courier New"/>
                <w:sz w:val="18"/>
                <w:szCs w:val="18"/>
                <w:color w:val="auto"/>
                <w:w w:val="96"/>
              </w:rPr>
              <w:t>2,269</w:t>
            </w:r>
          </w:p>
        </w:tc>
      </w:tr>
      <w:tr>
        <w:trPr>
          <w:trHeight w:val="405"/>
        </w:trPr>
        <w:tc>
          <w:tcPr>
            <w:tcW w:w="5120" w:type="dxa"/>
            <w:vAlign w:val="bottom"/>
          </w:tcPr>
          <w:p>
            <w:pPr>
              <w:ind w:left="120"/>
              <w:spacing w:after="0"/>
              <w:rPr>
                <w:sz w:val="20"/>
                <w:szCs w:val="20"/>
                <w:color w:val="auto"/>
              </w:rPr>
            </w:pPr>
            <w:r>
              <w:rPr>
                <w:rFonts w:ascii="Courier New" w:cs="Courier New" w:eastAsia="Courier New" w:hAnsi="Courier New"/>
                <w:sz w:val="18"/>
                <w:szCs w:val="18"/>
                <w:color w:val="auto"/>
              </w:rPr>
              <w:t>Prepaid expenses and other</w:t>
            </w:r>
          </w:p>
        </w:tc>
        <w:tc>
          <w:tcPr>
            <w:tcW w:w="19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1,154</w:t>
            </w:r>
          </w:p>
        </w:tc>
        <w:tc>
          <w:tcPr>
            <w:tcW w:w="1320" w:type="dxa"/>
            <w:vAlign w:val="bottom"/>
          </w:tcPr>
          <w:p>
            <w:pPr>
              <w:jc w:val="center"/>
              <w:ind w:left="472"/>
              <w:spacing w:after="0"/>
              <w:rPr>
                <w:sz w:val="20"/>
                <w:szCs w:val="20"/>
                <w:color w:val="auto"/>
              </w:rPr>
            </w:pPr>
            <w:r>
              <w:rPr>
                <w:rFonts w:ascii="Courier New" w:cs="Courier New" w:eastAsia="Courier New" w:hAnsi="Courier New"/>
                <w:sz w:val="18"/>
                <w:szCs w:val="18"/>
                <w:color w:val="auto"/>
                <w:w w:val="96"/>
              </w:rPr>
              <w:t>1,362</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ind w:left="860"/>
              <w:spacing w:after="0"/>
              <w:rPr>
                <w:sz w:val="20"/>
                <w:szCs w:val="20"/>
                <w:color w:val="auto"/>
              </w:rPr>
            </w:pPr>
            <w:r>
              <w:rPr>
                <w:rFonts w:ascii="Courier New" w:cs="Courier New" w:eastAsia="Courier New" w:hAnsi="Courier New"/>
                <w:sz w:val="18"/>
                <w:szCs w:val="18"/>
                <w:color w:val="auto"/>
              </w:rPr>
              <w:t>Total current assets</w:t>
            </w:r>
          </w:p>
        </w:tc>
        <w:tc>
          <w:tcPr>
            <w:tcW w:w="19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68,833</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69,540</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6,187</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6,770</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1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2,710</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2,644</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Cash surrender value of life insurance</w:t>
            </w:r>
          </w:p>
        </w:tc>
        <w:tc>
          <w:tcPr>
            <w:tcW w:w="1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6,198</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5,838</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Goodwill and other Intangible assets, net</w:t>
            </w:r>
          </w:p>
        </w:tc>
        <w:tc>
          <w:tcPr>
            <w:tcW w:w="1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533</w:t>
            </w:r>
          </w:p>
        </w:tc>
        <w:tc>
          <w:tcPr>
            <w:tcW w:w="1320" w:type="dxa"/>
            <w:vAlign w:val="bottom"/>
          </w:tcPr>
          <w:p>
            <w:pPr>
              <w:jc w:val="center"/>
              <w:ind w:left="472"/>
              <w:spacing w:after="0"/>
              <w:rPr>
                <w:sz w:val="20"/>
                <w:szCs w:val="20"/>
                <w:color w:val="auto"/>
              </w:rPr>
            </w:pPr>
            <w:r>
              <w:rPr>
                <w:rFonts w:ascii="Courier New" w:cs="Courier New" w:eastAsia="Courier New" w:hAnsi="Courier New"/>
                <w:sz w:val="18"/>
                <w:szCs w:val="18"/>
                <w:color w:val="auto"/>
                <w:w w:val="98"/>
              </w:rPr>
              <w:t>591</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3,427</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2,991</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ind w:left="1160"/>
              <w:spacing w:after="0"/>
              <w:rPr>
                <w:sz w:val="20"/>
                <w:szCs w:val="20"/>
                <w:color w:val="auto"/>
              </w:rPr>
            </w:pPr>
            <w:r>
              <w:rPr>
                <w:rFonts w:ascii="Courier New" w:cs="Courier New" w:eastAsia="Courier New" w:hAnsi="Courier New"/>
                <w:sz w:val="18"/>
                <w:szCs w:val="18"/>
                <w:color w:val="auto"/>
              </w:rPr>
              <w:t>Total assets</w:t>
            </w:r>
          </w:p>
        </w:tc>
        <w:tc>
          <w:tcPr>
            <w:tcW w:w="1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$87,888</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$88,374</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717"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Consolidated Balance Sheets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January 31,</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April 30,</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2006</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(NOTE A)</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16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Current liabilities:</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Short-term credit obligations</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$ 1,000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2,082</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1,896</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liabilities and other</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4,021</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3,912</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1,232</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3,184</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 payable</w:t>
            </w:r>
          </w:p>
        </w:tc>
        <w:tc>
          <w:tcPr>
            <w:tcW w:w="328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8,335</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9,844</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Deferred compensation</w:t>
            </w:r>
          </w:p>
        </w:tc>
        <w:tc>
          <w:tcPr>
            <w:tcW w:w="16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8,020</w:t>
            </w:r>
          </w:p>
        </w:tc>
        <w:tc>
          <w:tcPr>
            <w:tcW w:w="42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7,812</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gain and other liabilities</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1,049</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1,525</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Total liabilities</w:t>
            </w:r>
          </w:p>
        </w:tc>
        <w:tc>
          <w:tcPr>
            <w:tcW w:w="16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17,404</w:t>
            </w:r>
          </w:p>
        </w:tc>
        <w:tc>
          <w:tcPr>
            <w:tcW w:w="420" w:type="dxa"/>
            <w:vAlign w:val="bottom"/>
          </w:tcPr>
          <w:p>
            <w:pPr>
              <w:spacing w:after="0"/>
              <w:rPr>
                <w:sz w:val="24"/>
                <w:szCs w:val="24"/>
                <w:color w:val="auto"/>
              </w:rPr>
            </w:pP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19,181</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 $1.00 par value</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$1.00 par value</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9,164</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9,164</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45,523</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45,289</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Retained earnings</w:t>
            </w:r>
          </w:p>
        </w:tc>
        <w:tc>
          <w:tcPr>
            <w:tcW w:w="328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15,308</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12,440</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69,995</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66,893</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reacquired and held in treasury</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 cost, 616,413 shares at January 31, 2006</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646,709 shares at April 30, 2005</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(2,511)</w:t>
            </w:r>
          </w:p>
        </w:tc>
        <w:tc>
          <w:tcPr>
            <w:tcW w:w="4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(2,601)</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3,000</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4,901</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70,484</w:t>
            </w: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69,193</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$87,888</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$88,374</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Condensed Statements of Operations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Nine Months Ended January 31,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0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2006</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$37,668</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$43,266</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24,011</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28,537</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Gross margin</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13,657</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14,729</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8,154</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8,759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4,124</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4,850</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Operating profit</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1,379</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1,120</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2,951</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1,219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Morion</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423</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225</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(83)</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(248)</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net</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928</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before minority interest and</w:t>
            </w:r>
          </w:p>
        </w:tc>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5,598</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2,345</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Minority interest in loss of</w:t>
            </w:r>
          </w:p>
        </w:tc>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consolidated subsidiary</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5,598</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2,346</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1,876</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830</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540"/>
              <w:spacing w:after="0"/>
              <w:rPr>
                <w:sz w:val="20"/>
                <w:szCs w:val="20"/>
                <w:color w:val="auto"/>
              </w:rPr>
            </w:pPr>
            <w:r>
              <w:rPr>
                <w:rFonts w:ascii="Courier New" w:cs="Courier New" w:eastAsia="Courier New" w:hAnsi="Courier New"/>
                <w:sz w:val="18"/>
                <w:szCs w:val="18"/>
                <w:color w:val="auto"/>
              </w:rPr>
              <w:t>Net income</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$ 3,722</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$ 1,516</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$ 0.44</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$ 0.18</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$ 0.43</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$ 0.17</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8,530,926</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8,473,679</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8,668,685</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8,682,099</w:t>
            </w:r>
          </w:p>
        </w:tc>
      </w:tr>
      <w:tr>
        <w:trPr>
          <w:trHeight w:val="203"/>
        </w:trPr>
        <w:tc>
          <w:tcPr>
            <w:tcW w:w="4440" w:type="dxa"/>
            <w:vAlign w:val="bottom"/>
          </w:tcPr>
          <w:p>
            <w:pPr>
              <w:spacing w:after="0"/>
              <w:rPr>
                <w:sz w:val="17"/>
                <w:szCs w:val="17"/>
                <w:color w:val="auto"/>
              </w:rPr>
            </w:pPr>
          </w:p>
        </w:tc>
        <w:tc>
          <w:tcPr>
            <w:tcW w:w="2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consolidated condensed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717" w:right="1440" w:bottom="144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Three Months Ended January 31,</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2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2006</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4440" w:type="dxa"/>
            <w:vAlign w:val="bottom"/>
          </w:tcPr>
          <w:p>
            <w:pPr>
              <w:spacing w:after="0"/>
              <w:rPr>
                <w:sz w:val="17"/>
                <w:szCs w:val="17"/>
                <w:color w:val="auto"/>
              </w:rPr>
            </w:pP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2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$15,113</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$11,222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9,651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7,529</w:t>
            </w:r>
          </w:p>
        </w:tc>
      </w:tr>
      <w:tr>
        <w:trPr>
          <w:trHeight w:val="203"/>
        </w:trPr>
        <w:tc>
          <w:tcPr>
            <w:tcW w:w="4440" w:type="dxa"/>
            <w:vAlign w:val="bottom"/>
          </w:tcPr>
          <w:p>
            <w:pPr>
              <w:spacing w:after="0"/>
              <w:rPr>
                <w:sz w:val="17"/>
                <w:szCs w:val="17"/>
                <w:color w:val="auto"/>
              </w:rPr>
            </w:pP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Gross margin</w:t>
            </w: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5,462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3,693</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22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3,077</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2,567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w:t>
            </w: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1,173</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2,025</w:t>
            </w:r>
          </w:p>
        </w:tc>
      </w:tr>
      <w:tr>
        <w:trPr>
          <w:trHeight w:val="203"/>
        </w:trPr>
        <w:tc>
          <w:tcPr>
            <w:tcW w:w="4440" w:type="dxa"/>
            <w:vAlign w:val="bottom"/>
          </w:tcPr>
          <w:p>
            <w:pPr>
              <w:spacing w:after="0"/>
              <w:rPr>
                <w:sz w:val="17"/>
                <w:szCs w:val="17"/>
                <w:color w:val="auto"/>
              </w:rPr>
            </w:pP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1,212</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(899)</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Morion</w:t>
            </w: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194</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161</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440" w:type="dxa"/>
            <w:vAlign w:val="bottom"/>
          </w:tcPr>
          <w:p>
            <w:pPr>
              <w:spacing w:after="0"/>
              <w:rPr>
                <w:sz w:val="17"/>
                <w:szCs w:val="17"/>
                <w:color w:val="auto"/>
              </w:rPr>
            </w:pP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provision (benefit)</w:t>
            </w:r>
          </w:p>
        </w:tc>
        <w:tc>
          <w:tcPr>
            <w:tcW w:w="2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 income taxes</w:t>
            </w: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1,828</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(538)</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Provision (Benefit) for income taxes</w:t>
            </w:r>
          </w:p>
        </w:tc>
        <w:tc>
          <w:tcPr>
            <w:tcW w:w="22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580</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(170)</w:t>
            </w:r>
          </w:p>
        </w:tc>
      </w:tr>
      <w:tr>
        <w:trPr>
          <w:trHeight w:val="203"/>
        </w:trPr>
        <w:tc>
          <w:tcPr>
            <w:tcW w:w="4440" w:type="dxa"/>
            <w:vAlign w:val="bottom"/>
          </w:tcPr>
          <w:p>
            <w:pPr>
              <w:spacing w:after="0"/>
              <w:rPr>
                <w:sz w:val="17"/>
                <w:szCs w:val="17"/>
                <w:color w:val="auto"/>
              </w:rPr>
            </w:pP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 (loss)</w:t>
            </w: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$ 1,248</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(368)</w:t>
            </w:r>
          </w:p>
        </w:tc>
      </w:tr>
      <w:tr>
        <w:trPr>
          <w:trHeight w:val="203"/>
        </w:trPr>
        <w:tc>
          <w:tcPr>
            <w:tcW w:w="4440" w:type="dxa"/>
            <w:vAlign w:val="bottom"/>
          </w:tcPr>
          <w:p>
            <w:pPr>
              <w:spacing w:after="0"/>
              <w:rPr>
                <w:sz w:val="17"/>
                <w:szCs w:val="17"/>
                <w:color w:val="auto"/>
              </w:rPr>
            </w:pPr>
          </w:p>
        </w:tc>
        <w:tc>
          <w:tcPr>
            <w:tcW w:w="2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income (loss) per common share</w:t>
            </w: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$ 0.15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4440" w:type="dxa"/>
            <w:vAlign w:val="bottom"/>
          </w:tcPr>
          <w:p>
            <w:pPr>
              <w:spacing w:after="0"/>
              <w:rPr>
                <w:sz w:val="17"/>
                <w:szCs w:val="17"/>
                <w:color w:val="auto"/>
              </w:rPr>
            </w:pP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$ 0.14</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4440" w:type="dxa"/>
            <w:vAlign w:val="bottom"/>
          </w:tcPr>
          <w:p>
            <w:pPr>
              <w:spacing w:after="0"/>
              <w:rPr>
                <w:sz w:val="17"/>
                <w:szCs w:val="17"/>
                <w:color w:val="auto"/>
              </w:rPr>
            </w:pP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8,541,519</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8,499,274</w:t>
            </w:r>
          </w:p>
        </w:tc>
      </w:tr>
      <w:tr>
        <w:trPr>
          <w:trHeight w:val="203"/>
        </w:trPr>
        <w:tc>
          <w:tcPr>
            <w:tcW w:w="4440" w:type="dxa"/>
            <w:vAlign w:val="bottom"/>
          </w:tcPr>
          <w:p>
            <w:pPr>
              <w:spacing w:after="0"/>
              <w:rPr>
                <w:sz w:val="17"/>
                <w:szCs w:val="17"/>
                <w:color w:val="auto"/>
              </w:rPr>
            </w:pP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8,674,434</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8,499,274</w:t>
            </w:r>
          </w:p>
        </w:tc>
      </w:tr>
      <w:tr>
        <w:trPr>
          <w:trHeight w:val="203"/>
        </w:trPr>
        <w:tc>
          <w:tcPr>
            <w:tcW w:w="4440" w:type="dxa"/>
            <w:vAlign w:val="bottom"/>
          </w:tcPr>
          <w:p>
            <w:pPr>
              <w:spacing w:after="0"/>
              <w:rPr>
                <w:sz w:val="17"/>
                <w:szCs w:val="17"/>
                <w:color w:val="auto"/>
              </w:rPr>
            </w:pP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6" w:name="page7"/>
    <w:bookmarkEnd w:id="6"/>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Nine Months Ended January 31,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4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2006</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$ 3,722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$ 1,516</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charges to earnings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(1,346)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2,387</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changes in other assets and liabilities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(4,224)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provided by operating activities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(1,848)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3,790</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acquisitions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(974)</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12,818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3,525</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marketable securities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(11,518)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(4,905)</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fixed assets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(1,260)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(3,424)</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short-term credit obligations</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1,547</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(1,706)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(1,692)</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on long-term obligations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(1,954)</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(1,925)</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effect of exchange rate changes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(1,559)</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Net decrease in cash</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(2,535)</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(1,304)</w:t>
            </w:r>
          </w:p>
        </w:tc>
      </w:tr>
      <w:tr>
        <w:trPr>
          <w:trHeight w:val="405"/>
        </w:trPr>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Cash at beginning of period</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6,701</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5,699</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Cash at end of period</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$ 4,166</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$ 4,395</w:t>
            </w:r>
          </w:p>
        </w:tc>
      </w:tr>
      <w:tr>
        <w:trPr>
          <w:trHeight w:val="203"/>
        </w:trPr>
        <w:tc>
          <w:tcPr>
            <w:tcW w:w="554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CONSOLIDATED FINANCIAL STATEMENTS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 the opinion of management of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2006 and the results of its operations and cash flows for the nine and three months ended January 31, 2006 and 2005. The April 30, 2005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2005 Annual Report to Stockholders. The results of operations for such interim periods are not necessarily indicative of the operating results for the full year.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EARNINGS PER SHARE</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Reconciliation of the weighted average shares outstanding for basic and diluted Earnings Per Share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74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Nine months</w:t>
            </w:r>
          </w:p>
        </w:tc>
        <w:tc>
          <w:tcPr>
            <w:tcW w:w="25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3320" w:type="dxa"/>
            <w:vAlign w:val="bottom"/>
          </w:tcPr>
          <w:p>
            <w:pPr>
              <w:spacing w:after="0"/>
              <w:rPr>
                <w:sz w:val="17"/>
                <w:szCs w:val="17"/>
                <w:color w:val="auto"/>
              </w:rPr>
            </w:pPr>
          </w:p>
        </w:tc>
        <w:tc>
          <w:tcPr>
            <w:tcW w:w="2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100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2005</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2006</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3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Basic EPS Shares outstanding</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8,530,926</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8,473,679</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8,541,519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8,499,274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Securities</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137,759</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208,420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132,915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EPS Shares outstanding</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8,668,685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8,682,099</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8,674,434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8,499,274</w:t>
            </w:r>
          </w:p>
        </w:tc>
      </w:tr>
      <w:tr>
        <w:trPr>
          <w:trHeight w:val="203"/>
        </w:trPr>
        <w:tc>
          <w:tcPr>
            <w:tcW w:w="332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left="540" w:right="1779" w:hanging="5"/>
        <w:spacing w:after="0" w:line="236" w:lineRule="auto"/>
        <w:tabs>
          <w:tab w:leader="none" w:pos="106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Dilutive securities are excluded for the three month period ended January 31, 2005 since the inclusion of such shares would be antidilutive due to the net loss for the period then ended.</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computation of diluted earnings per share excludes those options with an exercise price in excess of the average market price of the Company's common shares during the periods presented. The inclusion of such options in the computation of earnings per share would have been antidilutive. The number of excluded options were:</w:t>
      </w: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7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Nine months</w:t>
            </w:r>
          </w:p>
        </w:tc>
        <w:tc>
          <w:tcPr>
            <w:tcW w:w="24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3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Periods ended January 31,</w:t>
            </w:r>
          </w:p>
        </w:tc>
        <w:tc>
          <w:tcPr>
            <w:tcW w:w="8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2005</w:t>
            </w:r>
          </w:p>
        </w:tc>
        <w:tc>
          <w:tcPr>
            <w:tcW w:w="16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Options excluded</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570,550</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505,550</w:t>
            </w:r>
          </w:p>
        </w:tc>
        <w:tc>
          <w:tcPr>
            <w:tcW w:w="16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570,550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325,550</w:t>
            </w:r>
          </w:p>
        </w:tc>
      </w:tr>
      <w:tr>
        <w:trPr>
          <w:trHeight w:val="203"/>
        </w:trPr>
        <w:tc>
          <w:tcPr>
            <w:tcW w:w="328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ACCOUNTS RECEIVABLE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Accounts receivable at January 31, 2006 and April 30, 2005 include costs and estimated earnings in excess of billings on uncompleted contracts accounted for on the percentage of completion basis of approximately $2,686,000 and $4,138,000, respectively. Such amounts represent revenue recognized on long-term contracts that had not been billed at the balance sheet dates. Such amounts are billed pursuant to contract terms.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INVENTORIES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Inventories, which are reported net of reserves of $4,393,000 and $4,289,000 at January 31, 2006 and April 30, 2005, respectively, consist of the following:</w:t>
      </w:r>
    </w:p>
    <w:p>
      <w:pPr>
        <w:spacing w:after="0" w:line="203" w:lineRule="exact"/>
        <w:rPr>
          <w:sz w:val="20"/>
          <w:szCs w:val="20"/>
          <w:color w:val="auto"/>
        </w:rPr>
      </w:pPr>
    </w:p>
    <w:p>
      <w:pPr>
        <w:jc w:val="center"/>
        <w:ind w:left="1360"/>
        <w:spacing w:after="0"/>
        <w:tabs>
          <w:tab w:leader="none" w:pos="720" w:val="left"/>
        </w:tabs>
        <w:rPr>
          <w:sz w:val="20"/>
          <w:szCs w:val="20"/>
          <w:color w:val="auto"/>
        </w:rPr>
      </w:pPr>
      <w:r>
        <w:rPr>
          <w:rFonts w:ascii="Courier New" w:cs="Courier New" w:eastAsia="Courier New" w:hAnsi="Courier New"/>
          <w:sz w:val="18"/>
          <w:szCs w:val="18"/>
          <w:color w:val="auto"/>
        </w:rPr>
        <w:t>January 31, 2006</w:t>
      </w:r>
      <w:r>
        <w:rPr>
          <w:sz w:val="20"/>
          <w:szCs w:val="20"/>
          <w:color w:val="auto"/>
        </w:rPr>
        <w:tab/>
      </w:r>
      <w:r>
        <w:rPr>
          <w:rFonts w:ascii="Courier New" w:cs="Courier New" w:eastAsia="Courier New" w:hAnsi="Courier New"/>
          <w:sz w:val="16"/>
          <w:szCs w:val="16"/>
          <w:color w:val="auto"/>
        </w:rPr>
        <w:t>April 30, 2005</w:t>
      </w:r>
    </w:p>
    <w:p>
      <w:pPr>
        <w:jc w:val="center"/>
        <w:ind w:left="1440"/>
        <w:spacing w:after="0" w:line="238" w:lineRule="auto"/>
        <w:rPr>
          <w:sz w:val="20"/>
          <w:szCs w:val="20"/>
          <w:color w:val="auto"/>
        </w:rPr>
      </w:pPr>
      <w:r>
        <w:rPr>
          <w:rFonts w:ascii="Courier New" w:cs="Courier New" w:eastAsia="Courier New" w:hAnsi="Courier New"/>
          <w:sz w:val="18"/>
          <w:szCs w:val="18"/>
          <w:color w:val="auto"/>
        </w:rPr>
        <w:t>(In thousands)</w:t>
      </w:r>
    </w:p>
    <w:p>
      <w:pPr>
        <w:sectPr>
          <w:pgSz w:w="11900" w:h="16838" w:orient="portrait"/>
          <w:cols w:equalWidth="0" w:num="1">
            <w:col w:w="10219"/>
          </w:cols>
          <w:pgMar w:left="240" w:top="919" w:right="1440" w:bottom="0" w:gutter="0" w:footer="0" w:header="0"/>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Raw materials and Component parts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6"/>
          <w:szCs w:val="16"/>
          <w:color w:val="auto"/>
        </w:rPr>
        <w:t>$11,010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$10,353</w:t>
      </w:r>
    </w:p>
    <w:p>
      <w:pPr>
        <w:sectPr>
          <w:pgSz w:w="11900" w:h="16838" w:orient="portrait"/>
          <w:cols w:equalWidth="0" w:num="3">
            <w:col w:w="4240" w:space="720"/>
            <w:col w:w="1500" w:space="720"/>
            <w:col w:w="3039"/>
          </w:cols>
          <w:pgMar w:left="240" w:top="919" w:right="1440"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Work in progress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12,435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$23,445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12,595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$22,948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4120" w:space="720"/>
            <w:col w:w="1500" w:space="720"/>
            <w:col w:w="3039"/>
          </w:cols>
          <w:pgMar w:left="360" w:top="142" w:right="1440" w:bottom="1440"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 RELATED PARTY TRANSACTION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During the nine months ended January 31, 2006, the Company sold the remaining building formerly owned by its French subsidiary to the president of Gillam-FEI. The sale price of the building was approximately $990,000 and was based upon an independent appraisal of the building. The Company recognized a gain of approximately $680,000 on the sale.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-COMPREHENSIVE INCOME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nine months ended January 31, 2006 and 2005 total comprehensive income was $1,821,000 and $4,507,000, respectively. Comprehensive income is composed of net income or loss for the period plus the impact of foreign currency translation adjustments and the change in the valuation allowance on marketable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EQUITY-BASED COMPENSATION</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applies the disclosure-only provisions of FAS 123, "Accounting for Stock-Based Compensation," as amended by FAS 148, "Accounting for Stock-Based Compensation - Transition and Disclosure," and continues to measure compensation cost in accordance with Accounting Principles Board Opinion No. 25, "Accounting for Stock Issued to Employees." Historically, this has not resulted in compensation cost upon the grant of options under a qualified stock option plan. However, in accordance with FAS 123, as amended by FAS 148, the Company provides pro forma disclosures of net earnings (loss) and earnings (loss) per share as if the fair value method had been applied beginning in fiscal 1996.</w:t>
      </w:r>
    </w:p>
    <w:p>
      <w:pPr>
        <w:spacing w:after="0" w:line="18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illustrates the effect on the Company's consolidated statements of operations had compensation cost for stock option awards under the plans been determined based on the fair value at the grant dates consistent with the provisions of FAS 123 as amended by FAS 148: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260" w:type="dxa"/>
            <w:vAlign w:val="bottom"/>
          </w:tcPr>
          <w:p>
            <w:pPr>
              <w:spacing w:after="0"/>
              <w:rPr>
                <w:sz w:val="17"/>
                <w:szCs w:val="17"/>
                <w:color w:val="auto"/>
              </w:rPr>
            </w:pPr>
          </w:p>
        </w:tc>
        <w:tc>
          <w:tcPr>
            <w:tcW w:w="252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Nine months</w:t>
            </w:r>
          </w:p>
        </w:tc>
        <w:tc>
          <w:tcPr>
            <w:tcW w:w="23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840" w:type="dxa"/>
            <w:vAlign w:val="bottom"/>
          </w:tcPr>
          <w:p>
            <w:pPr>
              <w:spacing w:after="0"/>
              <w:rPr>
                <w:sz w:val="17"/>
                <w:szCs w:val="17"/>
                <w:color w:val="auto"/>
              </w:rPr>
            </w:pPr>
          </w:p>
        </w:tc>
      </w:tr>
      <w:tr>
        <w:trPr>
          <w:trHeight w:val="203"/>
        </w:trPr>
        <w:tc>
          <w:tcPr>
            <w:tcW w:w="4260" w:type="dxa"/>
            <w:vAlign w:val="bottom"/>
          </w:tcPr>
          <w:p>
            <w:pPr>
              <w:spacing w:after="0"/>
              <w:rPr>
                <w:sz w:val="17"/>
                <w:szCs w:val="17"/>
                <w:color w:val="auto"/>
              </w:rPr>
            </w:pP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2006</w:t>
            </w:r>
          </w:p>
        </w:tc>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2005</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2006</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4260" w:type="dxa"/>
            <w:vAlign w:val="bottom"/>
          </w:tcPr>
          <w:p>
            <w:pPr>
              <w:spacing w:after="0"/>
              <w:rPr>
                <w:sz w:val="17"/>
                <w:szCs w:val="17"/>
                <w:color w:val="auto"/>
              </w:rPr>
            </w:pP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rPr>
                <w:sz w:val="17"/>
                <w:szCs w:val="17"/>
                <w:color w:val="auto"/>
              </w:rPr>
            </w:pPr>
          </w:p>
        </w:tc>
        <w:tc>
          <w:tcPr>
            <w:tcW w:w="49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rPr>
              <w:t>Net income (loss), as reported</w:t>
            </w:r>
          </w:p>
        </w:tc>
        <w:tc>
          <w:tcPr>
            <w:tcW w:w="11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5"/>
              </w:rPr>
              <w:t>$3,722</w:t>
            </w:r>
          </w:p>
        </w:tc>
        <w:tc>
          <w:tcPr>
            <w:tcW w:w="14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$1,516</w:t>
            </w:r>
          </w:p>
        </w:tc>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5"/>
              </w:rPr>
              <w:t>$1,248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(368)</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stock options, net of tax</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(240)</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(477)</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4260" w:type="dxa"/>
            <w:vAlign w:val="bottom"/>
          </w:tcPr>
          <w:p>
            <w:pPr>
              <w:spacing w:after="0"/>
              <w:rPr>
                <w:sz w:val="17"/>
                <w:szCs w:val="17"/>
                <w:color w:val="auto"/>
              </w:rPr>
            </w:pP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pro forma</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$3,482</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$1,039</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$1,189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(504)</w:t>
            </w:r>
          </w:p>
        </w:tc>
      </w:tr>
      <w:tr>
        <w:trPr>
          <w:trHeight w:val="203"/>
        </w:trPr>
        <w:tc>
          <w:tcPr>
            <w:tcW w:w="4260" w:type="dxa"/>
            <w:vAlign w:val="bottom"/>
          </w:tcPr>
          <w:p>
            <w:pPr>
              <w:spacing w:after="0"/>
              <w:rPr>
                <w:sz w:val="17"/>
                <w:szCs w:val="17"/>
                <w:color w:val="auto"/>
              </w:rPr>
            </w:pP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rPr>
              <w:t>Earnings (loss) per share, as reported:</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Basic</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$ 0.44</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$ 0.18</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$ 0.15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4260" w:type="dxa"/>
            <w:vAlign w:val="bottom"/>
          </w:tcPr>
          <w:p>
            <w:pPr>
              <w:spacing w:after="0"/>
              <w:rPr>
                <w:sz w:val="17"/>
                <w:szCs w:val="17"/>
                <w:color w:val="auto"/>
              </w:rPr>
            </w:pP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Diluted</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$ 0.43</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$ 0.17</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$ 0.14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4260" w:type="dxa"/>
            <w:vAlign w:val="bottom"/>
          </w:tcPr>
          <w:p>
            <w:pPr>
              <w:spacing w:after="0"/>
              <w:rPr>
                <w:sz w:val="17"/>
                <w:szCs w:val="17"/>
                <w:color w:val="auto"/>
              </w:rPr>
            </w:pP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 share- pro forma</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Basic</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$ 0.41</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$ 0.12</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$ 0.14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4260" w:type="dxa"/>
            <w:vAlign w:val="bottom"/>
          </w:tcPr>
          <w:p>
            <w:pPr>
              <w:spacing w:after="0"/>
              <w:rPr>
                <w:sz w:val="17"/>
                <w:szCs w:val="17"/>
                <w:color w:val="auto"/>
              </w:rPr>
            </w:pP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Diluted</w:t>
            </w: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$ 0.40</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$ 0.11</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$ 0.14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4260" w:type="dxa"/>
            <w:vAlign w:val="bottom"/>
          </w:tcPr>
          <w:p>
            <w:pPr>
              <w:spacing w:after="0"/>
              <w:rPr>
                <w:sz w:val="17"/>
                <w:szCs w:val="17"/>
                <w:color w:val="auto"/>
              </w:rPr>
            </w:pP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weighted average fair value of each option has been estimated on the date of grant using the Black-Scholes options pricing model with the following weighted average assumptions used for grants in fiscal years 2006 and 2005: dividend yield of 1.83%; expected volatility of 59%; risk free interest rate of 3.9%; and expected lives of six and one-half years.</w:t>
      </w:r>
    </w:p>
    <w:p>
      <w:pPr>
        <w:sectPr>
          <w:pgSz w:w="11900" w:h="16838" w:orient="portrait"/>
          <w:cols w:equalWidth="0" w:num="1">
            <w:col w:w="10219"/>
          </w:cols>
          <w:pgMar w:left="240" w:top="919" w:right="1440" w:bottom="144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 SEGMENT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under four reportable segments:</w:t>
      </w:r>
    </w:p>
    <w:p>
      <w:pPr>
        <w:spacing w:after="0" w:line="4" w:lineRule="exact"/>
        <w:rPr>
          <w:sz w:val="20"/>
          <w:szCs w:val="20"/>
          <w:color w:val="auto"/>
        </w:rPr>
      </w:pPr>
    </w:p>
    <w:p>
      <w:pPr>
        <w:jc w:val="both"/>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Communications - consists principally of time and frequency control products used in two principal markets- commercial communication satellites and terrestrial cellular telephone or other ground-based telecommunication stations.</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Government - consists of time and frequency control products used for national defense or space-related programs.</w:t>
      </w:r>
    </w:p>
    <w:p>
      <w:pPr>
        <w:spacing w:after="0" w:line="5"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Gillam-FEI - the Company's Belgian subsidiary primarily sells wireline synchronization and network monitoring systems.</w:t>
      </w:r>
    </w:p>
    <w:p>
      <w:pPr>
        <w:spacing w:after="0" w:line="5"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table</w:t>
            </w:r>
          </w:p>
        </w:tc>
        <w:tc>
          <w:tcPr>
            <w:tcW w:w="2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below  presents</w:t>
            </w: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information</w:t>
            </w:r>
          </w:p>
        </w:tc>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about</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reported</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segments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w w:val="92"/>
              </w:rPr>
              <w:t>with</w:t>
            </w:r>
          </w:p>
        </w:tc>
        <w:tc>
          <w:tcPr>
            <w:tcW w:w="700" w:type="dxa"/>
            <w:vAlign w:val="bottom"/>
          </w:tcPr>
          <w:p>
            <w:pPr>
              <w:spacing w:after="0"/>
              <w:rPr>
                <w:sz w:val="17"/>
                <w:szCs w:val="17"/>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reconciliation</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segment</w:t>
            </w:r>
          </w:p>
        </w:tc>
        <w:tc>
          <w:tcPr>
            <w:tcW w:w="2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amounts to  consolidated</w:t>
            </w:r>
          </w:p>
        </w:tc>
        <w:tc>
          <w:tcPr>
            <w:tcW w:w="2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amounts as reported in the</w:t>
            </w:r>
          </w:p>
        </w:tc>
        <w:tc>
          <w:tcPr>
            <w:tcW w:w="70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operations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the</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balance  sheet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 each of the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periods:</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08"/>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6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Nine months</w:t>
            </w:r>
          </w:p>
        </w:tc>
        <w:tc>
          <w:tcPr>
            <w:tcW w:w="222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320" w:type="dxa"/>
            <w:vAlign w:val="bottom"/>
            <w:gridSpan w:val="4"/>
          </w:tcPr>
          <w:p>
            <w:pPr>
              <w:jc w:val="right"/>
              <w:ind w:right="272"/>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7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w:t>
            </w:r>
          </w:p>
        </w:tc>
        <w:tc>
          <w:tcPr>
            <w:tcW w:w="54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w:t>
            </w:r>
          </w:p>
        </w:tc>
        <w:tc>
          <w:tcPr>
            <w:tcW w:w="4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thousands)</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Net sales:</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70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$20,119</w:t>
            </w:r>
          </w:p>
        </w:tc>
        <w:tc>
          <w:tcPr>
            <w:tcW w:w="18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$25,436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$ 9,244</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$ 5,315</w:t>
            </w:r>
          </w:p>
        </w:tc>
      </w:tr>
      <w:tr>
        <w:trPr>
          <w:trHeight w:val="203"/>
        </w:trPr>
        <w:tc>
          <w:tcPr>
            <w:tcW w:w="2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U.S. Government</w:t>
            </w:r>
          </w:p>
        </w:tc>
        <w:tc>
          <w:tcPr>
            <w:tcW w:w="90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4,815</w:t>
            </w:r>
          </w:p>
        </w:tc>
        <w:tc>
          <w:tcPr>
            <w:tcW w:w="54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1,111</w:t>
            </w:r>
          </w:p>
        </w:tc>
        <w:tc>
          <w:tcPr>
            <w:tcW w:w="4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985</w:t>
            </w:r>
          </w:p>
        </w:tc>
      </w:tr>
      <w:tr>
        <w:trPr>
          <w:trHeight w:val="203"/>
        </w:trPr>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Gillam-FEI</w:t>
            </w: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6,206**</w:t>
            </w:r>
          </w:p>
        </w:tc>
        <w:tc>
          <w:tcPr>
            <w:tcW w:w="54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7,656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2,147</w:t>
            </w:r>
          </w:p>
        </w:tc>
        <w:tc>
          <w:tcPr>
            <w:tcW w:w="4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2,624</w:t>
            </w:r>
          </w:p>
        </w:tc>
      </w:tr>
      <w:tr>
        <w:trPr>
          <w:trHeight w:val="203"/>
        </w:trPr>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FEI-Zyfer</w:t>
            </w: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7,895</w:t>
            </w:r>
          </w:p>
        </w:tc>
        <w:tc>
          <w:tcPr>
            <w:tcW w:w="54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6,630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2,763</w:t>
            </w:r>
          </w:p>
        </w:tc>
        <w:tc>
          <w:tcPr>
            <w:tcW w:w="4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2,453</w:t>
            </w:r>
          </w:p>
        </w:tc>
      </w:tr>
      <w:tr>
        <w:trPr>
          <w:trHeight w:val="203"/>
        </w:trPr>
        <w:tc>
          <w:tcPr>
            <w:tcW w:w="2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9"/>
              </w:rPr>
              <w:t>less intersegment sales</w:t>
            </w:r>
          </w:p>
        </w:tc>
        <w:tc>
          <w:tcPr>
            <w:tcW w:w="90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(1,367)**</w:t>
            </w:r>
          </w:p>
        </w:tc>
        <w:tc>
          <w:tcPr>
            <w:tcW w:w="5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w:t>
            </w:r>
          </w:p>
        </w:tc>
        <w:tc>
          <w:tcPr>
            <w:tcW w:w="4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Consolidated sales</w:t>
            </w:r>
          </w:p>
        </w:tc>
        <w:tc>
          <w:tcPr>
            <w:tcW w:w="90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$37,668</w:t>
            </w:r>
          </w:p>
        </w:tc>
        <w:tc>
          <w:tcPr>
            <w:tcW w:w="18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$43,266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$15,113</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$11,222</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Operating profit (loss):</w:t>
            </w: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70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$ 2,734**</w:t>
            </w:r>
          </w:p>
        </w:tc>
        <w:tc>
          <w:tcPr>
            <w:tcW w:w="18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$ 3,391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$ 1,844</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28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U.S. Government</w:t>
            </w:r>
          </w:p>
        </w:tc>
        <w:tc>
          <w:tcPr>
            <w:tcW w:w="90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(1,330)</w:t>
            </w:r>
          </w:p>
        </w:tc>
        <w:tc>
          <w:tcPr>
            <w:tcW w:w="5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(646)</w:t>
            </w:r>
          </w:p>
        </w:tc>
        <w:tc>
          <w:tcPr>
            <w:tcW w:w="4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w:t>
            </w:r>
          </w:p>
        </w:tc>
      </w:tr>
      <w:tr>
        <w:trPr>
          <w:trHeight w:val="203"/>
        </w:trPr>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Gillam-FEI</w:t>
            </w: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(613)**</w:t>
            </w:r>
          </w:p>
        </w:tc>
        <w:tc>
          <w:tcPr>
            <w:tcW w:w="5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(1,215)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(185)</w:t>
            </w:r>
          </w:p>
        </w:tc>
        <w:tc>
          <w:tcPr>
            <w:tcW w:w="4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w:t>
            </w:r>
          </w:p>
        </w:tc>
      </w:tr>
      <w:tr>
        <w:trPr>
          <w:trHeight w:val="203"/>
        </w:trPr>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FEI-Zyfer</w:t>
            </w: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1,013</w:t>
            </w:r>
          </w:p>
        </w:tc>
        <w:tc>
          <w:tcPr>
            <w:tcW w:w="54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334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298</w:t>
            </w:r>
          </w:p>
        </w:tc>
        <w:tc>
          <w:tcPr>
            <w:tcW w:w="4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w:t>
            </w:r>
          </w:p>
        </w:tc>
      </w:tr>
      <w:tr>
        <w:trPr>
          <w:trHeight w:val="203"/>
        </w:trPr>
        <w:tc>
          <w:tcPr>
            <w:tcW w:w="1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Corporate</w:t>
            </w: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(425)</w:t>
            </w:r>
          </w:p>
        </w:tc>
        <w:tc>
          <w:tcPr>
            <w:tcW w:w="5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w:t>
            </w:r>
          </w:p>
        </w:tc>
        <w:tc>
          <w:tcPr>
            <w:tcW w:w="4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w w:val="97"/>
              </w:rPr>
              <w:t>Consolidated operating profit</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$ 1,379</w:t>
            </w:r>
          </w:p>
        </w:tc>
        <w:tc>
          <w:tcPr>
            <w:tcW w:w="18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$ 1,120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$ 1,212</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w:t>
            </w:r>
          </w:p>
        </w:tc>
      </w:tr>
      <w:tr>
        <w:trPr>
          <w:trHeight w:val="203"/>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left="1060" w:right="1779" w:hanging="525"/>
        <w:spacing w:after="0" w:line="271" w:lineRule="auto"/>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nine month period ended January 31, 2006, includes Gillam-FEI intersegment sales of $372,000 to the Commercial Communications segment for development of a wireline synchronization product for ultimate production and sale in the U.S. This amount was recorded as research and development expense of the Commercial Communications segment. In the fiscal year 2006 periods, these transactions resulted in lower operating profits in the Commercial Communications segment and reduced the reported operating loss in the Gillam-FEI segment.</w:t>
      </w:r>
    </w:p>
    <w:p>
      <w:pPr>
        <w:spacing w:after="0" w:line="38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60" w:type="dxa"/>
            <w:vAlign w:val="bottom"/>
          </w:tcPr>
          <w:p>
            <w:pPr>
              <w:spacing w:after="0"/>
              <w:rPr>
                <w:sz w:val="17"/>
                <w:szCs w:val="17"/>
                <w:color w:val="auto"/>
              </w:rPr>
            </w:pPr>
          </w:p>
        </w:tc>
        <w:tc>
          <w:tcPr>
            <w:tcW w:w="374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rPr>
              <w:t>(in thousands)</w:t>
            </w:r>
          </w:p>
        </w:tc>
      </w:tr>
      <w:tr>
        <w:trPr>
          <w:trHeight w:val="203"/>
        </w:trPr>
        <w:tc>
          <w:tcPr>
            <w:tcW w:w="42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January 31, 2006</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30, 2005</w:t>
            </w:r>
          </w:p>
        </w:tc>
      </w:tr>
      <w:tr>
        <w:trPr>
          <w:trHeight w:val="203"/>
        </w:trPr>
        <w:tc>
          <w:tcPr>
            <w:tcW w:w="42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20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$31,303</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$26,261</w:t>
            </w: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 Government</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5,505</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6,245</w:t>
            </w: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Gillam-FEI</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12,243</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13,877</w:t>
            </w: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FEI-Zyfer</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4,876</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4,796</w:t>
            </w: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intercompany balances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(10,431)</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(9,892)</w:t>
            </w:r>
          </w:p>
        </w:tc>
      </w:tr>
      <w:tr>
        <w:trPr>
          <w:trHeight w:val="203"/>
        </w:trPr>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44,392</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47,087</w:t>
            </w:r>
          </w:p>
        </w:tc>
      </w:tr>
      <w:tr>
        <w:trPr>
          <w:trHeight w:val="203"/>
        </w:trPr>
        <w:tc>
          <w:tcPr>
            <w:tcW w:w="4260" w:type="dxa"/>
            <w:vAlign w:val="bottom"/>
          </w:tcPr>
          <w:p>
            <w:pPr>
              <w:spacing w:after="0"/>
              <w:rPr>
                <w:sz w:val="17"/>
                <w:szCs w:val="17"/>
                <w:color w:val="auto"/>
              </w:rPr>
            </w:pP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Consolidated Identifiable Assets</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$87,888</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$88,374</w:t>
            </w:r>
          </w:p>
        </w:tc>
      </w:tr>
      <w:tr>
        <w:trPr>
          <w:trHeight w:val="203"/>
        </w:trPr>
        <w:tc>
          <w:tcPr>
            <w:tcW w:w="4260" w:type="dxa"/>
            <w:vAlign w:val="bottom"/>
          </w:tcPr>
          <w:p>
            <w:pPr>
              <w:spacing w:after="0"/>
              <w:rPr>
                <w:sz w:val="17"/>
                <w:szCs w:val="17"/>
                <w:color w:val="auto"/>
              </w:rPr>
            </w:pP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159"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 - RECENTLY ISSUED ACCOUNTING PRONOUNCEMENTS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 November 2004, the FASB issued Statement No. 151 "Inventory Costs." ("FAS 151") This statement amends Accounting Research Bulletin No. 43, Chapter 4, "Inventory Pricing" and removes the "so abnormal" criterion that under certain circumstances could have led to the capitalization of these items. FAS 151 requires that idle facility expense, excess spoilage, double freight and re-handling costs be recognized as current-period charges regardless of whether they meet the criterion of "so abnormal." FAS 151 also requires that allocation of fixed production overhead expenses to the costs of conversion be based on the normal capacity of the production facilities. The provisions of this statement are effective for fiscal years beginning after June 15, 2005; i.e., fiscal year 2007 for the Company. The adoption of FAS 151 is not expected to have a material impact on the Company's financial position or results of operations.</w:t>
      </w:r>
    </w:p>
    <w:p>
      <w:pPr>
        <w:spacing w:after="0" w:line="391"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In December 2004, the FASB issued Statement No. 123(R), "Stock-Based Payment" ("FAS 123(R)"). FAS 123(R) supercedes APB Opinion No. 25, "Accounting for Stock Issued to Employees," and amends FAS No. 95, "Statement of Cash Flows." Generally, the approach in FAS 123(R) is similar to the approach described in FAS 123. FAS 123(R) establishes standards for the accounting for transactions in which an entity exchanges its equity instruments for goods or services. This statement focuses primarily on accounting for transactions in which an entity obtains employee services in share-based payment transactions. FAS 123(R) requires that the fair value of such equity instruments be recognized as an expense in the historical financial statements as services are performed. Prior to FAS 123(R), only certain pro forma disclosures of fair value were required. The provisions of this statement are effective for fiscal years beginning after June 15, 2005; i.e., fiscal year 2007 for the Company. The adoption of FAS 123(R) will have an impact on the Company's financial position and results of operations similar to the pro forma disclosure in the Equity-based Compensation disclosure in Note G.</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December 2004, the FASB issued Statement No. 153, "Exchange of Non-monetary Assets", ("FAS 153") an amendment of Accounting Principles Board Opinion No. 29 ("APB 29"), which differed from the International Accounting Standards Board's ("IASB") method of accounting for exchanges of similar productive assets. FAS 153 replaces the exception from fair value measurement in APB 29, with a general exception from fair value measurement for exchanges of non-monetary assets that do not have commercial substance. The statement is to be applied prospectively and is effective for non-monetary asset exchanges occurring in fiscal periods beginning after June 15, 2005; i.e., August 1, 2005 for the Company. The adoption of FAS 153 is not expected to have a material impact on the Company's financial position or result of operations.</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May 2005, the FASB issued Statement No. 154, "Accounting Changes and Error Corrections - a replacement of APB Opinion No. 20 and FASB Statement No. 3." ("FAS 154") This Statement requires retrospective application to prior period financial statements of a voluntary change in accounting principle unless it is impracticable and is effective for fiscal years beginning after December 15, 2005. Previously, most voluntary changes in accounting principle were recognized by including in net income of the period of the change the cumulative effect of changing to the new accounting principle. The Company will comply with the provisions of FAS 154 although the impact of such adoption is not determinable at this time.</w:t>
      </w:r>
    </w:p>
    <w:p>
      <w:pPr>
        <w:sectPr>
          <w:pgSz w:w="11900" w:h="16838" w:orient="portrait"/>
          <w:cols w:equalWidth="0" w:num="1">
            <w:col w:w="10219"/>
          </w:cols>
          <w:pgMar w:left="240" w:top="919" w:right="1440" w:bottom="1440"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"Safe Harbor" Statement under the Private Securities Litigation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Reform Act of 1995:</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significant accounting policies are described in Note 1 to the consolidated financial statements included in the Company's April 30, 2005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Revenue Recognition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Revenues under larger, long-term contracts, generally defined as orders in excess of $100,000,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10"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For contracts in the Company's Gillam-FEI and FEI-Zyfer segments, smaller contracts or orders in the other business segments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Costs and Expenses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Contract costs include all direct material, direct labor, manufacturing overhead and other direct costs related to contract performance. Selling, general and administrative costs are charged to expense as incurred.</w:t>
      </w:r>
    </w:p>
    <w:p>
      <w:pPr>
        <w:sectPr>
          <w:pgSz w:w="11900" w:h="16838" w:orient="portrait"/>
          <w:cols w:equalWidth="0" w:num="1">
            <w:col w:w="10219"/>
          </w:cols>
          <w:pgMar w:left="240" w:top="919" w:right="1440" w:bottom="364"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Inventory</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table below sets forth for the respective periods of fiscal years 2006 and 2005 the percentage of consolidated net sales represented by certain items in the Company's consolidated statements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Nine months</w:t>
            </w:r>
          </w:p>
        </w:tc>
        <w:tc>
          <w:tcPr>
            <w:tcW w:w="25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7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2006</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Net Sales</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2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8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58.8%</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61.2%</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w:t>
            </w:r>
          </w:p>
        </w:tc>
      </w:tr>
      <w:tr>
        <w:trPr>
          <w:trHeight w:val="203"/>
        </w:trPr>
        <w:tc>
          <w:tcPr>
            <w:tcW w:w="2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U.S. Government</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7.3</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2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Gillam-FEI</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14.2</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23.4</w:t>
            </w:r>
          </w:p>
        </w:tc>
      </w:tr>
      <w:tr>
        <w:trPr>
          <w:trHeight w:val="203"/>
        </w:trPr>
        <w:tc>
          <w:tcPr>
            <w:tcW w:w="2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FEI-Zyfer</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18.3</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21.9</w:t>
            </w:r>
          </w:p>
        </w:tc>
      </w:tr>
      <w:tr>
        <w:trPr>
          <w:trHeight w:val="203"/>
        </w:trPr>
        <w:tc>
          <w:tcPr>
            <w:tcW w:w="32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8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63.7</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66.0</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63.9</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67.1</w:t>
            </w: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spacing w:after="0"/>
              <w:rPr>
                <w:sz w:val="17"/>
                <w:szCs w:val="17"/>
                <w:color w:val="auto"/>
              </w:rPr>
            </w:pPr>
          </w:p>
        </w:tc>
        <w:tc>
          <w:tcPr>
            <w:tcW w:w="2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Gross Margin</w:t>
            </w: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36.3</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36.1</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32.9</w:t>
            </w:r>
          </w:p>
        </w:tc>
      </w:tr>
      <w:tr>
        <w:trPr>
          <w:trHeight w:val="203"/>
        </w:trPr>
        <w:tc>
          <w:tcPr>
            <w:tcW w:w="4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Selling and administrative expenses</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20.3</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22.9</w:t>
            </w:r>
          </w:p>
        </w:tc>
      </w:tr>
      <w:tr>
        <w:trPr>
          <w:trHeight w:val="203"/>
        </w:trPr>
        <w:tc>
          <w:tcPr>
            <w:tcW w:w="4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7.8</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w:t>
            </w: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spacing w:after="0"/>
              <w:rPr>
                <w:sz w:val="17"/>
                <w:szCs w:val="17"/>
                <w:color w:val="auto"/>
              </w:rPr>
            </w:pPr>
          </w:p>
        </w:tc>
        <w:tc>
          <w:tcPr>
            <w:tcW w:w="32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r>
      <w:tr>
        <w:trPr>
          <w:trHeight w:val="405"/>
        </w:trPr>
        <w:tc>
          <w:tcPr>
            <w:tcW w:w="4160" w:type="dxa"/>
            <w:vAlign w:val="bottom"/>
            <w:gridSpan w:val="4"/>
          </w:tcPr>
          <w:p>
            <w:pPr>
              <w:spacing w:after="0"/>
              <w:rPr>
                <w:sz w:val="20"/>
                <w:szCs w:val="20"/>
                <w:color w:val="auto"/>
              </w:rPr>
            </w:pPr>
            <w:r>
              <w:rPr>
                <w:rFonts w:ascii="Courier New" w:cs="Courier New" w:eastAsia="Courier New" w:hAnsi="Courier New"/>
                <w:sz w:val="18"/>
                <w:szCs w:val="18"/>
                <w:color w:val="auto"/>
              </w:rPr>
              <w:t>Other income, net &amp; Minority interest</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11.2</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w:t>
            </w: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4.1</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w:t>
            </w: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Pretax Income (Loss)</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4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Provision (Benefit) for income taxes</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3.8</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spacing w:after="0"/>
              <w:rPr>
                <w:sz w:val="17"/>
                <w:szCs w:val="17"/>
                <w:color w:val="auto"/>
              </w:rPr>
            </w:pPr>
          </w:p>
        </w:tc>
        <w:tc>
          <w:tcPr>
            <w:tcW w:w="2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Net Income (Loss)</w:t>
            </w:r>
          </w:p>
        </w:tc>
        <w:tc>
          <w:tcPr>
            <w:tcW w:w="8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960" w:type="dxa"/>
            <w:vAlign w:val="bottom"/>
          </w:tcPr>
          <w:p>
            <w:pPr>
              <w:spacing w:after="0"/>
              <w:rPr>
                <w:sz w:val="24"/>
                <w:szCs w:val="24"/>
                <w:color w:val="auto"/>
              </w:rPr>
            </w:pPr>
          </w:p>
        </w:tc>
        <w:tc>
          <w:tcPr>
            <w:tcW w:w="7320" w:type="dxa"/>
            <w:vAlign w:val="bottom"/>
            <w:gridSpan w:val="6"/>
          </w:tcPr>
          <w:p>
            <w:pPr>
              <w:jc w:val="right"/>
              <w:ind w:right="592"/>
              <w:spacing w:after="0"/>
              <w:rPr>
                <w:sz w:val="20"/>
                <w:szCs w:val="20"/>
                <w:color w:val="auto"/>
              </w:rPr>
            </w:pPr>
            <w:r>
              <w:rPr>
                <w:rFonts w:ascii="Courier New" w:cs="Courier New" w:eastAsia="Courier New" w:hAnsi="Courier New"/>
                <w:sz w:val="18"/>
                <w:szCs w:val="18"/>
                <w:color w:val="auto"/>
                <w:w w:val="97"/>
              </w:rPr>
              <w:t>(Note: All dollar amounts in following tables are in thousands,</w:t>
            </w:r>
          </w:p>
        </w:tc>
        <w:tc>
          <w:tcPr>
            <w:tcW w:w="7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6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except Net Sales which are in millions)</w:t>
            </w:r>
          </w:p>
        </w:tc>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Operating Profit</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1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 ----------------</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3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Nine months</w:t>
            </w: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0" w:type="dxa"/>
            <w:vAlign w:val="bottom"/>
            <w:gridSpan w:val="2"/>
          </w:tcPr>
          <w:p>
            <w:pPr>
              <w:jc w:val="right"/>
              <w:ind w:right="1552"/>
              <w:spacing w:after="0" w:line="203" w:lineRule="exact"/>
              <w:rPr>
                <w:sz w:val="20"/>
                <w:szCs w:val="20"/>
                <w:color w:val="auto"/>
              </w:rPr>
            </w:pPr>
            <w:r>
              <w:rPr>
                <w:rFonts w:ascii="Courier New" w:cs="Courier New" w:eastAsia="Courier New" w:hAnsi="Courier New"/>
                <w:sz w:val="18"/>
                <w:szCs w:val="18"/>
                <w:color w:val="auto"/>
              </w:rPr>
              <w:t>Three months</w:t>
            </w:r>
          </w:p>
        </w:tc>
        <w:tc>
          <w:tcPr>
            <w:tcW w:w="7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rPr>
              <w:t>2006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1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5"/>
              </w:rPr>
              <w:t>Change</w:t>
            </w: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Change</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5"/>
              </w:rPr>
              <w:t>------</w:t>
            </w:r>
          </w:p>
        </w:tc>
        <w:tc>
          <w:tcPr>
            <w:tcW w:w="88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$1,379</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$259</w:t>
            </w:r>
          </w:p>
        </w:tc>
        <w:tc>
          <w:tcPr>
            <w:tcW w:w="8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86"/>
              </w:rPr>
              <w:t>23%</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$1,212</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($899)</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$2,111   NM</w:t>
            </w:r>
          </w:p>
        </w:tc>
        <w:tc>
          <w:tcPr>
            <w:tcW w:w="78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23% increase in operating profits for the nine months ended January 31, 2006 compared to the same period of fiscal year 2005 is the result of an improved gross margin rate and reduced selling and administrative costs and research and development expenses during fiscal year 2006. For the quarter ended January 31, 2006, the $2.1 million increase in operating profits over the same period of fiscal year 2005, is due to the 35% increase in revenues, improved gross margin and lower research and development spending partially offset by higher selling and administrative expenses, as discussed below. The Company expects fiscal year 2006 operating profits to exceed the prior year based on its revenue backlog and the cost structure currently in place.</w:t>
      </w:r>
    </w:p>
    <w:p>
      <w:pPr>
        <w:sectPr>
          <w:pgSz w:w="11900" w:h="16838" w:orient="portrait"/>
          <w:cols w:equalWidth="0" w:num="1">
            <w:col w:w="10219"/>
          </w:cols>
          <w:pgMar w:left="240" w:top="919" w:right="1440" w:bottom="977"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6"/>
          <w:szCs w:val="16"/>
          <w:color w:val="auto"/>
        </w:rPr>
        <w:t>FREQUENCY ELECTRONICS, INC. and SUBSIDIARIES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(Continued)</w:t>
      </w:r>
    </w:p>
    <w:p>
      <w:pPr>
        <w:sectPr>
          <w:pgSz w:w="11900" w:h="16838" w:orient="portrait"/>
          <w:cols w:equalWidth="0" w:num="1">
            <w:col w:w="10219"/>
          </w:cols>
          <w:pgMar w:left="240" w:top="925"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Nine 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w:t>
      </w:r>
    </w:p>
    <w:p>
      <w:pPr>
        <w:spacing w:after="0" w:line="21" w:lineRule="exact"/>
        <w:rPr>
          <w:sz w:val="20"/>
          <w:szCs w:val="20"/>
          <w:color w:val="auto"/>
        </w:rPr>
      </w:pPr>
    </w:p>
    <w:p>
      <w:pPr>
        <w:sectPr>
          <w:pgSz w:w="11900" w:h="16838" w:orient="portrait"/>
          <w:cols w:equalWidth="0" w:num="2">
            <w:col w:w="4440" w:space="720"/>
            <w:col w:w="5059"/>
          </w:cols>
          <w:pgMar w:left="240" w:top="925" w:right="1440" w:bottom="0" w:gutter="0" w:footer="0" w:header="0"/>
          <w:type w:val="continuous"/>
        </w:sectPr>
      </w:pPr>
    </w:p>
    <w:p>
      <w:pPr>
        <w:spacing w:after="0" w:line="19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2006</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$3,722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2005</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$1,516</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Periods ended January 31,</w:t>
      </w:r>
    </w:p>
    <w:p>
      <w:pPr>
        <w:spacing w:after="0" w:line="16" w:lineRule="exact"/>
        <w:rPr>
          <w:sz w:val="20"/>
          <w:szCs w:val="20"/>
          <w:color w:val="auto"/>
        </w:rPr>
      </w:pP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8"/>
          <w:szCs w:val="18"/>
          <w:color w:val="auto"/>
        </w:rPr>
        <w:t>2006</w:t>
      </w:r>
    </w:p>
    <w:p>
      <w:pPr>
        <w:ind w:left="320"/>
        <w:spacing w:after="0" w:line="238" w:lineRule="auto"/>
        <w:tabs>
          <w:tab w:leader="none" w:pos="2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$2,206</w:t>
      </w:r>
      <w:r>
        <w:rPr>
          <w:sz w:val="20"/>
          <w:szCs w:val="20"/>
          <w:color w:val="auto"/>
        </w:rPr>
        <w:tab/>
      </w: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6"/>
          <w:szCs w:val="16"/>
          <w:color w:val="auto"/>
        </w:rPr>
        <w:t>$1,248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2005</w:t>
      </w:r>
    </w:p>
    <w:p>
      <w:pPr>
        <w:jc w:val="cente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($368)</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Change</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NM</w:t>
      </w:r>
    </w:p>
    <w:p>
      <w:pPr>
        <w:spacing w:after="0" w:line="200" w:lineRule="exact"/>
        <w:rPr>
          <w:sz w:val="20"/>
          <w:szCs w:val="20"/>
          <w:color w:val="auto"/>
        </w:rPr>
      </w:pPr>
    </w:p>
    <w:p>
      <w:pPr>
        <w:sectPr>
          <w:pgSz w:w="11900" w:h="16838" w:orient="portrait"/>
          <w:cols w:equalWidth="0" w:num="6">
            <w:col w:w="960" w:space="420"/>
            <w:col w:w="620" w:space="320"/>
            <w:col w:w="2840" w:space="440"/>
            <w:col w:w="620" w:space="320"/>
            <w:col w:w="940" w:space="0"/>
            <w:col w:w="2739"/>
          </w:cols>
          <w:pgMar w:left="240" w:top="925" w:right="1440" w:bottom="0" w:gutter="0" w:footer="0" w:header="0"/>
          <w:type w:val="continuous"/>
        </w:sectPr>
      </w:pPr>
    </w:p>
    <w:p>
      <w:pPr>
        <w:spacing w:after="0" w:line="6"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improvement in net income in the fiscal year 2006 periods is directly attributable to increased operating profits. In addition, during the nine month period ended January 31, 2006, the Company recorded an aggregate of $2.8 million in pretax gains on the sale of certain assets. During the first two quarters of fiscal year 2006, the Company realized gains of $2.1 million on the sale of certain marketable securities that were obtained upon the conversion of REIT units for the common stock of Reckson Associates Realty Corp. ("REIT stock"). (Refer to Item 2 of the Company's fiscal year 2005 Form 10-K as filed with the Securities and Exchange Commission.) In addition, in the second quarter of fiscal year 2006, the Company recorded a gain of approximately $680,000 on the sale of real property as discussed in Note E to the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(in millions)</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608"/>
        </w:trPr>
        <w:tc>
          <w:tcPr>
            <w:tcW w:w="2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Nine months</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Three months</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0" w:type="dxa"/>
            <w:vAlign w:val="bottom"/>
            <w:gridSpan w:val="4"/>
          </w:tcPr>
          <w:p>
            <w:pPr>
              <w:jc w:val="right"/>
              <w:ind w:right="972"/>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Change</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2005</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286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Commercial Communications</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(21%)</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$9.2</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$5.3</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$3.9</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US Government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Gillam-FEI</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(0.5)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FEI-Zyfer</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c>
          <w:tcPr>
            <w:tcW w:w="9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w:t>
            </w:r>
          </w:p>
        </w:tc>
        <w:tc>
          <w:tcPr>
            <w:tcW w:w="64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$3.9</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286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decline in revenue for the nine month period ended January 31, 2006 compared to the same period of fiscal year 2005 is due principally to reduced capital spending in the wireless infrastructure industry as end-users delayed deployment of next-generation cellular base stations. Although revenues during the third quarter of fiscal year 2006 were higher sequentially and as compared to the same period of fiscal year 2005, they did not reach the levels attained in the first half of fiscal year 2005. This reduction directly impacted revenues in the Commercial Communications segment. Reduced telecommunications infrastructure spending in Europe similarly impacted the Gillam-FEI segment. During the third quarter of fiscal year 2006, the Commercial Communications segment recognized increased revenue from recently awarded commercial satellite orders as well as increased revenue from the wireless industry as compared to the three month period ended January 31, 2005. Additional revenue was derived from US Government programs as the Company continued work on several developmental, pre-production programs under US Government contracts. The Company's FEI-Zyfer segment, which derives approximately two-thirds of its revenues from government sources, also saw revenues increase with increased US Government buying. The Company expects fiscal year 2006 fourth quarter revenues to similarly exceed fiscal year 2005 fourth quarter revenues based on its current backlog and new bookings, principally in the commercial satellite and US Government industries.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Nine months</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Three months</w:t>
            </w:r>
          </w:p>
        </w:tc>
        <w:tc>
          <w:tcPr>
            <w:tcW w:w="12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1200" w:type="dxa"/>
            <w:vAlign w:val="bottom"/>
          </w:tcPr>
          <w:p>
            <w:pPr>
              <w:spacing w:after="0"/>
              <w:rPr>
                <w:sz w:val="17"/>
                <w:szCs w:val="17"/>
                <w:color w:val="auto"/>
              </w:rPr>
            </w:pPr>
          </w:p>
        </w:tc>
      </w:tr>
      <w:tr>
        <w:trPr>
          <w:trHeight w:val="203"/>
        </w:trPr>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2006</w:t>
            </w:r>
          </w:p>
        </w:tc>
        <w:tc>
          <w:tcPr>
            <w:tcW w:w="1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2005</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Change</w:t>
            </w: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2006</w:t>
            </w:r>
          </w:p>
        </w:tc>
        <w:tc>
          <w:tcPr>
            <w:tcW w:w="1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2005</w:t>
            </w:r>
          </w:p>
        </w:tc>
        <w:tc>
          <w:tcPr>
            <w:tcW w:w="1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$13,657</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$14,729</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($1,072) (7%)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$5,462</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$3,693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$1,769  48%</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GM Rate  36.3%</w:t>
            </w:r>
          </w:p>
        </w:tc>
        <w:tc>
          <w:tcPr>
            <w:tcW w:w="1380" w:type="dxa"/>
            <w:vAlign w:val="bottom"/>
          </w:tcPr>
          <w:p>
            <w:pPr>
              <w:ind w:left="480"/>
              <w:spacing w:after="0"/>
              <w:rPr>
                <w:sz w:val="20"/>
                <w:szCs w:val="20"/>
                <w:color w:val="auto"/>
              </w:rPr>
            </w:pPr>
            <w:r>
              <w:rPr>
                <w:rFonts w:ascii="Courier New" w:cs="Courier New" w:eastAsia="Courier New" w:hAnsi="Courier New"/>
                <w:sz w:val="18"/>
                <w:szCs w:val="18"/>
                <w:color w:val="auto"/>
              </w:rPr>
              <w:t>34.0%</w:t>
            </w:r>
          </w:p>
        </w:tc>
        <w:tc>
          <w:tcPr>
            <w:tcW w:w="168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Courier New" w:cs="Courier New" w:eastAsia="Courier New" w:hAnsi="Courier New"/>
                <w:sz w:val="18"/>
                <w:szCs w:val="18"/>
                <w:color w:val="auto"/>
              </w:rPr>
              <w:t>36.1%</w:t>
            </w:r>
          </w:p>
        </w:tc>
        <w:tc>
          <w:tcPr>
            <w:tcW w:w="1380" w:type="dxa"/>
            <w:vAlign w:val="bottom"/>
          </w:tcPr>
          <w:p>
            <w:pPr>
              <w:ind w:left="480"/>
              <w:spacing w:after="0"/>
              <w:rPr>
                <w:sz w:val="20"/>
                <w:szCs w:val="20"/>
                <w:color w:val="auto"/>
              </w:rPr>
            </w:pPr>
            <w:r>
              <w:rPr>
                <w:rFonts w:ascii="Courier New" w:cs="Courier New" w:eastAsia="Courier New" w:hAnsi="Courier New"/>
                <w:sz w:val="18"/>
                <w:szCs w:val="18"/>
                <w:color w:val="auto"/>
              </w:rPr>
              <w:t>32.9%</w:t>
            </w:r>
          </w:p>
        </w:tc>
        <w:tc>
          <w:tcPr>
            <w:tcW w:w="1200" w:type="dxa"/>
            <w:vAlign w:val="bottom"/>
          </w:tcPr>
          <w:p>
            <w:pPr>
              <w:spacing w:after="0"/>
              <w:rPr>
                <w:sz w:val="24"/>
                <w:szCs w:val="24"/>
                <w:color w:val="auto"/>
              </w:rPr>
            </w:pPr>
          </w:p>
        </w:tc>
      </w:tr>
    </w:tbl>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decline in gross margin for the nine months ended January 31, 2006, compared to the same period of fiscal year 2005, is due to lower revenues and is offset by the improved gross margin rate. The improved gross margin for the</w:t>
      </w:r>
    </w:p>
    <w:p>
      <w:pPr>
        <w:sectPr>
          <w:pgSz w:w="11900" w:h="16838" w:orient="portrait"/>
          <w:cols w:equalWidth="0" w:num="1">
            <w:col w:w="10219"/>
          </w:cols>
          <w:pgMar w:left="240" w:top="925" w:right="1440" w:bottom="0" w:gutter="0" w:footer="0" w:header="0"/>
          <w:type w:val="continuous"/>
        </w:sectPr>
      </w:pPr>
    </w:p>
    <w:bookmarkStart w:id="15" w:name="page16"/>
    <w:bookmarkEnd w:id="15"/>
    <w:p>
      <w:pPr>
        <w:jc w:val="both"/>
        <w:ind w:right="1779"/>
        <w:spacing w:after="0" w:line="237" w:lineRule="auto"/>
        <w:rPr>
          <w:sz w:val="20"/>
          <w:szCs w:val="20"/>
          <w:color w:val="auto"/>
        </w:rPr>
      </w:pPr>
      <w:r>
        <w:rPr>
          <w:rFonts w:ascii="Courier New" w:cs="Courier New" w:eastAsia="Courier New" w:hAnsi="Courier New"/>
          <w:sz w:val="18"/>
          <w:szCs w:val="18"/>
          <w:color w:val="auto"/>
        </w:rPr>
        <w:t>third quarter of fiscal year 2006 compared to the three months ended January 31, 2005, is due to both increased sales volume and the improved gross margin rate. Variations in gross margin rates are attributable to both sales volume and product mix. In particular, the Gillam-FEI segment realized higher margins in fiscal year 2006 on certain of its network monitoring programs. This</w:t>
      </w:r>
    </w:p>
    <w:p>
      <w:pPr>
        <w:sectPr>
          <w:pgSz w:w="11900" w:h="16838" w:orient="portrait"/>
          <w:cols w:equalWidth="0" w:num="1">
            <w:col w:w="10219"/>
          </w:cols>
          <w:pgMar w:left="240" w:top="142" w:right="1440" w:bottom="144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improvement was offset by lower margins in the Company's US Government segment where the Company continued work on several developmental, pre-production programs under US Government contracts. Gross margin rates, while improving, are lower than the Company's target of 40%. With further increases in sales, including conversion of the US Government developmental contracts into initial low-rate production orders, the Company expects to realize improving gross margin rates in future periods.</w:t>
      </w:r>
    </w:p>
    <w:p>
      <w:pPr>
        <w:sectPr>
          <w:pgSz w:w="11900" w:h="16838" w:orient="portrait"/>
          <w:cols w:equalWidth="0" w:num="1">
            <w:col w:w="10219"/>
          </w:cols>
          <w:pgMar w:left="240" w:top="919" w:right="1440" w:bottom="1440" w:gutter="0" w:footer="0" w:header="0"/>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and administrative expenses</w:t>
      </w:r>
    </w:p>
    <w:p>
      <w:pPr>
        <w:spacing w:after="0" w:line="238" w:lineRule="auto"/>
        <w:rPr>
          <w:sz w:val="20"/>
          <w:szCs w:val="20"/>
          <w:color w:val="auto"/>
        </w:rPr>
      </w:pPr>
      <w:r>
        <w:rPr>
          <w:rFonts w:ascii="Courier New" w:cs="Courier New" w:eastAsia="Courier New" w:hAnsi="Courier New"/>
          <w:sz w:val="18"/>
          <w:szCs w:val="18"/>
          <w:color w:val="auto"/>
        </w:rPr>
        <w:t>- -----------------------------------</w:t>
      </w:r>
    </w:p>
    <w:p>
      <w:pPr>
        <w:ind w:left="2640"/>
        <w:spacing w:after="0"/>
        <w:rPr>
          <w:sz w:val="20"/>
          <w:szCs w:val="20"/>
          <w:color w:val="auto"/>
        </w:rPr>
      </w:pPr>
      <w:r>
        <w:rPr>
          <w:rFonts w:ascii="Courier New" w:cs="Courier New" w:eastAsia="Courier New" w:hAnsi="Courier New"/>
          <w:sz w:val="18"/>
          <w:szCs w:val="18"/>
          <w:color w:val="auto"/>
        </w:rPr>
        <w:t>Nine months</w:t>
      </w:r>
    </w:p>
    <w:p>
      <w:pPr>
        <w:spacing w:after="0" w:line="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Periods ended January 31,</w:t>
      </w:r>
    </w:p>
    <w:p>
      <w:pPr>
        <w:spacing w:after="0" w:line="16" w:lineRule="exact"/>
        <w:rPr>
          <w:sz w:val="20"/>
          <w:szCs w:val="20"/>
          <w:color w:val="auto"/>
        </w:rPr>
      </w:pPr>
    </w:p>
    <w:p>
      <w:pPr>
        <w:ind w:left="960"/>
        <w:spacing w:after="0"/>
        <w:tabs>
          <w:tab w:leader="none" w:pos="2100" w:val="left"/>
          <w:tab w:leader="none" w:pos="3460" w:val="left"/>
          <w:tab w:leader="none" w:pos="504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6"/>
          <w:szCs w:val="16"/>
          <w:color w:val="auto"/>
        </w:rPr>
        <w:t>2006</w:t>
      </w:r>
    </w:p>
    <w:p>
      <w:pPr>
        <w:ind w:left="960"/>
        <w:spacing w:after="0"/>
        <w:tabs>
          <w:tab w:leader="none" w:pos="2100" w:val="left"/>
          <w:tab w:leader="none" w:pos="3460" w:val="left"/>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860"/>
        <w:spacing w:after="0"/>
        <w:tabs>
          <w:tab w:leader="none" w:pos="1980" w:val="left"/>
          <w:tab w:leader="none" w:pos="3040" w:val="left"/>
          <w:tab w:leader="none" w:pos="4000" w:val="left"/>
          <w:tab w:leader="none" w:pos="4940" w:val="left"/>
        </w:tabs>
        <w:rPr>
          <w:sz w:val="20"/>
          <w:szCs w:val="20"/>
          <w:color w:val="auto"/>
        </w:rPr>
      </w:pPr>
      <w:r>
        <w:rPr>
          <w:rFonts w:ascii="Courier New" w:cs="Courier New" w:eastAsia="Courier New" w:hAnsi="Courier New"/>
          <w:sz w:val="18"/>
          <w:szCs w:val="18"/>
          <w:color w:val="auto"/>
        </w:rPr>
        <w:t>$8,154</w:t>
      </w:r>
      <w:r>
        <w:rPr>
          <w:sz w:val="20"/>
          <w:szCs w:val="20"/>
          <w:color w:val="auto"/>
        </w:rPr>
        <w:tab/>
      </w:r>
      <w:r>
        <w:rPr>
          <w:rFonts w:ascii="Courier New" w:cs="Courier New" w:eastAsia="Courier New" w:hAnsi="Courier New"/>
          <w:sz w:val="18"/>
          <w:szCs w:val="18"/>
          <w:color w:val="auto"/>
        </w:rPr>
        <w:t>$8,759</w:t>
      </w:r>
      <w:r>
        <w:rPr>
          <w:sz w:val="20"/>
          <w:szCs w:val="20"/>
          <w:color w:val="auto"/>
        </w:rPr>
        <w:tab/>
      </w:r>
      <w:r>
        <w:rPr>
          <w:rFonts w:ascii="Courier New" w:cs="Courier New" w:eastAsia="Courier New" w:hAnsi="Courier New"/>
          <w:sz w:val="18"/>
          <w:szCs w:val="18"/>
          <w:color w:val="auto"/>
        </w:rPr>
        <w:t>($605)</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$3,077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Three months</w:t>
      </w:r>
    </w:p>
    <w:p>
      <w:pPr>
        <w:spacing w:after="0" w:line="201" w:lineRule="exact"/>
        <w:rPr>
          <w:sz w:val="20"/>
          <w:szCs w:val="20"/>
          <w:color w:val="auto"/>
        </w:rPr>
      </w:pPr>
    </w:p>
    <w:p>
      <w:pPr>
        <w:ind w:left="100"/>
        <w:spacing w:after="0"/>
        <w:tabs>
          <w:tab w:leader="none" w:pos="1340" w:val="left"/>
        </w:tabs>
        <w:rPr>
          <w:sz w:val="20"/>
          <w:szCs w:val="20"/>
          <w:color w:val="auto"/>
        </w:rPr>
      </w:pP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Change</w:t>
      </w:r>
    </w:p>
    <w:p>
      <w:pPr>
        <w:ind w:left="100"/>
        <w:spacing w:after="0" w:line="238" w:lineRule="auto"/>
        <w:tabs>
          <w:tab w:leader="none" w:pos="13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1140" w:val="left"/>
          <w:tab w:leader="none" w:pos="1860" w:val="left"/>
        </w:tabs>
        <w:rPr>
          <w:sz w:val="20"/>
          <w:szCs w:val="20"/>
          <w:color w:val="auto"/>
        </w:rPr>
      </w:pPr>
      <w:r>
        <w:rPr>
          <w:rFonts w:ascii="Courier New" w:cs="Courier New" w:eastAsia="Courier New" w:hAnsi="Courier New"/>
          <w:sz w:val="18"/>
          <w:szCs w:val="18"/>
          <w:color w:val="auto"/>
        </w:rPr>
        <w:t>$2,567</w:t>
      </w:r>
      <w:r>
        <w:rPr>
          <w:sz w:val="20"/>
          <w:szCs w:val="20"/>
          <w:color w:val="auto"/>
        </w:rPr>
        <w:tab/>
      </w: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6"/>
          <w:szCs w:val="16"/>
          <w:color w:val="auto"/>
        </w:rPr>
        <w:t>20%</w:t>
      </w:r>
    </w:p>
    <w:p>
      <w:pPr>
        <w:spacing w:after="0" w:line="200" w:lineRule="exact"/>
        <w:rPr>
          <w:sz w:val="20"/>
          <w:szCs w:val="20"/>
          <w:color w:val="auto"/>
        </w:rPr>
      </w:pPr>
    </w:p>
    <w:p>
      <w:pPr>
        <w:sectPr>
          <w:pgSz w:w="11900" w:h="16838" w:orient="portrait"/>
          <w:cols w:equalWidth="0" w:num="2">
            <w:col w:w="6020" w:space="0"/>
            <w:col w:w="4199"/>
          </w:cols>
          <w:pgMar w:left="240" w:top="919" w:right="1440" w:bottom="1440" w:gutter="0" w:footer="0" w:header="0"/>
          <w:type w:val="continuous"/>
        </w:sectPr>
      </w:pPr>
    </w:p>
    <w:p>
      <w:pPr>
        <w:spacing w:after="0" w:line="6"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Most of the decrease in selling and administrative costs for the first nine months of fiscal year 2006 compared to the same period of fiscal year 2005 is attributable to decreased personnel costs both in terms of reduced headcount as well as smaller accruals for incentive compensation plans due to lower operating profits. Additional decreases were experienced in selling and marketing expenses, including lower sales commissions as a result of decreased sales and lower European-area marketing costs as the Company consolidated its efforts there into its Gillam-FEI subsidiary. In the three month period ended January 31, 2006, this trend was reversed. Higher revenues and profits in the fiscal 2006 period compared to the same period of fiscal year 2005, resulted in increased commission expenses and personnel costs, including incentive compensation accruals. The ratio of selling and administrative costs to net sales for the nine and three months ended January 31, 2006, were 22% and 20%, respectively, which approaches the Company's target ratio of under 20% of revenues. In the comparable fiscal year 2005 periods, the ratio of selling and administrative costs to revenues was 20% and 23%, respectively. The variations from the targeted cost ratio are directly correlated to revenue levels in each of the periods. In the last quarter of fiscal year 2006 and into fiscal year 2007, as revenues increase from the current level, the Company expects to achieve its targeted ratio of costs to net sales.</w:t>
      </w:r>
    </w:p>
    <w:p>
      <w:pPr>
        <w:sectPr>
          <w:pgSz w:w="11900" w:h="16838" w:orient="portrait"/>
          <w:cols w:equalWidth="0" w:num="1">
            <w:col w:w="10219"/>
          </w:cols>
          <w:pgMar w:left="240" w:top="919"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expense</w:t>
      </w:r>
    </w:p>
    <w:p>
      <w:pPr>
        <w:spacing w:after="0" w:line="238" w:lineRule="auto"/>
        <w:rPr>
          <w:sz w:val="20"/>
          <w:szCs w:val="20"/>
          <w:color w:val="auto"/>
        </w:rPr>
      </w:pPr>
      <w:r>
        <w:rPr>
          <w:rFonts w:ascii="Courier New" w:cs="Courier New" w:eastAsia="Courier New" w:hAnsi="Courier New"/>
          <w:sz w:val="18"/>
          <w:szCs w:val="18"/>
          <w:color w:val="auto"/>
        </w:rPr>
        <w:t>- --------------------------------</w:t>
      </w:r>
    </w:p>
    <w:p>
      <w:pPr>
        <w:ind w:left="1800"/>
        <w:spacing w:after="0"/>
        <w:tabs>
          <w:tab w:leader="none" w:pos="5680" w:val="left"/>
        </w:tabs>
        <w:rPr>
          <w:sz w:val="20"/>
          <w:szCs w:val="20"/>
          <w:color w:val="auto"/>
        </w:rPr>
      </w:pPr>
      <w:r>
        <w:rPr>
          <w:rFonts w:ascii="Courier New" w:cs="Courier New" w:eastAsia="Courier New" w:hAnsi="Courier New"/>
          <w:sz w:val="18"/>
          <w:szCs w:val="18"/>
          <w:color w:val="auto"/>
        </w:rPr>
        <w:t>Nine months</w:t>
      </w:r>
      <w:r>
        <w:rPr>
          <w:sz w:val="20"/>
          <w:szCs w:val="20"/>
          <w:color w:val="auto"/>
        </w:rPr>
        <w:tab/>
      </w:r>
      <w:r>
        <w:rPr>
          <w:rFonts w:ascii="Courier New" w:cs="Courier New" w:eastAsia="Courier New" w:hAnsi="Courier New"/>
          <w:sz w:val="16"/>
          <w:szCs w:val="16"/>
          <w:color w:val="auto"/>
        </w:rPr>
        <w:t>Three months</w:t>
      </w:r>
    </w:p>
    <w:p>
      <w:pPr>
        <w:ind w:left="3380"/>
        <w:spacing w:after="0" w:line="237" w:lineRule="auto"/>
        <w:rPr>
          <w:sz w:val="20"/>
          <w:szCs w:val="20"/>
          <w:color w:val="auto"/>
        </w:rPr>
      </w:pPr>
      <w:r>
        <w:rPr>
          <w:rFonts w:ascii="Courier New" w:cs="Courier New" w:eastAsia="Courier New" w:hAnsi="Courier New"/>
          <w:sz w:val="18"/>
          <w:szCs w:val="18"/>
          <w:color w:val="auto"/>
        </w:rPr>
        <w:t>Periods ended January 31,</w:t>
      </w:r>
    </w:p>
    <w:p>
      <w:pPr>
        <w:ind w:left="960"/>
        <w:spacing w:after="0"/>
        <w:tabs>
          <w:tab w:leader="none" w:pos="2100" w:val="left"/>
          <w:tab w:leader="none" w:pos="3460" w:val="left"/>
          <w:tab w:leader="none" w:pos="5040" w:val="left"/>
          <w:tab w:leader="none" w:pos="610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6"/>
          <w:szCs w:val="16"/>
          <w:color w:val="auto"/>
        </w:rPr>
        <w:t>2005</w:t>
      </w:r>
    </w:p>
    <w:p>
      <w:pPr>
        <w:ind w:left="960"/>
        <w:spacing w:after="0"/>
        <w:tabs>
          <w:tab w:leader="none" w:pos="2100" w:val="left"/>
          <w:tab w:leader="none" w:pos="3460" w:val="left"/>
          <w:tab w:leader="none" w:pos="5040" w:val="left"/>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860"/>
        <w:spacing w:after="0"/>
        <w:tabs>
          <w:tab w:leader="none" w:pos="1980" w:val="left"/>
          <w:tab w:leader="none" w:pos="3040" w:val="left"/>
          <w:tab w:leader="none" w:pos="4000" w:val="left"/>
          <w:tab w:leader="none" w:pos="4940" w:val="left"/>
          <w:tab w:leader="none" w:pos="6000" w:val="left"/>
        </w:tabs>
        <w:rPr>
          <w:sz w:val="20"/>
          <w:szCs w:val="20"/>
          <w:color w:val="auto"/>
        </w:rPr>
      </w:pPr>
      <w:r>
        <w:rPr>
          <w:rFonts w:ascii="Courier New" w:cs="Courier New" w:eastAsia="Courier New" w:hAnsi="Courier New"/>
          <w:sz w:val="18"/>
          <w:szCs w:val="18"/>
          <w:color w:val="auto"/>
        </w:rPr>
        <w:t>$4,124</w:t>
      </w:r>
      <w:r>
        <w:rPr>
          <w:sz w:val="20"/>
          <w:szCs w:val="20"/>
          <w:color w:val="auto"/>
        </w:rPr>
        <w:tab/>
      </w:r>
      <w:r>
        <w:rPr>
          <w:rFonts w:ascii="Courier New" w:cs="Courier New" w:eastAsia="Courier New" w:hAnsi="Courier New"/>
          <w:sz w:val="18"/>
          <w:szCs w:val="18"/>
          <w:color w:val="auto"/>
        </w:rPr>
        <w:t>$4,850</w:t>
      </w:r>
      <w:r>
        <w:rPr>
          <w:sz w:val="20"/>
          <w:szCs w:val="20"/>
          <w:color w:val="auto"/>
        </w:rPr>
        <w:tab/>
      </w:r>
      <w:r>
        <w:rPr>
          <w:rFonts w:ascii="Courier New" w:cs="Courier New" w:eastAsia="Courier New" w:hAnsi="Courier New"/>
          <w:sz w:val="18"/>
          <w:szCs w:val="18"/>
          <w:color w:val="auto"/>
        </w:rPr>
        <w:t>($726)</w:t>
      </w:r>
      <w:r>
        <w:rPr>
          <w:sz w:val="20"/>
          <w:szCs w:val="20"/>
          <w:color w:val="auto"/>
        </w:rPr>
        <w:tab/>
      </w: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$1,173</w:t>
      </w:r>
      <w:r>
        <w:rPr>
          <w:sz w:val="20"/>
          <w:szCs w:val="20"/>
          <w:color w:val="auto"/>
        </w:rPr>
        <w:tab/>
      </w:r>
      <w:r>
        <w:rPr>
          <w:rFonts w:ascii="Courier New" w:cs="Courier New" w:eastAsia="Courier New" w:hAnsi="Courier New"/>
          <w:sz w:val="16"/>
          <w:szCs w:val="16"/>
          <w:color w:val="auto"/>
        </w:rPr>
        <w:t>$2,025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Change</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tabs>
          <w:tab w:leader="none" w:pos="280" w:val="left"/>
        </w:tabs>
        <w:rPr>
          <w:sz w:val="20"/>
          <w:szCs w:val="20"/>
          <w:color w:val="auto"/>
        </w:rPr>
      </w:pPr>
      <w:r>
        <w:rPr>
          <w:rFonts w:ascii="Courier New" w:cs="Courier New" w:eastAsia="Courier New" w:hAnsi="Courier New"/>
          <w:sz w:val="18"/>
          <w:szCs w:val="18"/>
          <w:color w:val="auto"/>
        </w:rPr>
        <w:t>($852)</w:t>
        <w:tab/>
        <w:t>(42%)</w:t>
      </w:r>
    </w:p>
    <w:p>
      <w:pPr>
        <w:spacing w:after="0" w:line="200" w:lineRule="exact"/>
        <w:rPr>
          <w:sz w:val="20"/>
          <w:szCs w:val="20"/>
          <w:color w:val="auto"/>
        </w:rPr>
      </w:pPr>
    </w:p>
    <w:p>
      <w:pPr>
        <w:sectPr>
          <w:pgSz w:w="11900" w:h="16838" w:orient="portrait"/>
          <w:cols w:equalWidth="0" w:num="2">
            <w:col w:w="6960" w:space="0"/>
            <w:col w:w="3259"/>
          </w:cols>
          <w:pgMar w:left="240" w:top="919" w:right="1440" w:bottom="1440" w:gutter="0" w:footer="0" w:header="0"/>
          <w:type w:val="continuous"/>
        </w:sectPr>
      </w:pPr>
    </w:p>
    <w:p>
      <w:pPr>
        <w:spacing w:after="0" w:line="6"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During the third quarter of fiscal year 2006, the Company reallocated its engineering resources from self-funded research and development to third-party funded production or development programs. In the same period of fiscal year 2005, as revenues declined from the preceding quarters, similar engineering resources became available for internal research and development activities and the Company recorded such expenses at a higher rate than had been incurred earlier in fiscal year 2005. This reallocation of resources resulted in reduced research and development spending during the nine and three month periods ended January 31, 2006 compared to the same periods of fiscal year 2005. For the fourth quarter of fiscal year 2006 and into fiscal year 2007, the Company will make additional investments to expand its US5G wireline synchronization productline; improve and miniaturize rubidium atomic clocks, develop new GPS-based synchronization products, further enhance the capabilities of its line of crystal oscillators and develop lead-free time and frequency products. The Company targets research and development spending at approximately 10% of sales,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ectPr>
          <w:pgSz w:w="11900" w:h="16838" w:orient="portrait"/>
          <w:cols w:equalWidth="0" w:num="1">
            <w:col w:w="10219"/>
          </w:cols>
          <w:pgMar w:left="240" w:top="919" w:right="1440" w:bottom="1440" w:gutter="0" w:footer="0" w:header="0"/>
          <w:type w:val="continuous"/>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(expense)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Nine months</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7"/>
              </w:rPr>
              <w:t>Three months</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4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c>
          <w:tcPr>
            <w:tcW w:w="1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Change</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w:t>
            </w:r>
          </w:p>
        </w:tc>
        <w:tc>
          <w:tcPr>
            <w:tcW w:w="54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Investment income</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$2,951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$1,219</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$1,732</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142%</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$285</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$390</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($105)</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(27%)</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Morion</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97</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100%</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(248)</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165</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899</w:t>
            </w: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NM</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( 29)</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190</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NM</w:t>
            </w:r>
          </w:p>
        </w:tc>
      </w:tr>
      <w:tr>
        <w:trPr>
          <w:trHeight w:val="203"/>
        </w:trPr>
        <w:tc>
          <w:tcPr>
            <w:tcW w:w="24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$4,219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$1,225</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$2,994</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$616</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$361</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$255</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w:t>
            </w: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increase in investment income for the nine months ended January 31, 2006, is due to realized gains of approximately $2.1 million recorded in the first half of the fiscal year on the sale of a portion of the shares of REIT stock. Such shares were obtained during fiscal year 2005 upon the conversion of certain REIT units related to the Company's fiscal year 1998 sale and leaseback of its headquarters building. Such gains were partially offset by lower interest and dividend income due to a lower level of marketable securities held by the Company as a result of the REIT stock sales. This decline is apparent during the three month period ended January 31, 2006 when no additional investment gains were realized.</w:t>
      </w:r>
    </w:p>
    <w:p>
      <w:pPr>
        <w:spacing w:after="0" w:line="215"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Company began to record equity income in Morion, Inc. during the second quarter of fiscal year 2005, when the Company increased its ownership interest in Morion to 36% of Morion's outstanding shares. Accordingly, the Company changed its method of accounting from the cost to the equity method and restated prior year financial statements to reflect the appropriate accounting method. The 88% increase in equity income from Morion for the nine months of fiscal year 2006 compared to the nine months ended January 31, 2005 is due to two factors:</w:t>
      </w:r>
    </w:p>
    <w:p>
      <w:pPr>
        <w:spacing w:after="0" w:line="1" w:lineRule="exact"/>
        <w:rPr>
          <w:sz w:val="20"/>
          <w:szCs w:val="20"/>
          <w:color w:val="auto"/>
        </w:rPr>
      </w:pPr>
    </w:p>
    <w:p>
      <w:pPr>
        <w:jc w:val="both"/>
        <w:ind w:right="177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increased profitability of Morion during the three month period ended January 31, 2006 compared to the year ago period and b) during the first five months of fiscal year 2005 the Company held only 19% of Morion's shares and equity income was recorded at this lower rate.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decrease in interest expense for the nine and three month periods ended January 31, 2006 resulted from a reduction in borrowings under the Company's line of credit during the fiscal year 2006 periods compared to fiscal year 2005, as well as the conversion of its REIT units to REIT stock, the impact of which is explained in the next paragraph.</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Under the provisions of sale and leaseback accounting, until the REIT units were converted, the Company's lease was accounted for as a financing. Accordingly, a portion of its prior year annual rent payments were considered interest expense. For fiscal year 2006, the Company no longer recognizes interest expense but the entire lease payment is charged to rent expense. In addition, under the caption "Other, income" the Company will recognize the remaining deferred gain from the sale and leaseback transaction. For the nine and three months ended January 31, 2006, the amount of deferred gain recognized was $265,000 and $88,000, respectively.</w:t>
      </w:r>
    </w:p>
    <w:p>
      <w:pPr>
        <w:spacing w:after="0" w:line="21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During the nine months ended January 31, 2006, the Company sold the building formerly owned by the Company's French subsidiary. Following the fiscal year 2004 staffing cutbacks in this entity, the building had been largely vacant and available for sale. Upon receipt of an independent appraisal, the building was sold to the president of the Company's subsidiary, Gillam-FEI. The Company realized a gain on the sale of the building of approximately $680,000 which is included in the caption Other income. Other income and expense items included under this caption, with the exception of the deferred gain recognition and the gain on the sale of the building, are nonrecurring and generally are not significant to pretax earnings.</w:t>
      </w:r>
    </w:p>
    <w:p>
      <w:pPr>
        <w:spacing w:after="0" w:line="215"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The Company's European subsidiaries have available net operating loss</w:t>
      </w:r>
    </w:p>
    <w:p>
      <w:pPr>
        <w:sectPr>
          <w:pgSz w:w="11900" w:h="16838" w:orient="portrait"/>
          <w:cols w:equalWidth="0" w:num="1">
            <w:col w:w="10219"/>
          </w:cols>
          <w:pgMar w:left="240" w:top="919"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carryforwards of approximately $2.4 million to offset future taxable income.</w:t>
      </w:r>
    </w:p>
    <w:p>
      <w:pPr>
        <w:sectPr>
          <w:pgSz w:w="11900" w:h="16838" w:orient="portrait"/>
          <w:cols w:equalWidth="0" w:num="1">
            <w:col w:w="10219"/>
          </w:cols>
          <w:pgMar w:left="240" w:top="142" w:right="1440" w:bottom="1440" w:gutter="0" w:footer="0" w:header="0"/>
        </w:sectPr>
      </w:pPr>
    </w:p>
    <w:bookmarkStart w:id="19" w:name="page20"/>
    <w:bookmarkEnd w:id="19"/>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balance sheet continues to reflect a strong working capital position of $60 million at January 31, 2006, which is comparable to working capital at April 30, 2005. Included in working capital at January 31, 2006 is $26.3 million of cash, cash equivalents and marketable securities. The Company's current ratio at January 31, 2006 is 8.3 to 1.</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nine months ended January 31, 2006, the Company used $1.8 million in cash from operating activities compared to $3.8 million provided by operations in the comparable fiscal year 2005 period. This significant decrease in cash flows is due primarily to the first quarter payment of income taxes related to the investment gains realized in the prior fiscal year as well as increases in the value of the Company's accounts receivable and inventory. Cash flow from operations for the second and third quarters of fiscal year 2006 was a positive $2.9 million. For the full fiscal year 2006, the Company expects to generate positive cash flow from operating activities.</w:t>
      </w:r>
    </w:p>
    <w:p>
      <w:pPr>
        <w:spacing w:after="0" w:line="214"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Net cash used in investing activities for the nine months ended January 31, 2006, was $63,000 compared to a use of cash of $3.4 million for the same period of fiscal year 2005. The principal source of cash was the sale or redemption of certain marketable securities aggregating $1.3 million, net of purchases of other marketable securities. The redemption of marketable securities was primarily to pay the corporate income taxes mentioned above. The Company also acquired capital equipment for approximately $1.3 million. The Company may continue to acquire or sell marketable securities as dictated by its investment strategies as well as by the cash requirements for its development activities. Capital equipment purchases for all of fiscal year 2006 are expected to be less than $2.0 million. Internally generated cash is adequate to acquire this level of capital equipment.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Net cash used in financing activities for the nine months ended January 31, 2006, was $689,000 compared to cash used in financing activities in the amount of $1.9 million during the comparable fiscal year 2005 period. Included in both fiscal periods is payment of the Company's semiannual dividend in the amount of $1.7 million. During the third quarter of fiscal year 2006, the Company obtained $1.0 million from its line of credit compared to fiscal year 2005, during which the Company borrowed funds and repaid them under certain short-term debt obligations resulting in a net cash outflow of $407,000.</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During the quarter ended January 31, 2006, the Company did not acquire any shares of its stock under this authorization.</w:t>
      </w:r>
    </w:p>
    <w:p>
      <w:pPr>
        <w:spacing w:after="0" w:line="210"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Company will continue to expend resources to develop and improve products for wireless and wireline communication systems which management believes will result in future growth and continued profitability. During fiscal year 2006, the Company has made and intends to make a substantial investment of capital and technical resources to develop new products to meet the needs of the U.S. Government, commercial space and commercial communications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w:t>
      </w:r>
    </w:p>
    <w:p>
      <w:pPr>
        <w:spacing w:after="0" w:line="39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At January 31, 2006, the Company's backlog amounted to approximately $42 million compared to $31 million at April 30, 2005. Of this backlog, approximately 80% is realizable in the next twelve months.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Off-Balance Sheet Arrangements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ectPr>
          <w:pgSz w:w="11900" w:h="16838" w:orient="portrait"/>
          <w:cols w:equalWidth="0" w:num="1">
            <w:col w:w="10219"/>
          </w:cols>
          <w:pgMar w:left="240" w:top="919" w:right="1440" w:bottom="566" w:gutter="0" w:footer="0" w:header="0"/>
        </w:sectPr>
      </w:pPr>
    </w:p>
    <w:bookmarkStart w:id="20" w:name="page21"/>
    <w:bookmarkEnd w:id="20"/>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tbl>
      <w:tblPr>
        <w:tblLayout w:type="fixed"/>
        <w:tblInd w:w="22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(Continued)</w:t>
            </w: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3100" w:type="dxa"/>
            <w:vAlign w:val="bottom"/>
          </w:tcPr>
          <w:p>
            <w:pPr>
              <w:ind w:left="420"/>
              <w:spacing w:after="0"/>
              <w:rPr>
                <w:sz w:val="20"/>
                <w:szCs w:val="20"/>
                <w:color w:val="auto"/>
              </w:rPr>
            </w:pPr>
            <w:r>
              <w:rPr>
                <w:rFonts w:ascii="Courier New" w:cs="Courier New" w:eastAsia="Courier New" w:hAnsi="Courier New"/>
                <w:sz w:val="18"/>
                <w:szCs w:val="18"/>
                <w:color w:val="auto"/>
              </w:rPr>
              <w:t>Contractual obligations</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 of January 31, 2006</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thousands)</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08"/>
        </w:trPr>
        <w:tc>
          <w:tcPr>
            <w:tcW w:w="3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Less than</w:t>
            </w: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 to 3</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 to 5</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More than</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Contractual Obligations</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Total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Year</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Years</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Years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 Years</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Operating Lease Obligations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$1,509</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672</w:t>
            </w: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837</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8,020*</w:t>
            </w:r>
          </w:p>
        </w:tc>
        <w:tc>
          <w:tcPr>
            <w:tcW w:w="420" w:type="dxa"/>
            <w:vAlign w:val="bottom"/>
          </w:tcPr>
          <w:p>
            <w:pPr>
              <w:spacing w:after="0"/>
              <w:rPr>
                <w:sz w:val="17"/>
                <w:szCs w:val="17"/>
                <w:color w:val="auto"/>
              </w:rPr>
            </w:pP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901</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1,197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$4,725</w:t>
            </w:r>
          </w:p>
        </w:tc>
      </w:tr>
      <w:tr>
        <w:trPr>
          <w:trHeight w:val="203"/>
        </w:trPr>
        <w:tc>
          <w:tcPr>
            <w:tcW w:w="31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$9,529</w:t>
            </w:r>
          </w:p>
        </w:tc>
        <w:tc>
          <w:tcPr>
            <w:tcW w:w="1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$1,573</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$2,034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$4,725</w:t>
            </w:r>
          </w:p>
        </w:tc>
      </w:tr>
      <w:tr>
        <w:trPr>
          <w:trHeight w:val="203"/>
        </w:trPr>
        <w:tc>
          <w:tcPr>
            <w:tcW w:w="31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*Deferred Compensation liability reflects payments due to current retirees receiving benefits. The amount of $4,725 in the more than 5 years column includes benefits due to participants in the plan who are not yet receiving benefits although some participants may opt to retire and begin receiving benefits within the next 5 years.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Company is exposed to market risk related to changes in interest rates and market values of securities. The Company's investments in fixed income and equity securities were approximately $22.1 million and $20,000, respectively, at January 31, 2006.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January 31, 2006, a 10% change in market interest rates would not have a material effect on the fair value of the Company's fixed income securities or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January 31, 2006, the amount related to foreign currency exchange rates is a $3,398,000 unrealized gain. 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Controls and Procedures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Disclosure Controls and Procedures.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w:t>
      </w:r>
    </w:p>
    <w:p>
      <w:pPr>
        <w:sectPr>
          <w:pgSz w:w="11900" w:h="16838" w:orient="portrait"/>
          <w:cols w:equalWidth="0" w:num="1">
            <w:col w:w="10219"/>
          </w:cols>
          <w:pgMar w:left="240" w:top="919" w:right="1440" w:bottom="371"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Internal Control Over Financial Reporting. 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2, 3, 4 and 5 are omitted because they are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w:t>
      </w:r>
    </w:p>
    <w:p>
      <w:pPr>
        <w:spacing w:after="0" w:line="207" w:lineRule="exact"/>
        <w:rPr>
          <w:sz w:val="20"/>
          <w:szCs w:val="20"/>
          <w:color w:val="auto"/>
        </w:rPr>
      </w:pPr>
    </w:p>
    <w:p>
      <w:pPr>
        <w:ind w:left="960" w:right="2099" w:hanging="736"/>
        <w:spacing w:after="0" w:line="235" w:lineRule="auto"/>
        <w:rPr>
          <w:sz w:val="20"/>
          <w:szCs w:val="20"/>
          <w:color w:val="auto"/>
        </w:rPr>
      </w:pPr>
      <w:r>
        <w:rPr>
          <w:rFonts w:ascii="Courier New" w:cs="Courier New" w:eastAsia="Courier New" w:hAnsi="Courier New"/>
          <w:sz w:val="18"/>
          <w:szCs w:val="18"/>
          <w:color w:val="auto"/>
        </w:rPr>
        <w:t>31.1 - Certification by the Chief Executive Officer Pursuant to Section 302 of the Sarbanes-Oxley Act of 2002.</w:t>
      </w:r>
    </w:p>
    <w:p>
      <w:pPr>
        <w:spacing w:after="0" w:line="6" w:lineRule="exact"/>
        <w:rPr>
          <w:sz w:val="20"/>
          <w:szCs w:val="20"/>
          <w:color w:val="auto"/>
        </w:rPr>
      </w:pPr>
    </w:p>
    <w:p>
      <w:pPr>
        <w:ind w:left="960" w:right="2099" w:hanging="736"/>
        <w:spacing w:after="0" w:line="235" w:lineRule="auto"/>
        <w:rPr>
          <w:sz w:val="20"/>
          <w:szCs w:val="20"/>
          <w:color w:val="auto"/>
        </w:rPr>
      </w:pPr>
      <w:r>
        <w:rPr>
          <w:rFonts w:ascii="Courier New" w:cs="Courier New" w:eastAsia="Courier New" w:hAnsi="Courier New"/>
          <w:sz w:val="18"/>
          <w:szCs w:val="18"/>
          <w:color w:val="auto"/>
        </w:rPr>
        <w:t>31.2 - Certification by the Chief Financial Officer Pursuant to Section 302 of the Sarbanes-Oxley Act of 2002</w:t>
      </w:r>
    </w:p>
    <w:p>
      <w:pPr>
        <w:spacing w:after="0" w:line="6" w:lineRule="exact"/>
        <w:rPr>
          <w:sz w:val="20"/>
          <w:szCs w:val="20"/>
          <w:color w:val="auto"/>
        </w:rPr>
      </w:pPr>
    </w:p>
    <w:p>
      <w:pPr>
        <w:ind w:left="960" w:right="1879" w:hanging="736"/>
        <w:spacing w:after="0" w:line="236" w:lineRule="auto"/>
        <w:rPr>
          <w:sz w:val="20"/>
          <w:szCs w:val="20"/>
          <w:color w:val="auto"/>
        </w:rPr>
      </w:pPr>
      <w:r>
        <w:rPr>
          <w:rFonts w:ascii="Courier New" w:cs="Courier New" w:eastAsia="Courier New" w:hAnsi="Courier New"/>
          <w:sz w:val="18"/>
          <w:szCs w:val="18"/>
          <w:color w:val="auto"/>
        </w:rPr>
        <w:t>32.1 - Certification by the Chief Executive Officer Pursuant to 18 U.S.C. Section 1350 Adopted Pursuant to Section 906 of the Sarbanes-Oxley Act of 2002.</w:t>
      </w:r>
    </w:p>
    <w:p>
      <w:pPr>
        <w:spacing w:after="0" w:line="6" w:lineRule="exact"/>
        <w:rPr>
          <w:sz w:val="20"/>
          <w:szCs w:val="20"/>
          <w:color w:val="auto"/>
        </w:rPr>
      </w:pPr>
    </w:p>
    <w:p>
      <w:pPr>
        <w:ind w:left="960" w:right="1879" w:hanging="736"/>
        <w:spacing w:after="0" w:line="236" w:lineRule="auto"/>
        <w:rPr>
          <w:sz w:val="20"/>
          <w:szCs w:val="20"/>
          <w:color w:val="auto"/>
        </w:rPr>
      </w:pPr>
      <w:r>
        <w:rPr>
          <w:rFonts w:ascii="Courier New" w:cs="Courier New" w:eastAsia="Courier New" w:hAnsi="Courier New"/>
          <w:sz w:val="18"/>
          <w:szCs w:val="18"/>
          <w:color w:val="auto"/>
        </w:rPr>
        <w:t>32.2 - Certification by the Chief Financial Officer Pursuant to 18 U.S.C. Section 1350 Adopted Pursuant to Section 906 of the Sarbanes-Oxley Act of 2002.</w:t>
      </w:r>
    </w:p>
    <w:p>
      <w:pPr>
        <w:sectPr>
          <w:pgSz w:w="11900" w:h="16838" w:orient="portrait"/>
          <w:cols w:equalWidth="0" w:num="1">
            <w:col w:w="10219"/>
          </w:cols>
          <w:pgMar w:left="240" w:top="919" w:right="1440" w:bottom="1440" w:gutter="0" w:footer="0" w:header="0"/>
        </w:sectPr>
      </w:pPr>
    </w:p>
    <w:bookmarkStart w:id="22" w:name="page23"/>
    <w:bookmarkEnd w:id="2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FREQUENCY ELECTRONICS, INC.</w:t>
      </w:r>
    </w:p>
    <w:p>
      <w:pPr>
        <w:ind w:left="538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17, 2006</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Alan Miller</w:t>
      </w:r>
    </w:p>
    <w:p>
      <w:pPr>
        <w:spacing w:after="0" w:line="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and Controller</w:t>
      </w:r>
    </w:p>
    <w:p>
      <w:pPr>
        <w:sectPr>
          <w:pgSz w:w="11900" w:h="16838" w:orient="portrait"/>
          <w:cols w:equalWidth="0" w:num="3">
            <w:col w:w="3820" w:space="720"/>
            <w:col w:w="200" w:space="0"/>
            <w:col w:w="5479"/>
          </w:cols>
          <w:pgMar w:left="240" w:top="717" w:right="1440" w:bottom="1440" w:gutter="0" w:footer="0" w:header="0"/>
          <w:type w:val="continuous"/>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B. Bloch, Chief Executive Officer,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Bloch</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17, 2006</w:t>
      </w:r>
    </w:p>
    <w:p>
      <w:pPr>
        <w:sectPr>
          <w:pgSz w:w="11900" w:h="16838" w:orient="portrait"/>
          <w:cols w:equalWidth="0" w:num="2">
            <w:col w:w="5400" w:space="720"/>
            <w:col w:w="4099"/>
          </w:cols>
          <w:pgMar w:left="240" w:top="919" w:right="1440" w:bottom="1440" w:gutter="0" w:footer="0" w:header="0"/>
          <w:type w:val="continuous"/>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Alan L. Miller, Chief Financial Officer,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17, 2006</w:t>
      </w:r>
    </w:p>
    <w:p>
      <w:pPr>
        <w:sectPr>
          <w:pgSz w:w="11900" w:h="16838" w:orient="portrait"/>
          <w:cols w:equalWidth="0" w:num="2">
            <w:col w:w="5300" w:space="720"/>
            <w:col w:w="4199"/>
          </w:cols>
          <w:pgMar w:left="240" w:top="919" w:right="1440" w:bottom="1440" w:gutter="0" w:footer="0" w:header="0"/>
          <w:type w:val="continuous"/>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January 31, 2006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1060" w:right="177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Bloch</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17, 2006</w:t>
      </w:r>
    </w:p>
    <w:p>
      <w:pPr>
        <w:spacing w:after="0" w:line="807" w:lineRule="exact"/>
        <w:rPr>
          <w:sz w:val="20"/>
          <w:szCs w:val="20"/>
          <w:color w:val="auto"/>
        </w:rPr>
      </w:pPr>
    </w:p>
    <w:p>
      <w:pPr>
        <w:sectPr>
          <w:pgSz w:w="11900" w:h="16838" w:orient="portrait"/>
          <w:cols w:equalWidth="0" w:num="2">
            <w:col w:w="5500" w:space="720"/>
            <w:col w:w="399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6"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0219"/>
          </w:cols>
          <w:pgMar w:left="240" w:top="919" w:right="1440" w:bottom="1440" w:gutter="0" w:footer="0" w:header="0"/>
          <w:type w:val="continuous"/>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January 31, 2006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1160" w:right="2099" w:hanging="415"/>
        <w:spacing w:after="0" w:line="235"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5" w:lineRule="exact"/>
        <w:rPr>
          <w:rFonts w:ascii="Courier New" w:cs="Courier New" w:eastAsia="Courier New" w:hAnsi="Courier New"/>
          <w:sz w:val="18"/>
          <w:szCs w:val="18"/>
          <w:color w:val="auto"/>
        </w:rPr>
      </w:pPr>
    </w:p>
    <w:p>
      <w:pPr>
        <w:ind w:left="1160" w:right="1879" w:hanging="415"/>
        <w:spacing w:after="0" w:line="236"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17, 2006</w:t>
      </w:r>
    </w:p>
    <w:p>
      <w:pPr>
        <w:spacing w:after="0" w:line="807" w:lineRule="exact"/>
        <w:rPr>
          <w:sz w:val="20"/>
          <w:szCs w:val="20"/>
          <w:color w:val="auto"/>
        </w:rPr>
      </w:pPr>
    </w:p>
    <w:p>
      <w:pPr>
        <w:sectPr>
          <w:pgSz w:w="11900" w:h="16838" w:orient="portrait"/>
          <w:cols w:equalWidth="0" w:num="2">
            <w:col w:w="5820" w:space="720"/>
            <w:col w:w="367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2019-12-13T01:32:29Z</dcterms:created>
  <dcterms:modified xsi:type="dcterms:W3CDTF">2019-12-13T01:32:29Z</dcterms:modified>
</cp:coreProperties>
</file>