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1440" w:hanging="206"/>
        <w:spacing w:after="0"/>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January 31,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jc w:val="center"/>
        <w:ind w:left="3520" w:right="1220" w:hanging="2296"/>
        <w:spacing w:after="0" w:line="493" w:lineRule="auto"/>
        <w:tabs>
          <w:tab w:leader="none" w:pos="14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ind w:left="4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FEIM</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493"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March 13, 2025 – 9,676,513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80" w:type="dxa"/>
            <w:vAlign w:val="bottom"/>
            <w:gridSpan w:val="9"/>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80" w:type="dxa"/>
            <w:vAlign w:val="bottom"/>
            <w:gridSpan w:val="9"/>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3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96"/>
        </w:trPr>
        <w:tc>
          <w:tcPr>
            <w:tcW w:w="10340" w:type="dxa"/>
            <w:vAlign w:val="bottom"/>
            <w:gridSpan w:val="17"/>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218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800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6640" w:type="dxa"/>
            <w:vAlign w:val="bottom"/>
            <w:tcBorders>
              <w:bottom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Balance Sheets – January 31, 2025 (unaudited) and April 30, 2024</w:t>
            </w:r>
          </w:p>
        </w:tc>
        <w:tc>
          <w:tcPr>
            <w:tcW w:w="354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9720" w:type="dxa"/>
            <w:vAlign w:val="bottom"/>
            <w:tcBorders>
              <w:bottom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 Three and Nine Months Ended January 31, 2025 and</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18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8060" w:type="dxa"/>
            <w:vAlign w:val="bottom"/>
            <w:tcBorders>
              <w:bottom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Nine Months ended January 31, 2025 and 2024 (unaudited)</w:t>
            </w:r>
          </w:p>
        </w:tc>
        <w:tc>
          <w:tcPr>
            <w:tcW w:w="212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9640" w:type="dxa"/>
            <w:vAlign w:val="bottom"/>
            <w:tcBorders>
              <w:bottom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 Three and Nine Months Ended January 31, 2025 and 2024</w:t>
            </w:r>
          </w:p>
        </w:tc>
        <w:tc>
          <w:tcPr>
            <w:tcW w:w="5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8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(unaudited)</w:t>
            </w:r>
          </w:p>
        </w:tc>
        <w:tc>
          <w:tcPr>
            <w:tcW w:w="9340" w:type="dxa"/>
            <w:vAlign w:val="bottom"/>
            <w:gridSpan w:val="1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488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30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01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14-19</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708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31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w w:val="98"/>
              </w:rPr>
              <w:t>Item 4 - Controls and Procedures</w:t>
            </w:r>
          </w:p>
        </w:tc>
        <w:tc>
          <w:tcPr>
            <w:tcW w:w="2580" w:type="dxa"/>
            <w:vAlign w:val="bottom"/>
            <w:tcBorders>
              <w:top w:val="single" w:sz="8" w:color="0000EE"/>
            </w:tcBorders>
            <w:gridSpan w:val="2"/>
          </w:tcPr>
          <w:p>
            <w:pPr>
              <w:spacing w:after="0"/>
              <w:rPr>
                <w:sz w:val="24"/>
                <w:szCs w:val="24"/>
                <w:color w:val="auto"/>
              </w:rPr>
            </w:pPr>
          </w:p>
        </w:tc>
        <w:tc>
          <w:tcPr>
            <w:tcW w:w="52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19-20</w:t>
            </w:r>
          </w:p>
        </w:tc>
        <w:tc>
          <w:tcPr>
            <w:tcW w:w="0" w:type="dxa"/>
            <w:vAlign w:val="bottom"/>
          </w:tcPr>
          <w:p>
            <w:pPr>
              <w:spacing w:after="0"/>
              <w:rPr>
                <w:sz w:val="1"/>
                <w:szCs w:val="1"/>
                <w:color w:val="auto"/>
              </w:rPr>
            </w:pPr>
          </w:p>
        </w:tc>
      </w:tr>
      <w:tr>
        <w:trPr>
          <w:trHeight w:val="453"/>
        </w:trPr>
        <w:tc>
          <w:tcPr>
            <w:tcW w:w="103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101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Item 1A – 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510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508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18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960" w:type="dxa"/>
            <w:vAlign w:val="bottom"/>
            <w:tcBorders>
              <w:top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6 - Exhibits</w:t>
            </w:r>
          </w:p>
        </w:tc>
        <w:tc>
          <w:tcPr>
            <w:tcW w:w="8220" w:type="dxa"/>
            <w:vAlign w:val="bottom"/>
            <w:gridSpan w:val="11"/>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24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Signatures</w:t>
            </w:r>
          </w:p>
        </w:tc>
        <w:tc>
          <w:tcPr>
            <w:tcW w:w="894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351"/>
        </w:trPr>
        <w:tc>
          <w:tcPr>
            <w:tcW w:w="1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6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2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(In thousands, except par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20" w:type="dxa"/>
            <w:vAlign w:val="bottom"/>
            <w:vMerge w:val="restart"/>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18,320</w:t>
            </w:r>
          </w:p>
        </w:tc>
        <w:tc>
          <w:tcPr>
            <w:tcW w:w="0" w:type="dxa"/>
            <w:vAlign w:val="bottom"/>
          </w:tcPr>
          <w:p>
            <w:pPr>
              <w:spacing w:after="0"/>
              <w:rPr>
                <w:sz w:val="1"/>
                <w:szCs w:val="1"/>
                <w:color w:val="auto"/>
              </w:rPr>
            </w:pPr>
          </w:p>
        </w:tc>
      </w:tr>
      <w:tr>
        <w:trPr>
          <w:trHeight w:val="216"/>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$110 at January 31, 2025 and April 30, 2024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23,431</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9"/>
        </w:trPr>
        <w:tc>
          <w:tcPr>
            <w:tcW w:w="842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10,221</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3"/>
        </w:trPr>
        <w:tc>
          <w:tcPr>
            <w:tcW w:w="84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20" w:type="dxa"/>
            <w:vAlign w:val="bottom"/>
            <w:shd w:val="clear" w:color="auto" w:fill="CCEEFF"/>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16"/>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4,765</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provision accrual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29"/>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21,639</w:t>
            </w:r>
          </w:p>
        </w:tc>
        <w:tc>
          <w:tcPr>
            <w:tcW w:w="0" w:type="dxa"/>
            <w:vAlign w:val="bottom"/>
          </w:tcPr>
          <w:p>
            <w:pPr>
              <w:spacing w:after="0"/>
              <w:rPr>
                <w:sz w:val="1"/>
                <w:szCs w:val="1"/>
                <w:color w:val="auto"/>
              </w:rPr>
            </w:pPr>
          </w:p>
        </w:tc>
      </w:tr>
      <w:tr>
        <w:trPr>
          <w:trHeight w:val="210"/>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8,088</w:t>
            </w:r>
          </w:p>
        </w:tc>
        <w:tc>
          <w:tcPr>
            <w:tcW w:w="0" w:type="dxa"/>
            <w:vAlign w:val="bottom"/>
          </w:tcPr>
          <w:p>
            <w:pPr>
              <w:spacing w:after="0"/>
              <w:rPr>
                <w:sz w:val="1"/>
                <w:szCs w:val="1"/>
                <w:color w:val="auto"/>
              </w:rPr>
            </w:pPr>
          </w:p>
        </w:tc>
      </w:tr>
      <w:tr>
        <w:trPr>
          <w:trHeight w:val="21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2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9,697 shares issued and 9,675 shares outstanding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January 31, 2025; 9,512 shares issued and 9,511 shares outstanding at April 30, 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9,512</w:t>
            </w:r>
          </w:p>
        </w:tc>
        <w:tc>
          <w:tcPr>
            <w:tcW w:w="0" w:type="dxa"/>
            <w:vAlign w:val="bottom"/>
          </w:tcPr>
          <w:p>
            <w:pPr>
              <w:spacing w:after="0"/>
              <w:rPr>
                <w:sz w:val="1"/>
                <w:szCs w:val="1"/>
                <w:color w:val="auto"/>
              </w:rPr>
            </w:pPr>
          </w:p>
        </w:tc>
      </w:tr>
      <w:tr>
        <w:trPr>
          <w:trHeight w:val="216"/>
        </w:trPr>
        <w:tc>
          <w:tcPr>
            <w:tcW w:w="84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50,334</w:t>
            </w:r>
          </w:p>
        </w:tc>
        <w:tc>
          <w:tcPr>
            <w:tcW w:w="0" w:type="dxa"/>
            <w:vAlign w:val="bottom"/>
          </w:tcPr>
          <w:p>
            <w:pPr>
              <w:spacing w:after="0"/>
              <w:rPr>
                <w:sz w:val="1"/>
                <w:szCs w:val="1"/>
                <w:color w:val="auto"/>
              </w:rPr>
            </w:pPr>
          </w:p>
        </w:tc>
      </w:tr>
      <w:tr>
        <w:trPr>
          <w:trHeight w:val="216"/>
        </w:trPr>
        <w:tc>
          <w:tcPr>
            <w:tcW w:w="84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(20,027)</w:t>
            </w:r>
          </w:p>
        </w:tc>
        <w:tc>
          <w:tcPr>
            <w:tcW w:w="0" w:type="dxa"/>
            <w:vAlign w:val="bottom"/>
          </w:tcPr>
          <w:p>
            <w:pPr>
              <w:spacing w:after="0"/>
              <w:rPr>
                <w:sz w:val="1"/>
                <w:szCs w:val="1"/>
                <w:color w:val="auto"/>
              </w:rPr>
            </w:pPr>
          </w:p>
        </w:tc>
      </w:tr>
      <w:tr>
        <w:trPr>
          <w:trHeight w:val="198"/>
        </w:trPr>
        <w:tc>
          <w:tcPr>
            <w:tcW w:w="842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 at cost (22 shares at January 31, 2025 and 1 share at April 30,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CEEFF"/>
          </w:tcPr>
          <w:p>
            <w:pPr>
              <w:spacing w:after="0"/>
              <w:rPr>
                <w:sz w:val="21"/>
                <w:szCs w:val="21"/>
                <w:color w:val="auto"/>
              </w:rPr>
            </w:pPr>
          </w:p>
        </w:tc>
        <w:tc>
          <w:tcPr>
            <w:tcW w:w="6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86,427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7400" w:type="dxa"/>
            <w:vAlign w:val="bottom"/>
            <w:gridSpan w:val="9"/>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gridSpan w:val="9"/>
          </w:tcPr>
          <w:p>
            <w:pPr>
              <w:jc w:val="center"/>
              <w:ind w:left="1190"/>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 and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23"/>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1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00" w:type="dxa"/>
            <w:vAlign w:val="bottom"/>
            <w:gridSpan w:val="3"/>
            <w:vMerge w:val="continue"/>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tcBorders>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49,825</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39,698</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10,642</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10,610</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27,396</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1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4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(benefit) provision for income taxes</w:t>
            </w:r>
          </w:p>
        </w:tc>
        <w:tc>
          <w:tcPr>
            <w:tcW w:w="1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(11,824)</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per share</w:t>
            </w:r>
          </w:p>
        </w:tc>
        <w:tc>
          <w:tcPr>
            <w:tcW w:w="21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8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gridSpan w:val="3"/>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9,632</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9,440</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3"/>
            <w:vMerge w:val="continue"/>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9,632</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9,440</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9,589</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9,408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7"/>
          <w:szCs w:val="17"/>
          <w:b w:val="1"/>
          <w:bCs w:val="1"/>
          <w:u w:val="single" w:color="auto"/>
          <w:color w:val="auto"/>
        </w:rPr>
        <w:t>Nine Months Ended January 31</w:t>
      </w:r>
      <w:r>
        <w:rPr>
          <w:rFonts w:ascii="Times New Roman" w:cs="Times New Roman" w:eastAsia="Times New Roman" w:hAnsi="Times New Roman"/>
          <w:sz w:val="17"/>
          <w:szCs w:val="17"/>
          <w:b w:val="1"/>
          <w:bCs w:val="1"/>
          <w:color w:val="auto"/>
        </w:rPr>
        <w:t>,</w:t>
      </w:r>
    </w:p>
    <w:p>
      <w:pPr>
        <w:spacing w:after="0" w:line="48"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right="3460" w:firstLine="162"/>
        <w:spacing w:after="0" w:line="276" w:lineRule="auto"/>
        <w:rPr>
          <w:sz w:val="20"/>
          <w:szCs w:val="20"/>
          <w:color w:val="auto"/>
        </w:rPr>
      </w:pPr>
      <w:r>
        <w:rPr>
          <w:rFonts w:ascii="Times New Roman" w:cs="Times New Roman" w:eastAsia="Times New Roman" w:hAnsi="Times New Roman"/>
          <w:sz w:val="18"/>
          <w:szCs w:val="18"/>
          <w:color w:val="auto"/>
        </w:rPr>
        <w:t>Purchase of property, plant, and equipment, and other assets Net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dividend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20,489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(7,638)</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2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(14,124)</w:t>
            </w:r>
          </w:p>
        </w:tc>
        <w:tc>
          <w:tcPr>
            <w:tcW w:w="3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55"/>
        </w:trPr>
        <w:tc>
          <w:tcPr>
            <w:tcW w:w="320" w:type="dxa"/>
            <w:vAlign w:val="bottom"/>
          </w:tcPr>
          <w:p>
            <w:pPr>
              <w:spacing w:after="0"/>
              <w:rPr>
                <w:sz w:val="24"/>
                <w:szCs w:val="24"/>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(1,177)</w:t>
            </w:r>
          </w:p>
        </w:tc>
        <w:tc>
          <w:tcPr>
            <w:tcW w:w="3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tcBorders>
              <w:top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623"/>
        </w:trPr>
        <w:tc>
          <w:tcPr>
            <w:tcW w:w="320" w:type="dxa"/>
            <w:vAlign w:val="bottom"/>
          </w:tcPr>
          <w:p>
            <w:pPr>
              <w:spacing w:after="0"/>
              <w:rPr>
                <w:sz w:val="24"/>
                <w:szCs w:val="24"/>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(9,567)</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8"/>
        </w:trPr>
        <w:tc>
          <w:tcPr>
            <w:tcW w:w="32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320" w:type="dxa"/>
            <w:vAlign w:val="bottom"/>
          </w:tcPr>
          <w:p>
            <w:pPr>
              <w:spacing w:after="0"/>
              <w:rPr>
                <w:sz w:val="24"/>
                <w:szCs w:val="24"/>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(12,394)</w:t>
            </w:r>
          </w:p>
        </w:tc>
        <w:tc>
          <w:tcPr>
            <w:tcW w:w="3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40" w:type="dxa"/>
            <w:vAlign w:val="bottom"/>
          </w:tcPr>
          <w:p>
            <w:pPr>
              <w:spacing w:after="0"/>
              <w:rPr>
                <w:sz w:val="24"/>
                <w:szCs w:val="24"/>
                <w:color w:val="auto"/>
              </w:rPr>
            </w:pPr>
          </w:p>
        </w:tc>
      </w:tr>
      <w:tr>
        <w:trPr>
          <w:trHeight w:val="44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12,049</w:t>
            </w:r>
          </w:p>
        </w:tc>
        <w:tc>
          <w:tcPr>
            <w:tcW w:w="40" w:type="dxa"/>
            <w:vAlign w:val="bottom"/>
          </w:tcPr>
          <w:p>
            <w:pPr>
              <w:spacing w:after="0"/>
              <w:rPr>
                <w:sz w:val="24"/>
                <w:szCs w:val="24"/>
                <w:color w:val="auto"/>
              </w:rPr>
            </w:pPr>
          </w:p>
        </w:tc>
      </w:tr>
      <w:tr>
        <w:trPr>
          <w:trHeight w:val="453"/>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6,871</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12,604</w:t>
            </w:r>
          </w:p>
        </w:tc>
        <w:tc>
          <w:tcPr>
            <w:tcW w:w="40" w:type="dxa"/>
            <w:vAlign w:val="bottom"/>
          </w:tcPr>
          <w:p>
            <w:pPr>
              <w:spacing w:after="0"/>
              <w:rPr>
                <w:sz w:val="24"/>
                <w:szCs w:val="24"/>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65"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21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20" w:type="dxa"/>
            <w:vAlign w:val="bottom"/>
            <w:gridSpan w:val="3"/>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9,511,560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(20,027)</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39,816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26,457</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27,815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 vested</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4,569</w:t>
            </w:r>
          </w:p>
        </w:tc>
        <w:tc>
          <w:tcPr>
            <w:tcW w:w="56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stock</w:t>
            </w: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appreciation rights - net of shares tendered</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1,819</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exercise price</w:t>
            </w:r>
          </w:p>
        </w:tc>
        <w:tc>
          <w:tcPr>
            <w:tcW w:w="10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42"/>
        </w:trPr>
        <w:tc>
          <w:tcPr>
            <w:tcW w:w="2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July 31, 2024</w:t>
            </w: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9,567,651</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9,568</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41,296</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(17,597)</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5,310</w:t>
            </w: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17,577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32,127</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 vested</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7,893</w:t>
            </w:r>
          </w:p>
        </w:tc>
        <w:tc>
          <w:tcPr>
            <w:tcW w:w="5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0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(9,567)</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4"/>
                <w:szCs w:val="14"/>
                <w:color w:val="auto"/>
              </w:rPr>
            </w:pP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2,654</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31, 2024</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9,617,355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9,617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41,683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(14,943)</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13,203</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36,192</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7,850</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5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72,003</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on employee taxes on vested</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11,802</w:t>
            </w:r>
          </w:p>
        </w:tc>
        <w:tc>
          <w:tcPr>
            <w:tcW w:w="56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6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awards</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stock</w:t>
            </w: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appreciation rights - net of shares tendered</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(2,737)</w:t>
            </w:r>
          </w:p>
        </w:tc>
        <w:tc>
          <w:tcPr>
            <w:tcW w:w="56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exercise price</w:t>
            </w:r>
          </w:p>
        </w:tc>
        <w:tc>
          <w:tcPr>
            <w:tcW w:w="10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15,405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4"/>
                <w:szCs w:val="14"/>
                <w:color w:val="auto"/>
              </w:rPr>
            </w:pP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15,405</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31, 2025</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9,697,208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9,697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42,026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22,268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51,835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21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40" w:type="dxa"/>
            <w:vAlign w:val="bottom"/>
            <w:gridSpan w:val="3"/>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2023</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9,373,776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49,136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(25,621)</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90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32,886</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17,013</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2"/>
                <w:szCs w:val="12"/>
                <w:color w:val="auto"/>
              </w:rPr>
            </w:pPr>
          </w:p>
        </w:tc>
        <w:tc>
          <w:tcPr>
            <w:tcW w:w="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July 31, 2023</w:t>
            </w: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vMerge w:val="continue"/>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9,390,789</w:t>
            </w:r>
          </w:p>
        </w:tc>
        <w:tc>
          <w:tcPr>
            <w:tcW w:w="1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9,391</w:t>
            </w:r>
          </w:p>
        </w:tc>
        <w:tc>
          <w:tcPr>
            <w:tcW w:w="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49,360</w:t>
            </w:r>
          </w:p>
        </w:tc>
        <w:tc>
          <w:tcPr>
            <w:tcW w:w="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(23,579)</w:t>
            </w:r>
          </w:p>
        </w:tc>
        <w:tc>
          <w:tcPr>
            <w:tcW w:w="10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1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90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35,169</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12,885</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2"/>
                <w:szCs w:val="12"/>
                <w:color w:val="auto"/>
              </w:rPr>
            </w:pPr>
          </w:p>
        </w:tc>
        <w:tc>
          <w:tcPr>
            <w:tcW w:w="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October 31, 2023</w:t>
            </w: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vMerge w:val="continue"/>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9,404,424</w:t>
            </w:r>
          </w:p>
        </w:tc>
        <w:tc>
          <w:tcPr>
            <w:tcW w:w="1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9,405</w:t>
            </w:r>
          </w:p>
        </w:tc>
        <w:tc>
          <w:tcPr>
            <w:tcW w:w="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49,636</w:t>
            </w:r>
          </w:p>
        </w:tc>
        <w:tc>
          <w:tcPr>
            <w:tcW w:w="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(22,782)</w:t>
            </w:r>
          </w:p>
        </w:tc>
        <w:tc>
          <w:tcPr>
            <w:tcW w:w="10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1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90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36,256</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 of stock to 401(k) plan</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5,364</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2"/>
                <w:szCs w:val="12"/>
                <w:color w:val="auto"/>
              </w:rPr>
            </w:pPr>
          </w:p>
        </w:tc>
        <w:tc>
          <w:tcPr>
            <w:tcW w:w="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77,272</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130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4"/>
                <w:szCs w:val="14"/>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56"/>
        </w:trPr>
        <w:tc>
          <w:tcPr>
            <w:tcW w:w="27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31, 2024</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9,487,060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49,841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(22,652</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741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36,673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January 31, 2025 and the results of its operations, changes in stockholders’ equity for the three and nine months ended January 31, 2025 and 2024, and cash flows for the nine months ended January 31, 2025 and 2024. The April 30, 2024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2024, filed on August 2, 2024 with the Securities and Exchange Commission (the “Form 10-K”). The results of operations for such interim periods are not necessarily indicative of the operating results for the full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per share (“EPS”)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and 2024, respectively,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Periods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Borders>
              <w:top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4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2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2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9,632,309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9,439,939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9,585,330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9,407,789</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9,632,309</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9,439,939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9,588,826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9,407,789</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-462280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-179070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229" w:right="339" w:bottom="1440" w:gutter="0" w:footer="0" w:header="0"/>
          <w:type w:val="continuous"/>
        </w:sectPr>
      </w:pPr>
    </w:p>
    <w:p>
      <w:pPr>
        <w:jc w:val="both"/>
        <w:ind w:right="20" w:firstLine="656"/>
        <w:spacing w:after="0" w:line="261" w:lineRule="auto"/>
        <w:tabs>
          <w:tab w:leader="none" w:pos="8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January 31, 2025 and 2024, and the nine months ended January 31, 2024, dilutive securities are excluded from the calculation of EPS since the inclusion of such shares would be antidilutive. There were no shares excluded for the three months ended January 31, 2025. For the nine months ended January 31, 2025, 66,000 exercisable shares were excluded. For the three and nine months ended January 31, 2024, 86,000 exercisable shares were excluded.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special cash dividend of $1.00 per share of common stock. The special dividend was paid on August 29, 2024, to stockholders of record as of the close of business on August 8, 2024. The total amount of the special dividend payment was approximately $9.6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ASSETS AND LIABILITIES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During the three and nine months ended January 31, 2025, we recognized $10.2 million and $26.2 million, respectively, of our contract liabilities at April 30, 2024 as revenue. During the three and nine months ended January 31, 2024, we recognized $8.6 million and $12.3 million, respectively, of our contract liabilities at April 30, 2023 as revenue. If contract losses are anticipated, a loss provision is recorded for the full amount of such losses when they are determinable. Contract losses for three months ended January 31, 2025 were approximately $0.4 million, and the nine months ended January 31, 2025 were approximately $0.6 million, offset by a loss reduction of approximately $0.3 million, mostly related to additional funding. Total contract losses for three and nine months ended January 31, 2024 were approximately $0.6 million and $2.1 million, respectively. The liability for contract losses is presented as loss provision accrual within the consolidated balance sheets.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–EMPLOYEE BENEFIT PLANS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January 31, 2025, the Company made contributions of 7,850 shares and 51,884 shares, respectively, of its common stock to the Company’s profit-sharing plan and trust under Section 401(k) of the Internal Revenue Code. During the three and nine months ended January 31, 2024, the Company made contributions of 5,364 shares and 35,262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and nine months ended January 31, 2025, was approximately $142,000 and $425,000, respectively. Payments made related to deferred compensation, inclusive of approximately $26,000 and $79,000, respectively, of interest expense, were approximately $183,000 and $541,000 for the same periods. Deferred compensation expense charged to selling and administrative expenses during the three and nine months ended January 31, 2024, was approximately $109,000 and $325,000, respectively. Payments made related to deferred compensation, inclusive of approximately $28,000 and $88,000, respectively, of interest expense, were approximately $175,000 and $536,000 for the same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44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80" w:type="dxa"/>
            <w:vAlign w:val="bottom"/>
          </w:tcPr>
          <w:p>
            <w:pPr>
              <w:spacing w:after="0"/>
              <w:rPr>
                <w:sz w:val="18"/>
                <w:szCs w:val="18"/>
                <w:color w:val="auto"/>
              </w:rPr>
            </w:pPr>
          </w:p>
        </w:tc>
      </w:tr>
      <w:tr>
        <w:trPr>
          <w:trHeight w:val="23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facilities and Research and Development (“R&amp;D”) facilities which expire at various times through 2029 and are operating leases. Contractual arrangements are evaluated at inception to determine if the agreement contains a lease.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right-of-use (“ROU”) assets and liabilities recorded on the respective consolidated balance sheets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0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$0.4 million and $1.4 million for the three and nine months ended January 31, 2025, respectively, the majority of which is included in cost of revenues and the remaining amount in selling and administrative expenses on the unaudited condensed consolidated statements of operations. Total operating lease expense was $0.5 million and $1.4 million for the three and nine months ended January 31, 2024, respectively, the majority of which is included in cost of revenues and the remaining amount in selling and administrative expenses on the unaudited condensed consolidated statements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maturities of lease liabilities at January 31, 2025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040" w:type="dxa"/>
            <w:vAlign w:val="bottom"/>
            <w:gridSpan w:val="2"/>
          </w:tcPr>
          <w:p>
            <w:pPr>
              <w:jc w:val="right"/>
              <w:ind w:right="2456"/>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2"/>
          </w:tcPr>
          <w:p>
            <w:pPr>
              <w:jc w:val="right"/>
              <w:ind w:right="299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0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shd w:val="clear" w:color="auto" w:fill="CCEEFF"/>
          </w:tcPr>
          <w:p>
            <w:pPr>
              <w:spacing w:after="0"/>
              <w:rPr>
                <w:sz w:val="18"/>
                <w:szCs w:val="18"/>
                <w:color w:val="auto"/>
              </w:rPr>
            </w:pPr>
          </w:p>
        </w:tc>
      </w:tr>
      <w:tr>
        <w:trPr>
          <w:trHeight w:val="229"/>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Borders>
              <w:bottom w:val="single" w:sz="8" w:color="CCEEFF"/>
            </w:tcBorders>
          </w:tcPr>
          <w:p>
            <w:pPr>
              <w:spacing w:after="0"/>
              <w:rPr>
                <w:sz w:val="19"/>
                <w:szCs w:val="19"/>
                <w:color w:val="auto"/>
              </w:rPr>
            </w:pP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shd w:val="clear" w:color="auto" w:fill="CCEEFF"/>
          </w:tcPr>
          <w:p>
            <w:pPr>
              <w:spacing w:after="0"/>
              <w:rPr>
                <w:sz w:val="18"/>
                <w:szCs w:val="18"/>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6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2025 and 2024, the weighted-average remaining lease term for all operating leases was 4.54 years and 5.12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January 31, 2025 and 2024, was 6.40% and 6.31%,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future operating lease payments of approximately $4.0 million related to a lease that has not yet commenced and was entered into as of December 23, 2024. Such lease payments are not included in the table above or the Company’s condensed consolidated financial position as operating lease ROU assets and operating lease liabilities. The operating lease payments are anticipated to commence in the fourth quarter of 2025 and continue for approximately 5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Chief operating decision maker views the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The Company evaluates the performance of its segments and allocates resources to them based on operating profit (loss). Investment income (expense), interest expense, and other expense, net, as reported in the condensed consolidated statement of operations and comprehensive income, are not allocated to or disclosed for each reportable segment and reconcile segment operating income (loss) to income before provision of income taxes. All acquired assets, including intangible assets, are included in the assets of the applicable reporting segment.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consolidated balance sheets for each of the periods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FEI-Zyfer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intersegment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revenues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FEI-Zyfer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intersegment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operating income (loss)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Identifiable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FEI-NY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FEI-Zyfer</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less intersegment balances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Corporate</w:t>
      </w:r>
    </w:p>
    <w:p>
      <w:pPr>
        <w:spacing w:after="0" w:line="9"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Consolidated identifiable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Periods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60" w:type="dxa"/>
            <w:vAlign w:val="bottom"/>
            <w:gridSpan w:val="2"/>
          </w:tcPr>
          <w:p>
            <w:pPr>
              <w:spacing w:after="0"/>
              <w:rPr>
                <w:sz w:val="19"/>
                <w:szCs w:val="19"/>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14,463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11,610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36,984</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30,372</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5,027</w:t>
            </w:r>
          </w:p>
        </w:tc>
        <w:tc>
          <w:tcPr>
            <w:tcW w:w="240" w:type="dxa"/>
            <w:vAlign w:val="bottom"/>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3,403</w:t>
            </w:r>
          </w:p>
        </w:tc>
        <w:tc>
          <w:tcPr>
            <w:tcW w:w="2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11,426</w:t>
            </w:r>
          </w:p>
        </w:tc>
        <w:tc>
          <w:tcPr>
            <w:tcW w:w="40" w:type="dxa"/>
            <w:vAlign w:val="bottom"/>
          </w:tcPr>
          <w:p>
            <w:pPr>
              <w:spacing w:after="0"/>
              <w:rPr>
                <w:sz w:val="18"/>
                <w:szCs w:val="18"/>
                <w:color w:val="auto"/>
              </w:rPr>
            </w:pPr>
          </w:p>
        </w:tc>
      </w:tr>
      <w:tr>
        <w:trPr>
          <w:trHeight w:val="248"/>
        </w:trPr>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(1,299)</w:t>
            </w:r>
          </w:p>
        </w:tc>
        <w:tc>
          <w:tcPr>
            <w:tcW w:w="2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39,698</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7,326</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(1,170)</w:t>
            </w:r>
          </w:p>
        </w:tc>
        <w:tc>
          <w:tcPr>
            <w:tcW w:w="2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8"/>
        </w:trPr>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-2030730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-1757045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-1448435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-1156970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-882015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-599440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left="2500" w:hanging="419"/>
        <w:spacing w:after="0"/>
        <w:tabs>
          <w:tab w:leader="none" w:pos="2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37,784  $    36,512</w:t>
      </w:r>
    </w:p>
    <w:p>
      <w:pPr>
        <w:spacing w:after="0" w:line="27" w:lineRule="exact"/>
        <w:rPr>
          <w:rFonts w:ascii="Times New Roman" w:cs="Times New Roman" w:eastAsia="Times New Roman" w:hAnsi="Times New Roman"/>
          <w:sz w:val="18"/>
          <w:szCs w:val="18"/>
          <w:color w:val="auto"/>
        </w:rPr>
      </w:pPr>
    </w:p>
    <w:p>
      <w:pPr>
        <w:ind w:left="2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17,64615,696</w:t>
      </w:r>
    </w:p>
    <w:p>
      <w:pPr>
        <w:spacing w:after="0" w:line="9" w:lineRule="exact"/>
        <w:rPr>
          <w:rFonts w:ascii="Times New Roman" w:cs="Times New Roman" w:eastAsia="Times New Roman" w:hAnsi="Times New Roman"/>
          <w:sz w:val="18"/>
          <w:szCs w:val="18"/>
          <w:color w:val="auto"/>
        </w:rPr>
      </w:pPr>
    </w:p>
    <w:p>
      <w:pPr>
        <w:ind w:left="3720" w:hanging="1051"/>
        <w:spacing w:after="0"/>
        <w:tabs>
          <w:tab w:leader="none" w:pos="3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w:t>
      </w:r>
    </w:p>
    <w:p>
      <w:pPr>
        <w:spacing w:after="0" w:line="9" w:lineRule="exact"/>
        <w:rPr>
          <w:rFonts w:ascii="Times New Roman" w:cs="Times New Roman" w:eastAsia="Times New Roman" w:hAnsi="Times New Roman"/>
          <w:sz w:val="18"/>
          <w:szCs w:val="18"/>
          <w:color w:val="auto"/>
        </w:rPr>
      </w:pPr>
    </w:p>
    <w:p>
      <w:pPr>
        <w:ind w:left="2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31,11931,282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-542290</wp:posOffset>
            </wp:positionV>
            <wp:extent cx="570039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-267970</wp:posOffset>
            </wp:positionV>
            <wp:extent cx="57003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14605</wp:posOffset>
            </wp:positionV>
            <wp:extent cx="57003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1" w:lineRule="exact"/>
        <w:rPr>
          <w:sz w:val="20"/>
          <w:szCs w:val="20"/>
          <w:color w:val="auto"/>
        </w:rPr>
      </w:pPr>
    </w:p>
    <w:p>
      <w:pPr>
        <w:ind w:left="2080"/>
        <w:spacing w:after="0"/>
        <w:tabs>
          <w:tab w:leader="none" w:pos="2480" w:val="left"/>
          <w:tab w:leader="none" w:pos="3140" w:val="left"/>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86,427</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83,253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34290</wp:posOffset>
            </wp:positionV>
            <wp:extent cx="12515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229" w:right="3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revenue recognized over time as Percentage of Completion (“POC”) and Passage of Title (“POT”) was approximately $17.7 million and $1.3 million, respectively, of the $18.9 million reported for the three months ended January 31, 2025. Total revenue recognized over time as POC and POT was approximately $47.3 million and $2.5 million, respectively, of the $49.8 million reported for the nine months ended January 31, 2025. Total revenue recognized over time as POC and POT was approximately $12.9 million and $0.8 million, respectively, of the $13.7 million reported for the three months ended January 31, 2024. Total revenue recognized over time as POC and POT was approximately $37.0 million and $2.7 million, respectively, of the $39.7 million reported for the nine months ended January 31, 2024. The amounts by segment and product line were as follows (in thousands):</w:t>
      </w:r>
    </w:p>
    <w:p>
      <w:pPr>
        <w:spacing w:after="0" w:line="1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FEI-Zyfer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FEI-Zyfer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1"/>
        </w:trPr>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60" w:type="dxa"/>
            <w:vAlign w:val="bottom"/>
          </w:tcPr>
          <w:p>
            <w:pPr>
              <w:spacing w:after="0"/>
              <w:rPr>
                <w:sz w:val="17"/>
                <w:szCs w:val="17"/>
                <w:color w:val="auto"/>
              </w:rPr>
            </w:pPr>
          </w:p>
        </w:tc>
        <w:tc>
          <w:tcPr>
            <w:tcW w:w="96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gridSpan w:val="2"/>
          </w:tcPr>
          <w:p>
            <w:pPr>
              <w:spacing w:after="0"/>
              <w:rPr>
                <w:sz w:val="17"/>
                <w:szCs w:val="17"/>
                <w:color w:val="auto"/>
              </w:rPr>
            </w:pPr>
          </w:p>
        </w:tc>
      </w:tr>
      <w:tr>
        <w:trPr>
          <w:trHeight w:val="238"/>
        </w:trPr>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w w:val="92"/>
              </w:rPr>
              <w:t>13,596</w:t>
            </w:r>
          </w:p>
        </w:tc>
        <w:tc>
          <w:tcPr>
            <w:tcW w:w="2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14,463</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9,687</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w w:val="98"/>
              </w:rPr>
              <w:t>1,923</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11,610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4,055</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3,403</w:t>
            </w:r>
          </w:p>
        </w:tc>
        <w:tc>
          <w:tcPr>
            <w:tcW w:w="40" w:type="dxa"/>
            <w:vAlign w:val="bottom"/>
          </w:tcPr>
          <w:p>
            <w:pPr>
              <w:spacing w:after="0"/>
              <w:rPr>
                <w:sz w:val="18"/>
                <w:szCs w:val="18"/>
                <w:color w:val="auto"/>
              </w:rPr>
            </w:pPr>
          </w:p>
        </w:tc>
      </w:tr>
      <w:tr>
        <w:trPr>
          <w:trHeight w:val="248"/>
        </w:trPr>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(1,299)</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17,651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767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1"/>
        </w:trPr>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60" w:type="dxa"/>
            <w:vAlign w:val="bottom"/>
          </w:tcPr>
          <w:p>
            <w:pPr>
              <w:spacing w:after="0"/>
              <w:rPr>
                <w:sz w:val="17"/>
                <w:szCs w:val="17"/>
                <w:color w:val="auto"/>
              </w:rPr>
            </w:pPr>
          </w:p>
        </w:tc>
        <w:tc>
          <w:tcPr>
            <w:tcW w:w="96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gridSpan w:val="2"/>
          </w:tcPr>
          <w:p>
            <w:pPr>
              <w:spacing w:after="0"/>
              <w:rPr>
                <w:sz w:val="17"/>
                <w:szCs w:val="17"/>
                <w:color w:val="auto"/>
              </w:rPr>
            </w:pPr>
          </w:p>
        </w:tc>
      </w:tr>
      <w:tr>
        <w:trPr>
          <w:trHeight w:val="238"/>
        </w:trPr>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w w:val="92"/>
              </w:rPr>
              <w:t>34,945</w:t>
            </w:r>
          </w:p>
        </w:tc>
        <w:tc>
          <w:tcPr>
            <w:tcW w:w="2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36,984</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26,256</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center"/>
              <w:ind w:left="470"/>
              <w:spacing w:after="0" w:line="191" w:lineRule="exact"/>
              <w:rPr>
                <w:sz w:val="20"/>
                <w:szCs w:val="20"/>
                <w:color w:val="auto"/>
              </w:rPr>
            </w:pPr>
            <w:r>
              <w:rPr>
                <w:rFonts w:ascii="Times New Roman" w:cs="Times New Roman" w:eastAsia="Times New Roman" w:hAnsi="Times New Roman"/>
                <w:sz w:val="18"/>
                <w:szCs w:val="18"/>
                <w:color w:val="auto"/>
                <w:w w:val="93"/>
              </w:rPr>
              <w:t>4,116</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30,372</w:t>
            </w:r>
          </w:p>
        </w:tc>
        <w:tc>
          <w:tcPr>
            <w:tcW w:w="60" w:type="dxa"/>
            <w:vAlign w:val="bottom"/>
            <w:gridSpan w:val="2"/>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12,338</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10,709</w:t>
            </w:r>
          </w:p>
        </w:tc>
        <w:tc>
          <w:tcPr>
            <w:tcW w:w="16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11,426</w:t>
            </w:r>
          </w:p>
        </w:tc>
        <w:tc>
          <w:tcPr>
            <w:tcW w:w="40" w:type="dxa"/>
            <w:vAlign w:val="bottom"/>
          </w:tcPr>
          <w:p>
            <w:pPr>
              <w:spacing w:after="0"/>
              <w:rPr>
                <w:sz w:val="18"/>
                <w:szCs w:val="18"/>
                <w:color w:val="auto"/>
              </w:rPr>
            </w:pPr>
          </w:p>
        </w:tc>
      </w:tr>
      <w:tr>
        <w:trPr>
          <w:trHeight w:val="248"/>
        </w:trPr>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(2,100)</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47,283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8"/>
              </w:rPr>
              <w:t>2,733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9"/>
                <w:szCs w:val="19"/>
                <w:color w:val="auto"/>
              </w:rPr>
            </w:pPr>
          </w:p>
        </w:tc>
        <w:tc>
          <w:tcPr>
            <w:tcW w:w="22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60" w:type="dxa"/>
            <w:vAlign w:val="bottom"/>
            <w:gridSpan w:val="2"/>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-2536825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-2253615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-1199515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-916940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60" w:space="720"/>
            <w:col w:w="79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11,190</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16,328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7,370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19,507</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21,068</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Inc., a privately-held Russian company, which manufactures high precision quartz resonators and crystal oscillators. The Company has also previously licensed certain technology to Morion.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However, due to the Russia Ukraine conflict and resulting sanctions the future status of FEI’s investment in Morion became uncertain and accordingly, such investment was entirely written off in fiscal year 2022. Accordingly, the carrying value of this investment was $0 as of January 31, 2025 and April 30, 2024.</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January 31, 2025, the Company did not acquire any product from Morion. During the three and nine months ended January 31, 2024, the Company acquired product from Morion in the aggregate amount of approximately $89,000 for both periods. During the three and nine months ended January 31, 2025 and 2024, the Company did not receive dividends from Morion.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purchases of materials from Morion consisted mainly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RESTRICTED CASH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2025, restricted cash consisted of approximately $1.4 million primarily related to a letter of credit required for contractual restrictions during the period of performance for one of the Company’s contracts. As of April 30, 2024, restricted cash consisted of approximately $945,000 related to a letter of credit required for contractual restrictions during the period of performance for one of the Company’s contracts. Restricted cash is classified as current or non-current based on the remaining performance period of the contract.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6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80" w:type="dxa"/>
            <w:vAlign w:val="bottom"/>
            <w:shd w:val="clear" w:color="auto" w:fill="CCEEFF"/>
          </w:tcPr>
          <w:p>
            <w:pPr>
              <w:spacing w:after="0"/>
              <w:rPr>
                <w:sz w:val="18"/>
                <w:szCs w:val="18"/>
                <w:color w:val="auto"/>
              </w:rPr>
            </w:pPr>
          </w:p>
        </w:tc>
      </w:tr>
      <w:tr>
        <w:trPr>
          <w:trHeight w:val="230"/>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which expands on the required disclosure of incremental segment information. The new guidance is effective for fiscal years beginning after December 15, 2023, and interim periods within fiscal years beginning after December 15, 2024, with early adoption permitted. The Company is evaluating the effect on its consolidated financial statements when adopted in fiscal year 2025 but does not expect the effect to be material.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is in the process of evaluating the impact that the adoption of ASU 2023-09 will have to the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DEFERRED 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During the three months ended January 31, 2025, the Company reduced its valuation allowance and recognized a discrete tax benefit of $11.8 million, resulting in an income tax benefit of 330.6% and 132.8% for the three and nine months ended January 31, 2025. A significant component of objective evidence evaluated was the cumulative income or loss incurred over the three-year period ended January 31, 2025. We considered other positive evidence in determining the need for a valuation allowance including utilization of net operating loss carryforwards and a reduction of the net deferred tax asset, our backlog, and sufficient projections of future taxable income that support the more-likely-than-not realization of the existing deferred tax asset and the remaining net operating loss carryforward. The weight of this positive evidence is sufficient to outweigh other negative evidence in evaluating our need for a valuation allowance. As a result of the positive evidence outweighing the negative evidence for the period ended January 31, 2025, we released the valuation allowance on the U.S. federal and state deferred tax items that the Company expects to realize.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2025, the Company maintains a valuation allowance of $1.3 million against certain deferred tax assets including state tax credits and capital losses because the realization of these tax attributes requires sufficient taxable income be sourced to the respective state jurisdiction and capital gain income is required to utilize capital losses. If these estimates and assumptions change in the future, the Company may be required to adjust its existing valuation allowance resulting in changes to deferred income tax expense.</w:t>
      </w:r>
    </w:p>
    <w:p>
      <w:pPr>
        <w:sectPr>
          <w:pgSz w:w="11900" w:h="16838" w:orient="portrait"/>
          <w:cols w:equalWidth="0" w:num="1">
            <w:col w:w="11240"/>
          </w:cols>
          <w:pgMar w:left="320" w:top="229" w:right="339" w:bottom="1055"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05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Other sections of this Form 10-Q and in Part I, Item 1A (Risk Factors) of the Company’s Annual Report on Form 10-K for the fiscal year ended April 30, 2024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nine months ended January 31,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significant judgment is required in determining our provision for income taxes, our deferred tax assets and liabilities and any valuation allowance recorded against our net deferred tax assets that are not more likely than not to be realized. We monitor the realizability of our deferred tax assets taking into account all relevant factors at each reporting period. In completing our assessment of realizability of our deferred tax assets, we consider our history of income (loss)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provision for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nine months ended January 31, 2025 and 2024, respectively, the percentage of consolidated revenues represented by certain items in the Company’s condensed consolidated statements of operations or notes to the condensed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4"/>
          </w:tcPr>
          <w:p>
            <w:pPr>
              <w:ind w:left="22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4"/>
          </w:tcPr>
          <w:p>
            <w:pPr>
              <w:jc w:val="right"/>
              <w:ind w:right="213"/>
              <w:spacing w:after="0"/>
              <w:rPr>
                <w:sz w:val="20"/>
                <w:szCs w:val="20"/>
                <w:color w:val="auto"/>
              </w:rPr>
            </w:pPr>
            <w:r>
              <w:rPr>
                <w:rFonts w:ascii="Times New Roman" w:cs="Times New Roman" w:eastAsia="Times New Roman" w:hAnsi="Times New Roman"/>
                <w:sz w:val="18"/>
                <w:szCs w:val="18"/>
                <w:color w:val="auto"/>
              </w:rPr>
              <w:t>26.6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56.2</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17.9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vMerge w:val="continue"/>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4"/>
          </w:tcPr>
          <w:p>
            <w:pPr>
              <w:jc w:val="right"/>
              <w:ind w:right="213"/>
              <w:spacing w:after="0"/>
              <w:rPr>
                <w:sz w:val="20"/>
                <w:szCs w:val="20"/>
                <w:color w:val="auto"/>
              </w:rPr>
            </w:pPr>
            <w:r>
              <w:rPr>
                <w:rFonts w:ascii="Times New Roman" w:cs="Times New Roman" w:eastAsia="Times New Roman" w:hAnsi="Times New Roman"/>
                <w:sz w:val="18"/>
                <w:szCs w:val="18"/>
                <w:color w:val="auto"/>
              </w:rPr>
              <w:t>0.6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(62.5)</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gridSpan w:val="6"/>
          </w:tcPr>
          <w:p>
            <w:pPr>
              <w:jc w:val="right"/>
              <w:ind w:right="12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2,853</w:t>
            </w:r>
          </w:p>
        </w:tc>
        <w:tc>
          <w:tcPr>
            <w:tcW w:w="120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5,027</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3,403</w:t>
            </w:r>
          </w:p>
        </w:tc>
        <w:tc>
          <w:tcPr>
            <w:tcW w:w="5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1,624</w:t>
            </w:r>
          </w:p>
        </w:tc>
        <w:tc>
          <w:tcPr>
            <w:tcW w:w="1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13,858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11,426</w:t>
            </w:r>
          </w:p>
        </w:tc>
        <w:tc>
          <w:tcPr>
            <w:tcW w:w="14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(1,299)</w:t>
            </w:r>
          </w:p>
        </w:tc>
        <w:tc>
          <w:tcPr>
            <w:tcW w:w="5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1200" w:type="dxa"/>
            <w:vAlign w:val="bottom"/>
            <w:tcBorders>
              <w:right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39,698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three months ended January 31, 2025, revenues from commercial and U.S. Government communication satellite programs accounted for approximately 59% of consolidated revenues compared to approximately 50% of consolidated revenues during this same period in the prior fiscal year. Revenues are recognized primarily over time under the percentage-of-completion (“POC”) method. Revenues from the satellite market are recorded in the FEI-NY segment. Revenues from non-space U.S. Government/Department of Defense (“DOD”) customers, which are recorded in both the FEI-NY and FEI-Zyfer segments, accounted for approximately 39% of consolidated revenues for the three months ended January, 31, 2025 compared to approximately 44% of consolidated revenue during the same period in the prior fiscal year. Other commercial and industrial revenues for the three months ended January 31, 2025 accounted for approximately 2% of consolidated revenue compared to 7% in the same period of the prior fiscal year. The significant increase in revenue for the quarter ended January 31, 2025, compared to the same quarter in the previous fiscal year, was reflected in both the FEI-NY and FEI-Zyfer segments and was related to an increase of approximately $4.4 million in sales to U.S. Government space customers and an increase of approximately $1.4 million in sales to Government non-space customers, partially offset by a decrease of approximately $0.6 million in other commercial and industrial revenues.</w:t>
      </w:r>
    </w:p>
    <w:p>
      <w:pPr>
        <w:sectPr>
          <w:pgSz w:w="11900" w:h="16838" w:orient="portrait"/>
          <w:cols w:equalWidth="0" w:num="1">
            <w:col w:w="11240"/>
          </w:cols>
          <w:pgMar w:left="320" w:top="229" w:right="339" w:bottom="542"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54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nine months ended January 31, 2025, revenues from commercial and U.S. Government communication satellite programs accounted for approximately 58% of consolidated revenues compared to approximately 41% of consolidated revenues during this same period in the prior fiscal year. Revenues from non-space U.S. Government/DOD customers accounted for approximately 39% of consolidated revenues for the nine months ended January, 31, 2025 compared to approximately 53% of consolidated revenue during the same period in the prior fiscal year. Other commercial and industrial revenues for the nine months ended January 31, 2025 accounted for approximately 3% of consolidated revenue compared to 6% in the same period of the prior fiscal year. The significant increase in revenue for the nine month period ended January 31, 2025, compared to the same period in the previous fiscal year, and was reflected predominately in U.S. Government satellite programs.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08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1"/>
        </w:trPr>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40" w:type="dxa"/>
            <w:vAlign w:val="bottom"/>
            <w:gridSpan w:val="6"/>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5,181</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10,301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 rate</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January 31, 2025, both gross margin (“GM”) and GM rate increased compared to the same period in the prior fiscal year. The increase in GM was mainly due to an increase in revenue and the GM rate increase was mainly attributable to a large space program that completed a major milestone in its production. The completed milestone, and related mitigation of risk, resulted in a higher GM on this program for the quarter. For the nine months ended January 31, 2025, both GM and GM Rate increased compared to the same period in the prior fiscal year. This is partially due to the large space program mentioned above that completed major milestones during the nine months ended January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Selling, General, and Administrative Expenses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1"/>
        </w:trPr>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4"/>
          </w:tcPr>
          <w:p>
            <w:pPr>
              <w:jc w:val="center"/>
              <w:ind w:left="5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761</w:t>
            </w:r>
          </w:p>
        </w:tc>
        <w:tc>
          <w:tcPr>
            <w:tcW w:w="11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29.1%</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2,141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January 31, 2025 and 2024, selling, general, and administrative (“SG&amp;A”) expenses were approximately 18% and 19%, respectively, of consolidated revenues. For the nine months ended January 31, 2025 and 2024, SG&amp;A expenses were approximately 19%, of consolidated revenues in both periods. The increase in SG&amp;A expense during the three and nine months ended January 31, 2025, was mainly related to an increase in payroll related expenses including stock compensation and incentive accruals based upon Company performance, costs from the re-alignment of employees from overhead to SG&amp;A, and costs related to Frequency Electronics’ first Quantum Summit in October 2024. The Company believes the costs related to SG&amp;A will remain fairly consistent throughout the remainder of fiscal year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gridSpan w:val="4"/>
          </w:tcPr>
          <w:p>
            <w:pPr>
              <w:jc w:val="center"/>
              <w:ind w:left="6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478</w:t>
            </w:r>
          </w:p>
        </w:tc>
        <w:tc>
          <w:tcPr>
            <w:tcW w:w="11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49.9%</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2,232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change in R&amp;D expenditures for the three and nine months ended January 31, 2025, as compared to the prior year periods, was primarily due to a focus on advances and modernization of products. The Company plans to continue to invest in R&amp;D in the future to keep its products at the state of the art, however, we expect the actual quarterly spend to vary.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1"/>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(833.4)%</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5,928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January 31, 2025, operating income increased due to higher revenue and GM percentage, partially offset by higher R&amp;D expenses. The increase is partially due to a large space program that completed major milestones in its production during the nine months ended January 31, 2025, as discussed above, however, the increase is also the result of the successful efforts of the Company to complete complex programs and to work more efficiently in bidding, building and testing our products. The Company believes the improved operating income results for the first nine months of this fiscal year are a tangible outcome of these efforts. The Company seeks to continue to implement changes to further improve its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66"/>
        </w:trPr>
        <w:tc>
          <w:tcPr>
            <w:tcW w:w="22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6"/>
          </w:tcPr>
          <w:p>
            <w:pPr>
              <w:jc w:val="right"/>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2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09"/>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0"/>
              </w:rPr>
              <w:t>(81.6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income can come from reclaiming of metal, refunds, interest on deferred trust assets, or the sale of a fixed asset. Interest expense is related to the deferred compensation payments made to retired employees. The majority of the approximately $0.1 million and $0.6 million of investment income for the three and nine months ended January 31, 2025, respectively, was from interest income and unrealized gains on assets held in the Frequency Electronics, Inc. Deferred Compensation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Provision for Income Tax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0" w:type="dxa"/>
            <w:vAlign w:val="bottom"/>
            <w:gridSpan w:val="7"/>
          </w:tcPr>
          <w:p>
            <w:pPr>
              <w:jc w:val="center"/>
              <w:ind w:right="7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7"/>
              </w:rPr>
              <w:t>(11,830)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(197,166.7)%</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(60,900.0)%</w:t>
            </w:r>
          </w:p>
        </w:tc>
      </w:tr>
      <w:tr>
        <w:trPr>
          <w:trHeight w:val="445"/>
        </w:trPr>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09"/>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8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09"/>
        </w:trPr>
        <w:tc>
          <w:tcPr>
            <w:tcW w:w="3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Effective tax rate on pre-tax book income (loss):</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547"/>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evaluates whether it is more likely than not (more than 50%) that some portion or all of the deferred tax assets will be realized. The ultimate realization of deferred tax assets is dependent upon the generation of future taxable income in those periods in which temporary differences become deductible and/or net operating losses can be utilized. The Company assesses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Concluding that a valuation allowance is not needed is difficult when there is significant negative evidence such as cumulative losses in recent years.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change in estimate occurred in Q3 2025 because Frequency no longer has cumulative losses in recent years due to significant earnings in Q3 2025. The positive evidence that led to the Q3 2025 release of the valuation allowance includes (i) objectively verifiable cumulative earnings as of January 31, 2025, (ii) utilization of net operating loss carryforwards and a reduction of the net deferred tax asset, (iii) a backlog of $73 million, and (iv) sufficient projections of future taxable income that support the more-likely-than-not realization of the existing deferred tax asset and the remaining net operating loss carryforward. The projections of future taxable income are considered objectively verifiable positive evidence because the Company has demonstrated a sustained return to profitability as of Q3 2025. The Company maintains a valuation allowance of $1.3 million against certain deferred tax assets including state tax credits and capital loss carryforwards because the realization of these tax attributes requires sufficient taxable income be sourced to the respective state jurisdiction and capital gain income is required to utilize capital losses. The Company will continue to evaluate the realizability of its net deferred tax assets quarterly. Any further increases or decreases in the valuation allowance could have an unfavorable or favorable impact on the Company’s income tax provision and net income in the period in which such determination is made. As of January 31, 2025, the deferred tax asset is recorded at its more-likely-than-not realizable amount.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accounting for income taxes guidance, the change in the valuation allowance may be reflected in the annual estimated effective tax rate or recognized discretely in the interim period, or both. The Company recognized the reduction in the valuation allowance in both the annual estimated effective tax rate and discretely in Q3 2025. The estimated annual effective tax rate for the fiscal year ending April 30, 2025 is 3.54%. This calculation reflects estimated income tax expense based on our current year annual pretax income forecast which is offset by the estimated change in the current year valuation allowance. During the three months ended January 31, 2025, the Company reduced its valuation allowance and recognized a discrete income tax benefit of $11.8 million resulting in an income tax benefit of 330.6% and 132.8% for the three and nine months ended January 31, 2025.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January 31, 2025, the Company recorded an income tax benefit of $11.8 million which includes a discrete tax income benefit of $11.9 million. The discrete tax benefit is primarily due to the reduction in the valuation allowance. The calculation of the overall income tax benefit consists of a discrete tax benefit for the release of the valuation allowance offset by current U.S. federal and state income taxes. For the three months ended January 31, 2024, the Company recorded an income tax provision of $6,000.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January 31, 2025, the Company recorded an income tax benefit of $11.6 million which includes a discrete tax benefit of $11.9 million. The calculation of the overall income tax provision consists of a discrete tax benefit for the release of the valuation allowance offset by current U.S. federal and state income taxes. For the nine months ended January 31, 2024, the Company recorded an income tax provision of $19,000.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January 31, 2025 was an income tax benefit of 330.2% on pretax income of $3.6 million compared to an income tax provision of 4.4% on pretax income of $0.1 million in the comparable prior fiscal year period. The effective tax rate for the three months ended January 31, 2025 differs from the U.S. federal statutory rate of 21% primarily due to the release of the valuation allowance.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nine months ended January 31, 2025 was an income tax benefit of 129.3% on pretax income of $8.9 million compared to an income tax provision of 0.6% on pretax income of $3.0 million in the comparable prior fiscal year period. The effective tax rate for the nine months ended January 31, 2025 differs from the U.S. federal statutory rate of 21% primarily due to the release of the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$27.3 million at January 31, 2025 and at April 30, 2024. Included in working capital at January 31, 2025 and April 30, 2024 was $5.5 million and $18.3 million, respectively, of cash and cash equivalents. The Company’s current ratio was 2.2 to 1 at January 31, 2025 compared to 1.9 to 1 as of April 30, 2024.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January 31, 2025 was approximately $1.3 million and net cash provided by operating activities for the nine months ended January 31, 2024 was approximately $1.2 million. The increase in net cash used in operating activities in the first nine months of fiscal 2025 as compared to the prior fiscal year period was primarily due to an increase in operating income offset by increases in deferred tax assets, accounts receivable, and inventories levels. For the nine months ended January 31, 2025 and 2024, the Company incurred approximately $4.2 million and $3.1 million, respectively, of non-cash operating expenses including amortization of ROU assets, depreciation and amortization, inventory net realizable value adjustments, deferred compensation, and accruals for employee benefit programs.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January 31, 2025 and 2024 was approximately $1.2 million and $0.7 million, respectively. The Company acquired property, plant, and equipment in the amount of approximately $1.2 million and $0.7 million for the nine month periods ended January 31, 2025 and 2024,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January 31, 2025 was $9.9 million, of which $9.6 million was related to a special cash dividend payment of $1.00 per share of common stock paid on August 29, 2024. There were no financing activities for the nine months ended January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$5.0 million worth of shares of its common stock when appropriate opportunities arise. During the nine months ended January 31, 2025, the Company acquired 24,264 shares, at a weighted average share price of $15.55 per share, from withholdings pursuant to RSU tax repayments. As of January 31, 2025, the Company has repurchased approximately $3.9 million of its common stock out of the $5.0 million authorization. For the nine months ended January 31, 2024, there were no repurchases of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January 31, 2025, the Company’s consolidated funded backlog was approximately $73 million compared to approximately $78 million at April 30, 2024. Approximately 65% of the backlog, as of January 31, 2025,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March 17, 2026 and its long-term operation and investment needs for the foreseeable future thereafter.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because of the material weakness in internal control over financial reporting disclosed below, as of January 31, 2025, the Company’s disclosure controls and procedures were not effective at a reasonable assurance level.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Weakness on Internal Control Over Financial Reporting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April 30, 2024. In making this assessment, management used the criteria established in Internal Control—Integrated Framework (2013) issued by the Committee of Sponsoring Organizations of the Treadway Commission. Based on this evaluation, the Company’s management concluded that the Company’s internal control over financial reporting was not effective as of April 30, 2024, because of the material weakness in internal control over financial reporting discussed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course of preparing the Company’s consolidated financial statements as of April 30, 2024 and for the year then ended, management identified a material weakness in internal control over the calculation of loss provision accruals in contracts with customers. The Company’s controls over loss provision accruals were not sufficiently designed to capture previously recognized contract losses when calculating the required balance of loss provision accruals as of the end of the reporting period. The errors resulting from this material weakness did not cause material misstatements in previously issued annual or interim financial statements. Such errors were corrected prior to the issuance of the Company’s consolidated financial statements as of April 30, 2024 and for the year then ended. If not remediated timely, the deficiency described above could result in a material misstatement to the future annual or interim consolidated financial statements.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concluded that the item noted above constituted a material weakness in the Company’s internal control over financial reporting as of April 30,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 described above, management believes that the audited consolidated financial statements included in the Form 10-K fairly presented, in all material respects, our financial position, results of operations and cash flows as of and for the periods presented, in conformity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to Remediate Material Weakness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currently in the process of remediating the material weakness and has taken actions to address the underlying causes of the material weakness including improving controls over the calculation of loss provision accruals. The Company has updated its method of calculating loss provision accruals by considering previously recognized contract losses. The Company has also started to implement enhanced review, reconciliation, and monitoring controls over loss provision accruals and its underlying calculations. The Company intends to remediate these deficiencies as soon as possible and believes these actions will be sufficient to remediate the identified material weaknesses and strengthen the Company’s internal control over financial reporting. As the Company continues to evaluate and improve its internal control over financial reporting, management may determine that additional measures or modifications to the remediation plan are necessary to address the material weakness. Moreover, the Company cannot provide assurance that additional material weaknesses will not arise in the future.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 the process of implementing certain changes to our internal control over financial reporting to remediate the material weaknesses discussed above. Except as noted above, there have been no changes in the Company’s internal control over financial reporting (as such term is defined in Rules 13a-15(f) and 15d-15(f) under the Exchange Act) during the fiscal quarter ended January 31, 2025 that has materially affected, or are reasonably likely to materially affect, the Company’s internal control over financial reporting.</w:t>
      </w:r>
    </w:p>
    <w:p>
      <w:pPr>
        <w:sectPr>
          <w:pgSz w:w="11900" w:h="16838" w:orient="portrait"/>
          <w:cols w:equalWidth="0" w:num="1">
            <w:col w:w="11240"/>
          </w:cols>
          <w:pgMar w:left="320" w:top="229" w:right="33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2005 the Company was authorized by the Board of Directors to repurchase up to $5.0 million worth of shares of its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share-repurchase activity for the quarter ended January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that may</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part of</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4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the publicly</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under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plan or</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plan or</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1 - 30, 2024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1,350,172</w:t>
            </w:r>
          </w:p>
        </w:tc>
        <w:tc>
          <w:tcPr>
            <w:tcW w:w="80" w:type="dxa"/>
            <w:vAlign w:val="bottom"/>
          </w:tcPr>
          <w:p>
            <w:pPr>
              <w:spacing w:after="0"/>
              <w:rPr>
                <w:sz w:val="18"/>
                <w:szCs w:val="18"/>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1,138,718</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with respect to stock-based awards to satisfy required tax withholding obligations for the months of November 2024 and January 2025. There were no shares withheld or otherwise repurchased during the month of December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January 31, 2025,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 as adopted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 as adopted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640" w:type="dxa"/>
            <w:vAlign w:val="bottom"/>
            <w:gridSpan w:val="2"/>
          </w:tcPr>
          <w:p>
            <w:pPr>
              <w:spacing w:after="0"/>
              <w:rPr>
                <w:sz w:val="17"/>
                <w:szCs w:val="17"/>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January 31, 2025</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formatted in eXtensible Business Reporting Language (XBRL): (i) Cover Page, (ii) Condensed Consolidated Balance Sheets, (iii)</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(iv) Condensed Consolidated Statements of Cash</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Flows, (v) Condensed Consolidated Statements of Changes in Stockholders’ Equity and (vi) Notes to Condensed Consolidated Financial</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The instance document does not appear in the Interactive Data File because its XBRL tags are embedded within Inline XBRL</w:t>
            </w:r>
          </w:p>
        </w:tc>
      </w:tr>
      <w:tr>
        <w:trPr>
          <w:trHeight w:val="234"/>
        </w:trPr>
        <w:tc>
          <w:tcPr>
            <w:tcW w:w="114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2025</w:t>
      </w:r>
    </w:p>
    <w:p>
      <w:pPr>
        <w:spacing w:after="0" w:line="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March 17, 2025</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260" w:type="dxa"/>
            <w:vAlign w:val="bottom"/>
          </w:tcPr>
          <w:p>
            <w:pPr>
              <w:spacing w:after="0"/>
              <w:rPr>
                <w:sz w:val="16"/>
                <w:szCs w:val="16"/>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March 17, 2025</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2260" w:type="dxa"/>
            <w:vAlign w:val="bottom"/>
          </w:tcPr>
          <w:p>
            <w:pPr>
              <w:spacing w:after="0"/>
              <w:rPr>
                <w:sz w:val="16"/>
                <w:szCs w:val="16"/>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26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2025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17, 2025</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26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2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2025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22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March 17, 2025</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226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2)"/>
      <w:numFmt w:val="decimal"/>
      <w:start w:val="12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2025-03-17T15:50:48Z</dcterms:created>
  <dcterms:modified xsi:type="dcterms:W3CDTF">2025-03-17T15:50:48Z</dcterms:modified>
</cp:coreProperties>
</file>