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1700" w:right="2619" w:hanging="428"/>
        <w:spacing w:after="0" w:line="235" w:lineRule="auto"/>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 (d) OF THE SECURITIES EXCHANGE ACT OF 1934</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For the Quarterly Period ended July 31, 2004</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4" w:lineRule="exact"/>
        <w:rPr>
          <w:sz w:val="24"/>
          <w:szCs w:val="24"/>
          <w:color w:val="auto"/>
        </w:rPr>
      </w:pPr>
    </w:p>
    <w:p>
      <w:pPr>
        <w:ind w:left="1700" w:right="2519" w:hanging="428"/>
        <w:spacing w:after="0" w:line="235" w:lineRule="auto"/>
        <w:tabs>
          <w:tab w:leader="none" w:pos="148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 (d) OF THE SECURITIES EXCHANGE ACT OF 1934</w:t>
      </w:r>
    </w:p>
    <w:p>
      <w:pPr>
        <w:spacing w:after="0" w:line="1" w:lineRule="exact"/>
        <w:rPr>
          <w:rFonts w:ascii="Courier New" w:cs="Courier New" w:eastAsia="Courier New" w:hAnsi="Courier New"/>
          <w:sz w:val="18"/>
          <w:szCs w:val="18"/>
          <w:color w:val="auto"/>
        </w:rPr>
      </w:pP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the transition period from __________ to __________</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Commission File No. 1-8061</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FREQUENCY ELECTRONICS,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120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Delaware</w:t>
            </w: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90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11-1986657</w:t>
            </w:r>
          </w:p>
        </w:tc>
        <w:tc>
          <w:tcPr>
            <w:tcW w:w="1160" w:type="dxa"/>
            <w:vAlign w:val="bottom"/>
          </w:tcPr>
          <w:p>
            <w:pPr>
              <w:spacing w:after="0"/>
              <w:rPr>
                <w:sz w:val="17"/>
                <w:szCs w:val="17"/>
                <w:color w:val="auto"/>
              </w:rPr>
            </w:pPr>
          </w:p>
        </w:tc>
      </w:tr>
      <w:tr>
        <w:trPr>
          <w:trHeight w:val="203"/>
        </w:trPr>
        <w:tc>
          <w:tcPr>
            <w:tcW w:w="35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480" w:type="dxa"/>
            <w:vAlign w:val="bottom"/>
          </w:tcPr>
          <w:p>
            <w:pPr>
              <w:spacing w:after="0"/>
              <w:rPr>
                <w:sz w:val="17"/>
                <w:szCs w:val="17"/>
                <w:color w:val="auto"/>
              </w:rPr>
            </w:pPr>
          </w:p>
        </w:tc>
        <w:tc>
          <w:tcPr>
            <w:tcW w:w="43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(I.R.S. Employer Identification No.)</w:t>
            </w:r>
          </w:p>
        </w:tc>
      </w:tr>
      <w:tr>
        <w:trPr>
          <w:trHeight w:val="203"/>
        </w:trPr>
        <w:tc>
          <w:tcPr>
            <w:tcW w:w="3580" w:type="dxa"/>
            <w:vAlign w:val="bottom"/>
            <w:gridSpan w:val="4"/>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incorporation or organization)</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5380" w:type="dxa"/>
            <w:vAlign w:val="bottom"/>
            <w:gridSpan w:val="7"/>
          </w:tcPr>
          <w:p>
            <w:pPr>
              <w:spacing w:after="0"/>
              <w:rPr>
                <w:sz w:val="20"/>
                <w:szCs w:val="20"/>
                <w:color w:val="auto"/>
              </w:rPr>
            </w:pPr>
            <w:r>
              <w:rPr>
                <w:rFonts w:ascii="Courier New" w:cs="Courier New" w:eastAsia="Courier New" w:hAnsi="Courier New"/>
                <w:sz w:val="18"/>
                <w:szCs w:val="18"/>
                <w:color w:val="auto"/>
              </w:rPr>
              <w:t>55 CHARLES LINDBERGH BLVD., MITCHEL FIELD, N.Y.</w:t>
            </w:r>
          </w:p>
        </w:tc>
        <w:tc>
          <w:tcPr>
            <w:tcW w:w="68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11553</w:t>
            </w:r>
          </w:p>
        </w:tc>
        <w:tc>
          <w:tcPr>
            <w:tcW w:w="1160" w:type="dxa"/>
            <w:vAlign w:val="bottom"/>
          </w:tcPr>
          <w:p>
            <w:pPr>
              <w:spacing w:after="0"/>
              <w:rPr>
                <w:sz w:val="24"/>
                <w:szCs w:val="24"/>
                <w:color w:val="auto"/>
              </w:rPr>
            </w:pPr>
          </w:p>
        </w:tc>
      </w:tr>
      <w:tr>
        <w:trPr>
          <w:trHeight w:val="203"/>
        </w:trPr>
        <w:tc>
          <w:tcPr>
            <w:tcW w:w="35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(Address of principal executive</w:t>
            </w:r>
          </w:p>
        </w:tc>
        <w:tc>
          <w:tcPr>
            <w:tcW w:w="1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offices)</w:t>
            </w:r>
          </w:p>
        </w:tc>
        <w:tc>
          <w:tcPr>
            <w:tcW w:w="640" w:type="dxa"/>
            <w:vAlign w:val="bottom"/>
          </w:tcPr>
          <w:p>
            <w:pPr>
              <w:spacing w:after="0"/>
              <w:rPr>
                <w:sz w:val="17"/>
                <w:szCs w:val="17"/>
                <w:color w:val="auto"/>
              </w:rPr>
            </w:pPr>
          </w:p>
        </w:tc>
        <w:tc>
          <w:tcPr>
            <w:tcW w:w="1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(Zip Code)</w:t>
            </w:r>
          </w:p>
        </w:tc>
        <w:tc>
          <w:tcPr>
            <w:tcW w:w="1160" w:type="dxa"/>
            <w:vAlign w:val="bottom"/>
          </w:tcPr>
          <w:p>
            <w:pPr>
              <w:spacing w:after="0"/>
              <w:rPr>
                <w:sz w:val="17"/>
                <w:szCs w:val="17"/>
                <w:color w:val="auto"/>
              </w:rPr>
            </w:pPr>
          </w:p>
        </w:tc>
      </w:tr>
      <w:tr>
        <w:trPr>
          <w:trHeight w:val="608"/>
        </w:trPr>
        <w:tc>
          <w:tcPr>
            <w:tcW w:w="4740" w:type="dxa"/>
            <w:vAlign w:val="bottom"/>
            <w:gridSpan w:val="6"/>
          </w:tcPr>
          <w:p>
            <w:pPr>
              <w:spacing w:after="0"/>
              <w:rPr>
                <w:sz w:val="20"/>
                <w:szCs w:val="20"/>
                <w:color w:val="auto"/>
              </w:rPr>
            </w:pPr>
            <w:r>
              <w:rPr>
                <w:rFonts w:ascii="Courier New" w:cs="Courier New" w:eastAsia="Courier New" w:hAnsi="Courier New"/>
                <w:sz w:val="18"/>
                <w:szCs w:val="18"/>
                <w:color w:val="auto"/>
                <w:w w:val="97"/>
              </w:rPr>
              <w:t>Registrant's telephone number, including area</w:t>
            </w:r>
          </w:p>
        </w:tc>
        <w:tc>
          <w:tcPr>
            <w:tcW w:w="25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code: 516-794-4500</w:t>
            </w:r>
          </w:p>
        </w:tc>
        <w:tc>
          <w:tcPr>
            <w:tcW w:w="1160" w:type="dxa"/>
            <w:vAlign w:val="bottom"/>
          </w:tcPr>
          <w:p>
            <w:pPr>
              <w:spacing w:after="0"/>
              <w:rPr>
                <w:sz w:val="24"/>
                <w:szCs w:val="24"/>
                <w:color w:val="auto"/>
              </w:rPr>
            </w:pPr>
          </w:p>
        </w:tc>
      </w:tr>
      <w:tr>
        <w:trPr>
          <w:trHeight w:val="405"/>
        </w:trPr>
        <w:tc>
          <w:tcPr>
            <w:tcW w:w="3580" w:type="dxa"/>
            <w:vAlign w:val="bottom"/>
            <w:gridSpan w:val="4"/>
          </w:tcPr>
          <w:p>
            <w:pPr>
              <w:spacing w:after="0"/>
              <w:rPr>
                <w:sz w:val="20"/>
                <w:szCs w:val="20"/>
                <w:color w:val="auto"/>
              </w:rPr>
            </w:pPr>
            <w:r>
              <w:rPr>
                <w:rFonts w:ascii="Courier New" w:cs="Courier New" w:eastAsia="Courier New" w:hAnsi="Courier New"/>
                <w:sz w:val="18"/>
                <w:szCs w:val="18"/>
                <w:color w:val="auto"/>
                <w:w w:val="96"/>
              </w:rPr>
              <w:t>Indicate by check mark whether the</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Registrant</w:t>
            </w:r>
          </w:p>
        </w:tc>
        <w:tc>
          <w:tcPr>
            <w:tcW w:w="370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(1) has filed all reports required</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 filed</w:t>
            </w: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by  Section</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c>
          <w:tcPr>
            <w:tcW w:w="5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or 15</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 of the</w:t>
            </w:r>
          </w:p>
        </w:tc>
        <w:tc>
          <w:tcPr>
            <w:tcW w:w="1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Securities</w:t>
            </w: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Exchange</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Act of 1934</w:t>
            </w:r>
          </w:p>
        </w:tc>
      </w:tr>
      <w:tr>
        <w:trPr>
          <w:trHeight w:val="203"/>
        </w:trPr>
        <w:tc>
          <w:tcPr>
            <w:tcW w:w="35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6"/>
              </w:rPr>
              <w:t>during the preceding 12 months (or</w:t>
            </w:r>
          </w:p>
        </w:tc>
        <w:tc>
          <w:tcPr>
            <w:tcW w:w="180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96"/>
              </w:rPr>
              <w:t>for such shorter</w:t>
            </w:r>
          </w:p>
        </w:tc>
        <w:tc>
          <w:tcPr>
            <w:tcW w:w="1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period that the</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Registrant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was  required</w:t>
            </w: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to file such</w:t>
            </w:r>
          </w:p>
        </w:tc>
        <w:tc>
          <w:tcPr>
            <w:tcW w:w="1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reports),</w:t>
            </w:r>
          </w:p>
        </w:tc>
        <w:tc>
          <w:tcPr>
            <w:tcW w:w="200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and (2) has been</w:t>
            </w:r>
          </w:p>
        </w:tc>
        <w:tc>
          <w:tcPr>
            <w:tcW w:w="2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subject to such filing</w:t>
            </w:r>
          </w:p>
        </w:tc>
      </w:tr>
      <w:tr>
        <w:trPr>
          <w:trHeight w:val="203"/>
        </w:trPr>
        <w:tc>
          <w:tcPr>
            <w:tcW w:w="3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requirements for the past 90</w:t>
            </w:r>
          </w:p>
        </w:tc>
        <w:tc>
          <w:tcPr>
            <w:tcW w:w="5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days.</w:t>
            </w:r>
          </w:p>
        </w:tc>
        <w:tc>
          <w:tcPr>
            <w:tcW w:w="4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Yes X</w:t>
            </w:r>
          </w:p>
        </w:tc>
        <w:tc>
          <w:tcPr>
            <w:tcW w:w="13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No ___</w:t>
            </w: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rPr>
              <w:t>Indicate  by check mark</w:t>
            </w:r>
          </w:p>
        </w:tc>
        <w:tc>
          <w:tcPr>
            <w:tcW w:w="100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whether</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the</w:t>
            </w:r>
          </w:p>
        </w:tc>
        <w:tc>
          <w:tcPr>
            <w:tcW w:w="13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9"/>
              </w:rPr>
              <w:t>registrant</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is an</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w w:val="95"/>
              </w:rPr>
              <w:t>accelerated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filer (as</w:t>
            </w:r>
          </w:p>
        </w:tc>
      </w:tr>
      <w:tr>
        <w:trPr>
          <w:trHeight w:val="203"/>
        </w:trPr>
        <w:tc>
          <w:tcPr>
            <w:tcW w:w="3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defined in Exchange Act Rule</w:t>
            </w:r>
          </w:p>
        </w:tc>
        <w:tc>
          <w:tcPr>
            <w:tcW w:w="17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12 b-2). Yes  No</w:t>
            </w:r>
          </w:p>
        </w:tc>
        <w:tc>
          <w:tcPr>
            <w:tcW w:w="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X</w:t>
            </w: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bl>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APPLICABLE ONLY TO CORPORATE ISSUERS:</w:t>
      </w:r>
    </w:p>
    <w:p>
      <w:pPr>
        <w:spacing w:after="0" w:line="207" w:lineRule="exact"/>
        <w:rPr>
          <w:sz w:val="24"/>
          <w:szCs w:val="24"/>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number of shares outstanding of Registrant's Common Stock, par value $1.00 as of September 9, 2004 - 8,442,831</w:t>
      </w:r>
    </w:p>
    <w:p>
      <w:pPr>
        <w:spacing w:after="0" w:line="200" w:lineRule="exact"/>
        <w:rPr>
          <w:sz w:val="24"/>
          <w:szCs w:val="24"/>
          <w:color w:val="auto"/>
        </w:rPr>
      </w:pPr>
    </w:p>
    <w:p>
      <w:pPr>
        <w:spacing w:after="0" w:line="205"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Page 1 of 20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INDEX</w:t>
            </w:r>
          </w:p>
        </w:tc>
        <w:tc>
          <w:tcPr>
            <w:tcW w:w="1580" w:type="dxa"/>
            <w:vAlign w:val="bottom"/>
          </w:tcPr>
          <w:p>
            <w:pPr>
              <w:spacing w:after="0"/>
              <w:rPr>
                <w:sz w:val="17"/>
                <w:szCs w:val="17"/>
                <w:color w:val="auto"/>
              </w:rPr>
            </w:pPr>
          </w:p>
        </w:tc>
      </w:tr>
      <w:tr>
        <w:trPr>
          <w:trHeight w:val="608"/>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Part I.  Financial Information:</w:t>
            </w:r>
          </w:p>
        </w:tc>
        <w:tc>
          <w:tcPr>
            <w:tcW w:w="2900" w:type="dxa"/>
            <w:vAlign w:val="bottom"/>
          </w:tcPr>
          <w:p>
            <w:pPr>
              <w:spacing w:after="0"/>
              <w:rPr>
                <w:sz w:val="24"/>
                <w:szCs w:val="24"/>
                <w:color w:val="auto"/>
              </w:rPr>
            </w:pPr>
          </w:p>
        </w:tc>
        <w:tc>
          <w:tcPr>
            <w:tcW w:w="1580" w:type="dxa"/>
            <w:vAlign w:val="bottom"/>
          </w:tcPr>
          <w:p>
            <w:pPr>
              <w:jc w:val="center"/>
              <w:ind w:left="652"/>
              <w:spacing w:after="0"/>
              <w:rPr>
                <w:sz w:val="20"/>
                <w:szCs w:val="20"/>
                <w:color w:val="auto"/>
              </w:rPr>
            </w:pPr>
            <w:r>
              <w:rPr>
                <w:rFonts w:ascii="Courier New" w:cs="Courier New" w:eastAsia="Courier New" w:hAnsi="Courier New"/>
                <w:sz w:val="18"/>
                <w:szCs w:val="18"/>
                <w:color w:val="auto"/>
                <w:w w:val="97"/>
              </w:rPr>
              <w:t>Page No.</w:t>
            </w:r>
          </w:p>
        </w:tc>
      </w:tr>
      <w:tr>
        <w:trPr>
          <w:trHeight w:val="405"/>
        </w:trPr>
        <w:tc>
          <w:tcPr>
            <w:tcW w:w="396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Item 1 - Financial Statements:</w:t>
            </w:r>
          </w:p>
        </w:tc>
        <w:tc>
          <w:tcPr>
            <w:tcW w:w="29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3020" w:type="dxa"/>
            <w:vAlign w:val="bottom"/>
          </w:tcPr>
          <w:p>
            <w:pPr>
              <w:jc w:val="right"/>
              <w:spacing w:after="0"/>
              <w:rPr>
                <w:sz w:val="20"/>
                <w:szCs w:val="20"/>
                <w:color w:val="auto"/>
              </w:rPr>
            </w:pPr>
            <w:r>
              <w:rPr>
                <w:rFonts w:ascii="Courier New" w:cs="Courier New" w:eastAsia="Courier New" w:hAnsi="Courier New"/>
                <w:sz w:val="18"/>
                <w:szCs w:val="18"/>
                <w:color w:val="auto"/>
              </w:rPr>
              <w:t>Condensed Consolidated</w:t>
            </w:r>
          </w:p>
        </w:tc>
        <w:tc>
          <w:tcPr>
            <w:tcW w:w="38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Balance Sheets -</w:t>
            </w:r>
          </w:p>
        </w:tc>
        <w:tc>
          <w:tcPr>
            <w:tcW w:w="1580" w:type="dxa"/>
            <w:vAlign w:val="bottom"/>
          </w:tcPr>
          <w:p>
            <w:pPr>
              <w:spacing w:after="0"/>
              <w:rPr>
                <w:sz w:val="24"/>
                <w:szCs w:val="24"/>
                <w:color w:val="auto"/>
              </w:rPr>
            </w:pPr>
          </w:p>
        </w:tc>
      </w:tr>
      <w:tr>
        <w:trPr>
          <w:trHeight w:val="203"/>
        </w:trPr>
        <w:tc>
          <w:tcPr>
            <w:tcW w:w="396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w w:val="98"/>
              </w:rPr>
              <w:t>July 31, 2004 and April 30,</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2004</w:t>
            </w:r>
          </w:p>
        </w:tc>
        <w:tc>
          <w:tcPr>
            <w:tcW w:w="1580" w:type="dxa"/>
            <w:vAlign w:val="bottom"/>
          </w:tcPr>
          <w:p>
            <w:pPr>
              <w:jc w:val="center"/>
              <w:ind w:left="532"/>
              <w:spacing w:after="0" w:line="203" w:lineRule="exact"/>
              <w:rPr>
                <w:sz w:val="20"/>
                <w:szCs w:val="20"/>
                <w:color w:val="auto"/>
              </w:rPr>
            </w:pPr>
            <w:r>
              <w:rPr>
                <w:rFonts w:ascii="Courier New" w:cs="Courier New" w:eastAsia="Courier New" w:hAnsi="Courier New"/>
                <w:sz w:val="18"/>
                <w:szCs w:val="18"/>
                <w:color w:val="auto"/>
                <w:w w:val="98"/>
              </w:rPr>
              <w:t>3-4</w:t>
            </w:r>
          </w:p>
        </w:tc>
      </w:tr>
      <w:tr>
        <w:trPr>
          <w:trHeight w:val="405"/>
        </w:trPr>
        <w:tc>
          <w:tcPr>
            <w:tcW w:w="3020" w:type="dxa"/>
            <w:vAlign w:val="bottom"/>
          </w:tcPr>
          <w:p>
            <w:pPr>
              <w:jc w:val="right"/>
              <w:spacing w:after="0"/>
              <w:rPr>
                <w:sz w:val="20"/>
                <w:szCs w:val="20"/>
                <w:color w:val="auto"/>
              </w:rPr>
            </w:pPr>
            <w:r>
              <w:rPr>
                <w:rFonts w:ascii="Courier New" w:cs="Courier New" w:eastAsia="Courier New" w:hAnsi="Courier New"/>
                <w:sz w:val="18"/>
                <w:szCs w:val="18"/>
                <w:color w:val="auto"/>
              </w:rPr>
              <w:t>Condensed Consolidated</w:t>
            </w:r>
          </w:p>
        </w:tc>
        <w:tc>
          <w:tcPr>
            <w:tcW w:w="38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Statements of Operations</w:t>
            </w:r>
          </w:p>
        </w:tc>
        <w:tc>
          <w:tcPr>
            <w:tcW w:w="1580" w:type="dxa"/>
            <w:vAlign w:val="bottom"/>
          </w:tcPr>
          <w:p>
            <w:pPr>
              <w:spacing w:after="0"/>
              <w:rPr>
                <w:sz w:val="24"/>
                <w:szCs w:val="24"/>
                <w:color w:val="auto"/>
              </w:rPr>
            </w:pPr>
          </w:p>
        </w:tc>
      </w:tr>
      <w:tr>
        <w:trPr>
          <w:trHeight w:val="203"/>
        </w:trPr>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Three Months Ended</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July 31,</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2004 and 2003</w:t>
            </w:r>
          </w:p>
        </w:tc>
        <w:tc>
          <w:tcPr>
            <w:tcW w:w="1580" w:type="dxa"/>
            <w:vAlign w:val="bottom"/>
          </w:tcPr>
          <w:p>
            <w:pPr>
              <w:jc w:val="center"/>
              <w:ind w:left="532"/>
              <w:spacing w:after="0" w:line="203" w:lineRule="exact"/>
              <w:rPr>
                <w:sz w:val="20"/>
                <w:szCs w:val="20"/>
                <w:color w:val="auto"/>
              </w:rPr>
            </w:pPr>
            <w:r>
              <w:rPr>
                <w:rFonts w:ascii="Courier New" w:cs="Courier New" w:eastAsia="Courier New" w:hAnsi="Courier New"/>
                <w:sz w:val="18"/>
                <w:szCs w:val="18"/>
                <w:color w:val="auto"/>
              </w:rPr>
              <w:t>5</w:t>
            </w:r>
          </w:p>
        </w:tc>
      </w:tr>
      <w:tr>
        <w:trPr>
          <w:trHeight w:val="405"/>
        </w:trPr>
        <w:tc>
          <w:tcPr>
            <w:tcW w:w="3020" w:type="dxa"/>
            <w:vAlign w:val="bottom"/>
          </w:tcPr>
          <w:p>
            <w:pPr>
              <w:jc w:val="right"/>
              <w:spacing w:after="0"/>
              <w:rPr>
                <w:sz w:val="20"/>
                <w:szCs w:val="20"/>
                <w:color w:val="auto"/>
              </w:rPr>
            </w:pPr>
            <w:r>
              <w:rPr>
                <w:rFonts w:ascii="Courier New" w:cs="Courier New" w:eastAsia="Courier New" w:hAnsi="Courier New"/>
                <w:sz w:val="18"/>
                <w:szCs w:val="18"/>
                <w:color w:val="auto"/>
              </w:rPr>
              <w:t>Condensed Consolidated</w:t>
            </w:r>
          </w:p>
        </w:tc>
        <w:tc>
          <w:tcPr>
            <w:tcW w:w="38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Statements of Cash Flows</w:t>
            </w:r>
          </w:p>
        </w:tc>
        <w:tc>
          <w:tcPr>
            <w:tcW w:w="1580" w:type="dxa"/>
            <w:vAlign w:val="bottom"/>
          </w:tcPr>
          <w:p>
            <w:pPr>
              <w:spacing w:after="0"/>
              <w:rPr>
                <w:sz w:val="24"/>
                <w:szCs w:val="24"/>
                <w:color w:val="auto"/>
              </w:rPr>
            </w:pPr>
          </w:p>
        </w:tc>
      </w:tr>
      <w:tr>
        <w:trPr>
          <w:trHeight w:val="203"/>
        </w:trPr>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Three Months Ended</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July 31,</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2004 and 2003</w:t>
            </w:r>
          </w:p>
        </w:tc>
        <w:tc>
          <w:tcPr>
            <w:tcW w:w="1580" w:type="dxa"/>
            <w:vAlign w:val="bottom"/>
          </w:tcPr>
          <w:p>
            <w:pPr>
              <w:jc w:val="center"/>
              <w:ind w:left="532"/>
              <w:spacing w:after="0" w:line="203" w:lineRule="exact"/>
              <w:rPr>
                <w:sz w:val="20"/>
                <w:szCs w:val="20"/>
                <w:color w:val="auto"/>
              </w:rPr>
            </w:pPr>
            <w:r>
              <w:rPr>
                <w:rFonts w:ascii="Courier New" w:cs="Courier New" w:eastAsia="Courier New" w:hAnsi="Courier New"/>
                <w:sz w:val="18"/>
                <w:szCs w:val="18"/>
                <w:color w:val="auto"/>
              </w:rPr>
              <w:t>6</w:t>
            </w:r>
          </w:p>
        </w:tc>
      </w:tr>
      <w:tr>
        <w:trPr>
          <w:trHeight w:val="405"/>
        </w:trPr>
        <w:tc>
          <w:tcPr>
            <w:tcW w:w="3960" w:type="dxa"/>
            <w:vAlign w:val="bottom"/>
            <w:gridSpan w:val="2"/>
          </w:tcPr>
          <w:p>
            <w:pPr>
              <w:ind w:left="640"/>
              <w:spacing w:after="0"/>
              <w:rPr>
                <w:sz w:val="20"/>
                <w:szCs w:val="20"/>
                <w:color w:val="auto"/>
              </w:rPr>
            </w:pPr>
            <w:r>
              <w:rPr>
                <w:rFonts w:ascii="Courier New" w:cs="Courier New" w:eastAsia="Courier New" w:hAnsi="Courier New"/>
                <w:sz w:val="18"/>
                <w:szCs w:val="18"/>
                <w:color w:val="auto"/>
                <w:w w:val="98"/>
              </w:rPr>
              <w:t>Notes to Condensed Consolidated</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Financial Statements</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7-10</w:t>
            </w:r>
          </w:p>
        </w:tc>
      </w:tr>
      <w:tr>
        <w:trPr>
          <w:trHeight w:val="405"/>
        </w:trPr>
        <w:tc>
          <w:tcPr>
            <w:tcW w:w="686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Item 2 - Management's Discussion and Analysis of</w:t>
            </w:r>
          </w:p>
        </w:tc>
        <w:tc>
          <w:tcPr>
            <w:tcW w:w="1580" w:type="dxa"/>
            <w:vAlign w:val="bottom"/>
          </w:tcPr>
          <w:p>
            <w:pPr>
              <w:spacing w:after="0"/>
              <w:rPr>
                <w:sz w:val="24"/>
                <w:szCs w:val="24"/>
                <w:color w:val="auto"/>
              </w:rPr>
            </w:pPr>
          </w:p>
        </w:tc>
      </w:tr>
      <w:tr>
        <w:trPr>
          <w:trHeight w:val="203"/>
        </w:trPr>
        <w:tc>
          <w:tcPr>
            <w:tcW w:w="6860" w:type="dxa"/>
            <w:vAlign w:val="bottom"/>
            <w:gridSpan w:val="3"/>
          </w:tcPr>
          <w:p>
            <w:pPr>
              <w:ind w:left="1060"/>
              <w:spacing w:after="0" w:line="203" w:lineRule="exact"/>
              <w:rPr>
                <w:sz w:val="20"/>
                <w:szCs w:val="20"/>
                <w:color w:val="auto"/>
              </w:rPr>
            </w:pPr>
            <w:r>
              <w:rPr>
                <w:rFonts w:ascii="Courier New" w:cs="Courier New" w:eastAsia="Courier New" w:hAnsi="Courier New"/>
                <w:sz w:val="18"/>
                <w:szCs w:val="18"/>
                <w:color w:val="auto"/>
              </w:rPr>
              <w:t>Financial Condition and Results of Operations</w:t>
            </w:r>
          </w:p>
        </w:tc>
        <w:tc>
          <w:tcPr>
            <w:tcW w:w="1580" w:type="dxa"/>
            <w:vAlign w:val="bottom"/>
          </w:tcPr>
          <w:p>
            <w:pPr>
              <w:jc w:val="center"/>
              <w:ind w:left="532"/>
              <w:spacing w:after="0" w:line="203" w:lineRule="exact"/>
              <w:rPr>
                <w:sz w:val="20"/>
                <w:szCs w:val="20"/>
                <w:color w:val="auto"/>
              </w:rPr>
            </w:pPr>
            <w:r>
              <w:rPr>
                <w:rFonts w:ascii="Courier New" w:cs="Courier New" w:eastAsia="Courier New" w:hAnsi="Courier New"/>
                <w:sz w:val="18"/>
                <w:szCs w:val="18"/>
                <w:color w:val="auto"/>
                <w:w w:val="96"/>
              </w:rPr>
              <w:t>11-14</w:t>
            </w:r>
          </w:p>
        </w:tc>
      </w:tr>
    </w:tbl>
    <w:p>
      <w:pPr>
        <w:sectPr>
          <w:pgSz w:w="11900" w:h="16838" w:orient="portrait"/>
          <w:cols w:equalWidth="0" w:num="1">
            <w:col w:w="10219"/>
          </w:cols>
          <w:pgMar w:left="240" w:top="649"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ind w:left="220"/>
              <w:spacing w:after="0"/>
              <w:rPr>
                <w:sz w:val="20"/>
                <w:szCs w:val="20"/>
                <w:color w:val="auto"/>
              </w:rPr>
            </w:pPr>
            <w:r>
              <w:rPr>
                <w:rFonts w:ascii="Courier New" w:cs="Courier New" w:eastAsia="Courier New" w:hAnsi="Courier New"/>
                <w:sz w:val="18"/>
                <w:szCs w:val="18"/>
                <w:color w:val="auto"/>
              </w:rPr>
              <w:t>Item 3-</w:t>
            </w:r>
          </w:p>
        </w:tc>
        <w:tc>
          <w:tcPr>
            <w:tcW w:w="6380" w:type="dxa"/>
            <w:vAlign w:val="bottom"/>
          </w:tcPr>
          <w:p>
            <w:pPr>
              <w:spacing w:after="0"/>
              <w:rPr>
                <w:sz w:val="20"/>
                <w:szCs w:val="20"/>
                <w:color w:val="auto"/>
              </w:rPr>
            </w:pPr>
            <w:r>
              <w:rPr>
                <w:rFonts w:ascii="Courier New" w:cs="Courier New" w:eastAsia="Courier New" w:hAnsi="Courier New"/>
                <w:sz w:val="18"/>
                <w:szCs w:val="18"/>
                <w:color w:val="auto"/>
              </w:rPr>
              <w:t>Quantitative and Qualitative Disclosures about Market Risk</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14-15</w:t>
            </w:r>
          </w:p>
        </w:tc>
      </w:tr>
      <w:tr>
        <w:trPr>
          <w:trHeight w:val="405"/>
        </w:trPr>
        <w:tc>
          <w:tcPr>
            <w:tcW w:w="1060" w:type="dxa"/>
            <w:vAlign w:val="bottom"/>
          </w:tcPr>
          <w:p>
            <w:pPr>
              <w:ind w:left="220"/>
              <w:spacing w:after="0"/>
              <w:rPr>
                <w:sz w:val="20"/>
                <w:szCs w:val="20"/>
                <w:color w:val="auto"/>
              </w:rPr>
            </w:pPr>
            <w:r>
              <w:rPr>
                <w:rFonts w:ascii="Courier New" w:cs="Courier New" w:eastAsia="Courier New" w:hAnsi="Courier New"/>
                <w:sz w:val="18"/>
                <w:szCs w:val="18"/>
                <w:color w:val="auto"/>
              </w:rPr>
              <w:t>Item 4-</w:t>
            </w:r>
          </w:p>
        </w:tc>
        <w:tc>
          <w:tcPr>
            <w:tcW w:w="6380" w:type="dxa"/>
            <w:vAlign w:val="bottom"/>
          </w:tcPr>
          <w:p>
            <w:pPr>
              <w:spacing w:after="0"/>
              <w:rPr>
                <w:sz w:val="20"/>
                <w:szCs w:val="20"/>
                <w:color w:val="auto"/>
              </w:rPr>
            </w:pPr>
            <w:r>
              <w:rPr>
                <w:rFonts w:ascii="Courier New" w:cs="Courier New" w:eastAsia="Courier New" w:hAnsi="Courier New"/>
                <w:sz w:val="18"/>
                <w:szCs w:val="18"/>
                <w:color w:val="auto"/>
              </w:rPr>
              <w:t>Controls and Procedures</w:t>
            </w:r>
          </w:p>
        </w:tc>
        <w:tc>
          <w:tcPr>
            <w:tcW w:w="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15</w:t>
            </w:r>
          </w:p>
        </w:tc>
      </w:tr>
      <w:tr>
        <w:trPr>
          <w:trHeight w:val="608"/>
        </w:trPr>
        <w:tc>
          <w:tcPr>
            <w:tcW w:w="106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6380" w:type="dxa"/>
            <w:vAlign w:val="bottom"/>
          </w:tcPr>
          <w:p>
            <w:pPr>
              <w:spacing w:after="0"/>
              <w:rPr>
                <w:sz w:val="20"/>
                <w:szCs w:val="20"/>
                <w:color w:val="auto"/>
              </w:rPr>
            </w:pPr>
            <w:r>
              <w:rPr>
                <w:rFonts w:ascii="Courier New" w:cs="Courier New" w:eastAsia="Courier New" w:hAnsi="Courier New"/>
                <w:sz w:val="18"/>
                <w:szCs w:val="18"/>
                <w:color w:val="auto"/>
              </w:rPr>
              <w:t>Other Information:</w:t>
            </w:r>
          </w:p>
        </w:tc>
        <w:tc>
          <w:tcPr>
            <w:tcW w:w="780" w:type="dxa"/>
            <w:vAlign w:val="bottom"/>
          </w:tcPr>
          <w:p>
            <w:pPr>
              <w:spacing w:after="0"/>
              <w:rPr>
                <w:sz w:val="24"/>
                <w:szCs w:val="24"/>
                <w:color w:val="auto"/>
              </w:rPr>
            </w:pPr>
          </w:p>
        </w:tc>
      </w:tr>
      <w:tr>
        <w:trPr>
          <w:trHeight w:val="405"/>
        </w:trPr>
        <w:tc>
          <w:tcPr>
            <w:tcW w:w="1060" w:type="dxa"/>
            <w:vAlign w:val="bottom"/>
          </w:tcPr>
          <w:p>
            <w:pPr>
              <w:ind w:left="220"/>
              <w:spacing w:after="0"/>
              <w:rPr>
                <w:sz w:val="20"/>
                <w:szCs w:val="20"/>
                <w:color w:val="auto"/>
              </w:rPr>
            </w:pPr>
            <w:r>
              <w:rPr>
                <w:rFonts w:ascii="Courier New" w:cs="Courier New" w:eastAsia="Courier New" w:hAnsi="Courier New"/>
                <w:sz w:val="18"/>
                <w:szCs w:val="18"/>
                <w:color w:val="auto"/>
              </w:rPr>
              <w:t>Items 1</w:t>
            </w:r>
          </w:p>
        </w:tc>
        <w:tc>
          <w:tcPr>
            <w:tcW w:w="6380" w:type="dxa"/>
            <w:vAlign w:val="bottom"/>
          </w:tcPr>
          <w:p>
            <w:pPr>
              <w:spacing w:after="0"/>
              <w:rPr>
                <w:sz w:val="20"/>
                <w:szCs w:val="20"/>
                <w:color w:val="auto"/>
              </w:rPr>
            </w:pPr>
            <w:r>
              <w:rPr>
                <w:rFonts w:ascii="Courier New" w:cs="Courier New" w:eastAsia="Courier New" w:hAnsi="Courier New"/>
                <w:sz w:val="18"/>
                <w:szCs w:val="18"/>
                <w:color w:val="auto"/>
              </w:rPr>
              <w:t>through 5 are omitted because they are not applicable</w:t>
            </w:r>
          </w:p>
        </w:tc>
        <w:tc>
          <w:tcPr>
            <w:tcW w:w="780" w:type="dxa"/>
            <w:vAlign w:val="bottom"/>
          </w:tcPr>
          <w:p>
            <w:pPr>
              <w:spacing w:after="0"/>
              <w:rPr>
                <w:sz w:val="24"/>
                <w:szCs w:val="24"/>
                <w:color w:val="auto"/>
              </w:rPr>
            </w:pPr>
          </w:p>
        </w:tc>
      </w:tr>
      <w:tr>
        <w:trPr>
          <w:trHeight w:val="405"/>
        </w:trPr>
        <w:tc>
          <w:tcPr>
            <w:tcW w:w="74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Item 6 - Exhibits and Reports on Form 8-K</w:t>
            </w:r>
          </w:p>
        </w:tc>
        <w:tc>
          <w:tcPr>
            <w:tcW w:w="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15</w:t>
            </w:r>
          </w:p>
        </w:tc>
      </w:tr>
      <w:tr>
        <w:trPr>
          <w:trHeight w:val="405"/>
        </w:trPr>
        <w:tc>
          <w:tcPr>
            <w:tcW w:w="74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Signatures</w:t>
            </w:r>
          </w:p>
        </w:tc>
        <w:tc>
          <w:tcPr>
            <w:tcW w:w="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16</w:t>
            </w:r>
          </w:p>
        </w:tc>
      </w:tr>
      <w:tr>
        <w:trPr>
          <w:trHeight w:val="405"/>
        </w:trPr>
        <w:tc>
          <w:tcPr>
            <w:tcW w:w="1060" w:type="dxa"/>
            <w:vAlign w:val="bottom"/>
          </w:tcPr>
          <w:p>
            <w:pPr>
              <w:ind w:left="220"/>
              <w:spacing w:after="0"/>
              <w:rPr>
                <w:sz w:val="20"/>
                <w:szCs w:val="20"/>
                <w:color w:val="auto"/>
              </w:rPr>
            </w:pPr>
            <w:r>
              <w:rPr>
                <w:rFonts w:ascii="Courier New" w:cs="Courier New" w:eastAsia="Courier New" w:hAnsi="Courier New"/>
                <w:sz w:val="18"/>
                <w:szCs w:val="18"/>
                <w:color w:val="auto"/>
                <w:w w:val="94"/>
              </w:rPr>
              <w:t>Exhibits</w:t>
            </w:r>
          </w:p>
        </w:tc>
        <w:tc>
          <w:tcPr>
            <w:tcW w:w="6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17-20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 of 20</w:t>
      </w:r>
    </w:p>
    <w:p>
      <w:pPr>
        <w:sectPr>
          <w:pgSz w:w="11900" w:h="16838" w:orient="portrait"/>
          <w:cols w:equalWidth="0" w:num="1">
            <w:col w:w="10219"/>
          </w:cols>
          <w:pgMar w:left="240" w:top="339"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690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Frequency Electronics, Inc. and Subsidiaries</w:t>
            </w:r>
          </w:p>
        </w:tc>
        <w:tc>
          <w:tcPr>
            <w:tcW w:w="1320" w:type="dxa"/>
            <w:vAlign w:val="bottom"/>
          </w:tcPr>
          <w:p>
            <w:pPr>
              <w:spacing w:after="0"/>
              <w:rPr>
                <w:sz w:val="17"/>
                <w:szCs w:val="17"/>
                <w:color w:val="auto"/>
              </w:rPr>
            </w:pPr>
          </w:p>
        </w:tc>
      </w:tr>
      <w:tr>
        <w:trPr>
          <w:trHeight w:val="405"/>
        </w:trPr>
        <w:tc>
          <w:tcPr>
            <w:tcW w:w="6900" w:type="dxa"/>
            <w:vAlign w:val="bottom"/>
            <w:gridSpan w:val="2"/>
          </w:tcPr>
          <w:p>
            <w:pPr>
              <w:jc w:val="right"/>
              <w:ind w:right="592"/>
              <w:spacing w:after="0"/>
              <w:rPr>
                <w:sz w:val="20"/>
                <w:szCs w:val="20"/>
                <w:color w:val="auto"/>
              </w:rPr>
            </w:pPr>
            <w:r>
              <w:rPr>
                <w:rFonts w:ascii="Courier New" w:cs="Courier New" w:eastAsia="Courier New" w:hAnsi="Courier New"/>
                <w:sz w:val="18"/>
                <w:szCs w:val="18"/>
                <w:color w:val="auto"/>
              </w:rPr>
              <w:t>Condensed Consolidated Balance Sheets</w:t>
            </w:r>
          </w:p>
        </w:tc>
        <w:tc>
          <w:tcPr>
            <w:tcW w:w="1320" w:type="dxa"/>
            <w:vAlign w:val="bottom"/>
          </w:tcPr>
          <w:p>
            <w:pPr>
              <w:spacing w:after="0"/>
              <w:rPr>
                <w:sz w:val="24"/>
                <w:szCs w:val="24"/>
                <w:color w:val="auto"/>
              </w:rPr>
            </w:pPr>
          </w:p>
        </w:tc>
      </w:tr>
      <w:tr>
        <w:trPr>
          <w:trHeight w:val="405"/>
        </w:trPr>
        <w:tc>
          <w:tcPr>
            <w:tcW w:w="4960" w:type="dxa"/>
            <w:vAlign w:val="bottom"/>
          </w:tcPr>
          <w:p>
            <w:pPr>
              <w:spacing w:after="0"/>
              <w:rPr>
                <w:sz w:val="24"/>
                <w:szCs w:val="24"/>
                <w:color w:val="auto"/>
              </w:rPr>
            </w:pPr>
          </w:p>
        </w:tc>
        <w:tc>
          <w:tcPr>
            <w:tcW w:w="19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July 31,</w:t>
            </w:r>
          </w:p>
        </w:tc>
        <w:tc>
          <w:tcPr>
            <w:tcW w:w="1320" w:type="dxa"/>
            <w:vAlign w:val="bottom"/>
          </w:tcPr>
          <w:p>
            <w:pPr>
              <w:ind w:left="380"/>
              <w:spacing w:after="0"/>
              <w:rPr>
                <w:sz w:val="20"/>
                <w:szCs w:val="20"/>
                <w:color w:val="auto"/>
              </w:rPr>
            </w:pPr>
            <w:r>
              <w:rPr>
                <w:rFonts w:ascii="Courier New" w:cs="Courier New" w:eastAsia="Courier New" w:hAnsi="Courier New"/>
                <w:sz w:val="18"/>
                <w:szCs w:val="18"/>
                <w:color w:val="auto"/>
                <w:w w:val="94"/>
              </w:rPr>
              <w:t>April 30,</w:t>
            </w:r>
          </w:p>
        </w:tc>
      </w:tr>
      <w:tr>
        <w:trPr>
          <w:trHeight w:val="203"/>
        </w:trPr>
        <w:tc>
          <w:tcPr>
            <w:tcW w:w="4960" w:type="dxa"/>
            <w:vAlign w:val="bottom"/>
          </w:tcPr>
          <w:p>
            <w:pPr>
              <w:spacing w:after="0"/>
              <w:rPr>
                <w:sz w:val="17"/>
                <w:szCs w:val="17"/>
                <w:color w:val="auto"/>
              </w:rPr>
            </w:pP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2004</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4960" w:type="dxa"/>
            <w:vAlign w:val="bottom"/>
          </w:tcPr>
          <w:p>
            <w:pPr>
              <w:spacing w:after="0"/>
              <w:rPr>
                <w:sz w:val="17"/>
                <w:szCs w:val="17"/>
                <w:color w:val="auto"/>
              </w:rPr>
            </w:pP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(UNAUDITED)</w:t>
            </w:r>
          </w:p>
        </w:tc>
        <w:tc>
          <w:tcPr>
            <w:tcW w:w="13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(NOTE A)</w:t>
            </w:r>
          </w:p>
        </w:tc>
      </w:tr>
      <w:tr>
        <w:trPr>
          <w:trHeight w:val="203"/>
        </w:trPr>
        <w:tc>
          <w:tcPr>
            <w:tcW w:w="4960" w:type="dxa"/>
            <w:vAlign w:val="bottom"/>
          </w:tcPr>
          <w:p>
            <w:pPr>
              <w:spacing w:after="0"/>
              <w:rPr>
                <w:sz w:val="17"/>
                <w:szCs w:val="17"/>
                <w:color w:val="auto"/>
              </w:rPr>
            </w:pPr>
          </w:p>
        </w:tc>
        <w:tc>
          <w:tcPr>
            <w:tcW w:w="326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9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9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5"/>
        </w:trPr>
        <w:tc>
          <w:tcPr>
            <w:tcW w:w="4960" w:type="dxa"/>
            <w:vAlign w:val="bottom"/>
          </w:tcPr>
          <w:p>
            <w:pPr>
              <w:ind w:left="220"/>
              <w:spacing w:after="0"/>
              <w:rPr>
                <w:sz w:val="20"/>
                <w:szCs w:val="20"/>
                <w:color w:val="auto"/>
              </w:rPr>
            </w:pPr>
            <w:r>
              <w:rPr>
                <w:rFonts w:ascii="Courier New" w:cs="Courier New" w:eastAsia="Courier New" w:hAnsi="Courier New"/>
                <w:sz w:val="18"/>
                <w:szCs w:val="18"/>
                <w:color w:val="auto"/>
              </w:rPr>
              <w:t>Cash and cash equivalents</w:t>
            </w:r>
          </w:p>
        </w:tc>
        <w:tc>
          <w:tcPr>
            <w:tcW w:w="19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$ 3,422</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$ 5,699</w:t>
            </w:r>
          </w:p>
        </w:tc>
      </w:tr>
      <w:tr>
        <w:trPr>
          <w:trHeight w:val="405"/>
        </w:trPr>
        <w:tc>
          <w:tcPr>
            <w:tcW w:w="4960" w:type="dxa"/>
            <w:vAlign w:val="bottom"/>
          </w:tcPr>
          <w:p>
            <w:pPr>
              <w:ind w:left="220"/>
              <w:spacing w:after="0"/>
              <w:rPr>
                <w:sz w:val="20"/>
                <w:szCs w:val="20"/>
                <w:color w:val="auto"/>
              </w:rPr>
            </w:pPr>
            <w:r>
              <w:rPr>
                <w:rFonts w:ascii="Courier New" w:cs="Courier New" w:eastAsia="Courier New" w:hAnsi="Courier New"/>
                <w:sz w:val="18"/>
                <w:szCs w:val="18"/>
                <w:color w:val="auto"/>
              </w:rPr>
              <w:t>Marketable securities</w:t>
            </w:r>
          </w:p>
        </w:tc>
        <w:tc>
          <w:tcPr>
            <w:tcW w:w="19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28,879</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25,690</w:t>
            </w:r>
          </w:p>
        </w:tc>
      </w:tr>
      <w:tr>
        <w:trPr>
          <w:trHeight w:val="405"/>
        </w:trPr>
        <w:tc>
          <w:tcPr>
            <w:tcW w:w="4960" w:type="dxa"/>
            <w:vAlign w:val="bottom"/>
          </w:tcPr>
          <w:p>
            <w:pPr>
              <w:ind w:left="220"/>
              <w:spacing w:after="0"/>
              <w:rPr>
                <w:sz w:val="20"/>
                <w:szCs w:val="20"/>
                <w:color w:val="auto"/>
              </w:rPr>
            </w:pPr>
            <w:r>
              <w:rPr>
                <w:rFonts w:ascii="Courier New" w:cs="Courier New" w:eastAsia="Courier New" w:hAnsi="Courier New"/>
                <w:sz w:val="18"/>
                <w:szCs w:val="18"/>
                <w:color w:val="auto"/>
              </w:rPr>
              <w:t>Accounts receivable, net of allowance</w:t>
            </w:r>
          </w:p>
        </w:tc>
        <w:tc>
          <w:tcPr>
            <w:tcW w:w="19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for doubtful accounts of $140</w:t>
            </w: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14,099</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15,036</w:t>
            </w:r>
          </w:p>
        </w:tc>
      </w:tr>
      <w:tr>
        <w:trPr>
          <w:trHeight w:val="405"/>
        </w:trPr>
        <w:tc>
          <w:tcPr>
            <w:tcW w:w="4960" w:type="dxa"/>
            <w:vAlign w:val="bottom"/>
          </w:tcPr>
          <w:p>
            <w:pPr>
              <w:ind w:left="220"/>
              <w:spacing w:after="0"/>
              <w:rPr>
                <w:sz w:val="20"/>
                <w:szCs w:val="20"/>
                <w:color w:val="auto"/>
              </w:rPr>
            </w:pPr>
            <w:r>
              <w:rPr>
                <w:rFonts w:ascii="Courier New" w:cs="Courier New" w:eastAsia="Courier New" w:hAnsi="Courier New"/>
                <w:sz w:val="18"/>
                <w:szCs w:val="18"/>
                <w:color w:val="auto"/>
              </w:rPr>
              <w:t>Inventories</w:t>
            </w:r>
          </w:p>
        </w:tc>
        <w:tc>
          <w:tcPr>
            <w:tcW w:w="19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21,394</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21,925</w:t>
            </w:r>
          </w:p>
        </w:tc>
      </w:tr>
      <w:tr>
        <w:trPr>
          <w:trHeight w:val="405"/>
        </w:trPr>
        <w:tc>
          <w:tcPr>
            <w:tcW w:w="4960" w:type="dxa"/>
            <w:vAlign w:val="bottom"/>
          </w:tcPr>
          <w:p>
            <w:pPr>
              <w:ind w:left="220"/>
              <w:spacing w:after="0"/>
              <w:rPr>
                <w:sz w:val="20"/>
                <w:szCs w:val="20"/>
                <w:color w:val="auto"/>
              </w:rPr>
            </w:pPr>
            <w:r>
              <w:rPr>
                <w:rFonts w:ascii="Courier New" w:cs="Courier New" w:eastAsia="Courier New" w:hAnsi="Courier New"/>
                <w:sz w:val="18"/>
                <w:szCs w:val="18"/>
                <w:color w:val="auto"/>
              </w:rPr>
              <w:t>Deferred income taxes</w:t>
            </w:r>
          </w:p>
        </w:tc>
        <w:tc>
          <w:tcPr>
            <w:tcW w:w="19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2,628</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2,585</w:t>
            </w:r>
          </w:p>
        </w:tc>
      </w:tr>
      <w:tr>
        <w:trPr>
          <w:trHeight w:val="405"/>
        </w:trPr>
        <w:tc>
          <w:tcPr>
            <w:tcW w:w="4960" w:type="dxa"/>
            <w:vAlign w:val="bottom"/>
          </w:tcPr>
          <w:p>
            <w:pPr>
              <w:ind w:left="220"/>
              <w:spacing w:after="0"/>
              <w:rPr>
                <w:sz w:val="20"/>
                <w:szCs w:val="20"/>
                <w:color w:val="auto"/>
              </w:rPr>
            </w:pPr>
            <w:r>
              <w:rPr>
                <w:rFonts w:ascii="Courier New" w:cs="Courier New" w:eastAsia="Courier New" w:hAnsi="Courier New"/>
                <w:sz w:val="18"/>
                <w:szCs w:val="18"/>
                <w:color w:val="auto"/>
              </w:rPr>
              <w:t>Income taxes receivable</w:t>
            </w:r>
          </w:p>
        </w:tc>
        <w:tc>
          <w:tcPr>
            <w:tcW w:w="19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242</w:t>
            </w:r>
          </w:p>
        </w:tc>
      </w:tr>
      <w:tr>
        <w:trPr>
          <w:trHeight w:val="405"/>
        </w:trPr>
        <w:tc>
          <w:tcPr>
            <w:tcW w:w="4960" w:type="dxa"/>
            <w:vAlign w:val="bottom"/>
          </w:tcPr>
          <w:p>
            <w:pPr>
              <w:ind w:left="220"/>
              <w:spacing w:after="0"/>
              <w:rPr>
                <w:sz w:val="20"/>
                <w:szCs w:val="20"/>
                <w:color w:val="auto"/>
              </w:rPr>
            </w:pPr>
            <w:r>
              <w:rPr>
                <w:rFonts w:ascii="Courier New" w:cs="Courier New" w:eastAsia="Courier New" w:hAnsi="Courier New"/>
                <w:sz w:val="18"/>
                <w:szCs w:val="18"/>
                <w:color w:val="auto"/>
              </w:rPr>
              <w:t>Prepaid expenses and other</w:t>
            </w:r>
          </w:p>
        </w:tc>
        <w:tc>
          <w:tcPr>
            <w:tcW w:w="19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1,568</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1,658</w:t>
            </w:r>
          </w:p>
        </w:tc>
      </w:tr>
      <w:tr>
        <w:trPr>
          <w:trHeight w:val="203"/>
        </w:trPr>
        <w:tc>
          <w:tcPr>
            <w:tcW w:w="4960" w:type="dxa"/>
            <w:vAlign w:val="bottom"/>
          </w:tcPr>
          <w:p>
            <w:pPr>
              <w:spacing w:after="0"/>
              <w:rPr>
                <w:sz w:val="17"/>
                <w:szCs w:val="17"/>
                <w:color w:val="auto"/>
              </w:rPr>
            </w:pP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ind w:left="960"/>
              <w:spacing w:after="0"/>
              <w:rPr>
                <w:sz w:val="20"/>
                <w:szCs w:val="20"/>
                <w:color w:val="auto"/>
              </w:rPr>
            </w:pPr>
            <w:r>
              <w:rPr>
                <w:rFonts w:ascii="Courier New" w:cs="Courier New" w:eastAsia="Courier New" w:hAnsi="Courier New"/>
                <w:sz w:val="18"/>
                <w:szCs w:val="18"/>
                <w:color w:val="auto"/>
              </w:rPr>
              <w:t>Total current assets</w:t>
            </w:r>
          </w:p>
        </w:tc>
        <w:tc>
          <w:tcPr>
            <w:tcW w:w="19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71,990</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72,835</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at cost,</w:t>
            </w:r>
          </w:p>
        </w:tc>
        <w:tc>
          <w:tcPr>
            <w:tcW w:w="19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less accumulated depreciation and</w:t>
            </w:r>
          </w:p>
        </w:tc>
        <w:tc>
          <w:tcPr>
            <w:tcW w:w="19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amortization</w:t>
            </w: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11,227</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11,486</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Deferred income taxes</w:t>
            </w:r>
          </w:p>
        </w:tc>
        <w:tc>
          <w:tcPr>
            <w:tcW w:w="19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95</w:t>
            </w: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593</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Cash surrender value of life insurance</w:t>
            </w:r>
          </w:p>
        </w:tc>
        <w:tc>
          <w:tcPr>
            <w:tcW w:w="19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5,460</w:t>
            </w: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5,355</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Goodwill and other Intangible assets, net</w:t>
            </w:r>
          </w:p>
        </w:tc>
        <w:tc>
          <w:tcPr>
            <w:tcW w:w="19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590</w:t>
            </w: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616</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19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1,772</w:t>
            </w: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1,775</w:t>
            </w:r>
          </w:p>
        </w:tc>
      </w:tr>
      <w:tr>
        <w:trPr>
          <w:trHeight w:val="203"/>
        </w:trPr>
        <w:tc>
          <w:tcPr>
            <w:tcW w:w="4960" w:type="dxa"/>
            <w:vAlign w:val="bottom"/>
          </w:tcPr>
          <w:p>
            <w:pPr>
              <w:spacing w:after="0"/>
              <w:rPr>
                <w:sz w:val="17"/>
                <w:szCs w:val="17"/>
                <w:color w:val="auto"/>
              </w:rPr>
            </w:pP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ind w:left="1160"/>
              <w:spacing w:after="0"/>
              <w:rPr>
                <w:sz w:val="20"/>
                <w:szCs w:val="20"/>
                <w:color w:val="auto"/>
              </w:rPr>
            </w:pPr>
            <w:r>
              <w:rPr>
                <w:rFonts w:ascii="Courier New" w:cs="Courier New" w:eastAsia="Courier New" w:hAnsi="Courier New"/>
                <w:sz w:val="18"/>
                <w:szCs w:val="18"/>
                <w:color w:val="auto"/>
              </w:rPr>
              <w:t>Total assets</w:t>
            </w:r>
          </w:p>
        </w:tc>
        <w:tc>
          <w:tcPr>
            <w:tcW w:w="19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$91,134</w:t>
            </w: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$92,660</w:t>
            </w:r>
          </w:p>
        </w:tc>
      </w:tr>
      <w:tr>
        <w:trPr>
          <w:trHeight w:val="203"/>
        </w:trPr>
        <w:tc>
          <w:tcPr>
            <w:tcW w:w="4960" w:type="dxa"/>
            <w:vAlign w:val="bottom"/>
          </w:tcPr>
          <w:p>
            <w:pPr>
              <w:spacing w:after="0"/>
              <w:rPr>
                <w:sz w:val="17"/>
                <w:szCs w:val="17"/>
                <w:color w:val="auto"/>
              </w:rPr>
            </w:pP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condensed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 of 20</w:t>
      </w:r>
    </w:p>
    <w:p>
      <w:pPr>
        <w:sectPr>
          <w:pgSz w:w="11900" w:h="16838" w:orient="portrait"/>
          <w:cols w:equalWidth="0" w:num="1">
            <w:col w:w="10219"/>
          </w:cols>
          <w:pgMar w:left="240" w:top="919" w:right="1440" w:bottom="1440" w:gutter="0" w:footer="0" w:header="0"/>
        </w:sectPr>
      </w:pPr>
    </w:p>
    <w:bookmarkStart w:id="3" w:name="page4"/>
    <w:bookmarkEnd w:id="3"/>
    <w:p>
      <w:pPr>
        <w:ind w:left="1900"/>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Condensed Consolidated Balance Sheets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70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July 31,</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April 30,</w:t>
            </w:r>
          </w:p>
        </w:tc>
      </w:tr>
      <w:tr>
        <w:trPr>
          <w:trHeight w:val="203"/>
        </w:trPr>
        <w:tc>
          <w:tcPr>
            <w:tcW w:w="20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2004</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20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(UNAUDITED)</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(NOTE A)</w:t>
            </w:r>
          </w:p>
        </w:tc>
      </w:tr>
      <w:tr>
        <w:trPr>
          <w:trHeight w:val="203"/>
        </w:trPr>
        <w:tc>
          <w:tcPr>
            <w:tcW w:w="20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9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7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05"/>
        </w:trPr>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rPr>
              <w:t>Current liabilities:</w:t>
            </w:r>
          </w:p>
        </w:tc>
        <w:tc>
          <w:tcPr>
            <w:tcW w:w="17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48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Short-term credit obligations</w:t>
            </w: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$ 2,075</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$ 3,408</w:t>
            </w:r>
          </w:p>
        </w:tc>
      </w:tr>
      <w:tr>
        <w:trPr>
          <w:trHeight w:val="203"/>
        </w:trPr>
        <w:tc>
          <w:tcPr>
            <w:tcW w:w="548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Accounts payable - trade</w:t>
            </w: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2,749</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3,470</w:t>
            </w:r>
          </w:p>
        </w:tc>
      </w:tr>
      <w:tr>
        <w:trPr>
          <w:trHeight w:val="203"/>
        </w:trPr>
        <w:tc>
          <w:tcPr>
            <w:tcW w:w="548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Accrued liabilities and other</w:t>
            </w: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2,964</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4,106</w:t>
            </w:r>
          </w:p>
        </w:tc>
      </w:tr>
      <w:tr>
        <w:trPr>
          <w:trHeight w:val="203"/>
        </w:trPr>
        <w:tc>
          <w:tcPr>
            <w:tcW w:w="548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Dividend payable</w:t>
            </w: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843</w:t>
            </w:r>
          </w:p>
        </w:tc>
      </w:tr>
      <w:tr>
        <w:trPr>
          <w:trHeight w:val="203"/>
        </w:trPr>
        <w:tc>
          <w:tcPr>
            <w:tcW w:w="548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550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8,338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11,827</w:t>
            </w:r>
          </w:p>
        </w:tc>
      </w:tr>
      <w:tr>
        <w:trPr>
          <w:trHeight w:val="405"/>
        </w:trPr>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rPr>
              <w:t>Deferred compensation</w:t>
            </w:r>
          </w:p>
        </w:tc>
        <w:tc>
          <w:tcPr>
            <w:tcW w:w="17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6,870</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6,854</w:t>
            </w: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REIT liability and other liabilities</w:t>
            </w: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10,543</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10,755</w:t>
            </w:r>
          </w:p>
        </w:tc>
      </w:tr>
      <w:tr>
        <w:trPr>
          <w:trHeight w:val="203"/>
        </w:trPr>
        <w:tc>
          <w:tcPr>
            <w:tcW w:w="20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25,751</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29,436</w:t>
            </w:r>
          </w:p>
        </w:tc>
      </w:tr>
      <w:tr>
        <w:trPr>
          <w:trHeight w:val="203"/>
        </w:trPr>
        <w:tc>
          <w:tcPr>
            <w:tcW w:w="20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Minority interest in subsidiary</w:t>
            </w: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67</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20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rPr>
              <w:t>Stockholders' equity:</w:t>
            </w:r>
          </w:p>
        </w:tc>
        <w:tc>
          <w:tcPr>
            <w:tcW w:w="17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$1.00 par value</w:t>
            </w: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$1.00 par value</w:t>
            </w: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9,164</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9,164</w:t>
            </w:r>
          </w:p>
        </w:tc>
      </w:tr>
      <w:tr>
        <w:trPr>
          <w:trHeight w:val="203"/>
        </w:trPr>
        <w:tc>
          <w:tcPr>
            <w:tcW w:w="5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44,554</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44,442</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Retained earnings</w:t>
            </w:r>
          </w:p>
        </w:tc>
        <w:tc>
          <w:tcPr>
            <w:tcW w:w="3480" w:type="dxa"/>
            <w:vAlign w:val="bottom"/>
          </w:tcPr>
          <w:p>
            <w:pPr>
              <w:spacing w:after="0"/>
              <w:rPr>
                <w:sz w:val="17"/>
                <w:szCs w:val="17"/>
                <w:color w:val="auto"/>
              </w:rPr>
            </w:pP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9,873</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8,897</w:t>
            </w:r>
          </w:p>
        </w:tc>
      </w:tr>
      <w:tr>
        <w:trPr>
          <w:trHeight w:val="203"/>
        </w:trPr>
        <w:tc>
          <w:tcPr>
            <w:tcW w:w="20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63,591</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62,503</w:t>
            </w:r>
          </w:p>
        </w:tc>
      </w:tr>
      <w:tr>
        <w:trPr>
          <w:trHeight w:val="405"/>
        </w:trPr>
        <w:tc>
          <w:tcPr>
            <w:tcW w:w="54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Common stock reacquired and held in treasury</w:t>
            </w:r>
          </w:p>
        </w:tc>
        <w:tc>
          <w:tcPr>
            <w:tcW w:w="17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4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-at cost, 723,108 shares at July 31, 2004</w:t>
            </w:r>
          </w:p>
        </w:tc>
        <w:tc>
          <w:tcPr>
            <w:tcW w:w="17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4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and 738,428 shares at April 30, 2004</w:t>
            </w:r>
          </w:p>
        </w:tc>
        <w:tc>
          <w:tcPr>
            <w:tcW w:w="17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(2,748)</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(2,797)</w:t>
            </w:r>
          </w:p>
        </w:tc>
      </w:tr>
      <w:tr>
        <w:trPr>
          <w:trHeight w:val="203"/>
        </w:trPr>
        <w:tc>
          <w:tcPr>
            <w:tcW w:w="54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Other stockholders' equity</w:t>
            </w:r>
          </w:p>
        </w:tc>
        <w:tc>
          <w:tcPr>
            <w:tcW w:w="17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(17)</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54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Accumulated other comprehensive income</w:t>
            </w: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4,490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3,487</w:t>
            </w:r>
          </w:p>
        </w:tc>
      </w:tr>
      <w:tr>
        <w:trPr>
          <w:trHeight w:val="203"/>
        </w:trPr>
        <w:tc>
          <w:tcPr>
            <w:tcW w:w="20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65,316</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63,176</w:t>
            </w:r>
          </w:p>
        </w:tc>
      </w:tr>
      <w:tr>
        <w:trPr>
          <w:trHeight w:val="203"/>
        </w:trPr>
        <w:tc>
          <w:tcPr>
            <w:tcW w:w="20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17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$91,134</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$92,660</w:t>
            </w:r>
          </w:p>
        </w:tc>
      </w:tr>
      <w:tr>
        <w:trPr>
          <w:trHeight w:val="203"/>
        </w:trPr>
        <w:tc>
          <w:tcPr>
            <w:tcW w:w="20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condensed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4 of 20</w:t>
      </w:r>
    </w:p>
    <w:p>
      <w:pPr>
        <w:sectPr>
          <w:pgSz w:w="11900" w:h="16838" w:orient="portrait"/>
          <w:cols w:equalWidth="0" w:num="1">
            <w:col w:w="10219"/>
          </w:cols>
          <w:pgMar w:left="240" w:top="919" w:right="1440" w:bottom="1440" w:gutter="0" w:footer="0" w:header="0"/>
        </w:sectPr>
      </w:pPr>
    </w:p>
    <w:bookmarkStart w:id="4" w:name="page5"/>
    <w:bookmarkEnd w:id="4"/>
    <w:p>
      <w:pPr>
        <w:ind w:left="1900"/>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Condensed Consolidated Statements of Operations</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Three Months Ended July 31,</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20" w:type="dxa"/>
            <w:vAlign w:val="bottom"/>
          </w:tcPr>
          <w:p>
            <w:pPr>
              <w:spacing w:after="0"/>
              <w:rPr>
                <w:sz w:val="17"/>
                <w:szCs w:val="17"/>
                <w:color w:val="auto"/>
              </w:rPr>
            </w:pPr>
          </w:p>
        </w:tc>
        <w:tc>
          <w:tcPr>
            <w:tcW w:w="168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2004</w:t>
            </w:r>
          </w:p>
        </w:tc>
        <w:tc>
          <w:tcPr>
            <w:tcW w:w="14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2003</w:t>
            </w:r>
          </w:p>
        </w:tc>
      </w:tr>
      <w:tr>
        <w:trPr>
          <w:trHeight w:val="203"/>
        </w:trPr>
        <w:tc>
          <w:tcPr>
            <w:tcW w:w="5220" w:type="dxa"/>
            <w:vAlign w:val="bottom"/>
          </w:tcPr>
          <w:p>
            <w:pPr>
              <w:spacing w:after="0"/>
              <w:rPr>
                <w:sz w:val="17"/>
                <w:szCs w:val="17"/>
                <w:color w:val="auto"/>
              </w:rPr>
            </w:pPr>
          </w:p>
        </w:tc>
        <w:tc>
          <w:tcPr>
            <w:tcW w:w="16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spacing w:after="0"/>
              <w:rPr>
                <w:sz w:val="17"/>
                <w:szCs w:val="17"/>
                <w:color w:val="auto"/>
              </w:rPr>
            </w:pPr>
          </w:p>
        </w:tc>
        <w:tc>
          <w:tcPr>
            <w:tcW w:w="312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(In thousands except</w:t>
            </w:r>
          </w:p>
        </w:tc>
      </w:tr>
      <w:tr>
        <w:trPr>
          <w:trHeight w:val="203"/>
        </w:trPr>
        <w:tc>
          <w:tcPr>
            <w:tcW w:w="5220" w:type="dxa"/>
            <w:vAlign w:val="bottom"/>
          </w:tcPr>
          <w:p>
            <w:pPr>
              <w:spacing w:after="0"/>
              <w:rPr>
                <w:sz w:val="17"/>
                <w:szCs w:val="17"/>
                <w:color w:val="auto"/>
              </w:rPr>
            </w:pPr>
          </w:p>
        </w:tc>
        <w:tc>
          <w:tcPr>
            <w:tcW w:w="312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per share data)</w:t>
            </w:r>
          </w:p>
        </w:tc>
      </w:tr>
      <w:tr>
        <w:trPr>
          <w:trHeight w:val="608"/>
        </w:trPr>
        <w:tc>
          <w:tcPr>
            <w:tcW w:w="522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6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$17,683</w:t>
            </w: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$ 8,754</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11,905</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6,187</w:t>
            </w:r>
          </w:p>
        </w:tc>
      </w:tr>
      <w:tr>
        <w:trPr>
          <w:trHeight w:val="203"/>
        </w:trPr>
        <w:tc>
          <w:tcPr>
            <w:tcW w:w="5220" w:type="dxa"/>
            <w:vAlign w:val="bottom"/>
          </w:tcPr>
          <w:p>
            <w:pPr>
              <w:spacing w:after="0"/>
              <w:rPr>
                <w:sz w:val="17"/>
                <w:szCs w:val="17"/>
                <w:color w:val="auto"/>
              </w:rPr>
            </w:pP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Gross Margin</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5,778</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2,567</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Selling and administrative expenses</w:t>
            </w:r>
          </w:p>
        </w:tc>
        <w:tc>
          <w:tcPr>
            <w:tcW w:w="16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3,293</w:t>
            </w: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2,536</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 expense</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1,236</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1,668</w:t>
            </w:r>
          </w:p>
        </w:tc>
      </w:tr>
      <w:tr>
        <w:trPr>
          <w:trHeight w:val="203"/>
        </w:trPr>
        <w:tc>
          <w:tcPr>
            <w:tcW w:w="5220" w:type="dxa"/>
            <w:vAlign w:val="bottom"/>
          </w:tcPr>
          <w:p>
            <w:pPr>
              <w:spacing w:after="0"/>
              <w:rPr>
                <w:sz w:val="17"/>
                <w:szCs w:val="17"/>
                <w:color w:val="auto"/>
              </w:rPr>
            </w:pP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Operating profit (loss)</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1,249</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(1,637)</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16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415</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746</w:t>
            </w: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(78)</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w:t>
            </w: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income, net</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58</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5220" w:type="dxa"/>
            <w:vAlign w:val="bottom"/>
          </w:tcPr>
          <w:p>
            <w:pPr>
              <w:spacing w:after="0"/>
              <w:rPr>
                <w:sz w:val="17"/>
                <w:szCs w:val="17"/>
                <w:color w:val="auto"/>
              </w:rPr>
            </w:pP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before minority interest and</w:t>
            </w:r>
          </w:p>
        </w:tc>
        <w:tc>
          <w:tcPr>
            <w:tcW w:w="16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1,644</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(937)</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Minority interest in income (loss)</w:t>
            </w:r>
          </w:p>
        </w:tc>
        <w:tc>
          <w:tcPr>
            <w:tcW w:w="16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consolidated subsidiary</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5220" w:type="dxa"/>
            <w:vAlign w:val="bottom"/>
          </w:tcPr>
          <w:p>
            <w:pPr>
              <w:spacing w:after="0"/>
              <w:rPr>
                <w:sz w:val="17"/>
                <w:szCs w:val="17"/>
                <w:color w:val="auto"/>
              </w:rPr>
            </w:pP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Income (loss) before provision for income taxes</w:t>
            </w:r>
          </w:p>
        </w:tc>
        <w:tc>
          <w:tcPr>
            <w:tcW w:w="16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1,625</w:t>
            </w:r>
          </w:p>
        </w:tc>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(882)</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Provision (benefit) for income taxes</w:t>
            </w:r>
          </w:p>
        </w:tc>
        <w:tc>
          <w:tcPr>
            <w:tcW w:w="16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648</w:t>
            </w:r>
          </w:p>
        </w:tc>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(140)</w:t>
            </w:r>
          </w:p>
        </w:tc>
      </w:tr>
      <w:tr>
        <w:trPr>
          <w:trHeight w:val="203"/>
        </w:trPr>
        <w:tc>
          <w:tcPr>
            <w:tcW w:w="5220" w:type="dxa"/>
            <w:vAlign w:val="bottom"/>
          </w:tcPr>
          <w:p>
            <w:pPr>
              <w:spacing w:after="0"/>
              <w:rPr>
                <w:sz w:val="17"/>
                <w:szCs w:val="17"/>
                <w:color w:val="auto"/>
              </w:rPr>
            </w:pP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ind w:left="860"/>
              <w:spacing w:after="0"/>
              <w:rPr>
                <w:sz w:val="20"/>
                <w:szCs w:val="20"/>
                <w:color w:val="auto"/>
              </w:rPr>
            </w:pPr>
            <w:r>
              <w:rPr>
                <w:rFonts w:ascii="Courier New" w:cs="Courier New" w:eastAsia="Courier New" w:hAnsi="Courier New"/>
                <w:sz w:val="18"/>
                <w:szCs w:val="18"/>
                <w:color w:val="auto"/>
              </w:rPr>
              <w:t>Net income (loss)</w:t>
            </w:r>
          </w:p>
        </w:tc>
        <w:tc>
          <w:tcPr>
            <w:tcW w:w="16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   977</w:t>
            </w:r>
          </w:p>
        </w:tc>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  (742)</w:t>
            </w:r>
          </w:p>
        </w:tc>
      </w:tr>
      <w:tr>
        <w:trPr>
          <w:trHeight w:val="203"/>
        </w:trPr>
        <w:tc>
          <w:tcPr>
            <w:tcW w:w="5220" w:type="dxa"/>
            <w:vAlign w:val="bottom"/>
          </w:tcPr>
          <w:p>
            <w:pPr>
              <w:spacing w:after="0"/>
              <w:rPr>
                <w:sz w:val="17"/>
                <w:szCs w:val="17"/>
                <w:color w:val="auto"/>
              </w:rPr>
            </w:pP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220" w:type="dxa"/>
            <w:vAlign w:val="bottom"/>
          </w:tcPr>
          <w:p>
            <w:pPr>
              <w:spacing w:after="0"/>
              <w:rPr>
                <w:sz w:val="20"/>
                <w:szCs w:val="20"/>
                <w:color w:val="auto"/>
              </w:rPr>
            </w:pPr>
            <w:r>
              <w:rPr>
                <w:rFonts w:ascii="Courier New" w:cs="Courier New" w:eastAsia="Courier New" w:hAnsi="Courier New"/>
                <w:sz w:val="18"/>
                <w:szCs w:val="18"/>
                <w:color w:val="auto"/>
              </w:rPr>
              <w:t>Net earnings (loss) per common share</w:t>
            </w:r>
          </w:p>
        </w:tc>
        <w:tc>
          <w:tcPr>
            <w:tcW w:w="16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52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Basic</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$ 0.12</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$(0.09)</w:t>
            </w:r>
          </w:p>
        </w:tc>
      </w:tr>
      <w:tr>
        <w:trPr>
          <w:trHeight w:val="203"/>
        </w:trPr>
        <w:tc>
          <w:tcPr>
            <w:tcW w:w="5220" w:type="dxa"/>
            <w:vAlign w:val="bottom"/>
          </w:tcPr>
          <w:p>
            <w:pPr>
              <w:spacing w:after="0"/>
              <w:rPr>
                <w:sz w:val="17"/>
                <w:szCs w:val="17"/>
                <w:color w:val="auto"/>
              </w:rPr>
            </w:pP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Diluted</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$ 0.11</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$(0.09)</w:t>
            </w:r>
          </w:p>
        </w:tc>
      </w:tr>
      <w:tr>
        <w:trPr>
          <w:trHeight w:val="203"/>
        </w:trPr>
        <w:tc>
          <w:tcPr>
            <w:tcW w:w="5220" w:type="dxa"/>
            <w:vAlign w:val="bottom"/>
          </w:tcPr>
          <w:p>
            <w:pPr>
              <w:spacing w:after="0"/>
              <w:rPr>
                <w:sz w:val="17"/>
                <w:szCs w:val="17"/>
                <w:color w:val="auto"/>
              </w:rPr>
            </w:pP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Average shares outstanding</w:t>
            </w:r>
          </w:p>
        </w:tc>
        <w:tc>
          <w:tcPr>
            <w:tcW w:w="16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52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Basic</w:t>
            </w:r>
          </w:p>
        </w:tc>
        <w:tc>
          <w:tcPr>
            <w:tcW w:w="1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8,434,618</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8,348,133</w:t>
            </w:r>
          </w:p>
        </w:tc>
      </w:tr>
      <w:tr>
        <w:trPr>
          <w:trHeight w:val="203"/>
        </w:trPr>
        <w:tc>
          <w:tcPr>
            <w:tcW w:w="5220" w:type="dxa"/>
            <w:vAlign w:val="bottom"/>
          </w:tcPr>
          <w:p>
            <w:pPr>
              <w:spacing w:after="0"/>
              <w:rPr>
                <w:sz w:val="17"/>
                <w:szCs w:val="17"/>
                <w:color w:val="auto"/>
              </w:rPr>
            </w:pPr>
          </w:p>
        </w:tc>
        <w:tc>
          <w:tcPr>
            <w:tcW w:w="1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Diluted</w:t>
            </w:r>
          </w:p>
        </w:tc>
        <w:tc>
          <w:tcPr>
            <w:tcW w:w="1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8,646,358</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8,348,133</w:t>
            </w:r>
          </w:p>
        </w:tc>
      </w:tr>
      <w:tr>
        <w:trPr>
          <w:trHeight w:val="203"/>
        </w:trPr>
        <w:tc>
          <w:tcPr>
            <w:tcW w:w="5220" w:type="dxa"/>
            <w:vAlign w:val="bottom"/>
          </w:tcPr>
          <w:p>
            <w:pPr>
              <w:spacing w:after="0"/>
              <w:rPr>
                <w:sz w:val="17"/>
                <w:szCs w:val="17"/>
                <w:color w:val="auto"/>
              </w:rPr>
            </w:pPr>
          </w:p>
        </w:tc>
        <w:tc>
          <w:tcPr>
            <w:tcW w:w="1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condensed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5 of 30</w:t>
      </w:r>
    </w:p>
    <w:p>
      <w:pPr>
        <w:sectPr>
          <w:pgSz w:w="11900" w:h="16838" w:orient="portrait"/>
          <w:cols w:equalWidth="0" w:num="1">
            <w:col w:w="10219"/>
          </w:cols>
          <w:pgMar w:left="240" w:top="919" w:right="1440" w:bottom="1440" w:gutter="0" w:footer="0" w:header="0"/>
        </w:sectPr>
      </w:pPr>
    </w:p>
    <w:bookmarkStart w:id="5" w:name="page6"/>
    <w:bookmarkEnd w:id="5"/>
    <w:p>
      <w:pPr>
        <w:ind w:left="1900"/>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Condensed Consolidated Statements of Cash Flows</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Three Months Ended July 31,</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spacing w:after="0"/>
              <w:rPr>
                <w:sz w:val="17"/>
                <w:szCs w:val="17"/>
                <w:color w:val="auto"/>
              </w:rPr>
            </w:pPr>
          </w:p>
        </w:tc>
        <w:tc>
          <w:tcPr>
            <w:tcW w:w="14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2004</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2003</w:t>
            </w:r>
          </w:p>
        </w:tc>
      </w:tr>
      <w:tr>
        <w:trPr>
          <w:trHeight w:val="203"/>
        </w:trPr>
        <w:tc>
          <w:tcPr>
            <w:tcW w:w="564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rPr>
                <w:sz w:val="17"/>
                <w:szCs w:val="17"/>
                <w:color w:val="auto"/>
              </w:rPr>
            </w:pPr>
          </w:p>
        </w:tc>
        <w:tc>
          <w:tcPr>
            <w:tcW w:w="270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 (loss)</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   977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(742)</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Non-cash charges to earnings</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587</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387</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changes in other assets and liabilities</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389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(2,962)</w:t>
            </w:r>
          </w:p>
        </w:tc>
      </w:tr>
      <w:tr>
        <w:trPr>
          <w:trHeight w:val="203"/>
        </w:trPr>
        <w:tc>
          <w:tcPr>
            <w:tcW w:w="564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(used in) operating activities</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1,953</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(3,317)</w:t>
            </w:r>
          </w:p>
        </w:tc>
      </w:tr>
      <w:tr>
        <w:trPr>
          <w:trHeight w:val="203"/>
        </w:trPr>
        <w:tc>
          <w:tcPr>
            <w:tcW w:w="564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 for acquisition</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(2,697)</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sale of marketable securities</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500</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5,180</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 of marketable securities</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(2,240)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(2,364)</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 net</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(257)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(223)</w:t>
            </w:r>
          </w:p>
        </w:tc>
      </w:tr>
      <w:tr>
        <w:trPr>
          <w:trHeight w:val="203"/>
        </w:trPr>
        <w:tc>
          <w:tcPr>
            <w:tcW w:w="564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w:t>
            </w:r>
          </w:p>
        </w:tc>
      </w:tr>
      <w:tr>
        <w:trPr>
          <w:trHeight w:val="203"/>
        </w:trPr>
        <w:tc>
          <w:tcPr>
            <w:tcW w:w="564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short-term credit obligations</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1,506</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 of cash dividend</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(843)</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(834)</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 on long-term obligations</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(1,442)</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 net</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564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in) provided by financing activities</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(2,225)</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471</w:t>
            </w:r>
          </w:p>
        </w:tc>
      </w:tr>
      <w:tr>
        <w:trPr>
          <w:trHeight w:val="203"/>
        </w:trPr>
        <w:tc>
          <w:tcPr>
            <w:tcW w:w="564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Net decrease in cash and cash equivalents</w:t>
            </w: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before effect of exchange rate changes</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(2,269)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(2,950)</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Effect of exchange rate changes</w:t>
            </w: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on cash and cash equivalents</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126</w:t>
            </w:r>
          </w:p>
        </w:tc>
      </w:tr>
      <w:tr>
        <w:trPr>
          <w:trHeight w:val="203"/>
        </w:trPr>
        <w:tc>
          <w:tcPr>
            <w:tcW w:w="564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ind w:left="320"/>
              <w:spacing w:after="0"/>
              <w:rPr>
                <w:sz w:val="20"/>
                <w:szCs w:val="20"/>
                <w:color w:val="auto"/>
              </w:rPr>
            </w:pPr>
            <w:r>
              <w:rPr>
                <w:rFonts w:ascii="Courier New" w:cs="Courier New" w:eastAsia="Courier New" w:hAnsi="Courier New"/>
                <w:sz w:val="18"/>
                <w:szCs w:val="18"/>
                <w:color w:val="auto"/>
              </w:rPr>
              <w:t>Net decrease in cash</w:t>
            </w:r>
          </w:p>
        </w:tc>
        <w:tc>
          <w:tcPr>
            <w:tcW w:w="14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(2,277)</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(2,824)</w:t>
            </w:r>
          </w:p>
        </w:tc>
      </w:tr>
      <w:tr>
        <w:trPr>
          <w:trHeight w:val="405"/>
        </w:trPr>
        <w:tc>
          <w:tcPr>
            <w:tcW w:w="5640" w:type="dxa"/>
            <w:vAlign w:val="bottom"/>
          </w:tcPr>
          <w:p>
            <w:pPr>
              <w:ind w:left="320"/>
              <w:spacing w:after="0"/>
              <w:rPr>
                <w:sz w:val="20"/>
                <w:szCs w:val="20"/>
                <w:color w:val="auto"/>
              </w:rPr>
            </w:pPr>
            <w:r>
              <w:rPr>
                <w:rFonts w:ascii="Courier New" w:cs="Courier New" w:eastAsia="Courier New" w:hAnsi="Courier New"/>
                <w:sz w:val="18"/>
                <w:szCs w:val="18"/>
                <w:color w:val="auto"/>
              </w:rPr>
              <w:t>Cash at beginning of period</w:t>
            </w:r>
          </w:p>
        </w:tc>
        <w:tc>
          <w:tcPr>
            <w:tcW w:w="14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5,699</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5,952</w:t>
            </w:r>
          </w:p>
        </w:tc>
      </w:tr>
      <w:tr>
        <w:trPr>
          <w:trHeight w:val="203"/>
        </w:trPr>
        <w:tc>
          <w:tcPr>
            <w:tcW w:w="564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at end of period</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$ 3,422</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$ 3,128</w:t>
            </w:r>
          </w:p>
        </w:tc>
      </w:tr>
      <w:tr>
        <w:trPr>
          <w:trHeight w:val="203"/>
        </w:trPr>
        <w:tc>
          <w:tcPr>
            <w:tcW w:w="564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condensed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6 of 20</w:t>
      </w:r>
    </w:p>
    <w:p>
      <w:pPr>
        <w:sectPr>
          <w:pgSz w:w="11900" w:h="16838" w:orient="portrait"/>
          <w:cols w:equalWidth="0" w:num="1">
            <w:col w:w="10219"/>
          </w:cols>
          <w:pgMar w:left="240" w:top="919" w:right="1440" w:bottom="1440" w:gutter="0" w:footer="0" w:header="0"/>
        </w:sectPr>
      </w:pPr>
    </w:p>
    <w:bookmarkStart w:id="6" w:name="page7"/>
    <w:bookmarkEnd w:id="6"/>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A - CONSOLIDATED FINANCIAL STATEMENTS</w:t>
      </w:r>
    </w:p>
    <w:p>
      <w:pPr>
        <w:spacing w:after="0" w:line="207"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In the opinion of management of the Company, the accompanying unaudited condensed consolidated interim financial statements reflect all adjustments (which include only normal recurring adjustments) necessary to present fairly, in all material respects, the consolidated financial position of the Company as of July 31, 2004 and the results of its operations and cash flows for the three months ended July 31, 2004 and 2003. The April 30, 2004 condensed consolidated balance sheet was derived from audited financial statements. Certain information and footnote disclosures normally included in financial statements prepared in accordance with generally accepted accounting principles have been condensed or omitted. It is suggested that these condensed consolidated financial statements be read in conjunction with the financial statements and notes thereto included in the Company's April 30, 2004 Annual Report to Stockholders. The results of operations for such interim periods are not necessarily indicative of the operating results for the full year.</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B - EARNINGS PER SHARE</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Reconciliation of the weighted average shares outstanding for basic and diluted Earnings Per Share are as follows:</w:t>
      </w:r>
    </w:p>
    <w:p>
      <w:pPr>
        <w:jc w:val="center"/>
        <w:ind w:right="-960"/>
        <w:spacing w:after="0"/>
        <w:rPr>
          <w:sz w:val="20"/>
          <w:szCs w:val="20"/>
          <w:color w:val="auto"/>
        </w:rPr>
      </w:pPr>
      <w:r>
        <w:rPr>
          <w:rFonts w:ascii="Courier New" w:cs="Courier New" w:eastAsia="Courier New" w:hAnsi="Courier New"/>
          <w:sz w:val="18"/>
          <w:szCs w:val="18"/>
          <w:color w:val="auto"/>
        </w:rPr>
        <w:t>Periods ended July 31,</w:t>
      </w:r>
    </w:p>
    <w:p>
      <w:pPr>
        <w:jc w:val="center"/>
        <w:ind w:right="-960"/>
        <w:spacing w:after="0" w:line="238" w:lineRule="auto"/>
        <w:rPr>
          <w:sz w:val="20"/>
          <w:szCs w:val="20"/>
          <w:color w:val="auto"/>
        </w:rPr>
      </w:pPr>
      <w:r>
        <w:rPr>
          <w:rFonts w:ascii="Courier New" w:cs="Courier New" w:eastAsia="Courier New" w:hAnsi="Courier New"/>
          <w:sz w:val="18"/>
          <w:szCs w:val="18"/>
          <w:color w:val="auto"/>
        </w:rPr>
        <w:t>Three months</w:t>
      </w:r>
    </w:p>
    <w:p>
      <w:pPr>
        <w:sectPr>
          <w:pgSz w:w="11900" w:h="16838" w:orient="portrait"/>
          <w:cols w:equalWidth="0" w:num="1">
            <w:col w:w="10219"/>
          </w:cols>
          <w:pgMar w:left="240" w:top="919" w:right="1440" w:bottom="176" w:gutter="0" w:footer="0" w:header="0"/>
        </w:sectPr>
      </w:pP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2004</w:t>
      </w:r>
    </w:p>
    <w:p>
      <w:pPr>
        <w:spacing w:after="0" w:line="21"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2003</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5820" w:space="720"/>
            <w:col w:w="3679"/>
          </w:cols>
          <w:pgMar w:left="240" w:top="919" w:right="1440" w:bottom="176"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Basic EPS Shares outstanding</w:t>
      </w:r>
    </w:p>
    <w:p>
      <w:pPr>
        <w:sectPr>
          <w:pgSz w:w="11900" w:h="16838" w:orient="portrait"/>
          <w:cols w:equalWidth="0" w:num="1">
            <w:col w:w="10219"/>
          </w:cols>
          <w:pgMar w:left="240" w:top="919" w:right="1440" w:bottom="176" w:gutter="0" w:footer="0" w:header="0"/>
          <w:type w:val="continuous"/>
        </w:sectPr>
      </w:pP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(weighted average)</w:t>
      </w:r>
    </w:p>
    <w:p>
      <w:pPr>
        <w:ind w:left="220"/>
        <w:spacing w:after="0" w:line="238" w:lineRule="auto"/>
        <w:rPr>
          <w:sz w:val="20"/>
          <w:szCs w:val="20"/>
          <w:color w:val="auto"/>
        </w:rPr>
      </w:pPr>
      <w:r>
        <w:rPr>
          <w:rFonts w:ascii="Courier New" w:cs="Courier New" w:eastAsia="Courier New" w:hAnsi="Courier New"/>
          <w:sz w:val="18"/>
          <w:szCs w:val="18"/>
          <w:color w:val="auto"/>
        </w:rPr>
        <w:t>Effect of Dilutive Securities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Diluted EPS Shares outstanding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right"/>
        <w:ind w:right="440"/>
        <w:spacing w:after="0"/>
        <w:rPr>
          <w:sz w:val="20"/>
          <w:szCs w:val="20"/>
          <w:color w:val="auto"/>
        </w:rPr>
      </w:pPr>
      <w:r>
        <w:rPr>
          <w:rFonts w:ascii="Courier New" w:cs="Courier New" w:eastAsia="Courier New" w:hAnsi="Courier New"/>
          <w:sz w:val="16"/>
          <w:szCs w:val="16"/>
          <w:color w:val="auto"/>
        </w:rPr>
        <w:t>8,434,618</w:t>
      </w:r>
    </w:p>
    <w:p>
      <w:pPr>
        <w:spacing w:after="0" w:line="16" w:lineRule="exact"/>
        <w:rPr>
          <w:sz w:val="20"/>
          <w:szCs w:val="20"/>
          <w:color w:val="auto"/>
        </w:rPr>
      </w:pPr>
    </w:p>
    <w:p>
      <w:pPr>
        <w:jc w:val="right"/>
        <w:ind w:right="440"/>
        <w:spacing w:after="0"/>
        <w:rPr>
          <w:sz w:val="20"/>
          <w:szCs w:val="20"/>
          <w:color w:val="auto"/>
        </w:rPr>
      </w:pPr>
      <w:r>
        <w:rPr>
          <w:rFonts w:ascii="Courier New" w:cs="Courier New" w:eastAsia="Courier New" w:hAnsi="Courier New"/>
          <w:sz w:val="18"/>
          <w:szCs w:val="18"/>
          <w:color w:val="auto"/>
        </w:rPr>
        <w:t>211,740</w:t>
      </w:r>
    </w:p>
    <w:p>
      <w:pPr>
        <w:spacing w:after="0" w:line="4" w:lineRule="exact"/>
        <w:rPr>
          <w:sz w:val="20"/>
          <w:szCs w:val="20"/>
          <w:color w:val="auto"/>
        </w:rPr>
      </w:pPr>
    </w:p>
    <w:p>
      <w:pPr>
        <w:jc w:val="right"/>
        <w:ind w:right="4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right"/>
        <w:ind w:right="440"/>
        <w:spacing w:after="0"/>
        <w:rPr>
          <w:sz w:val="20"/>
          <w:szCs w:val="20"/>
          <w:color w:val="auto"/>
        </w:rPr>
      </w:pPr>
      <w:r>
        <w:rPr>
          <w:rFonts w:ascii="Courier New" w:cs="Courier New" w:eastAsia="Courier New" w:hAnsi="Courier New"/>
          <w:sz w:val="16"/>
          <w:szCs w:val="16"/>
          <w:color w:val="auto"/>
        </w:rPr>
        <w:t>8,646,358</w:t>
      </w:r>
    </w:p>
    <w:p>
      <w:pPr>
        <w:spacing w:after="0" w:line="21" w:lineRule="exact"/>
        <w:rPr>
          <w:sz w:val="20"/>
          <w:szCs w:val="20"/>
          <w:color w:val="auto"/>
        </w:rPr>
      </w:pPr>
    </w:p>
    <w:p>
      <w:pPr>
        <w:jc w:val="right"/>
        <w:ind w:right="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6"/>
          <w:szCs w:val="16"/>
          <w:color w:val="auto"/>
        </w:rPr>
        <w:t>8,348,133</w:t>
      </w:r>
    </w:p>
    <w:p>
      <w:pPr>
        <w:spacing w:after="0" w:line="16"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6"/>
          <w:szCs w:val="16"/>
          <w:color w:val="auto"/>
        </w:rPr>
        <w:t>8,348,133</w:t>
      </w:r>
    </w:p>
    <w:p>
      <w:pPr>
        <w:spacing w:after="0" w:line="21"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400" w:space="720"/>
            <w:col w:w="1380" w:space="720"/>
            <w:col w:w="3999"/>
          </w:cols>
          <w:pgMar w:left="240" w:top="919" w:right="1440" w:bottom="176" w:gutter="0" w:footer="0" w:header="0"/>
          <w:type w:val="continuous"/>
        </w:sectPr>
      </w:pPr>
    </w:p>
    <w:p>
      <w:pPr>
        <w:spacing w:after="0" w:line="24" w:lineRule="exact"/>
        <w:rPr>
          <w:sz w:val="20"/>
          <w:szCs w:val="20"/>
          <w:color w:val="auto"/>
        </w:rPr>
      </w:pPr>
    </w:p>
    <w:p>
      <w:pPr>
        <w:jc w:val="both"/>
        <w:ind w:left="540" w:right="1779" w:hanging="5"/>
        <w:spacing w:after="0" w:line="236" w:lineRule="auto"/>
        <w:tabs>
          <w:tab w:leader="none" w:pos="96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Dilutive securities are excluded for the three month period ended July 31, 2004 since the inclusion of such shares would be antidilutive due to the net loss for the period then ended.</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Options to purchase 231,750 and 312,800 shares of common stock were outstanding during the three months ended July 31, 2004 and 2003, respectively, but were not included in the computation of diluted earnings per share. Since the exercise price of these options was greater than the average market price of the Company's common shares during the periods, their inclusion in the computation would have been antidilutive. Consequently, these options are excluded from the computation of earnings per share.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C - ACCOUNTS RECEIVABLE</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Accounts receivable at July 31 and April 30, 2004 include costs and estimated earnings in excess of billings on uncompleted contracts accounted for on the percentage of completion basis of approximately $2,913,000 and $2,428,000, respectively. Such amounts represent revenue recognized on long-term contracts that had not been billed at the balance sheet dates. Such amounts are billed pursuant to contract terms.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D - INVENTORIES</w:t>
      </w:r>
    </w:p>
    <w:p>
      <w:pPr>
        <w:sectPr>
          <w:pgSz w:w="11900" w:h="16838" w:orient="portrait"/>
          <w:cols w:equalWidth="0" w:num="1">
            <w:col w:w="10219"/>
          </w:cols>
          <w:pgMar w:left="240" w:top="919" w:right="1440" w:bottom="176" w:gutter="0" w:footer="0" w:header="0"/>
          <w:type w:val="continuous"/>
        </w:sectPr>
      </w:pP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Inventories,</w:t>
      </w:r>
    </w:p>
    <w:p>
      <w:pPr>
        <w:spacing w:after="0"/>
        <w:tabs>
          <w:tab w:leader="none" w:pos="1260" w:val="left"/>
          <w:tab w:leader="none" w:pos="1680" w:val="left"/>
        </w:tabs>
        <w:rPr>
          <w:sz w:val="20"/>
          <w:szCs w:val="20"/>
          <w:color w:val="auto"/>
        </w:rPr>
      </w:pPr>
      <w:r>
        <w:rPr>
          <w:rFonts w:ascii="Courier New" w:cs="Courier New" w:eastAsia="Courier New" w:hAnsi="Courier New"/>
          <w:sz w:val="18"/>
          <w:szCs w:val="18"/>
          <w:color w:val="auto"/>
        </w:rPr>
        <w:t>$3,495,000</w:t>
        <w:tab/>
        <w:t>at</w:t>
      </w:r>
      <w:r>
        <w:rPr>
          <w:sz w:val="20"/>
          <w:szCs w:val="20"/>
          <w:color w:val="auto"/>
        </w:rPr>
        <w:tab/>
      </w:r>
      <w:r>
        <w:rPr>
          <w:rFonts w:ascii="Courier New" w:cs="Courier New" w:eastAsia="Courier New" w:hAnsi="Courier New"/>
          <w:sz w:val="16"/>
          <w:szCs w:val="16"/>
          <w:color w:val="auto"/>
        </w:rPr>
        <w:t>July</w:t>
      </w:r>
    </w:p>
    <w:p>
      <w:pPr>
        <w:spacing w:after="0"/>
        <w:rPr>
          <w:sz w:val="20"/>
          <w:szCs w:val="20"/>
          <w:color w:val="auto"/>
        </w:rPr>
      </w:pPr>
      <w:r>
        <w:rPr>
          <w:rFonts w:ascii="Courier New" w:cs="Courier New" w:eastAsia="Courier New" w:hAnsi="Courier New"/>
          <w:sz w:val="18"/>
          <w:szCs w:val="18"/>
          <w:color w:val="auto"/>
        </w:rPr>
        <w:t>following:</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31</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firstLine="105"/>
        <w:spacing w:after="0" w:line="290" w:lineRule="auto"/>
        <w:rPr>
          <w:sz w:val="20"/>
          <w:szCs w:val="20"/>
          <w:color w:val="auto"/>
        </w:rPr>
      </w:pPr>
      <w:r>
        <w:rPr>
          <w:rFonts w:ascii="Courier New" w:cs="Courier New" w:eastAsia="Courier New" w:hAnsi="Courier New"/>
          <w:sz w:val="16"/>
          <w:szCs w:val="16"/>
          <w:color w:val="auto"/>
        </w:rPr>
        <w:t>are and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line="290" w:lineRule="auto"/>
        <w:rPr>
          <w:sz w:val="20"/>
          <w:szCs w:val="20"/>
          <w:color w:val="auto"/>
        </w:rPr>
      </w:pPr>
      <w:r>
        <w:rPr>
          <w:rFonts w:ascii="Courier New" w:cs="Courier New" w:eastAsia="Courier New" w:hAnsi="Courier New"/>
          <w:sz w:val="16"/>
          <w:szCs w:val="16"/>
          <w:color w:val="auto"/>
        </w:rPr>
        <w:t>reported April  30,</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spacing w:after="0"/>
        <w:tabs>
          <w:tab w:leader="none" w:pos="200" w:val="left"/>
        </w:tabs>
        <w:rPr>
          <w:sz w:val="20"/>
          <w:szCs w:val="20"/>
          <w:color w:val="auto"/>
        </w:rPr>
      </w:pPr>
      <w:r>
        <w:rPr>
          <w:rFonts w:ascii="Courier New" w:cs="Courier New" w:eastAsia="Courier New" w:hAnsi="Courier New"/>
          <w:sz w:val="18"/>
          <w:szCs w:val="18"/>
          <w:color w:val="auto"/>
        </w:rPr>
        <w:t>net</w:t>
      </w:r>
      <w:r>
        <w:rPr>
          <w:sz w:val="20"/>
          <w:szCs w:val="20"/>
          <w:color w:val="auto"/>
        </w:rPr>
        <w:tab/>
      </w:r>
      <w:r>
        <w:rPr>
          <w:rFonts w:ascii="Courier New" w:cs="Courier New" w:eastAsia="Courier New" w:hAnsi="Courier New"/>
          <w:sz w:val="16"/>
          <w:szCs w:val="16"/>
          <w:color w:val="auto"/>
        </w:rPr>
        <w:t>of</w:t>
      </w:r>
    </w:p>
    <w:p>
      <w:pPr>
        <w:jc w:val="center"/>
        <w:spacing w:after="0" w:line="238" w:lineRule="auto"/>
        <w:rPr>
          <w:sz w:val="20"/>
          <w:szCs w:val="20"/>
          <w:color w:val="auto"/>
        </w:rPr>
      </w:pPr>
      <w:r>
        <w:rPr>
          <w:rFonts w:ascii="Courier New" w:cs="Courier New" w:eastAsia="Courier New" w:hAnsi="Courier New"/>
          <w:sz w:val="18"/>
          <w:szCs w:val="18"/>
          <w:color w:val="auto"/>
        </w:rPr>
        <w:t>2004,</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firstLine="105"/>
        <w:spacing w:after="0" w:line="290" w:lineRule="auto"/>
        <w:rPr>
          <w:sz w:val="20"/>
          <w:szCs w:val="20"/>
          <w:color w:val="auto"/>
        </w:rPr>
      </w:pPr>
      <w:r>
        <w:rPr>
          <w:rFonts w:ascii="Courier New" w:cs="Courier New" w:eastAsia="Courier New" w:hAnsi="Courier New"/>
          <w:sz w:val="16"/>
          <w:szCs w:val="16"/>
          <w:color w:val="auto"/>
        </w:rPr>
        <w:t>reserves of respectively,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$3,520,000</w:t>
      </w:r>
      <w:r>
        <w:rPr>
          <w:sz w:val="20"/>
          <w:szCs w:val="20"/>
          <w:color w:val="auto"/>
        </w:rPr>
        <w:tab/>
      </w:r>
      <w:r>
        <w:rPr>
          <w:rFonts w:ascii="Courier New" w:cs="Courier New" w:eastAsia="Courier New" w:hAnsi="Courier New"/>
          <w:sz w:val="16"/>
          <w:szCs w:val="16"/>
          <w:color w:val="auto"/>
        </w:rPr>
        <w:t>and</w:t>
      </w:r>
    </w:p>
    <w:p>
      <w:pPr>
        <w:spacing w:after="0"/>
        <w:tabs>
          <w:tab w:leader="none" w:pos="920" w:val="left"/>
        </w:tabs>
        <w:rPr>
          <w:sz w:val="20"/>
          <w:szCs w:val="20"/>
          <w:color w:val="auto"/>
        </w:rPr>
      </w:pPr>
      <w:r>
        <w:rPr>
          <w:rFonts w:ascii="Courier New" w:cs="Courier New" w:eastAsia="Courier New" w:hAnsi="Courier New"/>
          <w:sz w:val="18"/>
          <w:szCs w:val="18"/>
          <w:color w:val="auto"/>
        </w:rPr>
        <w:t>consist</w:t>
      </w:r>
      <w:r>
        <w:rPr>
          <w:sz w:val="20"/>
          <w:szCs w:val="20"/>
          <w:color w:val="auto"/>
        </w:rPr>
        <w:tab/>
      </w:r>
      <w:r>
        <w:rPr>
          <w:rFonts w:ascii="Courier New" w:cs="Courier New" w:eastAsia="Courier New" w:hAnsi="Courier New"/>
          <w:sz w:val="16"/>
          <w:szCs w:val="16"/>
          <w:color w:val="auto"/>
        </w:rPr>
        <w:t>of the</w:t>
      </w:r>
    </w:p>
    <w:p>
      <w:pPr>
        <w:spacing w:after="0" w:line="403" w:lineRule="exact"/>
        <w:rPr>
          <w:sz w:val="20"/>
          <w:szCs w:val="20"/>
          <w:color w:val="auto"/>
        </w:rPr>
      </w:pPr>
    </w:p>
    <w:p>
      <w:pPr>
        <w:sectPr>
          <w:pgSz w:w="11900" w:h="16838" w:orient="portrait"/>
          <w:cols w:equalWidth="0" w:num="7">
            <w:col w:w="2120" w:space="0"/>
            <w:col w:w="520" w:space="100"/>
            <w:col w:w="420" w:space="120"/>
            <w:col w:w="1040" w:space="120"/>
            <w:col w:w="720" w:space="120"/>
            <w:col w:w="1360" w:space="220"/>
            <w:col w:w="3359"/>
          </w:cols>
          <w:pgMar w:left="240" w:top="919" w:right="1440" w:bottom="176" w:gutter="0" w:footer="0" w:header="0"/>
          <w:type w:val="continuous"/>
        </w:sectPr>
      </w:pPr>
    </w:p>
    <w:p>
      <w:pPr>
        <w:ind w:left="4540"/>
        <w:spacing w:after="0"/>
        <w:tabs>
          <w:tab w:leader="none" w:pos="6840" w:val="left"/>
        </w:tabs>
        <w:rPr>
          <w:sz w:val="20"/>
          <w:szCs w:val="20"/>
          <w:color w:val="auto"/>
        </w:rPr>
      </w:pPr>
      <w:r>
        <w:rPr>
          <w:rFonts w:ascii="Courier New" w:cs="Courier New" w:eastAsia="Courier New" w:hAnsi="Courier New"/>
          <w:sz w:val="18"/>
          <w:szCs w:val="18"/>
          <w:color w:val="auto"/>
        </w:rPr>
        <w:t>July 31, 2004</w:t>
      </w:r>
      <w:r>
        <w:rPr>
          <w:sz w:val="20"/>
          <w:szCs w:val="20"/>
          <w:color w:val="auto"/>
        </w:rPr>
        <w:tab/>
      </w:r>
      <w:r>
        <w:rPr>
          <w:rFonts w:ascii="Courier New" w:cs="Courier New" w:eastAsia="Courier New" w:hAnsi="Courier New"/>
          <w:sz w:val="16"/>
          <w:szCs w:val="16"/>
          <w:color w:val="auto"/>
        </w:rPr>
        <w:t>April 30, 2004</w:t>
      </w:r>
    </w:p>
    <w:p>
      <w:pPr>
        <w:spacing w:after="0" w:line="4" w:lineRule="exact"/>
        <w:rPr>
          <w:sz w:val="20"/>
          <w:szCs w:val="20"/>
          <w:color w:val="auto"/>
        </w:rPr>
      </w:pPr>
    </w:p>
    <w:p>
      <w:pPr>
        <w:ind w:left="4540"/>
        <w:spacing w:after="0"/>
        <w:tabs>
          <w:tab w:leader="none" w:pos="68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(In thousands)</w:t>
      </w:r>
    </w:p>
    <w:p>
      <w:pPr>
        <w:sectPr>
          <w:pgSz w:w="11900" w:h="16838" w:orient="portrait"/>
          <w:cols w:equalWidth="0" w:num="1">
            <w:col w:w="10219"/>
          </w:cols>
          <w:pgMar w:left="240" w:top="919" w:right="1440" w:bottom="176" w:gutter="0" w:footer="0" w:header="0"/>
          <w:type w:val="continuous"/>
        </w:sectPr>
      </w:pPr>
    </w:p>
    <w:p>
      <w:pPr>
        <w:spacing w:after="0" w:line="207" w:lineRule="exact"/>
        <w:rPr>
          <w:sz w:val="20"/>
          <w:szCs w:val="20"/>
          <w:color w:val="auto"/>
        </w:rPr>
      </w:pPr>
    </w:p>
    <w:p>
      <w:pPr>
        <w:ind w:left="220" w:right="120"/>
        <w:spacing w:after="0" w:line="290" w:lineRule="auto"/>
        <w:rPr>
          <w:sz w:val="20"/>
          <w:szCs w:val="20"/>
          <w:color w:val="auto"/>
        </w:rPr>
      </w:pPr>
      <w:r>
        <w:rPr>
          <w:rFonts w:ascii="Courier New" w:cs="Courier New" w:eastAsia="Courier New" w:hAnsi="Courier New"/>
          <w:sz w:val="16"/>
          <w:szCs w:val="16"/>
          <w:color w:val="auto"/>
        </w:rPr>
        <w:t>Raw materials and Component parts Work in progress and Finished goods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right"/>
        <w:ind w:right="1080"/>
        <w:spacing w:after="0"/>
        <w:rPr>
          <w:sz w:val="20"/>
          <w:szCs w:val="20"/>
          <w:color w:val="auto"/>
        </w:rPr>
      </w:pPr>
      <w:r>
        <w:rPr>
          <w:rFonts w:ascii="Courier New" w:cs="Courier New" w:eastAsia="Courier New" w:hAnsi="Courier New"/>
          <w:sz w:val="16"/>
          <w:szCs w:val="16"/>
          <w:color w:val="auto"/>
        </w:rPr>
        <w:t>$10,096</w:t>
      </w:r>
    </w:p>
    <w:p>
      <w:pPr>
        <w:spacing w:after="0" w:line="16" w:lineRule="exact"/>
        <w:rPr>
          <w:sz w:val="20"/>
          <w:szCs w:val="20"/>
          <w:color w:val="auto"/>
        </w:rPr>
      </w:pPr>
    </w:p>
    <w:p>
      <w:pPr>
        <w:jc w:val="right"/>
        <w:ind w:right="1080"/>
        <w:spacing w:after="0"/>
        <w:rPr>
          <w:sz w:val="20"/>
          <w:szCs w:val="20"/>
          <w:color w:val="auto"/>
        </w:rPr>
      </w:pPr>
      <w:r>
        <w:rPr>
          <w:rFonts w:ascii="Courier New" w:cs="Courier New" w:eastAsia="Courier New" w:hAnsi="Courier New"/>
          <w:sz w:val="18"/>
          <w:szCs w:val="18"/>
          <w:color w:val="auto"/>
        </w:rPr>
        <w:t>11,298</w:t>
      </w:r>
    </w:p>
    <w:p>
      <w:pPr>
        <w:spacing w:after="0" w:line="4" w:lineRule="exact"/>
        <w:rPr>
          <w:sz w:val="20"/>
          <w:szCs w:val="20"/>
          <w:color w:val="auto"/>
        </w:rPr>
      </w:pPr>
    </w:p>
    <w:p>
      <w:pPr>
        <w:jc w:val="right"/>
        <w:ind w:right="10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right"/>
        <w:ind w:right="1080"/>
        <w:spacing w:after="0"/>
        <w:rPr>
          <w:sz w:val="20"/>
          <w:szCs w:val="20"/>
          <w:color w:val="auto"/>
        </w:rPr>
      </w:pPr>
      <w:r>
        <w:rPr>
          <w:rFonts w:ascii="Courier New" w:cs="Courier New" w:eastAsia="Courier New" w:hAnsi="Courier New"/>
          <w:sz w:val="16"/>
          <w:szCs w:val="16"/>
          <w:color w:val="auto"/>
        </w:rPr>
        <w:t>$21,394</w:t>
      </w:r>
    </w:p>
    <w:p>
      <w:pPr>
        <w:spacing w:after="0" w:line="21" w:lineRule="exact"/>
        <w:rPr>
          <w:sz w:val="20"/>
          <w:szCs w:val="20"/>
          <w:color w:val="auto"/>
        </w:rPr>
      </w:pPr>
    </w:p>
    <w:p>
      <w:pPr>
        <w:jc w:val="right"/>
        <w:ind w:right="10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6"/>
          <w:szCs w:val="16"/>
          <w:color w:val="auto"/>
        </w:rPr>
        <w:t>$ 8,608</w:t>
      </w:r>
    </w:p>
    <w:p>
      <w:pPr>
        <w:spacing w:after="0" w:line="16"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8"/>
          <w:szCs w:val="18"/>
          <w:color w:val="auto"/>
        </w:rPr>
        <w:t>13,317</w:t>
      </w:r>
    </w:p>
    <w:p>
      <w:pPr>
        <w:spacing w:after="0" w:line="4"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6"/>
          <w:szCs w:val="16"/>
          <w:color w:val="auto"/>
        </w:rPr>
        <w:t>$21,925</w:t>
      </w:r>
    </w:p>
    <w:p>
      <w:pPr>
        <w:spacing w:after="0" w:line="21"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4020" w:space="720"/>
            <w:col w:w="1820" w:space="720"/>
            <w:col w:w="2939"/>
          </w:cols>
          <w:pgMar w:left="240" w:top="919" w:right="1440" w:bottom="176" w:gutter="0" w:footer="0" w:header="0"/>
          <w:type w:val="continuous"/>
        </w:sectPr>
      </w:pPr>
    </w:p>
    <w:p>
      <w:pPr>
        <w:spacing w:after="0" w:line="2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7 of 20</w:t>
      </w:r>
    </w:p>
    <w:p>
      <w:pPr>
        <w:sectPr>
          <w:pgSz w:w="11900" w:h="16838" w:orient="portrait"/>
          <w:cols w:equalWidth="0" w:num="1">
            <w:col w:w="10219"/>
          </w:cols>
          <w:pgMar w:left="240" w:top="919" w:right="1440" w:bottom="176" w:gutter="0" w:footer="0" w:header="0"/>
          <w:type w:val="continuous"/>
        </w:sectPr>
      </w:pPr>
    </w:p>
    <w:bookmarkStart w:id="7" w:name="page8"/>
    <w:bookmarkEnd w:id="7"/>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E - -COMPREHENSIVE INCOME</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For the three months ended July 31, 2004 and 2003, total comprehensive income was $1,980,000 and $287,000, respectively. Comprehensive income is composed of net income or loss for the period plus the impact of foreign currency translation adjustments and the change in the valuation allowance on marketable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F - SEGMENT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operates under four reportable segments:</w:t>
      </w:r>
    </w:p>
    <w:p>
      <w:pPr>
        <w:spacing w:after="0" w:line="4" w:lineRule="exact"/>
        <w:rPr>
          <w:sz w:val="20"/>
          <w:szCs w:val="20"/>
          <w:color w:val="auto"/>
        </w:rPr>
      </w:pPr>
    </w:p>
    <w:p>
      <w:pPr>
        <w:jc w:val="both"/>
        <w:ind w:left="1060" w:right="1779" w:hanging="525"/>
        <w:spacing w:after="0" w:line="268" w:lineRule="auto"/>
        <w:tabs>
          <w:tab w:leader="none" w:pos="10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Commercial communications - consists principally of time and frequency control products used in commercial communication satellites and</w:t>
      </w:r>
    </w:p>
    <w:p>
      <w:pPr>
        <w:ind w:left="1060" w:right="17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terrestrial cellular telephone or other ground-based telecommunications.</w:t>
      </w:r>
    </w:p>
    <w:p>
      <w:pPr>
        <w:spacing w:after="0" w:line="5" w:lineRule="exact"/>
        <w:rPr>
          <w:rFonts w:ascii="Courier New" w:cs="Courier New" w:eastAsia="Courier New" w:hAnsi="Courier New"/>
          <w:sz w:val="16"/>
          <w:szCs w:val="16"/>
          <w:color w:val="auto"/>
        </w:rPr>
      </w:pPr>
    </w:p>
    <w:p>
      <w:pPr>
        <w:jc w:val="both"/>
        <w:ind w:left="1060" w:right="1779" w:hanging="525"/>
        <w:spacing w:after="0" w:line="236"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Government - consists of time and frequency control products used in terrestrial and space applications by the Department of Defense and other U.S. government agencies.</w:t>
      </w:r>
    </w:p>
    <w:p>
      <w:pPr>
        <w:spacing w:after="0" w:line="6" w:lineRule="exact"/>
        <w:rPr>
          <w:rFonts w:ascii="Courier New" w:cs="Courier New" w:eastAsia="Courier New" w:hAnsi="Courier New"/>
          <w:sz w:val="18"/>
          <w:szCs w:val="18"/>
          <w:color w:val="auto"/>
        </w:rPr>
      </w:pPr>
    </w:p>
    <w:p>
      <w:pPr>
        <w:ind w:left="1060" w:right="1779" w:hanging="525"/>
        <w:spacing w:after="0" w:line="268" w:lineRule="auto"/>
        <w:tabs>
          <w:tab w:leader="none" w:pos="10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Gillam-FEI - the products of the Company's Belgian subsidiary consist primarily of wireline synchronization and network monitoring systems.</w:t>
      </w:r>
    </w:p>
    <w:p>
      <w:pPr>
        <w:jc w:val="both"/>
        <w:ind w:left="1060" w:right="1779" w:hanging="525"/>
        <w:spacing w:after="0" w:line="237"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FEI-Zyfer - the products of the Company's subsidiary incorporate Global Positioning System (GPS) technologies into systems and subsystems for secure communications, both government and commercial, and other locator applications.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ind w:left="540"/>
              <w:spacing w:after="0"/>
              <w:rPr>
                <w:sz w:val="20"/>
                <w:szCs w:val="20"/>
                <w:color w:val="auto"/>
              </w:rPr>
            </w:pPr>
            <w:r>
              <w:rPr>
                <w:rFonts w:ascii="Courier New" w:cs="Courier New" w:eastAsia="Courier New" w:hAnsi="Courier New"/>
                <w:sz w:val="18"/>
                <w:szCs w:val="18"/>
                <w:color w:val="auto"/>
                <w:w w:val="99"/>
              </w:rPr>
              <w:t>The  table</w:t>
            </w:r>
          </w:p>
        </w:tc>
        <w:tc>
          <w:tcPr>
            <w:tcW w:w="3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below  presents   information</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about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9"/>
              </w:rPr>
              <w:t>reported</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segments</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with</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reconciliation</w:t>
            </w:r>
          </w:p>
        </w:tc>
        <w:tc>
          <w:tcPr>
            <w:tcW w:w="680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8"/>
              </w:rPr>
              <w:t>of segment  amounts to  consolidated  amounts as reported in the</w:t>
            </w:r>
          </w:p>
        </w:tc>
      </w:tr>
      <w:tr>
        <w:trPr>
          <w:trHeight w:val="203"/>
        </w:trPr>
        <w:tc>
          <w:tcPr>
            <w:tcW w:w="4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statement  of  operations  or the  balance</w:t>
            </w:r>
          </w:p>
        </w:tc>
        <w:tc>
          <w:tcPr>
            <w:tcW w:w="35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sheet  for each of the  periods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thousands):</w:t>
            </w:r>
          </w:p>
        </w:tc>
        <w:tc>
          <w:tcPr>
            <w:tcW w:w="2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405"/>
        </w:trPr>
        <w:tc>
          <w:tcPr>
            <w:tcW w:w="16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520" w:type="dxa"/>
            <w:vAlign w:val="bottom"/>
            <w:gridSpan w:val="4"/>
          </w:tcPr>
          <w:p>
            <w:pPr>
              <w:jc w:val="right"/>
              <w:ind w:right="272"/>
              <w:spacing w:after="0"/>
              <w:rPr>
                <w:sz w:val="20"/>
                <w:szCs w:val="20"/>
                <w:color w:val="auto"/>
              </w:rPr>
            </w:pPr>
            <w:r>
              <w:rPr>
                <w:rFonts w:ascii="Courier New" w:cs="Courier New" w:eastAsia="Courier New" w:hAnsi="Courier New"/>
                <w:sz w:val="18"/>
                <w:szCs w:val="18"/>
                <w:color w:val="auto"/>
              </w:rPr>
              <w:t>Three months ended July 31,</w:t>
            </w:r>
          </w:p>
        </w:tc>
        <w:tc>
          <w:tcPr>
            <w:tcW w:w="480" w:type="dxa"/>
            <w:vAlign w:val="bottom"/>
          </w:tcPr>
          <w:p>
            <w:pPr>
              <w:spacing w:after="0"/>
              <w:rPr>
                <w:sz w:val="24"/>
                <w:szCs w:val="24"/>
                <w:color w:val="auto"/>
              </w:rPr>
            </w:pPr>
          </w:p>
        </w:tc>
      </w:tr>
      <w:tr>
        <w:trPr>
          <w:trHeight w:val="203"/>
        </w:trPr>
        <w:tc>
          <w:tcPr>
            <w:tcW w:w="16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2004</w:t>
            </w:r>
          </w:p>
        </w:tc>
        <w:tc>
          <w:tcPr>
            <w:tcW w:w="940" w:type="dxa"/>
            <w:vAlign w:val="bottom"/>
          </w:tcPr>
          <w:p>
            <w:pPr>
              <w:spacing w:after="0"/>
              <w:rPr>
                <w:sz w:val="17"/>
                <w:szCs w:val="17"/>
                <w:color w:val="auto"/>
              </w:rPr>
            </w:pPr>
          </w:p>
        </w:tc>
        <w:tc>
          <w:tcPr>
            <w:tcW w:w="11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2003</w:t>
            </w:r>
          </w:p>
        </w:tc>
        <w:tc>
          <w:tcPr>
            <w:tcW w:w="48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17"/>
                <w:szCs w:val="17"/>
                <w:color w:val="auto"/>
              </w:rPr>
            </w:pPr>
          </w:p>
        </w:tc>
        <w:tc>
          <w:tcPr>
            <w:tcW w:w="11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sales:</w:t>
            </w:r>
          </w:p>
        </w:tc>
        <w:tc>
          <w:tcPr>
            <w:tcW w:w="2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44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Commercial Communications</w:t>
            </w:r>
          </w:p>
        </w:tc>
        <w:tc>
          <w:tcPr>
            <w:tcW w:w="14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$11,350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4,869</w:t>
            </w:r>
          </w:p>
        </w:tc>
        <w:tc>
          <w:tcPr>
            <w:tcW w:w="480" w:type="dxa"/>
            <w:vAlign w:val="bottom"/>
          </w:tcPr>
          <w:p>
            <w:pPr>
              <w:spacing w:after="0"/>
              <w:rPr>
                <w:sz w:val="17"/>
                <w:szCs w:val="17"/>
                <w:color w:val="auto"/>
              </w:rPr>
            </w:pPr>
          </w:p>
        </w:tc>
      </w:tr>
      <w:tr>
        <w:trPr>
          <w:trHeight w:val="203"/>
        </w:trPr>
        <w:tc>
          <w:tcPr>
            <w:tcW w:w="44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U.S. Government</w:t>
            </w:r>
          </w:p>
        </w:tc>
        <w:tc>
          <w:tcPr>
            <w:tcW w:w="42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1,741</w:t>
            </w:r>
          </w:p>
        </w:tc>
        <w:tc>
          <w:tcPr>
            <w:tcW w:w="940" w:type="dxa"/>
            <w:vAlign w:val="bottom"/>
          </w:tcPr>
          <w:p>
            <w:pPr>
              <w:spacing w:after="0"/>
              <w:rPr>
                <w:sz w:val="17"/>
                <w:szCs w:val="17"/>
                <w:color w:val="auto"/>
              </w:rPr>
            </w:pP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1,644</w:t>
            </w:r>
          </w:p>
        </w:tc>
        <w:tc>
          <w:tcPr>
            <w:tcW w:w="480" w:type="dxa"/>
            <w:vAlign w:val="bottom"/>
          </w:tcPr>
          <w:p>
            <w:pPr>
              <w:spacing w:after="0"/>
              <w:rPr>
                <w:sz w:val="17"/>
                <w:szCs w:val="17"/>
                <w:color w:val="auto"/>
              </w:rPr>
            </w:pPr>
          </w:p>
        </w:tc>
      </w:tr>
      <w:tr>
        <w:trPr>
          <w:trHeight w:val="203"/>
        </w:trPr>
        <w:tc>
          <w:tcPr>
            <w:tcW w:w="1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Gillam-FEI</w:t>
            </w:r>
          </w:p>
        </w:tc>
        <w:tc>
          <w:tcPr>
            <w:tcW w:w="2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2,740</w:t>
            </w:r>
          </w:p>
        </w:tc>
        <w:tc>
          <w:tcPr>
            <w:tcW w:w="940" w:type="dxa"/>
            <w:vAlign w:val="bottom"/>
          </w:tcPr>
          <w:p>
            <w:pPr>
              <w:spacing w:after="0"/>
              <w:rPr>
                <w:sz w:val="17"/>
                <w:szCs w:val="17"/>
                <w:color w:val="auto"/>
              </w:rPr>
            </w:pP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1,347</w:t>
            </w:r>
          </w:p>
        </w:tc>
        <w:tc>
          <w:tcPr>
            <w:tcW w:w="480" w:type="dxa"/>
            <w:vAlign w:val="bottom"/>
          </w:tcPr>
          <w:p>
            <w:pPr>
              <w:spacing w:after="0"/>
              <w:rPr>
                <w:sz w:val="17"/>
                <w:szCs w:val="17"/>
                <w:color w:val="auto"/>
              </w:rPr>
            </w:pPr>
          </w:p>
        </w:tc>
      </w:tr>
      <w:tr>
        <w:trPr>
          <w:trHeight w:val="203"/>
        </w:trPr>
        <w:tc>
          <w:tcPr>
            <w:tcW w:w="1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FEI-Zyfer</w:t>
            </w:r>
          </w:p>
        </w:tc>
        <w:tc>
          <w:tcPr>
            <w:tcW w:w="2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2,034</w:t>
            </w:r>
          </w:p>
        </w:tc>
        <w:tc>
          <w:tcPr>
            <w:tcW w:w="940" w:type="dxa"/>
            <w:vAlign w:val="bottom"/>
          </w:tcPr>
          <w:p>
            <w:pPr>
              <w:spacing w:after="0"/>
              <w:rPr>
                <w:sz w:val="17"/>
                <w:szCs w:val="17"/>
                <w:color w:val="auto"/>
              </w:rPr>
            </w:pP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912</w:t>
            </w:r>
          </w:p>
        </w:tc>
        <w:tc>
          <w:tcPr>
            <w:tcW w:w="480" w:type="dxa"/>
            <w:vAlign w:val="bottom"/>
          </w:tcPr>
          <w:p>
            <w:pPr>
              <w:spacing w:after="0"/>
              <w:rPr>
                <w:sz w:val="17"/>
                <w:szCs w:val="17"/>
                <w:color w:val="auto"/>
              </w:rPr>
            </w:pPr>
          </w:p>
        </w:tc>
      </w:tr>
      <w:tr>
        <w:trPr>
          <w:trHeight w:val="203"/>
        </w:trPr>
        <w:tc>
          <w:tcPr>
            <w:tcW w:w="44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less intercompany sales</w:t>
            </w:r>
          </w:p>
        </w:tc>
        <w:tc>
          <w:tcPr>
            <w:tcW w:w="4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(182)</w:t>
            </w:r>
          </w:p>
        </w:tc>
        <w:tc>
          <w:tcPr>
            <w:tcW w:w="94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(18)</w:t>
            </w:r>
          </w:p>
        </w:tc>
        <w:tc>
          <w:tcPr>
            <w:tcW w:w="48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4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r>
      <w:tr>
        <w:trPr>
          <w:trHeight w:val="203"/>
        </w:trPr>
        <w:tc>
          <w:tcPr>
            <w:tcW w:w="4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Consolidated Sales</w:t>
            </w:r>
          </w:p>
        </w:tc>
        <w:tc>
          <w:tcPr>
            <w:tcW w:w="14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$17,683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8,754</w:t>
            </w:r>
          </w:p>
        </w:tc>
        <w:tc>
          <w:tcPr>
            <w:tcW w:w="48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4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r>
      <w:tr>
        <w:trPr>
          <w:trHeight w:val="203"/>
        </w:trPr>
        <w:tc>
          <w:tcPr>
            <w:tcW w:w="44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Operating profit (loss):</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44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Commercial Communications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1,964</w:t>
            </w:r>
          </w:p>
        </w:tc>
        <w:tc>
          <w:tcPr>
            <w:tcW w:w="94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$(274)</w:t>
            </w:r>
          </w:p>
        </w:tc>
        <w:tc>
          <w:tcPr>
            <w:tcW w:w="480" w:type="dxa"/>
            <w:vAlign w:val="bottom"/>
          </w:tcPr>
          <w:p>
            <w:pPr>
              <w:spacing w:after="0"/>
              <w:rPr>
                <w:sz w:val="17"/>
                <w:szCs w:val="17"/>
                <w:color w:val="auto"/>
              </w:rPr>
            </w:pPr>
          </w:p>
        </w:tc>
      </w:tr>
      <w:tr>
        <w:trPr>
          <w:trHeight w:val="203"/>
        </w:trPr>
        <w:tc>
          <w:tcPr>
            <w:tcW w:w="44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U.S. Government</w:t>
            </w:r>
          </w:p>
        </w:tc>
        <w:tc>
          <w:tcPr>
            <w:tcW w:w="4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(80)</w:t>
            </w:r>
          </w:p>
        </w:tc>
        <w:tc>
          <w:tcPr>
            <w:tcW w:w="940" w:type="dxa"/>
            <w:vAlign w:val="bottom"/>
          </w:tcPr>
          <w:p>
            <w:pPr>
              <w:spacing w:after="0"/>
              <w:rPr>
                <w:sz w:val="17"/>
                <w:szCs w:val="17"/>
                <w:color w:val="auto"/>
              </w:rPr>
            </w:pP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72</w:t>
            </w:r>
          </w:p>
        </w:tc>
        <w:tc>
          <w:tcPr>
            <w:tcW w:w="480" w:type="dxa"/>
            <w:vAlign w:val="bottom"/>
          </w:tcPr>
          <w:p>
            <w:pPr>
              <w:spacing w:after="0"/>
              <w:rPr>
                <w:sz w:val="17"/>
                <w:szCs w:val="17"/>
                <w:color w:val="auto"/>
              </w:rPr>
            </w:pPr>
          </w:p>
        </w:tc>
      </w:tr>
      <w:tr>
        <w:trPr>
          <w:trHeight w:val="203"/>
        </w:trPr>
        <w:tc>
          <w:tcPr>
            <w:tcW w:w="1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Gillam-FEI</w:t>
            </w:r>
          </w:p>
        </w:tc>
        <w:tc>
          <w:tcPr>
            <w:tcW w:w="2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(497)</w:t>
            </w:r>
          </w:p>
        </w:tc>
        <w:tc>
          <w:tcPr>
            <w:tcW w:w="94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(859)</w:t>
            </w:r>
          </w:p>
        </w:tc>
        <w:tc>
          <w:tcPr>
            <w:tcW w:w="480" w:type="dxa"/>
            <w:vAlign w:val="bottom"/>
          </w:tcPr>
          <w:p>
            <w:pPr>
              <w:spacing w:after="0"/>
              <w:rPr>
                <w:sz w:val="17"/>
                <w:szCs w:val="17"/>
                <w:color w:val="auto"/>
              </w:rPr>
            </w:pPr>
          </w:p>
        </w:tc>
      </w:tr>
      <w:tr>
        <w:trPr>
          <w:trHeight w:val="203"/>
        </w:trPr>
        <w:tc>
          <w:tcPr>
            <w:tcW w:w="1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FEI-Zyfer</w:t>
            </w:r>
          </w:p>
        </w:tc>
        <w:tc>
          <w:tcPr>
            <w:tcW w:w="2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w:t>
            </w:r>
          </w:p>
        </w:tc>
        <w:tc>
          <w:tcPr>
            <w:tcW w:w="94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(478)</w:t>
            </w:r>
          </w:p>
        </w:tc>
        <w:tc>
          <w:tcPr>
            <w:tcW w:w="480" w:type="dxa"/>
            <w:vAlign w:val="bottom"/>
          </w:tcPr>
          <w:p>
            <w:pPr>
              <w:spacing w:after="0"/>
              <w:rPr>
                <w:sz w:val="17"/>
                <w:szCs w:val="17"/>
                <w:color w:val="auto"/>
              </w:rPr>
            </w:pPr>
          </w:p>
        </w:tc>
      </w:tr>
      <w:tr>
        <w:trPr>
          <w:trHeight w:val="203"/>
        </w:trPr>
        <w:tc>
          <w:tcPr>
            <w:tcW w:w="1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Corporate</w:t>
            </w:r>
          </w:p>
        </w:tc>
        <w:tc>
          <w:tcPr>
            <w:tcW w:w="2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w:t>
            </w:r>
          </w:p>
        </w:tc>
        <w:tc>
          <w:tcPr>
            <w:tcW w:w="94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(98)</w:t>
            </w:r>
          </w:p>
        </w:tc>
        <w:tc>
          <w:tcPr>
            <w:tcW w:w="48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4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r>
      <w:tr>
        <w:trPr>
          <w:trHeight w:val="203"/>
        </w:trPr>
        <w:tc>
          <w:tcPr>
            <w:tcW w:w="4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Consolidated Operating Profit (Loss)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1,249</w:t>
            </w:r>
          </w:p>
        </w:tc>
        <w:tc>
          <w:tcPr>
            <w:tcW w:w="21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$(1,637)</w:t>
            </w:r>
          </w:p>
        </w:tc>
        <w:tc>
          <w:tcPr>
            <w:tcW w:w="48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4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r>
      <w:tr>
        <w:trPr>
          <w:trHeight w:val="405"/>
        </w:trPr>
        <w:tc>
          <w:tcPr>
            <w:tcW w:w="16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5"/>
              </w:rPr>
              <w:t>July 31, 2004</w:t>
            </w:r>
          </w:p>
        </w:tc>
        <w:tc>
          <w:tcPr>
            <w:tcW w:w="21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April 30, 2004</w:t>
            </w:r>
          </w:p>
        </w:tc>
        <w:tc>
          <w:tcPr>
            <w:tcW w:w="480" w:type="dxa"/>
            <w:vAlign w:val="bottom"/>
          </w:tcPr>
          <w:p>
            <w:pPr>
              <w:spacing w:after="0"/>
              <w:rPr>
                <w:sz w:val="24"/>
                <w:szCs w:val="24"/>
                <w:color w:val="auto"/>
              </w:rPr>
            </w:pPr>
          </w:p>
        </w:tc>
      </w:tr>
      <w:tr>
        <w:trPr>
          <w:trHeight w:val="203"/>
        </w:trPr>
        <w:tc>
          <w:tcPr>
            <w:tcW w:w="44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Identifiable assets:</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4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Commercial Communications</w:t>
            </w:r>
          </w:p>
        </w:tc>
        <w:tc>
          <w:tcPr>
            <w:tcW w:w="14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$20,944</w:t>
            </w:r>
          </w:p>
        </w:tc>
        <w:tc>
          <w:tcPr>
            <w:tcW w:w="21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$22,988</w:t>
            </w:r>
          </w:p>
        </w:tc>
        <w:tc>
          <w:tcPr>
            <w:tcW w:w="480" w:type="dxa"/>
            <w:vAlign w:val="bottom"/>
          </w:tcPr>
          <w:p>
            <w:pPr>
              <w:spacing w:after="0"/>
              <w:rPr>
                <w:sz w:val="17"/>
                <w:szCs w:val="17"/>
                <w:color w:val="auto"/>
              </w:rPr>
            </w:pPr>
          </w:p>
        </w:tc>
      </w:tr>
      <w:tr>
        <w:trPr>
          <w:trHeight w:val="203"/>
        </w:trPr>
        <w:tc>
          <w:tcPr>
            <w:tcW w:w="4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U.S. Government</w:t>
            </w:r>
          </w:p>
        </w:tc>
        <w:tc>
          <w:tcPr>
            <w:tcW w:w="42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7,770</w:t>
            </w:r>
          </w:p>
        </w:tc>
        <w:tc>
          <w:tcPr>
            <w:tcW w:w="94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5,189</w:t>
            </w:r>
          </w:p>
        </w:tc>
        <w:tc>
          <w:tcPr>
            <w:tcW w:w="480" w:type="dxa"/>
            <w:vAlign w:val="bottom"/>
          </w:tcPr>
          <w:p>
            <w:pPr>
              <w:spacing w:after="0"/>
              <w:rPr>
                <w:sz w:val="17"/>
                <w:szCs w:val="17"/>
                <w:color w:val="auto"/>
              </w:rPr>
            </w:pPr>
          </w:p>
        </w:tc>
      </w:tr>
      <w:tr>
        <w:trPr>
          <w:trHeight w:val="203"/>
        </w:trPr>
        <w:tc>
          <w:tcPr>
            <w:tcW w:w="1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Gillam-FEI</w:t>
            </w:r>
          </w:p>
        </w:tc>
        <w:tc>
          <w:tcPr>
            <w:tcW w:w="2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13,056</w:t>
            </w:r>
          </w:p>
        </w:tc>
        <w:tc>
          <w:tcPr>
            <w:tcW w:w="94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14,904</w:t>
            </w:r>
          </w:p>
        </w:tc>
        <w:tc>
          <w:tcPr>
            <w:tcW w:w="480" w:type="dxa"/>
            <w:vAlign w:val="bottom"/>
          </w:tcPr>
          <w:p>
            <w:pPr>
              <w:spacing w:after="0"/>
              <w:rPr>
                <w:sz w:val="17"/>
                <w:szCs w:val="17"/>
                <w:color w:val="auto"/>
              </w:rPr>
            </w:pPr>
          </w:p>
        </w:tc>
      </w:tr>
      <w:tr>
        <w:trPr>
          <w:trHeight w:val="203"/>
        </w:trPr>
        <w:tc>
          <w:tcPr>
            <w:tcW w:w="1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FEI-Zyfer</w:t>
            </w:r>
          </w:p>
        </w:tc>
        <w:tc>
          <w:tcPr>
            <w:tcW w:w="2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4,992</w:t>
            </w:r>
          </w:p>
        </w:tc>
        <w:tc>
          <w:tcPr>
            <w:tcW w:w="94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5,541</w:t>
            </w:r>
          </w:p>
        </w:tc>
        <w:tc>
          <w:tcPr>
            <w:tcW w:w="480" w:type="dxa"/>
            <w:vAlign w:val="bottom"/>
          </w:tcPr>
          <w:p>
            <w:pPr>
              <w:spacing w:after="0"/>
              <w:rPr>
                <w:sz w:val="17"/>
                <w:szCs w:val="17"/>
                <w:color w:val="auto"/>
              </w:rPr>
            </w:pPr>
          </w:p>
        </w:tc>
      </w:tr>
      <w:tr>
        <w:trPr>
          <w:trHeight w:val="203"/>
        </w:trPr>
        <w:tc>
          <w:tcPr>
            <w:tcW w:w="4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less intercompany balances</w:t>
            </w:r>
          </w:p>
        </w:tc>
        <w:tc>
          <w:tcPr>
            <w:tcW w:w="4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(5,195)</w:t>
            </w:r>
          </w:p>
        </w:tc>
        <w:tc>
          <w:tcPr>
            <w:tcW w:w="94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(5,673)</w:t>
            </w:r>
          </w:p>
        </w:tc>
        <w:tc>
          <w:tcPr>
            <w:tcW w:w="480" w:type="dxa"/>
            <w:vAlign w:val="bottom"/>
          </w:tcPr>
          <w:p>
            <w:pPr>
              <w:spacing w:after="0"/>
              <w:rPr>
                <w:sz w:val="17"/>
                <w:szCs w:val="17"/>
                <w:color w:val="auto"/>
              </w:rPr>
            </w:pPr>
          </w:p>
        </w:tc>
      </w:tr>
      <w:tr>
        <w:trPr>
          <w:trHeight w:val="203"/>
        </w:trPr>
        <w:tc>
          <w:tcPr>
            <w:tcW w:w="1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Corporate</w:t>
            </w:r>
          </w:p>
        </w:tc>
        <w:tc>
          <w:tcPr>
            <w:tcW w:w="2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49,567</w:t>
            </w:r>
          </w:p>
        </w:tc>
        <w:tc>
          <w:tcPr>
            <w:tcW w:w="94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49,711</w:t>
            </w:r>
          </w:p>
        </w:tc>
        <w:tc>
          <w:tcPr>
            <w:tcW w:w="48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4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r>
      <w:tr>
        <w:trPr>
          <w:trHeight w:val="203"/>
        </w:trPr>
        <w:tc>
          <w:tcPr>
            <w:tcW w:w="44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Consolidated Identifiable Assets</w:t>
            </w:r>
          </w:p>
        </w:tc>
        <w:tc>
          <w:tcPr>
            <w:tcW w:w="14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$91,134</w:t>
            </w:r>
          </w:p>
        </w:tc>
        <w:tc>
          <w:tcPr>
            <w:tcW w:w="21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$92,660</w:t>
            </w:r>
          </w:p>
        </w:tc>
        <w:tc>
          <w:tcPr>
            <w:tcW w:w="48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4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r>
    </w:tbl>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8 of 20</w:t>
      </w:r>
    </w:p>
    <w:p>
      <w:pPr>
        <w:sectPr>
          <w:pgSz w:w="11900" w:h="16838" w:orient="portrait"/>
          <w:cols w:equalWidth="0" w:num="1">
            <w:col w:w="10219"/>
          </w:cols>
          <w:pgMar w:left="240" w:top="919" w:right="1440" w:bottom="1440" w:gutter="0" w:footer="0" w:header="0"/>
        </w:sectPr>
      </w:pPr>
    </w:p>
    <w:bookmarkStart w:id="8" w:name="page9"/>
    <w:bookmarkEnd w:id="8"/>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G - ACQUISITION OF FEI-ZYFER</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On May 9, 2003, the Company acquired the business and net assets of Zyfer, Inc., a wholly-owned subsidiary of Odetics, Inc., in a cash transaction. The business of the subsidiary, FEI-Zyfer, Inc., is the design and manufacture of products for precision time and frequency generation and synchronization, primarily incorporating GPS technology.</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 paid $2.3 million at closing, plus acquisition costs of approximately $400,000. According to the terms of the purchase agreement, the Company is required to make additional payments up to a maximum of $1 million in each of fiscal years 2004 and 2005 if FEI-Zyfer achieves certain revenue levels in those years. The contingent payments are based on a percentage of revenues in excess of $6 million in fiscal year 2004 and as a percentage of revenues in excess of $8 million in fiscal year 2005. The acquired business recorded revenue of $6.5 million for the year ended March 31, 2003 and $4.5 million in the prior fiscal year.</w:t>
      </w:r>
    </w:p>
    <w:p>
      <w:pPr>
        <w:spacing w:after="0" w:line="214"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FEI-Zyfer acquisition is treated as a purchase acquisition. The purchase price has been allocated to net assets acquired of approximately $1.8 million. The purchase price in excess of net assets acquired, approximately $900,000, has been allocated to fixed assets ($300,000) and to customer lists ($600,000) which will be amortized over the next 3 to 5 years. Amortization expense for the three months ended July 31, 2004 was $26,000. No amortization expense was recorded during the first quarter of fiscal year 2004 since the Company had not yet completed the process of determining the appropriate allocation of the purchase price.</w:t>
      </w:r>
    </w:p>
    <w:p>
      <w:pPr>
        <w:spacing w:after="0" w:line="214" w:lineRule="exact"/>
        <w:rPr>
          <w:sz w:val="20"/>
          <w:szCs w:val="20"/>
          <w:color w:val="auto"/>
        </w:rPr>
      </w:pPr>
    </w:p>
    <w:p>
      <w:pPr>
        <w:jc w:val="both"/>
        <w:ind w:right="1779" w:firstLine="527"/>
        <w:spacing w:after="0" w:line="272" w:lineRule="auto"/>
        <w:rPr>
          <w:sz w:val="20"/>
          <w:szCs w:val="20"/>
          <w:color w:val="auto"/>
        </w:rPr>
      </w:pPr>
      <w:r>
        <w:rPr>
          <w:rFonts w:ascii="Courier New" w:cs="Courier New" w:eastAsia="Courier New" w:hAnsi="Courier New"/>
          <w:sz w:val="16"/>
          <w:szCs w:val="16"/>
          <w:color w:val="auto"/>
        </w:rPr>
        <w:t>The accompanying condensed consolidated statements of operations for the three-month period ended July 31, 2003, includes the results of operations of FEI-Zyfer from May 9, 2003 through July 31, 2003. The pro forma financial information set forth below is based upon the Company's historical consolidated statements of operations for the three months ended July 31, 2003, adjusted to give effect to the acquisition of FEI-Zyfer as of the beginning of the period.</w:t>
      </w:r>
    </w:p>
    <w:p>
      <w:pPr>
        <w:spacing w:after="0" w:line="186"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pro forma financial information is presented for informational purposes only and may not be indicative of what actual results of operations would have been had the acquisition occurred on May 1, 2003, nor does it purport to represent the results of operations for future periods.</w:t>
      </w:r>
    </w:p>
    <w:p>
      <w:pPr>
        <w:spacing w:after="0" w:line="207" w:lineRule="exact"/>
        <w:rPr>
          <w:sz w:val="20"/>
          <w:szCs w:val="20"/>
          <w:color w:val="auto"/>
        </w:rPr>
      </w:pPr>
    </w:p>
    <w:p>
      <w:pPr>
        <w:jc w:val="center"/>
        <w:ind w:left="1040"/>
        <w:spacing w:after="0"/>
        <w:rPr>
          <w:sz w:val="20"/>
          <w:szCs w:val="20"/>
          <w:color w:val="auto"/>
        </w:rPr>
      </w:pPr>
      <w:r>
        <w:rPr>
          <w:rFonts w:ascii="Courier New" w:cs="Courier New" w:eastAsia="Courier New" w:hAnsi="Courier New"/>
          <w:sz w:val="16"/>
          <w:szCs w:val="16"/>
          <w:color w:val="auto"/>
        </w:rPr>
        <w:t>Pro forma three months ended July 31, 2003</w:t>
      </w:r>
    </w:p>
    <w:p>
      <w:pPr>
        <w:spacing w:after="0" w:line="16" w:lineRule="exact"/>
        <w:rPr>
          <w:sz w:val="20"/>
          <w:szCs w:val="20"/>
          <w:color w:val="auto"/>
        </w:rPr>
      </w:pPr>
    </w:p>
    <w:p>
      <w:pPr>
        <w:jc w:val="center"/>
        <w:ind w:left="1140"/>
        <w:spacing w:after="0"/>
        <w:rPr>
          <w:sz w:val="20"/>
          <w:szCs w:val="20"/>
          <w:color w:val="auto"/>
        </w:rPr>
      </w:pPr>
      <w:r>
        <w:rPr>
          <w:rFonts w:ascii="Courier New" w:cs="Courier New" w:eastAsia="Courier New" w:hAnsi="Courier New"/>
          <w:sz w:val="18"/>
          <w:szCs w:val="18"/>
          <w:color w:val="auto"/>
        </w:rPr>
        <w:t>(unaudited)</w:t>
      </w:r>
    </w:p>
    <w:p>
      <w:pPr>
        <w:jc w:val="center"/>
        <w:ind w:left="1040"/>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ectPr>
          <w:pgSz w:w="11900" w:h="16838" w:orient="portrait"/>
          <w:cols w:equalWidth="0" w:num="1">
            <w:col w:w="10219"/>
          </w:cols>
          <w:pgMar w:left="240" w:top="919" w:right="1440" w:bottom="159" w:gutter="0" w:footer="0" w:header="0"/>
        </w:sectPr>
      </w:pP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Net Sales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Operating Loss</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Loss from continuing operations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$8,855</w:t>
      </w:r>
    </w:p>
    <w:p>
      <w:pPr>
        <w:ind w:left="1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$(1,717)</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 (800)</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5180" w:space="720"/>
            <w:col w:w="4319"/>
          </w:cols>
          <w:pgMar w:left="240" w:top="919" w:right="1440" w:bottom="159" w:gutter="0" w:footer="0" w:header="0"/>
          <w:type w:val="continuous"/>
        </w:sectPr>
      </w:pPr>
    </w:p>
    <w:p>
      <w:pPr>
        <w:spacing w:after="0" w:line="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Loss per share- basic</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Loss per share- diluted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$(0.10)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$(0.10)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5300" w:space="720"/>
            <w:col w:w="4199"/>
          </w:cols>
          <w:pgMar w:left="240" w:top="919" w:right="1440" w:bottom="159"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H - EQUITY-BASED COMPENSATION</w:t>
      </w:r>
    </w:p>
    <w:p>
      <w:pPr>
        <w:spacing w:after="0" w:line="207"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The Company applies the disclosure-only provisions of FAS 123, "Accounting for Stock-Based Compensation," as amended by FAS 148, "Accounting for Stock-Based Compensation - Transition and Disclosure," and continues to measure compensation cost in accordance with Accounting Principles Board Opinion No. 25, "Accounting for Stock Issued to Employees." Historically, this has not resulted in compensation cost upon the grant of options under a qualified stock option plan. However, in accordance with FAS 123, as amended by FAS 148, the Company provides pro forma disclosures of net earnings (loss) and earnings (loss) per share as if the fair value method had been applied beginning in fiscal 1996.</w:t>
      </w:r>
    </w:p>
    <w:p>
      <w:pPr>
        <w:spacing w:after="0" w:line="17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9 of 20</w:t>
      </w:r>
    </w:p>
    <w:p>
      <w:pPr>
        <w:sectPr>
          <w:pgSz w:w="11900" w:h="16838" w:orient="portrait"/>
          <w:cols w:equalWidth="0" w:num="1">
            <w:col w:w="10219"/>
          </w:cols>
          <w:pgMar w:left="240" w:top="919" w:right="1440" w:bottom="159" w:gutter="0" w:footer="0" w:header="0"/>
          <w:type w:val="continuous"/>
        </w:sectPr>
      </w:pPr>
    </w:p>
    <w:bookmarkStart w:id="9" w:name="page10"/>
    <w:bookmarkEnd w:id="9"/>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following table illustrates the effect on the Company's consolidated statements of operations had compensation cost for stock option awards under the plans been determined based on the fair value at the grant dates consistent with the provisions of FAS 123 as amended by FAS 148:</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4260" w:type="dxa"/>
            <w:vAlign w:val="bottom"/>
          </w:tcPr>
          <w:p>
            <w:pPr>
              <w:spacing w:after="0"/>
              <w:rPr>
                <w:sz w:val="17"/>
                <w:szCs w:val="17"/>
                <w:color w:val="auto"/>
              </w:rPr>
            </w:pPr>
          </w:p>
        </w:tc>
        <w:tc>
          <w:tcPr>
            <w:tcW w:w="3960" w:type="dxa"/>
            <w:vAlign w:val="bottom"/>
            <w:gridSpan w:val="3"/>
          </w:tcPr>
          <w:p>
            <w:pPr>
              <w:jc w:val="right"/>
              <w:ind w:right="452"/>
              <w:spacing w:after="0"/>
              <w:rPr>
                <w:sz w:val="20"/>
                <w:szCs w:val="20"/>
                <w:color w:val="auto"/>
              </w:rPr>
            </w:pPr>
            <w:r>
              <w:rPr>
                <w:rFonts w:ascii="Courier New" w:cs="Courier New" w:eastAsia="Courier New" w:hAnsi="Courier New"/>
                <w:sz w:val="18"/>
                <w:szCs w:val="18"/>
                <w:color w:val="auto"/>
              </w:rPr>
              <w:t>Three months ended July 31</w:t>
            </w:r>
          </w:p>
        </w:tc>
      </w:tr>
      <w:tr>
        <w:trPr>
          <w:trHeight w:val="203"/>
        </w:trPr>
        <w:tc>
          <w:tcPr>
            <w:tcW w:w="4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2004</w:t>
            </w:r>
          </w:p>
        </w:tc>
        <w:tc>
          <w:tcPr>
            <w:tcW w:w="1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4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60" w:type="dxa"/>
            <w:vAlign w:val="bottom"/>
          </w:tcPr>
          <w:p>
            <w:pPr>
              <w:spacing w:after="0"/>
              <w:rPr>
                <w:sz w:val="17"/>
                <w:szCs w:val="17"/>
                <w:color w:val="auto"/>
              </w:rPr>
            </w:pPr>
          </w:p>
        </w:tc>
        <w:tc>
          <w:tcPr>
            <w:tcW w:w="3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(In thousands except per share data)</w:t>
            </w:r>
          </w:p>
        </w:tc>
      </w:tr>
      <w:tr>
        <w:trPr>
          <w:trHeight w:val="203"/>
        </w:trPr>
        <w:tc>
          <w:tcPr>
            <w:tcW w:w="42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 as reported</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977</w:t>
            </w:r>
          </w:p>
        </w:tc>
        <w:tc>
          <w:tcPr>
            <w:tcW w:w="18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 (742)</w:t>
            </w:r>
          </w:p>
        </w:tc>
      </w:tr>
      <w:tr>
        <w:trPr>
          <w:trHeight w:val="203"/>
        </w:trPr>
        <w:tc>
          <w:tcPr>
            <w:tcW w:w="42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stock options, net of tax</w:t>
            </w:r>
          </w:p>
        </w:tc>
        <w:tc>
          <w:tcPr>
            <w:tcW w:w="900" w:type="dxa"/>
            <w:vAlign w:val="bottom"/>
          </w:tcPr>
          <w:p>
            <w:pPr>
              <w:spacing w:after="0"/>
              <w:rPr>
                <w:sz w:val="17"/>
                <w:szCs w:val="17"/>
                <w:color w:val="auto"/>
              </w:rPr>
            </w:pPr>
          </w:p>
        </w:tc>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(195)</w:t>
            </w:r>
          </w:p>
        </w:tc>
        <w:tc>
          <w:tcPr>
            <w:tcW w:w="18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(177)</w:t>
            </w:r>
          </w:p>
        </w:tc>
      </w:tr>
      <w:tr>
        <w:trPr>
          <w:trHeight w:val="203"/>
        </w:trPr>
        <w:tc>
          <w:tcPr>
            <w:tcW w:w="4260" w:type="dxa"/>
            <w:vAlign w:val="bottom"/>
          </w:tcPr>
          <w:p>
            <w:pPr>
              <w:spacing w:after="0"/>
              <w:rPr>
                <w:sz w:val="17"/>
                <w:szCs w:val="17"/>
                <w:color w:val="auto"/>
              </w:rPr>
            </w:pPr>
          </w:p>
        </w:tc>
        <w:tc>
          <w:tcPr>
            <w:tcW w:w="212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 pro forma</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782</w:t>
            </w:r>
          </w:p>
        </w:tc>
        <w:tc>
          <w:tcPr>
            <w:tcW w:w="18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 (919)</w:t>
            </w:r>
          </w:p>
        </w:tc>
      </w:tr>
      <w:tr>
        <w:trPr>
          <w:trHeight w:val="203"/>
        </w:trPr>
        <w:tc>
          <w:tcPr>
            <w:tcW w:w="4260" w:type="dxa"/>
            <w:vAlign w:val="bottom"/>
          </w:tcPr>
          <w:p>
            <w:pPr>
              <w:spacing w:after="0"/>
              <w:rPr>
                <w:sz w:val="17"/>
                <w:szCs w:val="17"/>
                <w:color w:val="auto"/>
              </w:rPr>
            </w:pPr>
          </w:p>
        </w:tc>
        <w:tc>
          <w:tcPr>
            <w:tcW w:w="212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60" w:type="dxa"/>
            <w:vAlign w:val="bottom"/>
          </w:tcPr>
          <w:p>
            <w:pPr>
              <w:spacing w:after="0"/>
              <w:rPr>
                <w:sz w:val="20"/>
                <w:szCs w:val="20"/>
                <w:color w:val="auto"/>
              </w:rPr>
            </w:pPr>
            <w:r>
              <w:rPr>
                <w:rFonts w:ascii="Courier New" w:cs="Courier New" w:eastAsia="Courier New" w:hAnsi="Courier New"/>
                <w:sz w:val="18"/>
                <w:szCs w:val="18"/>
                <w:color w:val="auto"/>
              </w:rPr>
              <w:t>Earnings (Loss) per share, as reported:</w:t>
            </w: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3"/>
        </w:trPr>
        <w:tc>
          <w:tcPr>
            <w:tcW w:w="4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w:t>
            </w:r>
          </w:p>
        </w:tc>
        <w:tc>
          <w:tcPr>
            <w:tcW w:w="900" w:type="dxa"/>
            <w:vAlign w:val="bottom"/>
          </w:tcPr>
          <w:p>
            <w:pPr>
              <w:spacing w:after="0"/>
              <w:rPr>
                <w:sz w:val="17"/>
                <w:szCs w:val="17"/>
                <w:color w:val="auto"/>
              </w:rPr>
            </w:pPr>
          </w:p>
        </w:tc>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$ 0.12</w:t>
            </w:r>
          </w:p>
        </w:tc>
        <w:tc>
          <w:tcPr>
            <w:tcW w:w="18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$(0.09)</w:t>
            </w:r>
          </w:p>
        </w:tc>
      </w:tr>
      <w:tr>
        <w:trPr>
          <w:trHeight w:val="203"/>
        </w:trPr>
        <w:tc>
          <w:tcPr>
            <w:tcW w:w="4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Diluted</w:t>
            </w:r>
          </w:p>
        </w:tc>
        <w:tc>
          <w:tcPr>
            <w:tcW w:w="900" w:type="dxa"/>
            <w:vAlign w:val="bottom"/>
          </w:tcPr>
          <w:p>
            <w:pPr>
              <w:spacing w:after="0"/>
              <w:rPr>
                <w:sz w:val="17"/>
                <w:szCs w:val="17"/>
                <w:color w:val="auto"/>
              </w:rPr>
            </w:pPr>
          </w:p>
        </w:tc>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$ 0.11</w:t>
            </w:r>
          </w:p>
        </w:tc>
        <w:tc>
          <w:tcPr>
            <w:tcW w:w="18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$(0.09)</w:t>
            </w:r>
          </w:p>
        </w:tc>
      </w:tr>
      <w:tr>
        <w:trPr>
          <w:trHeight w:val="203"/>
        </w:trPr>
        <w:tc>
          <w:tcPr>
            <w:tcW w:w="4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6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(Loss) per share- pro forma</w:t>
            </w: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4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w:t>
            </w:r>
          </w:p>
        </w:tc>
        <w:tc>
          <w:tcPr>
            <w:tcW w:w="900" w:type="dxa"/>
            <w:vAlign w:val="bottom"/>
          </w:tcPr>
          <w:p>
            <w:pPr>
              <w:spacing w:after="0"/>
              <w:rPr>
                <w:sz w:val="17"/>
                <w:szCs w:val="17"/>
                <w:color w:val="auto"/>
              </w:rPr>
            </w:pPr>
          </w:p>
        </w:tc>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$ 0.09</w:t>
            </w:r>
          </w:p>
        </w:tc>
        <w:tc>
          <w:tcPr>
            <w:tcW w:w="18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$(0.11)</w:t>
            </w:r>
          </w:p>
        </w:tc>
      </w:tr>
      <w:tr>
        <w:trPr>
          <w:trHeight w:val="203"/>
        </w:trPr>
        <w:tc>
          <w:tcPr>
            <w:tcW w:w="4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Diluted</w:t>
            </w:r>
          </w:p>
        </w:tc>
        <w:tc>
          <w:tcPr>
            <w:tcW w:w="900" w:type="dxa"/>
            <w:vAlign w:val="bottom"/>
          </w:tcPr>
          <w:p>
            <w:pPr>
              <w:spacing w:after="0"/>
              <w:rPr>
                <w:sz w:val="17"/>
                <w:szCs w:val="17"/>
                <w:color w:val="auto"/>
              </w:rPr>
            </w:pPr>
          </w:p>
        </w:tc>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$ 0.09</w:t>
            </w:r>
          </w:p>
        </w:tc>
        <w:tc>
          <w:tcPr>
            <w:tcW w:w="18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$(0.11)</w:t>
            </w:r>
          </w:p>
        </w:tc>
      </w:tr>
      <w:tr>
        <w:trPr>
          <w:trHeight w:val="203"/>
        </w:trPr>
        <w:tc>
          <w:tcPr>
            <w:tcW w:w="4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weighted average fair value of each option has been estimated on the date of grant using the Black-Scholes options pricing model with the following weighted average assumptions used for grants in fiscal year 2004: dividend yield of 1.83%; expected volatility of 63%; risk free interest rate of 5.5%; and expected lives of ten years.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J - RECENTLY ISSUED ACCOUNTING PRONOUNCEMENTS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 has evaluated all recent accounting pronouncements and their related effective dates. The adoption of these statements did not have a material impact on the Company's financial position, results of operations or cash flows.</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10 of 20</w:t>
      </w:r>
    </w:p>
    <w:p>
      <w:pPr>
        <w:sectPr>
          <w:pgSz w:w="11900" w:h="16838" w:orient="portrait"/>
          <w:cols w:equalWidth="0" w:num="1">
            <w:col w:w="10219"/>
          </w:cols>
          <w:pgMar w:left="240" w:top="919" w:right="1440" w:bottom="1440" w:gutter="0" w:footer="0" w:header="0"/>
        </w:sectPr>
      </w:pPr>
    </w:p>
    <w:bookmarkStart w:id="10" w:name="page11"/>
    <w:bookmarkEnd w:id="10"/>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spacing w:after="0"/>
        <w:tabs>
          <w:tab w:leader="none" w:pos="1460" w:val="left"/>
          <w:tab w:leader="none" w:pos="2720" w:val="left"/>
          <w:tab w:leader="none" w:pos="3260" w:val="left"/>
          <w:tab w:leader="none" w:pos="4620" w:val="left"/>
          <w:tab w:leader="none" w:pos="5780" w:val="left"/>
          <w:tab w:leader="none" w:pos="6940" w:val="left"/>
        </w:tabs>
        <w:rPr>
          <w:sz w:val="20"/>
          <w:szCs w:val="20"/>
          <w:color w:val="auto"/>
        </w:rPr>
      </w:pPr>
      <w:r>
        <w:rPr>
          <w:rFonts w:ascii="Courier New" w:cs="Courier New" w:eastAsia="Courier New" w:hAnsi="Courier New"/>
          <w:sz w:val="18"/>
          <w:szCs w:val="18"/>
          <w:color w:val="auto"/>
        </w:rPr>
        <w:t>Management's</w:t>
        <w:tab/>
        <w:t>Discussion</w:t>
        <w:tab/>
        <w:t>and</w:t>
        <w:tab/>
        <w:t>Analysis of</w:t>
        <w:tab/>
        <w:t>Financial</w:t>
        <w:tab/>
        <w:t>Condition</w:t>
      </w:r>
      <w:r>
        <w:rPr>
          <w:sz w:val="20"/>
          <w:szCs w:val="20"/>
          <w:color w:val="auto"/>
        </w:rPr>
        <w:tab/>
      </w:r>
      <w:r>
        <w:rPr>
          <w:rFonts w:ascii="Courier New" w:cs="Courier New" w:eastAsia="Courier New" w:hAnsi="Courier New"/>
          <w:sz w:val="16"/>
          <w:szCs w:val="16"/>
          <w:color w:val="auto"/>
        </w:rPr>
        <w:t>and Results of</w:t>
      </w:r>
    </w:p>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Operations</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"Safe Harbor" Statement under the Private Securities Litigation Reform Act of 1995:</w:t>
      </w:r>
    </w:p>
    <w:p>
      <w:pPr>
        <w:spacing w:after="0" w:line="208"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By making these forward-looking statements, the Company undertakes no obligation to update these statements for revisions or changes after the date of this report.</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Critical Accounting Policies and Estimates</w:t>
      </w:r>
    </w:p>
    <w:p>
      <w:pPr>
        <w:spacing w:after="0" w:line="4"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Company's significant accounting policies are described in Note 1 to the consolidated financial statements included in the Company's April 30, 2004 Annual Report to Stockholders. The Company believes its most critical accounting policies to be the recognition of revenue and costs on production contracts and the valuation of inventory. Each of these areas requires the Company to make use of reasoned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Revenue Recognition</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Revenues under larger, long-term contracts, generally defined as orders in excess of $100,000, are reported in operating results using the percentage of completion method. For U.S. Government and other fixed-price contracts that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216"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On production-type contracts, revenue is recorded as units are delivered with the related cost of sales recognized on each shipment based upon a percentage of estimated final contract costs. Changes in job performance may result in revisions to costs and income and are recognized in the period in which revisions are determined to be required. Provisions for anticipated losses on contracts are made in the period in which they become determinable.</w:t>
      </w:r>
    </w:p>
    <w:p>
      <w:pPr>
        <w:spacing w:after="0" w:line="210" w:lineRule="exact"/>
        <w:rPr>
          <w:sz w:val="20"/>
          <w:szCs w:val="20"/>
          <w:color w:val="auto"/>
        </w:rPr>
      </w:pPr>
    </w:p>
    <w:p>
      <w:pPr>
        <w:jc w:val="both"/>
        <w:ind w:right="1779" w:firstLine="527"/>
        <w:spacing w:after="0" w:line="272" w:lineRule="auto"/>
        <w:rPr>
          <w:sz w:val="20"/>
          <w:szCs w:val="20"/>
          <w:color w:val="auto"/>
        </w:rPr>
      </w:pPr>
      <w:r>
        <w:rPr>
          <w:rFonts w:ascii="Courier New" w:cs="Courier New" w:eastAsia="Courier New" w:hAnsi="Courier New"/>
          <w:sz w:val="16"/>
          <w:szCs w:val="16"/>
          <w:color w:val="auto"/>
        </w:rPr>
        <w:t>For contracts in the Company's Gillam-FEI and FEI-Zyfer segments, smaller contracts or orders in the other business segments and sales of products and services to customers are reported in operating results based upon shipment of the product or performance of the services pursuant to contractual terms. When payment is contingent upon customer acceptance of the installed system, revenue is deferred until such acceptance is received and installation completed.</w:t>
      </w:r>
    </w:p>
    <w:p>
      <w:pPr>
        <w:spacing w:after="0" w:line="18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Costs and Expenses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Contract costs include all direct material, direct labor, manufacturing overhead and other direct costs related to contract performance. Selling, general and administrative costs are charged to expense as incurred.</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11 of 20</w:t>
      </w:r>
    </w:p>
    <w:p>
      <w:pPr>
        <w:sectPr>
          <w:pgSz w:w="11900" w:h="16838" w:orient="portrait"/>
          <w:cols w:equalWidth="0" w:num="1">
            <w:col w:w="10219"/>
          </w:cols>
          <w:pgMar w:left="240" w:top="919" w:right="1440" w:bottom="362" w:gutter="0" w:footer="0" w:header="0"/>
        </w:sectPr>
      </w:pPr>
    </w:p>
    <w:bookmarkStart w:id="11" w:name="page12"/>
    <w:bookmarkEnd w:id="11"/>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Inventory</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accordance with industry practice, inventoried costs contain amounts relating to contracts and programs with long production cycles, a portion of which will not be realized within one year. Inventory reserves are established for slow-moving and obsolete items and are based upon management's experience and expectations for future business. Any changes in reserves arising from revised expectations are reflected in cost of sales in the period the revision is made.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table below sets forth for the respective periods of fiscal years 2005 and 2004 the percentage of consolidated net sales represented by certain items in the Company's consolidated statements of operations:</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4480" w:type="dxa"/>
            <w:vAlign w:val="bottom"/>
          </w:tcPr>
          <w:p>
            <w:pPr>
              <w:spacing w:after="0"/>
              <w:rPr>
                <w:sz w:val="17"/>
                <w:szCs w:val="17"/>
                <w:color w:val="auto"/>
              </w:rPr>
            </w:pPr>
          </w:p>
        </w:tc>
        <w:tc>
          <w:tcPr>
            <w:tcW w:w="32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Three months ended July 31,</w:t>
            </w:r>
          </w:p>
        </w:tc>
      </w:tr>
      <w:tr>
        <w:trPr>
          <w:trHeight w:val="203"/>
        </w:trPr>
        <w:tc>
          <w:tcPr>
            <w:tcW w:w="4480" w:type="dxa"/>
            <w:vAlign w:val="bottom"/>
          </w:tcPr>
          <w:p>
            <w:pPr>
              <w:spacing w:after="0"/>
              <w:rPr>
                <w:sz w:val="17"/>
                <w:szCs w:val="17"/>
                <w:color w:val="auto"/>
              </w:rPr>
            </w:pP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2004</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4480" w:type="dxa"/>
            <w:vAlign w:val="bottom"/>
          </w:tcPr>
          <w:p>
            <w:pPr>
              <w:spacing w:after="0"/>
              <w:rPr>
                <w:sz w:val="17"/>
                <w:szCs w:val="17"/>
                <w:color w:val="auto"/>
              </w:rPr>
            </w:pP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Sales</w:t>
            </w: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Commercial Communications</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64.2%</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55.6%</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U.S. Government</w:t>
            </w: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9.8</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18.8</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Gillam-FEI</w:t>
            </w: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15.5</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15.4</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FEI-Zyfer</w:t>
            </w: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11.5</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10.4</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less intercompany sales</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(0.2)</w:t>
            </w:r>
          </w:p>
        </w:tc>
      </w:tr>
      <w:tr>
        <w:trPr>
          <w:trHeight w:val="203"/>
        </w:trPr>
        <w:tc>
          <w:tcPr>
            <w:tcW w:w="4480" w:type="dxa"/>
            <w:vAlign w:val="bottom"/>
          </w:tcPr>
          <w:p>
            <w:pPr>
              <w:spacing w:after="0"/>
              <w:rPr>
                <w:sz w:val="17"/>
                <w:szCs w:val="17"/>
                <w:color w:val="auto"/>
              </w:rPr>
            </w:pP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rPr>
                <w:sz w:val="17"/>
                <w:szCs w:val="17"/>
                <w:color w:val="auto"/>
              </w:rPr>
            </w:pP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100.0</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67.3</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70.7</w:t>
            </w:r>
          </w:p>
        </w:tc>
      </w:tr>
      <w:tr>
        <w:trPr>
          <w:trHeight w:val="203"/>
        </w:trPr>
        <w:tc>
          <w:tcPr>
            <w:tcW w:w="4480" w:type="dxa"/>
            <w:vAlign w:val="bottom"/>
          </w:tcPr>
          <w:p>
            <w:pPr>
              <w:spacing w:after="0"/>
              <w:rPr>
                <w:sz w:val="17"/>
                <w:szCs w:val="17"/>
                <w:color w:val="auto"/>
              </w:rPr>
            </w:pP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1680"/>
              <w:spacing w:after="0" w:line="203" w:lineRule="exact"/>
              <w:rPr>
                <w:sz w:val="20"/>
                <w:szCs w:val="20"/>
                <w:color w:val="auto"/>
              </w:rPr>
            </w:pPr>
            <w:r>
              <w:rPr>
                <w:rFonts w:ascii="Courier New" w:cs="Courier New" w:eastAsia="Courier New" w:hAnsi="Courier New"/>
                <w:sz w:val="18"/>
                <w:szCs w:val="18"/>
                <w:color w:val="auto"/>
              </w:rPr>
              <w:t>Gross Margin</w:t>
            </w: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32.7</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29.3</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and administrative expenses</w:t>
            </w: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18.6</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28.9</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 expenses</w:t>
            </w: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7.0</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19.1</w:t>
            </w:r>
          </w:p>
        </w:tc>
      </w:tr>
      <w:tr>
        <w:trPr>
          <w:trHeight w:val="203"/>
        </w:trPr>
        <w:tc>
          <w:tcPr>
            <w:tcW w:w="4480" w:type="dxa"/>
            <w:vAlign w:val="bottom"/>
          </w:tcPr>
          <w:p>
            <w:pPr>
              <w:spacing w:after="0"/>
              <w:rPr>
                <w:sz w:val="17"/>
                <w:szCs w:val="17"/>
                <w:color w:val="auto"/>
              </w:rPr>
            </w:pP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1680"/>
              <w:spacing w:after="0" w:line="203" w:lineRule="exact"/>
              <w:rPr>
                <w:sz w:val="20"/>
                <w:szCs w:val="20"/>
                <w:color w:val="auto"/>
              </w:rPr>
            </w:pPr>
            <w:r>
              <w:rPr>
                <w:rFonts w:ascii="Courier New" w:cs="Courier New" w:eastAsia="Courier New" w:hAnsi="Courier New"/>
                <w:sz w:val="18"/>
                <w:szCs w:val="18"/>
                <w:color w:val="auto"/>
              </w:rPr>
              <w:t>Operating Profit (Loss)</w:t>
            </w: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7.1</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(18.7)</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Other income, net &amp; Minority interest</w:t>
            </w:r>
          </w:p>
        </w:tc>
        <w:tc>
          <w:tcPr>
            <w:tcW w:w="178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2.1</w:t>
            </w:r>
          </w:p>
        </w:tc>
        <w:tc>
          <w:tcPr>
            <w:tcW w:w="14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8.6</w:t>
            </w:r>
          </w:p>
        </w:tc>
      </w:tr>
      <w:tr>
        <w:trPr>
          <w:trHeight w:val="203"/>
        </w:trPr>
        <w:tc>
          <w:tcPr>
            <w:tcW w:w="4480" w:type="dxa"/>
            <w:vAlign w:val="bottom"/>
          </w:tcPr>
          <w:p>
            <w:pPr>
              <w:spacing w:after="0"/>
              <w:rPr>
                <w:sz w:val="17"/>
                <w:szCs w:val="17"/>
                <w:color w:val="auto"/>
              </w:rPr>
            </w:pP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Pretax Income (Loss)</w:t>
            </w: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9.2</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(10.1)</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(benefit) for income taxes</w:t>
            </w: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3.7</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4480" w:type="dxa"/>
            <w:vAlign w:val="bottom"/>
          </w:tcPr>
          <w:p>
            <w:pPr>
              <w:spacing w:after="0"/>
              <w:rPr>
                <w:sz w:val="17"/>
                <w:szCs w:val="17"/>
                <w:color w:val="auto"/>
              </w:rPr>
            </w:pP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1680"/>
              <w:spacing w:after="0" w:line="203" w:lineRule="exact"/>
              <w:rPr>
                <w:sz w:val="20"/>
                <w:szCs w:val="20"/>
                <w:color w:val="auto"/>
              </w:rPr>
            </w:pPr>
            <w:r>
              <w:rPr>
                <w:rFonts w:ascii="Courier New" w:cs="Courier New" w:eastAsia="Courier New" w:hAnsi="Courier New"/>
                <w:sz w:val="18"/>
                <w:szCs w:val="18"/>
                <w:color w:val="auto"/>
              </w:rPr>
              <w:t>Net Income (Loss)</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w:t>
            </w:r>
          </w:p>
        </w:tc>
      </w:tr>
      <w:tr>
        <w:trPr>
          <w:trHeight w:val="203"/>
        </w:trPr>
        <w:tc>
          <w:tcPr>
            <w:tcW w:w="4480" w:type="dxa"/>
            <w:vAlign w:val="bottom"/>
          </w:tcPr>
          <w:p>
            <w:pPr>
              <w:spacing w:after="0"/>
              <w:rPr>
                <w:sz w:val="17"/>
                <w:szCs w:val="17"/>
                <w:color w:val="auto"/>
              </w:rPr>
            </w:pP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For the three months ended July 31, 2004, the operating profit of $1.2 million increased by $2.9 million over the loss of $1.6 million for the same period ended July 31, 2003. Net income for the first quarter of fiscal year 2005 was $977,000, an increase of $1.7 million over the net loss of $742,000 reported in the same period of fiscal year 2004. This substantial improvement in operating results is due to the doubling of revenue in the first quarter of fiscal year 2005 compared to the first quarter of fiscal year 2004 which reflects the continuation of the improving telecommunications market that began in the second half of last fiscal year.</w:t>
      </w:r>
    </w:p>
    <w:p>
      <w:pPr>
        <w:spacing w:after="0" w:line="214" w:lineRule="exact"/>
        <w:rPr>
          <w:sz w:val="20"/>
          <w:szCs w:val="20"/>
          <w:color w:val="auto"/>
        </w:rPr>
      </w:pPr>
    </w:p>
    <w:p>
      <w:pPr>
        <w:jc w:val="both"/>
        <w:ind w:right="1779" w:firstLine="527"/>
        <w:spacing w:after="0" w:line="269" w:lineRule="auto"/>
        <w:rPr>
          <w:sz w:val="20"/>
          <w:szCs w:val="20"/>
          <w:color w:val="auto"/>
        </w:rPr>
      </w:pPr>
      <w:r>
        <w:rPr>
          <w:rFonts w:ascii="Courier New" w:cs="Courier New" w:eastAsia="Courier New" w:hAnsi="Courier New"/>
          <w:sz w:val="16"/>
          <w:szCs w:val="16"/>
          <w:color w:val="auto"/>
        </w:rPr>
        <w:t>Net sales for the three months ended July 31, 2004, increased by $8.9 million (102%) from the same period of fiscal year 2004. On a segment by segment basis, the comparison of revenues for the fiscal quarter ended July 31, 2004 to the first quarter of fiscal year 2004 were as follows: Commercial Communications revenues increased by $6.5 million (133%); US Government revenues increased by $97,000 (6%); Gillam-FEI revenues increased by $1.4 million (103%); and FEI-Zyfer revenues increased by $1.1 million (123%). The Commercial Communications revenues reflect growth in capital spending in the wireless infrastructure industry as well as increases in commercial communication satellite activity. US Government segment revenues were up slightly as the Company continued work on several developmental, pre-production programs under US Government contracts. Gillam-FEI revenues reflect the improvement in telecommunications infrastructure spending in Europe. Revenues for the FEI-Zyfer segment reflect the Company's efforts to stabilize that segment's poor financial condition after it was acquired in May 2003. With parent-company support, FEI-Zyfer was able to re-establish its credibility with its customers and was able to develop new customers. The Company expects revenues to remain at approximately the current level for the balance of the fiscal year although</w:t>
      </w:r>
    </w:p>
    <w:p>
      <w:pPr>
        <w:sectPr>
          <w:pgSz w:w="11900" w:h="16838" w:orient="portrait"/>
          <w:cols w:equalWidth="0" w:num="1">
            <w:col w:w="10219"/>
          </w:cols>
          <w:pgMar w:left="240" w:top="919" w:right="1440" w:bottom="0" w:gutter="0" w:footer="0" w:header="0"/>
        </w:sectPr>
      </w:pPr>
    </w:p>
    <w:bookmarkStart w:id="12" w:name="page13"/>
    <w:bookmarkEnd w:id="12"/>
    <w:p>
      <w:pPr>
        <w:ind w:right="1779"/>
        <w:spacing w:after="0" w:line="235" w:lineRule="auto"/>
        <w:rPr>
          <w:sz w:val="20"/>
          <w:szCs w:val="20"/>
          <w:color w:val="auto"/>
        </w:rPr>
      </w:pPr>
      <w:r>
        <w:rPr>
          <w:rFonts w:ascii="Courier New" w:cs="Courier New" w:eastAsia="Courier New" w:hAnsi="Courier New"/>
          <w:sz w:val="18"/>
          <w:szCs w:val="18"/>
          <w:color w:val="auto"/>
        </w:rPr>
        <w:t>actual quarterly results are dependent on the timing of the release of customer orders and contracts.</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12 of 20</w:t>
      </w:r>
    </w:p>
    <w:p>
      <w:pPr>
        <w:sectPr>
          <w:pgSz w:w="11900" w:h="16838" w:orient="portrait"/>
          <w:cols w:equalWidth="0" w:num="1">
            <w:col w:w="10219"/>
          </w:cols>
          <w:pgMar w:left="240" w:top="142" w:right="1440" w:bottom="1440" w:gutter="0" w:footer="0" w:header="0"/>
        </w:sectPr>
      </w:pPr>
    </w:p>
    <w:bookmarkStart w:id="13" w:name="page14"/>
    <w:bookmarkEnd w:id="13"/>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Gross margin rates for the three months ended July 31, 2004, improved to 32.7% from 29.3% in the same period of fiscal year 2004. The improvement is attributable to increased sales which were able to absorb a greater amount of fixed costs. Gross margin rates are lower than the Company's target of 40% because margins on initial and early stage development US Government contracts are generally lower than production orders and margins realized by Gillam-FEI are historically lower due to higher labor and social service costs. With continued strong sales, the Company expects to realize improving gross margin rates in future periods.</w:t>
      </w:r>
    </w:p>
    <w:p>
      <w:pPr>
        <w:spacing w:after="0" w:line="214"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Selling and administrative costs for the three months ended July 31, 2004, increased by $757,000 (30%) over the same period of fiscal year 2004. Most of the increase is attributable to increased personnel costs both in terms of increased headcount as well as accruals for incentive compensation plans due to improving profitability. Additional increases were experienced in selling and marketing expenses, including higher sales commissions as a result of increased sales. These cost increases were partially offset by a 6% decrease in selling and administrative expenses at Gillam-FEI following the restructuring process that was completed during the last fiscal year. The ratio of selling and administrative costs to net sales for the first quarter of fiscal year 2005 was 18.6% which met the Company's target of a ratio which is less than 20% of revenues. This is the second consecutive quarter in which the Company has achieved its cost ratio target and is the result both of increased revenue levels and cost containment activities. In future quarters of fiscal year 2005, the Company expects to continue to achieve this targeted ratio of costs to sales.</w:t>
      </w:r>
    </w:p>
    <w:p>
      <w:pPr>
        <w:spacing w:after="0" w:line="208" w:lineRule="exact"/>
        <w:rPr>
          <w:sz w:val="20"/>
          <w:szCs w:val="20"/>
          <w:color w:val="auto"/>
        </w:rPr>
      </w:pPr>
    </w:p>
    <w:p>
      <w:pPr>
        <w:jc w:val="both"/>
        <w:ind w:right="1779" w:firstLine="527"/>
        <w:spacing w:after="0" w:line="269" w:lineRule="auto"/>
        <w:rPr>
          <w:sz w:val="20"/>
          <w:szCs w:val="20"/>
          <w:color w:val="auto"/>
        </w:rPr>
      </w:pPr>
      <w:r>
        <w:rPr>
          <w:rFonts w:ascii="Courier New" w:cs="Courier New" w:eastAsia="Courier New" w:hAnsi="Courier New"/>
          <w:sz w:val="16"/>
          <w:szCs w:val="16"/>
          <w:color w:val="auto"/>
        </w:rPr>
        <w:t>Research and development spending in the three months ended July 31, 2004 decreased by $432,000 (26%) over the comparable period ended July 31, 2003. This lower level of spending continues to reflect the fact that certain developmental resources are being applied to funded research contracts rather than internal research and development efforts, the costs of which are borne by the Company. The costs of those resources assigned to funded programs are reflected in cost of sales rather than in research and development expense. During fiscal year 2005, the Company's efforts are focused on completing the final phase of the development of Gillam-FEI's next generation wireline signal synchronization unit (designated "US5G"), developing a digital rubidium oscillator, and further improving the performance of crystal oscillators, including low-g (gravity) sensitivity crystal oscillators which have broad applications in both commercial and US Government systems. The Company targets research and development spending at approximately 10% of sales, but the rate of spending can increase or decrease from quarter to quarter as new projects are identified and others are concluded. The Company will continue to devote significant resources to develop new products, enhance existing products and implement efficient manufacturing processes. Where possible, the Company attempts to obtain development contracts from its customers. For programs without such funding, internally generated cash and cash reserves are adequate to fund these development efforts.</w:t>
      </w:r>
    </w:p>
    <w:p>
      <w:pPr>
        <w:spacing w:after="0" w:line="394"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Net nonoperating income and expense decreased by $305,000 (44%) in the three month period ended July 31, 2004 compared to the same period of fiscal year 2004. Investment income decreased by $331,000 (44%) during the first quarter of fiscal year 2005 compared to the same period of fiscal year 2004. The decline is principally due to the realized gain of approximately $304,000 recorded in the year-ago period compared to no gains or losses reported in the fiscal year 2005 quarter. For the three month period ended July 31, 2004, interest expense increased by $19,000 (32%) compared to the same period of fiscal year 2004. This increase reflects increases in the short-term borrowing requirements of the Company. Other expense, net, increased by $45,000 during the fiscal year 2005 period compared to the three months ended July 31, 2003. This increase is the result of a governmental grant received by the Company's French subsidiary. Other income (expense), net, consists principally of certain non-recurring transactions and is generally not significant to net income.</w:t>
      </w:r>
    </w:p>
    <w:p>
      <w:pPr>
        <w:spacing w:after="0" w:line="38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 is subject to taxation in several countries as well as the states of New York and California. The statutory federal rates vary from 34% in the United States to 35% in Europe. Tax losses originating at the Company's European and Asian subsidiaries are not consolidated with US source income which, when combined with US state taxes, contributes to a higher effective tax rate. The availability of Research and Development tax credits partially offset US-based taxes. The Company's European subsidiaries have available net operating loss carryforwards of approximately $2.6 million to offset future taxable income.</w:t>
      </w: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13 of 20</w:t>
      </w:r>
    </w:p>
    <w:p>
      <w:pPr>
        <w:sectPr>
          <w:pgSz w:w="11900" w:h="16838" w:orient="portrait"/>
          <w:cols w:equalWidth="0" w:num="1">
            <w:col w:w="10219"/>
          </w:cols>
          <w:pgMar w:left="240" w:top="717" w:right="1440" w:bottom="0" w:gutter="0" w:footer="0" w:header="0"/>
        </w:sectPr>
      </w:pPr>
    </w:p>
    <w:bookmarkStart w:id="14" w:name="page15"/>
    <w:bookmarkEnd w:id="14"/>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jc w:val="both"/>
        <w:ind w:right="1779" w:firstLine="527"/>
        <w:spacing w:after="0" w:line="273" w:lineRule="auto"/>
        <w:rPr>
          <w:sz w:val="20"/>
          <w:szCs w:val="20"/>
          <w:color w:val="auto"/>
        </w:rPr>
      </w:pPr>
      <w:r>
        <w:rPr>
          <w:rFonts w:ascii="Courier New" w:cs="Courier New" w:eastAsia="Courier New" w:hAnsi="Courier New"/>
          <w:sz w:val="16"/>
          <w:szCs w:val="16"/>
          <w:color w:val="auto"/>
        </w:rPr>
        <w:t>The Company's balance sheet continues to reflect a strong working capital position of $64 million at July 31, 2004, which is comparable to working capital at April 30, 2004. Included in working capital at July 31, 2004 is $32.3 million of cash, cash equivalents and marketable securities, including $13.5 million of REIT units that are convertible to Reckson Associates Realty Corp. common stock.</w:t>
      </w:r>
    </w:p>
    <w:p>
      <w:pPr>
        <w:spacing w:after="0" w:line="18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Net cash provided by operating activities for the three months ended July 31, 2004, was $1.9 million compared to $3.3 million used in operations in the comparable fiscal year 2004 period. This significant improvement in cash flows is due to the return to profitability in fiscal year 2005 plus collections on accounts receivable and reductions in inventory. In the first quarter of fiscal year 2004, approximately $2.6 million was used to support the operations of the Company's new subsidiary, FEI-Zyfer. In the first quarter of fiscal year 2005, FEI-Zyfer generated positive cash flow from operations. The Company expects that it will continue to generate positive cash flow from operating activities during fiscal year 2005.</w:t>
      </w:r>
    </w:p>
    <w:p>
      <w:pPr>
        <w:spacing w:after="0" w:line="21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Net cash used in investing activities for the three months ended July 31, 2004, was $2.0 million compared to $104,000 for the same period of fiscal year 2004. The principal use of cash was to acquire certain marketable securities aggregating $1.7 million, net of sales of other marketable securities. The Company also acquired capital equipment for approximately $257,000. The Company may continue to acquire or sell marketable securities as dictated by its investment strategies as well as by the cash requirements for its development activities. Requirements for additional capital equipment are expected to be less than $2.0 million during fiscal year 2005. Internally generated cash will be adequate to acquire this capital equipment.</w:t>
      </w:r>
    </w:p>
    <w:p>
      <w:pPr>
        <w:spacing w:after="0" w:line="21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Net cash used in financing activities for the three months ended July 31, 2004, was $2.2 million compared to cash provided by financing activities in the amount of $471,000 during the comparable fiscal year 2004 period. Included in both fiscal periods is payment of the Company's semiannual dividend in the amount of $843,000 and $834,000, respectively. During fiscal year 2004, the Company took advantage of the low interest rate environment and borrowed $1.5 million against a credit line which is secured by a substantial portion of the Company's portfolio of marketable securities. During the fiscal year 2005 quarter, the Company repaid $1.0 million of this credit line and made other scheduled payments against debt and other obligations of $442,000.</w:t>
      </w:r>
    </w:p>
    <w:p>
      <w:pPr>
        <w:spacing w:after="0" w:line="200" w:lineRule="exact"/>
        <w:rPr>
          <w:sz w:val="20"/>
          <w:szCs w:val="20"/>
          <w:color w:val="auto"/>
        </w:rPr>
      </w:pPr>
    </w:p>
    <w:p>
      <w:pPr>
        <w:spacing w:after="0" w:line="21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At July 31, 2004, the Company's backlog amounted to approximately $28 million compared to the approximately $36 million backlog at April 30, 2004. Of this backlog, approximately 80% is realizable in the next twelve months.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Quantitative and Qualitative Disclosures about Market Risk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Rate Risk</w:t>
      </w:r>
    </w:p>
    <w:p>
      <w:pPr>
        <w:spacing w:after="0" w:line="207"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The Company is exposed to market risk related to changes in interest rates and market values of securities, including participation units in the Reckson Operating Partnership, L.P. The Company's investments in fixed income and equity securities were $15.4 million and $13.5 million, respectively, at July 31, 2004. The investments are carried at fair value with changes in unrealized gains and losses recorded as adjustments to stockholders' equity. The fair value of investments in marketable securities is generally based on quoted market prices. Typically, the fair market value of investments in fixed interest rate debt securities will increase as interest rates fall and decrease as interest rates rise. Based on the Company's overall interest rate exposure at July 31, 2004, a 10% change in market interest rates would not have a material effect on the fair value of the Company's fixed income securities or results of operations.</w:t>
      </w:r>
    </w:p>
    <w:p>
      <w:pPr>
        <w:spacing w:after="0" w:line="18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14 of 20</w:t>
      </w:r>
    </w:p>
    <w:p>
      <w:pPr>
        <w:sectPr>
          <w:pgSz w:w="11900" w:h="16838" w:orient="portrait"/>
          <w:cols w:equalWidth="0" w:num="1">
            <w:col w:w="10219"/>
          </w:cols>
          <w:pgMar w:left="240" w:top="717" w:right="1440" w:bottom="1440" w:gutter="0" w:footer="0" w:header="0"/>
        </w:sectPr>
      </w:pPr>
    </w:p>
    <w:bookmarkStart w:id="15" w:name="page16"/>
    <w:bookmarkEnd w:id="15"/>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Currency Risk</w:t>
      </w:r>
    </w:p>
    <w:p>
      <w:pPr>
        <w:spacing w:after="0" w:line="207" w:lineRule="exact"/>
        <w:rPr>
          <w:sz w:val="20"/>
          <w:szCs w:val="20"/>
          <w:color w:val="auto"/>
        </w:rPr>
      </w:pPr>
    </w:p>
    <w:p>
      <w:pPr>
        <w:jc w:val="both"/>
        <w:ind w:right="1779" w:firstLine="527"/>
        <w:spacing w:after="0" w:line="269" w:lineRule="auto"/>
        <w:rPr>
          <w:sz w:val="20"/>
          <w:szCs w:val="20"/>
          <w:color w:val="auto"/>
        </w:rPr>
      </w:pPr>
      <w:r>
        <w:rPr>
          <w:rFonts w:ascii="Courier New" w:cs="Courier New" w:eastAsia="Courier New" w:hAnsi="Courier New"/>
          <w:sz w:val="16"/>
          <w:szCs w:val="16"/>
          <w:color w:val="auto"/>
        </w:rPr>
        <w:t>The Company is subject to foreign currency translation risk. The Company does not have any near-term intentions to repatriate invested cash in any of its foreign-based subsidiaries. For this reason, the Company does not intend to initiate any exchange rate hedging strategies which could be used to mitigate the effects of foreign currency fluctuations. The effects of foreign currency rate fluctuations will be recorded in the equity section of the balance sheet as a component of other comprehensive income. As of July 31, 2004, the amount related to foreign currency exchange rates is a $3,696,000 unrealized gain. Note that the value of the Chinese Yuan is "pegged" to the value of the US dollar. Accordingly, no foreign currency gains or losses have been realized or are included in the unrealized gain indicated above. If the Chinese government decides to change its policy and permits the Yuan to "float" against other world currencies, the Company would report the effect in other comprehensive income, as appropriate. The results of operations of foreign subsidiaries, when translated into US dollars, will reflect the average rates of exchange for the periods presented. As a result, similar results of operations measured in local currencies can vary significantly upon translation into US dollars if exchange rates fluctuate significantly from one period to the next.</w:t>
      </w:r>
    </w:p>
    <w:p>
      <w:pPr>
        <w:spacing w:after="0" w:line="39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Item 4.</w:t>
      </w:r>
    </w:p>
    <w:p>
      <w:pPr>
        <w:spacing w:after="0" w:line="238" w:lineRule="auto"/>
        <w:rPr>
          <w:sz w:val="20"/>
          <w:szCs w:val="20"/>
          <w:color w:val="auto"/>
        </w:rPr>
      </w:pPr>
      <w:r>
        <w:rPr>
          <w:rFonts w:ascii="Courier New" w:cs="Courier New" w:eastAsia="Courier New" w:hAnsi="Courier New"/>
          <w:sz w:val="18"/>
          <w:szCs w:val="18"/>
          <w:color w:val="auto"/>
        </w:rPr>
        <w:t>Controls and Procedures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Disclosure Controls and Procedures.</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in recording, processing, summarizing and reporting, on a timely basis, information required to be disclosed by the Company in the reports that it files or submits under the Exchange Act.</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Internal Control Over Financial Reporting.</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There have not been any changes in the Company's internal control over financial reporting (as such term is defined in Rules 13a-15(f) and 15d-15(f) under the Exchange Act) during the period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ITEMS 1 through 5 are omitted because they are 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 Exhibits and Reports on Form 8-K</w:t>
      </w:r>
    </w:p>
    <w:p>
      <w:pPr>
        <w:spacing w:after="0" w:line="201"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(a) Exhibits:</w:t>
            </w: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3"/>
        </w:trPr>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31.1</w:t>
            </w:r>
          </w:p>
        </w:tc>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Certification by the</w:t>
            </w:r>
          </w:p>
        </w:tc>
        <w:tc>
          <w:tcPr>
            <w:tcW w:w="3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Chief Executive Officer Pursuant</w:t>
            </w:r>
          </w:p>
        </w:tc>
      </w:tr>
      <w:tr>
        <w:trPr>
          <w:trHeight w:val="203"/>
        </w:trPr>
        <w:tc>
          <w:tcPr>
            <w:tcW w:w="1480" w:type="dxa"/>
            <w:vAlign w:val="bottom"/>
          </w:tcPr>
          <w:p>
            <w:pPr>
              <w:spacing w:after="0"/>
              <w:rPr>
                <w:sz w:val="17"/>
                <w:szCs w:val="17"/>
                <w:color w:val="auto"/>
              </w:rPr>
            </w:pPr>
          </w:p>
        </w:tc>
        <w:tc>
          <w:tcPr>
            <w:tcW w:w="1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to Section</w:t>
            </w:r>
          </w:p>
        </w:tc>
        <w:tc>
          <w:tcPr>
            <w:tcW w:w="44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302 of the Sarbanes-Oxley Act of 2002.</w:t>
            </w:r>
          </w:p>
        </w:tc>
      </w:tr>
      <w:tr>
        <w:trPr>
          <w:trHeight w:val="203"/>
        </w:trPr>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31.2</w:t>
            </w:r>
          </w:p>
        </w:tc>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Certification by the</w:t>
            </w:r>
          </w:p>
        </w:tc>
        <w:tc>
          <w:tcPr>
            <w:tcW w:w="3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Chief Financial Officer Pursuant</w:t>
            </w:r>
          </w:p>
        </w:tc>
      </w:tr>
      <w:tr>
        <w:trPr>
          <w:trHeight w:val="203"/>
        </w:trPr>
        <w:tc>
          <w:tcPr>
            <w:tcW w:w="1480" w:type="dxa"/>
            <w:vAlign w:val="bottom"/>
          </w:tcPr>
          <w:p>
            <w:pPr>
              <w:spacing w:after="0"/>
              <w:rPr>
                <w:sz w:val="17"/>
                <w:szCs w:val="17"/>
                <w:color w:val="auto"/>
              </w:rPr>
            </w:pPr>
          </w:p>
        </w:tc>
        <w:tc>
          <w:tcPr>
            <w:tcW w:w="1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to Section</w:t>
            </w:r>
          </w:p>
        </w:tc>
        <w:tc>
          <w:tcPr>
            <w:tcW w:w="44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302 of the Sarbanes-Oxley Act of 2002</w:t>
            </w:r>
          </w:p>
        </w:tc>
      </w:tr>
      <w:tr>
        <w:trPr>
          <w:trHeight w:val="203"/>
        </w:trPr>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32.1</w:t>
            </w:r>
          </w:p>
        </w:tc>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Certification by the</w:t>
            </w:r>
          </w:p>
        </w:tc>
        <w:tc>
          <w:tcPr>
            <w:tcW w:w="3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Chief Executive Officer Pursuant</w:t>
            </w:r>
          </w:p>
        </w:tc>
      </w:tr>
      <w:tr>
        <w:trPr>
          <w:trHeight w:val="203"/>
        </w:trPr>
        <w:tc>
          <w:tcPr>
            <w:tcW w:w="1480" w:type="dxa"/>
            <w:vAlign w:val="bottom"/>
          </w:tcPr>
          <w:p>
            <w:pPr>
              <w:spacing w:after="0"/>
              <w:rPr>
                <w:sz w:val="17"/>
                <w:szCs w:val="17"/>
                <w:color w:val="auto"/>
              </w:rPr>
            </w:pPr>
          </w:p>
        </w:tc>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to 18 U.S.C. Section</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1350</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Adopted Pursuant to Section</w:t>
            </w:r>
          </w:p>
        </w:tc>
      </w:tr>
      <w:tr>
        <w:trPr>
          <w:trHeight w:val="203"/>
        </w:trPr>
        <w:tc>
          <w:tcPr>
            <w:tcW w:w="1480" w:type="dxa"/>
            <w:vAlign w:val="bottom"/>
          </w:tcPr>
          <w:p>
            <w:pPr>
              <w:spacing w:after="0"/>
              <w:rPr>
                <w:sz w:val="17"/>
                <w:szCs w:val="17"/>
                <w:color w:val="auto"/>
              </w:rPr>
            </w:pPr>
          </w:p>
        </w:tc>
        <w:tc>
          <w:tcPr>
            <w:tcW w:w="1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906 of the</w:t>
            </w:r>
          </w:p>
        </w:tc>
        <w:tc>
          <w:tcPr>
            <w:tcW w:w="1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Sarbanes-Oxley</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Act of 2002.</w:t>
            </w:r>
          </w:p>
        </w:tc>
      </w:tr>
      <w:tr>
        <w:trPr>
          <w:trHeight w:val="203"/>
        </w:trPr>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32.2</w:t>
            </w:r>
          </w:p>
        </w:tc>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Certification by the</w:t>
            </w:r>
          </w:p>
        </w:tc>
        <w:tc>
          <w:tcPr>
            <w:tcW w:w="3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Chief Financial Officer Pursuant</w:t>
            </w:r>
          </w:p>
        </w:tc>
      </w:tr>
      <w:tr>
        <w:trPr>
          <w:trHeight w:val="203"/>
        </w:trPr>
        <w:tc>
          <w:tcPr>
            <w:tcW w:w="1480" w:type="dxa"/>
            <w:vAlign w:val="bottom"/>
          </w:tcPr>
          <w:p>
            <w:pPr>
              <w:spacing w:after="0"/>
              <w:rPr>
                <w:sz w:val="17"/>
                <w:szCs w:val="17"/>
                <w:color w:val="auto"/>
              </w:rPr>
            </w:pPr>
          </w:p>
        </w:tc>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to 18 U.S.C. Section</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1350</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Adopted Pursuant to Section</w:t>
            </w:r>
          </w:p>
        </w:tc>
      </w:tr>
      <w:tr>
        <w:trPr>
          <w:trHeight w:val="203"/>
        </w:trPr>
        <w:tc>
          <w:tcPr>
            <w:tcW w:w="1480" w:type="dxa"/>
            <w:vAlign w:val="bottom"/>
          </w:tcPr>
          <w:p>
            <w:pPr>
              <w:spacing w:after="0"/>
              <w:rPr>
                <w:sz w:val="17"/>
                <w:szCs w:val="17"/>
                <w:color w:val="auto"/>
              </w:rPr>
            </w:pPr>
          </w:p>
        </w:tc>
        <w:tc>
          <w:tcPr>
            <w:tcW w:w="1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906 of the</w:t>
            </w:r>
          </w:p>
        </w:tc>
        <w:tc>
          <w:tcPr>
            <w:tcW w:w="1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Sarbanes-Oxley</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Act of 2002.</w:t>
            </w:r>
          </w:p>
        </w:tc>
      </w:tr>
    </w:tbl>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(b) Reports on Form 8-K-</w:t>
      </w:r>
    </w:p>
    <w:p>
      <w:pPr>
        <w:spacing w:after="0" w:line="207" w:lineRule="exact"/>
        <w:rPr>
          <w:sz w:val="20"/>
          <w:szCs w:val="20"/>
          <w:color w:val="auto"/>
        </w:rPr>
      </w:pPr>
    </w:p>
    <w:p>
      <w:pPr>
        <w:ind w:left="960" w:right="2099"/>
        <w:spacing w:after="0" w:line="235" w:lineRule="auto"/>
        <w:rPr>
          <w:sz w:val="20"/>
          <w:szCs w:val="20"/>
          <w:color w:val="auto"/>
        </w:rPr>
      </w:pPr>
      <w:r>
        <w:rPr>
          <w:rFonts w:ascii="Courier New" w:cs="Courier New" w:eastAsia="Courier New" w:hAnsi="Courier New"/>
          <w:sz w:val="18"/>
          <w:szCs w:val="18"/>
          <w:color w:val="auto"/>
        </w:rPr>
        <w:t>No filings on Form 8-K were made during the three-month period ended July 31, 2004.</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15 of 20</w:t>
      </w:r>
    </w:p>
    <w:p>
      <w:pPr>
        <w:sectPr>
          <w:pgSz w:w="11900" w:h="16838" w:orient="portrait"/>
          <w:cols w:equalWidth="0" w:num="1">
            <w:col w:w="10219"/>
          </w:cols>
          <w:pgMar w:left="240" w:top="919" w:right="1440" w:bottom="362" w:gutter="0" w:footer="0" w:header="0"/>
        </w:sectPr>
      </w:pPr>
    </w:p>
    <w:bookmarkStart w:id="16" w:name="page17"/>
    <w:bookmarkEnd w:id="16"/>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FREQUENCY ELECTRONICS, INC.</w:t>
      </w:r>
    </w:p>
    <w:p>
      <w:pPr>
        <w:ind w:left="538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September 14, 2004</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320"/>
        <w:spacing w:after="0"/>
        <w:tabs>
          <w:tab w:leader="none" w:pos="9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Alan Miller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Alan Miller</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Chief Financial Officer</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and Controller</w:t>
      </w:r>
    </w:p>
    <w:p>
      <w:pPr>
        <w:spacing w:after="0" w:line="200" w:lineRule="exact"/>
        <w:rPr>
          <w:sz w:val="20"/>
          <w:szCs w:val="20"/>
          <w:color w:val="auto"/>
        </w:rPr>
      </w:pPr>
    </w:p>
    <w:p>
      <w:pPr>
        <w:sectPr>
          <w:pgSz w:w="11900" w:h="16838" w:orient="portrait"/>
          <w:cols w:equalWidth="0" w:num="3">
            <w:col w:w="3820" w:space="720"/>
            <w:col w:w="200" w:space="0"/>
            <w:col w:w="5479"/>
          </w:cols>
          <w:pgMar w:left="240" w:top="9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16 of 20</w:t>
      </w:r>
    </w:p>
    <w:p>
      <w:pPr>
        <w:sectPr>
          <w:pgSz w:w="11900" w:h="16838" w:orient="portrait"/>
          <w:cols w:equalWidth="0" w:num="1">
            <w:col w:w="10219"/>
          </w:cols>
          <w:pgMar w:left="240" w:top="919" w:right="1440" w:bottom="1440" w:gutter="0" w:footer="0" w:header="0"/>
          <w:type w:val="continuous"/>
        </w:sectPr>
      </w:pPr>
    </w:p>
    <w:bookmarkStart w:id="17" w:name="page18"/>
    <w:bookmarkEnd w:id="17"/>
    <w:p>
      <w:pPr>
        <w:jc w:val="right"/>
        <w:ind w:right="1779"/>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SECTION 302 OF</w:t>
      </w:r>
    </w:p>
    <w:p>
      <w:pPr>
        <w:jc w:val="center"/>
        <w:ind w:right="1779"/>
        <w:spacing w:after="0"/>
        <w:rPr>
          <w:sz w:val="20"/>
          <w:szCs w:val="20"/>
          <w:color w:val="auto"/>
        </w:rPr>
      </w:pPr>
      <w:r>
        <w:rPr>
          <w:rFonts w:ascii="Courier New" w:cs="Courier New" w:eastAsia="Courier New" w:hAnsi="Courier New"/>
          <w:sz w:val="18"/>
          <w:szCs w:val="18"/>
          <w:color w:val="auto"/>
        </w:rPr>
        <w:t>THE SARBANES-OXLEY ACT OF 2002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of CEO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Martin B. Bloch, Chief Executive Officer, certify that:</w:t>
      </w:r>
    </w:p>
    <w:p>
      <w:pPr>
        <w:spacing w:after="0" w:line="207" w:lineRule="exact"/>
        <w:rPr>
          <w:sz w:val="20"/>
          <w:szCs w:val="20"/>
          <w:color w:val="auto"/>
        </w:rPr>
      </w:pPr>
    </w:p>
    <w:p>
      <w:pPr>
        <w:ind w:left="540" w:right="177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Frequency Electronics, Inc.;</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jc w:val="both"/>
        <w:ind w:left="540" w:right="1779" w:hanging="532"/>
        <w:spacing w:after="0" w:line="279" w:lineRule="auto"/>
        <w:tabs>
          <w:tab w:leader="none" w:pos="5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78" w:lineRule="exact"/>
        <w:rPr>
          <w:rFonts w:ascii="Courier New" w:cs="Courier New" w:eastAsia="Courier New" w:hAnsi="Courier New"/>
          <w:sz w:val="16"/>
          <w:szCs w:val="16"/>
          <w:color w:val="auto"/>
        </w:rPr>
      </w:pPr>
    </w:p>
    <w:p>
      <w:pPr>
        <w:jc w:val="both"/>
        <w:ind w:left="1060" w:right="1779" w:firstLine="1"/>
        <w:spacing w:after="0" w:line="237" w:lineRule="auto"/>
        <w:tabs>
          <w:tab w:leader="none" w:pos="1481"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jc w:val="both"/>
        <w:ind w:left="1060" w:right="1779" w:firstLine="1"/>
        <w:spacing w:after="0" w:line="237" w:lineRule="auto"/>
        <w:tabs>
          <w:tab w:leader="none" w:pos="1587"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208" w:lineRule="exact"/>
        <w:rPr>
          <w:rFonts w:ascii="Courier New" w:cs="Courier New" w:eastAsia="Courier New" w:hAnsi="Courier New"/>
          <w:sz w:val="18"/>
          <w:szCs w:val="18"/>
          <w:color w:val="auto"/>
        </w:rPr>
      </w:pPr>
    </w:p>
    <w:p>
      <w:pPr>
        <w:jc w:val="both"/>
        <w:ind w:left="1060" w:right="1779" w:firstLine="1"/>
        <w:spacing w:after="0" w:line="237" w:lineRule="auto"/>
        <w:tabs>
          <w:tab w:leader="none" w:pos="1481"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Courier New" w:cs="Courier New" w:eastAsia="Courier New" w:hAnsi="Courier New"/>
          <w:sz w:val="18"/>
          <w:szCs w:val="18"/>
          <w:color w:val="auto"/>
        </w:rPr>
      </w:pPr>
    </w:p>
    <w:p>
      <w:pPr>
        <w:jc w:val="both"/>
        <w:ind w:left="540" w:right="1779" w:hanging="532"/>
        <w:spacing w:after="0" w:line="275" w:lineRule="auto"/>
        <w:tabs>
          <w:tab w:leader="none" w:pos="5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registrant's auditors and the audit committee of the registrant's board of directors (or persons performing the equivalent functions):</w:t>
      </w:r>
    </w:p>
    <w:p>
      <w:pPr>
        <w:spacing w:after="0" w:line="182" w:lineRule="exact"/>
        <w:rPr>
          <w:rFonts w:ascii="Courier New" w:cs="Courier New" w:eastAsia="Courier New" w:hAnsi="Courier New"/>
          <w:sz w:val="16"/>
          <w:szCs w:val="16"/>
          <w:color w:val="auto"/>
        </w:rPr>
      </w:pPr>
    </w:p>
    <w:p>
      <w:pPr>
        <w:jc w:val="both"/>
        <w:ind w:left="1060" w:right="1779" w:firstLine="1"/>
        <w:spacing w:after="0" w:line="275" w:lineRule="auto"/>
        <w:tabs>
          <w:tab w:leader="none" w:pos="1481"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Courier New" w:cs="Courier New" w:eastAsia="Courier New" w:hAnsi="Courier New"/>
          <w:sz w:val="16"/>
          <w:szCs w:val="16"/>
          <w:color w:val="auto"/>
        </w:rPr>
      </w:pPr>
    </w:p>
    <w:p>
      <w:pPr>
        <w:jc w:val="both"/>
        <w:ind w:left="1060" w:right="1779" w:firstLine="1"/>
        <w:spacing w:after="0" w:line="236" w:lineRule="auto"/>
        <w:tabs>
          <w:tab w:leader="none" w:pos="1481"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220"/>
        <w:spacing w:after="0"/>
        <w:tabs>
          <w:tab w:leader="none" w:pos="8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Martin Bloch</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Martin B. Bloch</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Chief Executive Officer</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14, 2004</w:t>
      </w:r>
    </w:p>
    <w:p>
      <w:pPr>
        <w:spacing w:after="0" w:line="807" w:lineRule="exact"/>
        <w:rPr>
          <w:sz w:val="20"/>
          <w:szCs w:val="20"/>
          <w:color w:val="auto"/>
        </w:rPr>
      </w:pPr>
    </w:p>
    <w:p>
      <w:pPr>
        <w:sectPr>
          <w:pgSz w:w="11900" w:h="16838" w:orient="portrait"/>
          <w:cols w:equalWidth="0" w:num="2">
            <w:col w:w="5180" w:space="720"/>
            <w:col w:w="4319"/>
          </w:cols>
          <w:pgMar w:left="240" w:top="717" w:right="1440" w:bottom="1440" w:gutter="0" w:footer="0" w:header="0"/>
          <w:type w:val="continuous"/>
        </w:sect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17 of 20</w:t>
      </w:r>
    </w:p>
    <w:p>
      <w:pPr>
        <w:sectPr>
          <w:pgSz w:w="11900" w:h="16838" w:orient="portrait"/>
          <w:cols w:equalWidth="0" w:num="1">
            <w:col w:w="10219"/>
          </w:cols>
          <w:pgMar w:left="240" w:top="717" w:right="1440" w:bottom="1440" w:gutter="0" w:footer="0" w:header="0"/>
          <w:type w:val="continuous"/>
        </w:sectPr>
      </w:pPr>
    </w:p>
    <w:bookmarkStart w:id="18" w:name="page19"/>
    <w:bookmarkEnd w:id="18"/>
    <w:p>
      <w:pPr>
        <w:jc w:val="right"/>
        <w:ind w:right="1779"/>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SECTION 302 OF</w:t>
      </w:r>
    </w:p>
    <w:p>
      <w:pPr>
        <w:jc w:val="center"/>
        <w:ind w:right="1779"/>
        <w:spacing w:after="0"/>
        <w:rPr>
          <w:sz w:val="20"/>
          <w:szCs w:val="20"/>
          <w:color w:val="auto"/>
        </w:rPr>
      </w:pPr>
      <w:r>
        <w:rPr>
          <w:rFonts w:ascii="Courier New" w:cs="Courier New" w:eastAsia="Courier New" w:hAnsi="Courier New"/>
          <w:sz w:val="18"/>
          <w:szCs w:val="18"/>
          <w:color w:val="auto"/>
        </w:rPr>
        <w:t>THE SARBANES-OXLEY ACT OF 2002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of CFO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Alan L. Miller, Chief Financial Officer, certify that</w:t>
      </w:r>
    </w:p>
    <w:p>
      <w:pPr>
        <w:spacing w:after="0" w:line="207" w:lineRule="exact"/>
        <w:rPr>
          <w:sz w:val="20"/>
          <w:szCs w:val="20"/>
          <w:color w:val="auto"/>
        </w:rPr>
      </w:pPr>
    </w:p>
    <w:p>
      <w:pPr>
        <w:ind w:left="540" w:right="1779" w:hanging="532"/>
        <w:spacing w:after="0" w:line="23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Frequency Electronics, Inc.;</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jc w:val="both"/>
        <w:ind w:left="540" w:right="1779" w:hanging="532"/>
        <w:spacing w:after="0" w:line="279" w:lineRule="auto"/>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78" w:lineRule="exact"/>
        <w:rPr>
          <w:rFonts w:ascii="Courier New" w:cs="Courier New" w:eastAsia="Courier New" w:hAnsi="Courier New"/>
          <w:sz w:val="16"/>
          <w:szCs w:val="16"/>
          <w:color w:val="auto"/>
        </w:rPr>
      </w:pPr>
    </w:p>
    <w:p>
      <w:pPr>
        <w:jc w:val="both"/>
        <w:ind w:left="1060" w:right="1779" w:firstLine="1"/>
        <w:spacing w:after="0" w:line="237" w:lineRule="auto"/>
        <w:tabs>
          <w:tab w:leader="none" w:pos="1481"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jc w:val="both"/>
        <w:ind w:left="1060" w:right="1779" w:firstLine="1"/>
        <w:spacing w:after="0" w:line="237" w:lineRule="auto"/>
        <w:tabs>
          <w:tab w:leader="none" w:pos="1587"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208" w:lineRule="exact"/>
        <w:rPr>
          <w:rFonts w:ascii="Courier New" w:cs="Courier New" w:eastAsia="Courier New" w:hAnsi="Courier New"/>
          <w:sz w:val="18"/>
          <w:szCs w:val="18"/>
          <w:color w:val="auto"/>
        </w:rPr>
      </w:pPr>
    </w:p>
    <w:p>
      <w:pPr>
        <w:jc w:val="both"/>
        <w:ind w:left="1060" w:right="1779" w:firstLine="1"/>
        <w:spacing w:after="0" w:line="237" w:lineRule="auto"/>
        <w:tabs>
          <w:tab w:leader="none" w:pos="1481"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Courier New" w:cs="Courier New" w:eastAsia="Courier New" w:hAnsi="Courier New"/>
          <w:sz w:val="18"/>
          <w:szCs w:val="18"/>
          <w:color w:val="auto"/>
        </w:rPr>
      </w:pPr>
    </w:p>
    <w:p>
      <w:pPr>
        <w:jc w:val="both"/>
        <w:ind w:left="540" w:right="1779" w:hanging="532"/>
        <w:spacing w:after="0" w:line="275" w:lineRule="auto"/>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registrant's auditors and the audit committee of the registrant's board of directors (or persons performing the equivalent functions):</w:t>
      </w:r>
    </w:p>
    <w:p>
      <w:pPr>
        <w:spacing w:after="0" w:line="182" w:lineRule="exact"/>
        <w:rPr>
          <w:rFonts w:ascii="Courier New" w:cs="Courier New" w:eastAsia="Courier New" w:hAnsi="Courier New"/>
          <w:sz w:val="16"/>
          <w:szCs w:val="16"/>
          <w:color w:val="auto"/>
        </w:rPr>
      </w:pPr>
    </w:p>
    <w:p>
      <w:pPr>
        <w:jc w:val="both"/>
        <w:ind w:left="1060" w:right="1779" w:firstLine="1"/>
        <w:spacing w:after="0" w:line="275" w:lineRule="auto"/>
        <w:tabs>
          <w:tab w:leader="none" w:pos="1481"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Courier New" w:cs="Courier New" w:eastAsia="Courier New" w:hAnsi="Courier New"/>
          <w:sz w:val="16"/>
          <w:szCs w:val="16"/>
          <w:color w:val="auto"/>
        </w:rPr>
      </w:pPr>
    </w:p>
    <w:p>
      <w:pPr>
        <w:jc w:val="both"/>
        <w:ind w:left="1060" w:right="1779" w:firstLine="1"/>
        <w:spacing w:after="0" w:line="236" w:lineRule="auto"/>
        <w:tabs>
          <w:tab w:leader="none" w:pos="1481"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717" w:right="1440" w:bottom="1440" w:gutter="0" w:footer="0" w:header="0"/>
        </w:sectPr>
      </w:pPr>
    </w:p>
    <w:p>
      <w:pPr>
        <w:spacing w:after="0" w:line="203" w:lineRule="exact"/>
        <w:rPr>
          <w:sz w:val="20"/>
          <w:szCs w:val="20"/>
          <w:color w:val="auto"/>
        </w:rPr>
      </w:pPr>
    </w:p>
    <w:p>
      <w:pPr>
        <w:ind w:left="220"/>
        <w:spacing w:after="0"/>
        <w:tabs>
          <w:tab w:leader="none" w:pos="8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Alan Miller</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Alan L. Miller</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Chief Financial Officer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September 14, 2004</w:t>
      </w:r>
    </w:p>
    <w:p>
      <w:pPr>
        <w:spacing w:after="0" w:line="807" w:lineRule="exact"/>
        <w:rPr>
          <w:sz w:val="20"/>
          <w:szCs w:val="20"/>
          <w:color w:val="auto"/>
        </w:rPr>
      </w:pPr>
    </w:p>
    <w:p>
      <w:pPr>
        <w:sectPr>
          <w:pgSz w:w="11900" w:h="16838" w:orient="portrait"/>
          <w:cols w:equalWidth="0" w:num="2">
            <w:col w:w="4980" w:space="720"/>
            <w:col w:w="4519"/>
          </w:cols>
          <w:pgMar w:left="240" w:top="7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18 of 20</w:t>
      </w:r>
    </w:p>
    <w:p>
      <w:pPr>
        <w:sectPr>
          <w:pgSz w:w="11900" w:h="16838" w:orient="portrait"/>
          <w:cols w:equalWidth="0" w:num="1">
            <w:col w:w="10219"/>
          </w:cols>
          <w:pgMar w:left="240" w:top="717" w:right="1440" w:bottom="1440" w:gutter="0" w:footer="0" w:header="0"/>
          <w:type w:val="continuous"/>
        </w:sectPr>
      </w:pPr>
    </w:p>
    <w:bookmarkStart w:id="19" w:name="page20"/>
    <w:bookmarkEnd w:id="19"/>
    <w:p>
      <w:pPr>
        <w:jc w:val="right"/>
        <w:ind w:right="1779"/>
        <w:spacing w:after="0"/>
        <w:rPr>
          <w:sz w:val="20"/>
          <w:szCs w:val="20"/>
          <w:color w:val="auto"/>
        </w:rPr>
      </w:pPr>
      <w:r>
        <w:rPr>
          <w:rFonts w:ascii="Courier New" w:cs="Courier New" w:eastAsia="Courier New" w:hAnsi="Courier New"/>
          <w:sz w:val="18"/>
          <w:szCs w:val="18"/>
          <w:color w:val="auto"/>
        </w:rPr>
        <w:t>Exhibit 32.1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18 U.S.C. SECTION 1350</w:t>
      </w:r>
    </w:p>
    <w:p>
      <w:pPr>
        <w:jc w:val="center"/>
        <w:ind w:right="1659"/>
        <w:spacing w:after="0"/>
        <w:rPr>
          <w:sz w:val="20"/>
          <w:szCs w:val="20"/>
          <w:color w:val="auto"/>
        </w:rPr>
      </w:pPr>
      <w:r>
        <w:rPr>
          <w:rFonts w:ascii="Courier New" w:cs="Courier New" w:eastAsia="Courier New" w:hAnsi="Courier New"/>
          <w:sz w:val="18"/>
          <w:szCs w:val="18"/>
          <w:color w:val="auto"/>
        </w:rPr>
        <w:t>ADOPTED PURSUANT TO</w:t>
      </w:r>
    </w:p>
    <w:p>
      <w:pPr>
        <w:jc w:val="center"/>
        <w:ind w:right="1659"/>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of CEO</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connection with the Quarterly Report of Frequency Electronics, Inc. (the "Company") on Form 10-Q for the period ended July 31, 2004 as filed with the Securities and Exchange Commission on the date hereof (the "Report"), I, Martin B. Bloch, Chief Executive Officer of the Company, certify, pursuant to Section 18 U.S.C. 1350, as adopted pursuant to Section 906 of the Sarbanes-Oxley Act of 2002, that:</w:t>
      </w:r>
    </w:p>
    <w:p>
      <w:pPr>
        <w:spacing w:after="0" w:line="210" w:lineRule="exact"/>
        <w:rPr>
          <w:sz w:val="20"/>
          <w:szCs w:val="20"/>
          <w:color w:val="auto"/>
        </w:rPr>
      </w:pPr>
    </w:p>
    <w:p>
      <w:pPr>
        <w:ind w:left="540" w:right="1779" w:hanging="532"/>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jc w:val="both"/>
        <w:ind w:left="540" w:right="1779" w:hanging="532"/>
        <w:spacing w:after="0" w:line="290" w:lineRule="auto"/>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717" w:right="1440" w:bottom="1440" w:gutter="0" w:footer="0" w:header="0"/>
        </w:sectPr>
      </w:pPr>
    </w:p>
    <w:p>
      <w:pPr>
        <w:spacing w:after="0" w:line="367" w:lineRule="exact"/>
        <w:rPr>
          <w:sz w:val="20"/>
          <w:szCs w:val="20"/>
          <w:color w:val="auto"/>
        </w:rPr>
      </w:pPr>
    </w:p>
    <w:p>
      <w:pPr>
        <w:ind w:left="220"/>
        <w:spacing w:after="0"/>
        <w:tabs>
          <w:tab w:leader="none" w:pos="8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Martin Bloch</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Martin B. Bloch</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Chief Executive Officer</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14, 2004</w:t>
      </w:r>
    </w:p>
    <w:p>
      <w:pPr>
        <w:spacing w:after="0" w:line="807" w:lineRule="exact"/>
        <w:rPr>
          <w:sz w:val="20"/>
          <w:szCs w:val="20"/>
          <w:color w:val="auto"/>
        </w:rPr>
      </w:pPr>
    </w:p>
    <w:p>
      <w:pPr>
        <w:sectPr>
          <w:pgSz w:w="11900" w:h="16838" w:orient="portrait"/>
          <w:cols w:equalWidth="0" w:num="2">
            <w:col w:w="5180" w:space="720"/>
            <w:col w:w="4319"/>
          </w:cols>
          <w:pgMar w:left="240" w:top="717"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both"/>
        <w:ind w:left="1060" w:right="1779"/>
        <w:spacing w:after="0" w:line="272" w:lineRule="auto"/>
        <w:rPr>
          <w:sz w:val="20"/>
          <w:szCs w:val="20"/>
          <w:color w:val="auto"/>
        </w:rPr>
      </w:pPr>
      <w:r>
        <w:rPr>
          <w:rFonts w:ascii="Courier New" w:cs="Courier New" w:eastAsia="Courier New" w:hAnsi="Courier New"/>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388" w:lineRule="exact"/>
        <w:rPr>
          <w:sz w:val="20"/>
          <w:szCs w:val="20"/>
          <w:color w:val="auto"/>
        </w:rPr>
      </w:pPr>
    </w:p>
    <w:p>
      <w:pPr>
        <w:jc w:val="both"/>
        <w:ind w:left="1060" w:right="1779"/>
        <w:spacing w:after="0" w:line="271" w:lineRule="auto"/>
        <w:rPr>
          <w:sz w:val="20"/>
          <w:szCs w:val="20"/>
          <w:color w:val="auto"/>
        </w:rPr>
      </w:pPr>
      <w:r>
        <w:rPr>
          <w:rFonts w:ascii="Courier New" w:cs="Courier New" w:eastAsia="Courier New" w:hAnsi="Courier New"/>
          <w:sz w:val="16"/>
          <w:szCs w:val="16"/>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19 of 20</w:t>
      </w:r>
    </w:p>
    <w:p>
      <w:pPr>
        <w:sectPr>
          <w:pgSz w:w="11900" w:h="16838" w:orient="portrait"/>
          <w:cols w:equalWidth="0" w:num="1">
            <w:col w:w="10219"/>
          </w:cols>
          <w:pgMar w:left="240" w:top="717" w:right="1440" w:bottom="1440" w:gutter="0" w:footer="0" w:header="0"/>
          <w:type w:val="continuous"/>
        </w:sectPr>
      </w:pPr>
    </w:p>
    <w:bookmarkStart w:id="20" w:name="page21"/>
    <w:bookmarkEnd w:id="20"/>
    <w:p>
      <w:pPr>
        <w:jc w:val="right"/>
        <w:ind w:right="1779"/>
        <w:spacing w:after="0"/>
        <w:rPr>
          <w:sz w:val="20"/>
          <w:szCs w:val="20"/>
          <w:color w:val="auto"/>
        </w:rPr>
      </w:pPr>
      <w:r>
        <w:rPr>
          <w:rFonts w:ascii="Courier New" w:cs="Courier New" w:eastAsia="Courier New" w:hAnsi="Courier New"/>
          <w:sz w:val="18"/>
          <w:szCs w:val="18"/>
          <w:color w:val="auto"/>
        </w:rPr>
        <w:t>Exhibit 32.2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18 U.S.C. SECTION 1350</w:t>
      </w:r>
    </w:p>
    <w:p>
      <w:pPr>
        <w:jc w:val="center"/>
        <w:ind w:right="1659"/>
        <w:spacing w:after="0"/>
        <w:rPr>
          <w:sz w:val="20"/>
          <w:szCs w:val="20"/>
          <w:color w:val="auto"/>
        </w:rPr>
      </w:pPr>
      <w:r>
        <w:rPr>
          <w:rFonts w:ascii="Courier New" w:cs="Courier New" w:eastAsia="Courier New" w:hAnsi="Courier New"/>
          <w:sz w:val="18"/>
          <w:szCs w:val="18"/>
          <w:color w:val="auto"/>
        </w:rPr>
        <w:t>ADOPTED PURSUANT TO</w:t>
      </w:r>
    </w:p>
    <w:p>
      <w:pPr>
        <w:jc w:val="center"/>
        <w:ind w:right="1659"/>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of CFO</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connection with the Quarterly Report of Frequency Electronics, Inc. (the "Company") on Form 10-Q for the period ended July 31, 2004 as filed with the Securities and Exchange Commission on the date hereof (the "Report"), I, Alan L. Miller, Chief Financial Officer of the Company, certify, pursuant to Section 18 U.S.C. 1350, as adopted pursuant to Section 906 of the Sarbanes-Oxley Act of 2002, that:</w:t>
      </w:r>
    </w:p>
    <w:p>
      <w:pPr>
        <w:spacing w:after="0" w:line="210" w:lineRule="exact"/>
        <w:rPr>
          <w:sz w:val="20"/>
          <w:szCs w:val="20"/>
          <w:color w:val="auto"/>
        </w:rPr>
      </w:pPr>
    </w:p>
    <w:p>
      <w:pPr>
        <w:ind w:left="540" w:right="1779" w:hanging="532"/>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jc w:val="both"/>
        <w:ind w:left="540" w:right="1779" w:hanging="532"/>
        <w:spacing w:after="0" w:line="290" w:lineRule="auto"/>
        <w:tabs>
          <w:tab w:leader="none" w:pos="5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717" w:right="1440" w:bottom="1440" w:gutter="0" w:footer="0" w:header="0"/>
        </w:sectPr>
      </w:pPr>
    </w:p>
    <w:p>
      <w:pPr>
        <w:spacing w:after="0" w:line="367" w:lineRule="exact"/>
        <w:rPr>
          <w:sz w:val="20"/>
          <w:szCs w:val="20"/>
          <w:color w:val="auto"/>
        </w:rPr>
      </w:pPr>
    </w:p>
    <w:p>
      <w:pPr>
        <w:ind w:left="220"/>
        <w:spacing w:after="0"/>
        <w:tabs>
          <w:tab w:leader="none" w:pos="8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Alan Miller</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Alan L. Miller</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Chief Financial Officer</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14, 2004</w:t>
      </w:r>
    </w:p>
    <w:p>
      <w:pPr>
        <w:spacing w:after="0" w:line="807" w:lineRule="exact"/>
        <w:rPr>
          <w:sz w:val="20"/>
          <w:szCs w:val="20"/>
          <w:color w:val="auto"/>
        </w:rPr>
      </w:pPr>
    </w:p>
    <w:p>
      <w:pPr>
        <w:sectPr>
          <w:pgSz w:w="11900" w:h="16838" w:orient="portrait"/>
          <w:cols w:equalWidth="0" w:num="2">
            <w:col w:w="5080" w:space="720"/>
            <w:col w:w="4419"/>
          </w:cols>
          <w:pgMar w:left="240" w:top="717"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both"/>
        <w:ind w:left="1060" w:right="1779"/>
        <w:spacing w:after="0" w:line="272" w:lineRule="auto"/>
        <w:rPr>
          <w:sz w:val="20"/>
          <w:szCs w:val="20"/>
          <w:color w:val="auto"/>
        </w:rPr>
      </w:pPr>
      <w:r>
        <w:rPr>
          <w:rFonts w:ascii="Courier New" w:cs="Courier New" w:eastAsia="Courier New" w:hAnsi="Courier New"/>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86" w:lineRule="exact"/>
        <w:rPr>
          <w:sz w:val="20"/>
          <w:szCs w:val="20"/>
          <w:color w:val="auto"/>
        </w:rPr>
      </w:pPr>
    </w:p>
    <w:p>
      <w:pPr>
        <w:jc w:val="both"/>
        <w:ind w:left="1060" w:right="1779"/>
        <w:spacing w:after="0" w:line="271" w:lineRule="auto"/>
        <w:rPr>
          <w:sz w:val="20"/>
          <w:szCs w:val="20"/>
          <w:color w:val="auto"/>
        </w:rPr>
      </w:pPr>
      <w:r>
        <w:rPr>
          <w:rFonts w:ascii="Courier New" w:cs="Courier New" w:eastAsia="Courier New" w:hAnsi="Courier New"/>
          <w:sz w:val="16"/>
          <w:szCs w:val="16"/>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0" w:lineRule="exact"/>
        <w:rPr>
          <w:sz w:val="20"/>
          <w:szCs w:val="20"/>
          <w:color w:val="auto"/>
        </w:rPr>
      </w:pPr>
    </w:p>
    <w:p>
      <w:pPr>
        <w:spacing w:after="0" w:line="38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20 of 20</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2019-12-13T01:38:17Z</dcterms:created>
  <dcterms:modified xsi:type="dcterms:W3CDTF">2019-12-13T01:38:17Z</dcterms:modified>
</cp:coreProperties>
</file>