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142240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180975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 (d)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October 31, 2019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600" w:right="1920" w:hanging="2944"/>
        <w:spacing w:after="0" w:line="493" w:lineRule="auto"/>
        <w:tabs>
          <w:tab w:leader="none" w:pos="85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 (d) OF THE SECURITIES EXCHANGE ACT OF 1934 For the transition period from __________ to __________</w:t>
      </w:r>
    </w:p>
    <w:p>
      <w:pPr>
        <w:ind w:left="46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No. 1-8061</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760" w:type="dxa"/>
            <w:vAlign w:val="bottom"/>
            <w:gridSpan w:val="3"/>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11-1986657</w:t>
            </w:r>
          </w:p>
        </w:tc>
      </w:tr>
      <w:tr>
        <w:trPr>
          <w:trHeight w:val="20"/>
        </w:trPr>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8"/>
        </w:trPr>
        <w:tc>
          <w:tcPr>
            <w:tcW w:w="460" w:type="dxa"/>
            <w:vAlign w:val="bottom"/>
          </w:tcPr>
          <w:p>
            <w:pPr>
              <w:spacing w:after="0"/>
              <w:rPr>
                <w:sz w:val="18"/>
                <w:szCs w:val="18"/>
                <w:color w:val="auto"/>
              </w:rPr>
            </w:pPr>
          </w:p>
        </w:tc>
        <w:tc>
          <w:tcPr>
            <w:tcW w:w="580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2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60" w:type="dxa"/>
            <w:vAlign w:val="bottom"/>
          </w:tcPr>
          <w:p>
            <w:pPr>
              <w:spacing w:after="0"/>
              <w:rPr>
                <w:sz w:val="20"/>
                <w:szCs w:val="20"/>
                <w:color w:val="auto"/>
              </w:rPr>
            </w:pPr>
          </w:p>
        </w:tc>
        <w:tc>
          <w:tcPr>
            <w:tcW w:w="580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580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27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2"/>
        </w:trPr>
        <w:tc>
          <w:tcPr>
            <w:tcW w:w="6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 (b) of the Act:</w:t>
      </w:r>
    </w:p>
    <w:p>
      <w:pPr>
        <w:spacing w:after="0" w:line="225"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4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color w:val="auto"/>
                <w:w w:val="99"/>
              </w:rPr>
              <w:t>Name of each exchange on</w:t>
            </w:r>
          </w:p>
        </w:tc>
      </w:tr>
      <w:tr>
        <w:trPr>
          <w:trHeight w:val="194"/>
        </w:trPr>
        <w:tc>
          <w:tcPr>
            <w:tcW w:w="1000" w:type="dxa"/>
            <w:vAlign w:val="bottom"/>
          </w:tcPr>
          <w:p>
            <w:pPr>
              <w:spacing w:after="0"/>
              <w:rPr>
                <w:sz w:val="16"/>
                <w:szCs w:val="16"/>
                <w:color w:val="auto"/>
              </w:rPr>
            </w:pPr>
          </w:p>
        </w:tc>
        <w:tc>
          <w:tcPr>
            <w:tcW w:w="1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740" w:type="dxa"/>
            <w:vAlign w:val="bottom"/>
          </w:tcPr>
          <w:p>
            <w:pPr>
              <w:spacing w:after="0"/>
              <w:rPr>
                <w:sz w:val="16"/>
                <w:szCs w:val="16"/>
                <w:color w:val="auto"/>
              </w:rPr>
            </w:pPr>
          </w:p>
        </w:tc>
        <w:tc>
          <w:tcPr>
            <w:tcW w:w="2980" w:type="dxa"/>
            <w:vAlign w:val="bottom"/>
            <w:gridSpan w:val="3"/>
          </w:tcPr>
          <w:p>
            <w:pPr>
              <w:jc w:val="center"/>
              <w:ind w:right="340"/>
              <w:spacing w:after="0" w:line="194" w:lineRule="exact"/>
              <w:rPr>
                <w:sz w:val="20"/>
                <w:szCs w:val="20"/>
                <w:color w:val="auto"/>
              </w:rPr>
            </w:pPr>
            <w:r>
              <w:rPr>
                <w:rFonts w:ascii="Times New Roman" w:cs="Times New Roman" w:eastAsia="Times New Roman" w:hAnsi="Times New Roman"/>
                <w:sz w:val="18"/>
                <w:szCs w:val="18"/>
                <w:color w:val="auto"/>
                <w:w w:val="98"/>
              </w:rPr>
              <w:t>Trading Symbol</w:t>
            </w:r>
          </w:p>
        </w:tc>
        <w:tc>
          <w:tcPr>
            <w:tcW w:w="1460" w:type="dxa"/>
            <w:vAlign w:val="bottom"/>
          </w:tcPr>
          <w:p>
            <w:pPr>
              <w:spacing w:after="0"/>
              <w:rPr>
                <w:sz w:val="16"/>
                <w:szCs w:val="16"/>
                <w:color w:val="auto"/>
              </w:rPr>
            </w:pPr>
          </w:p>
        </w:tc>
        <w:tc>
          <w:tcPr>
            <w:tcW w:w="158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color w:val="auto"/>
                <w:w w:val="98"/>
              </w:rPr>
              <w:t>which registered</w:t>
            </w:r>
          </w:p>
        </w:tc>
      </w:tr>
      <w:tr>
        <w:trPr>
          <w:trHeight w:val="20"/>
        </w:trPr>
        <w:tc>
          <w:tcPr>
            <w:tcW w:w="10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40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Common Stock (par value $1.00 per share)</w:t>
            </w:r>
          </w:p>
        </w:tc>
        <w:tc>
          <w:tcPr>
            <w:tcW w:w="740" w:type="dxa"/>
            <w:vAlign w:val="bottom"/>
          </w:tcPr>
          <w:p>
            <w:pPr>
              <w:spacing w:after="0"/>
              <w:rPr>
                <w:sz w:val="20"/>
                <w:szCs w:val="20"/>
                <w:color w:val="auto"/>
              </w:rPr>
            </w:pPr>
          </w:p>
        </w:tc>
        <w:tc>
          <w:tcPr>
            <w:tcW w:w="22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FEIM</w:t>
            </w:r>
          </w:p>
        </w:tc>
        <w:tc>
          <w:tcPr>
            <w:tcW w:w="304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372" w:right="239" w:bottom="1440" w:gutter="0" w:footer="0" w:header="0"/>
        </w:sectPr>
      </w:pPr>
    </w:p>
    <w:p>
      <w:pPr>
        <w:spacing w:after="0" w:line="1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5660" w:space="720"/>
            <w:col w:w="5040"/>
          </w:cols>
          <w:pgMar w:left="240" w:top="372" w:right="239" w:bottom="1440" w:gutter="0" w:footer="0" w:header="0"/>
          <w:type w:val="continuous"/>
        </w:sectPr>
      </w:pPr>
    </w:p>
    <w:p>
      <w:pPr>
        <w:spacing w:after="0" w:line="1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as of December 11, 2019 – 9,099,598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40" w:type="dxa"/>
            <w:vAlign w:val="bottom"/>
            <w:gridSpan w:val="9"/>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tc>
        <w:tc>
          <w:tcPr>
            <w:tcW w:w="8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40" w:type="dxa"/>
            <w:vAlign w:val="bottom"/>
            <w:gridSpan w:val="9"/>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0" w:type="dxa"/>
            <w:vAlign w:val="bottom"/>
          </w:tcPr>
          <w:p>
            <w:pPr>
              <w:spacing w:after="0"/>
              <w:rPr>
                <w:sz w:val="24"/>
                <w:szCs w:val="24"/>
                <w:color w:val="auto"/>
              </w:rPr>
            </w:pPr>
          </w:p>
        </w:tc>
      </w:tr>
      <w:tr>
        <w:trPr>
          <w:trHeight w:val="432"/>
        </w:trPr>
        <w:tc>
          <w:tcPr>
            <w:tcW w:w="106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385"/>
        </w:trPr>
        <w:tc>
          <w:tcPr>
            <w:tcW w:w="500" w:type="dxa"/>
            <w:vAlign w:val="bottom"/>
          </w:tcPr>
          <w:p>
            <w:pPr>
              <w:spacing w:after="0"/>
              <w:rPr>
                <w:sz w:val="24"/>
                <w:szCs w:val="24"/>
                <w:color w:val="auto"/>
              </w:rPr>
            </w:pPr>
          </w:p>
        </w:tc>
        <w:tc>
          <w:tcPr>
            <w:tcW w:w="10120" w:type="dxa"/>
            <w:vAlign w:val="bottom"/>
            <w:gridSpan w:val="16"/>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 Financial Statements:</w:t>
              </w:r>
            </w:hyperlink>
          </w:p>
        </w:tc>
        <w:tc>
          <w:tcPr>
            <w:tcW w:w="80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 October 31, 2019 (unaudited) and April 30, 2019</w:t>
              </w:r>
            </w:hyperlink>
          </w:p>
        </w:tc>
        <w:tc>
          <w:tcPr>
            <w:tcW w:w="3040" w:type="dxa"/>
            <w:vAlign w:val="bottom"/>
            <w:gridSpan w:val="5"/>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and Comprehensive (Loss) Income for the Six Months Ended October 31, 2019</w:t>
              </w:r>
            </w:hyperlink>
          </w:p>
        </w:tc>
        <w:tc>
          <w:tcPr>
            <w:tcW w:w="260" w:type="dxa"/>
            <w:vAlign w:val="bottom"/>
            <w:gridSpan w:val="2"/>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00" w:type="dxa"/>
            <w:vAlign w:val="bottom"/>
            <w:gridSpan w:val="15"/>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2018 (unaudited)</w:t>
              </w:r>
            </w:hyperlink>
          </w:p>
        </w:tc>
        <w:tc>
          <w:tcPr>
            <w:tcW w:w="8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Operations and Comprehensive (Loss) Income for the Three Months Ended October 31, 2019</w:t>
              </w:r>
            </w:hyperlink>
          </w:p>
        </w:tc>
        <w:tc>
          <w:tcPr>
            <w:tcW w:w="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00" w:type="dxa"/>
            <w:vAlign w:val="bottom"/>
            <w:gridSpan w:val="1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and 2018 (unaudited)</w:t>
              </w:r>
            </w:hyperlink>
          </w:p>
        </w:tc>
        <w:tc>
          <w:tcPr>
            <w:tcW w:w="8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5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Six Months Ended October 31, 2019 and 2018 (unaudited)</w:t>
              </w:r>
            </w:hyperlink>
          </w:p>
        </w:tc>
        <w:tc>
          <w:tcPr>
            <w:tcW w:w="118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41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00" w:type="dxa"/>
            <w:vAlign w:val="bottom"/>
            <w:gridSpan w:val="15"/>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Changes in Stockholders’ Equity for the Three and Six Months Ended October 31, 2019</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(unaudited)</w:t>
              </w:r>
            </w:hyperlink>
          </w:p>
        </w:tc>
        <w:tc>
          <w:tcPr>
            <w:tcW w:w="8380" w:type="dxa"/>
            <w:vAlign w:val="bottom"/>
            <w:tcBorders>
              <w:top w:val="single" w:sz="8" w:color="0000EE"/>
            </w:tcBorders>
            <w:gridSpan w:val="9"/>
          </w:tcPr>
          <w:p>
            <w:pPr>
              <w:spacing w:after="0"/>
              <w:rPr>
                <w:sz w:val="17"/>
                <w:szCs w:val="17"/>
                <w:color w:val="auto"/>
              </w:rPr>
            </w:pPr>
          </w:p>
        </w:tc>
        <w:tc>
          <w:tcPr>
            <w:tcW w:w="48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00" w:type="dxa"/>
            <w:vAlign w:val="bottom"/>
            <w:gridSpan w:val="15"/>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Changes in Stockholders’ Equity for the Three and Six Months Ended October 31, 2018</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8">
              <w:r>
                <w:rPr>
                  <w:rFonts w:ascii="Times New Roman" w:cs="Times New Roman" w:eastAsia="Times New Roman" w:hAnsi="Times New Roman"/>
                  <w:sz w:val="18"/>
                  <w:szCs w:val="18"/>
                  <w:color w:val="0000EE"/>
                  <w:w w:val="98"/>
                </w:rPr>
                <w:t>(unaudited)</w:t>
              </w:r>
            </w:hyperlink>
          </w:p>
        </w:tc>
        <w:tc>
          <w:tcPr>
            <w:tcW w:w="8380" w:type="dxa"/>
            <w:vAlign w:val="bottom"/>
            <w:tcBorders>
              <w:top w:val="single" w:sz="8" w:color="0000EE"/>
            </w:tcBorders>
            <w:gridSpan w:val="9"/>
          </w:tcPr>
          <w:p>
            <w:pPr>
              <w:spacing w:after="0"/>
              <w:rPr>
                <w:sz w:val="17"/>
                <w:szCs w:val="17"/>
                <w:color w:val="auto"/>
              </w:rPr>
            </w:pPr>
          </w:p>
        </w:tc>
        <w:tc>
          <w:tcPr>
            <w:tcW w:w="48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Condensed Consolidated Financial Statements (unaudited)</w:t>
              </w:r>
            </w:hyperlink>
          </w:p>
        </w:tc>
        <w:tc>
          <w:tcPr>
            <w:tcW w:w="4820" w:type="dxa"/>
            <w:vAlign w:val="bottom"/>
            <w:gridSpan w:val="7"/>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9-15</w:t>
            </w:r>
          </w:p>
        </w:tc>
      </w:tr>
      <w:tr>
        <w:trPr>
          <w:trHeight w:val="412"/>
        </w:trPr>
        <w:tc>
          <w:tcPr>
            <w:tcW w:w="500" w:type="dxa"/>
            <w:vAlign w:val="bottom"/>
          </w:tcPr>
          <w:p>
            <w:pPr>
              <w:spacing w:after="0"/>
              <w:rPr>
                <w:sz w:val="24"/>
                <w:szCs w:val="24"/>
                <w:color w:val="auto"/>
              </w:rPr>
            </w:pPr>
          </w:p>
        </w:tc>
        <w:tc>
          <w:tcPr>
            <w:tcW w:w="10120" w:type="dxa"/>
            <w:vAlign w:val="bottom"/>
            <w:gridSpan w:val="16"/>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Item 2 - Management’s Discussion and Analysis of Financial Condition and Results of Operations</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16-21</w:t>
            </w:r>
          </w:p>
        </w:tc>
      </w:tr>
      <w:tr>
        <w:trPr>
          <w:trHeight w:val="412"/>
        </w:trPr>
        <w:tc>
          <w:tcPr>
            <w:tcW w:w="500" w:type="dxa"/>
            <w:vAlign w:val="bottom"/>
          </w:tcPr>
          <w:p>
            <w:pPr>
              <w:spacing w:after="0"/>
              <w:rPr>
                <w:sz w:val="24"/>
                <w:szCs w:val="24"/>
                <w:color w:val="auto"/>
              </w:rPr>
            </w:pPr>
          </w:p>
        </w:tc>
        <w:tc>
          <w:tcPr>
            <w:tcW w:w="706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3 - Quantitative and Qualitative Disclosures About Market Risk</w:t>
              </w:r>
            </w:hyperlink>
          </w:p>
        </w:tc>
        <w:tc>
          <w:tcPr>
            <w:tcW w:w="3060" w:type="dxa"/>
            <w:vAlign w:val="bottom"/>
            <w:gridSpan w:val="6"/>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412"/>
        </w:trPr>
        <w:tc>
          <w:tcPr>
            <w:tcW w:w="50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Item 4 - Controls and Procedures</w:t>
              </w:r>
            </w:hyperlink>
          </w:p>
        </w:tc>
        <w:tc>
          <w:tcPr>
            <w:tcW w:w="2580" w:type="dxa"/>
            <w:vAlign w:val="bottom"/>
            <w:tcBorders>
              <w:top w:val="single" w:sz="8" w:color="0000EE"/>
            </w:tcBorders>
          </w:tcPr>
          <w:p>
            <w:pPr>
              <w:spacing w:after="0"/>
              <w:rPr>
                <w:sz w:val="24"/>
                <w:szCs w:val="24"/>
                <w:color w:val="auto"/>
              </w:rPr>
            </w:pPr>
          </w:p>
        </w:tc>
        <w:tc>
          <w:tcPr>
            <w:tcW w:w="5160" w:type="dxa"/>
            <w:vAlign w:val="bottom"/>
            <w:gridSpan w:val="8"/>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453"/>
        </w:trPr>
        <w:tc>
          <w:tcPr>
            <w:tcW w:w="106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800" w:type="dxa"/>
            <w:vAlign w:val="bottom"/>
          </w:tcPr>
          <w:p>
            <w:pPr>
              <w:spacing w:after="0"/>
              <w:rPr>
                <w:sz w:val="24"/>
                <w:szCs w:val="24"/>
                <w:color w:val="auto"/>
              </w:rPr>
            </w:pPr>
          </w:p>
        </w:tc>
      </w:tr>
      <w:tr>
        <w:trPr>
          <w:trHeight w:val="392"/>
        </w:trPr>
        <w:tc>
          <w:tcPr>
            <w:tcW w:w="500" w:type="dxa"/>
            <w:vAlign w:val="bottom"/>
          </w:tcPr>
          <w:p>
            <w:pPr>
              <w:spacing w:after="0"/>
              <w:rPr>
                <w:sz w:val="24"/>
                <w:szCs w:val="24"/>
                <w:color w:val="auto"/>
              </w:rPr>
            </w:pPr>
          </w:p>
        </w:tc>
        <w:tc>
          <w:tcPr>
            <w:tcW w:w="10120" w:type="dxa"/>
            <w:vAlign w:val="bottom"/>
            <w:gridSpan w:val="16"/>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6 - Exhibits</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412"/>
        </w:trPr>
        <w:tc>
          <w:tcPr>
            <w:tcW w:w="500" w:type="dxa"/>
            <w:vAlign w:val="bottom"/>
          </w:tcPr>
          <w:p>
            <w:pPr>
              <w:spacing w:after="0"/>
              <w:rPr>
                <w:sz w:val="24"/>
                <w:szCs w:val="24"/>
                <w:color w:val="auto"/>
              </w:rPr>
            </w:pPr>
          </w:p>
        </w:tc>
        <w:tc>
          <w:tcPr>
            <w:tcW w:w="12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Signatures</w:t>
              </w:r>
            </w:hyperlink>
          </w:p>
        </w:tc>
        <w:tc>
          <w:tcPr>
            <w:tcW w:w="8920" w:type="dxa"/>
            <w:vAlign w:val="bottom"/>
            <w:gridSpan w:val="13"/>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1027"/>
        </w:trPr>
        <w:tc>
          <w:tcPr>
            <w:tcW w:w="500" w:type="dxa"/>
            <w:vAlign w:val="bottom"/>
            <w:tcBorders>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00" w:type="dxa"/>
            <w:vAlign w:val="bottom"/>
            <w:vMerge w:val="restart"/>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(UNAUDITED)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shd w:val="clear" w:color="auto" w:fill="CCEEFF"/>
          </w:tcPr>
          <w:p>
            <w:pPr>
              <w:ind w:left="6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of $182 at October 31, 2019 and $183 at April 30, 2019</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Costs and estimated earnings in excess of billings, net</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Prepaid income taxes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Property, plant and equipment, at cost, net of</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Cash surrender value of life insurance and cash held in trust</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91,949</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payable – trade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Loss provision accrual</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Lease liability, current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Preferred stock - $1.00 par value; authorized 600 shares, no shares issued</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shd w:val="clear" w:color="auto" w:fill="CCEEFF"/>
          </w:tcPr>
          <w:p>
            <w:pPr>
              <w:ind w:left="640"/>
              <w:spacing w:after="0" w:line="198" w:lineRule="exact"/>
              <w:rPr>
                <w:sz w:val="20"/>
                <w:szCs w:val="20"/>
                <w:color w:val="auto"/>
              </w:rPr>
            </w:pPr>
            <w:r>
              <w:rPr>
                <w:rFonts w:ascii="Times New Roman" w:cs="Times New Roman" w:eastAsia="Times New Roman" w:hAnsi="Times New Roman"/>
                <w:sz w:val="18"/>
                <w:szCs w:val="18"/>
                <w:color w:val="auto"/>
              </w:rPr>
              <w:t>Common stock - $1.00 par value; authorized 20,000 shares, 9,164 shares issued,</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9,100 shares outstanding at October 31, 2019; 8,980 shares outstanding at April 30,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9,164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56,658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58,211</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shd w:val="clear" w:color="auto" w:fill="CCEEFF"/>
          </w:tcPr>
          <w:p>
            <w:pPr>
              <w:ind w:left="640"/>
              <w:spacing w:after="0" w:line="198" w:lineRule="exact"/>
              <w:rPr>
                <w:sz w:val="20"/>
                <w:szCs w:val="20"/>
                <w:color w:val="auto"/>
              </w:rPr>
            </w:pPr>
            <w:r>
              <w:rPr>
                <w:rFonts w:ascii="Times New Roman" w:cs="Times New Roman" w:eastAsia="Times New Roman" w:hAnsi="Times New Roman"/>
                <w:sz w:val="18"/>
                <w:szCs w:val="18"/>
                <w:color w:val="auto"/>
              </w:rPr>
              <w:t>Common stock reacquired and held in treasury -</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at cost (64 shares at October 31, 2019 and 184 shares at April 30, 2019)</w:t>
            </w:r>
          </w:p>
        </w:tc>
        <w:tc>
          <w:tcPr>
            <w:tcW w:w="12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58,168</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91,949</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11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3" w:name="page4"/>
    <w:bookmarkEnd w:id="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 Months Ended October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2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21,641</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Gross margin</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Operating loss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Investment income</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before provision (benefit) for income taxes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Net (loss) income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(5,500)</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Basic and diluted (loss) earnings per share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(0.61)</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9,037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36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(5,500)</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gridSpan w:val="2"/>
            <w:shd w:val="clear" w:color="auto" w:fill="CCEEFF"/>
          </w:tcPr>
          <w:p>
            <w:pPr>
              <w:ind w:left="580"/>
              <w:spacing w:after="0" w:line="198" w:lineRule="exact"/>
              <w:rPr>
                <w:sz w:val="20"/>
                <w:szCs w:val="20"/>
                <w:color w:val="auto"/>
              </w:rPr>
            </w:pPr>
            <w:r>
              <w:rPr>
                <w:rFonts w:ascii="Times New Roman" w:cs="Times New Roman" w:eastAsia="Times New Roman" w:hAnsi="Times New Roman"/>
                <w:sz w:val="18"/>
                <w:szCs w:val="18"/>
                <w:color w:val="auto"/>
              </w:rPr>
              <w:t>Change in market value of marketable securities before</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gridSpan w:val="2"/>
          </w:tcPr>
          <w:p>
            <w:pPr>
              <w:ind w:left="5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gains included in</w:t>
            </w:r>
          </w:p>
        </w:tc>
        <w:tc>
          <w:tcPr>
            <w:tcW w:w="980" w:type="dxa"/>
            <w:vAlign w:val="bottom"/>
          </w:tcPr>
          <w:p>
            <w:pPr>
              <w:spacing w:after="0"/>
              <w:rPr>
                <w:sz w:val="17"/>
                <w:szCs w:val="17"/>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net income, net of tax</w:t>
            </w:r>
          </w:p>
        </w:tc>
        <w:tc>
          <w:tcPr>
            <w:tcW w:w="9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unrealized gain (loss) on marketable securities, net of tax</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(5,294)</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October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2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9,087</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Gross margin</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Operating loss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Investment income</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Net (loss) income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(4,909)</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Basic and diluted (loss) earnings per share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(0.54)</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9,072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36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(4,909)</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gridSpan w:val="2"/>
            <w:shd w:val="clear" w:color="auto" w:fill="CCEEFF"/>
          </w:tcPr>
          <w:p>
            <w:pPr>
              <w:ind w:left="580"/>
              <w:spacing w:after="0" w:line="198" w:lineRule="exact"/>
              <w:rPr>
                <w:sz w:val="20"/>
                <w:szCs w:val="20"/>
                <w:color w:val="auto"/>
              </w:rPr>
            </w:pPr>
            <w:r>
              <w:rPr>
                <w:rFonts w:ascii="Times New Roman" w:cs="Times New Roman" w:eastAsia="Times New Roman" w:hAnsi="Times New Roman"/>
                <w:sz w:val="18"/>
                <w:szCs w:val="18"/>
                <w:color w:val="auto"/>
              </w:rPr>
              <w:t>Change in market value of marketable securities before</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gridSpan w:val="2"/>
          </w:tcPr>
          <w:p>
            <w:pPr>
              <w:ind w:left="5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gains included in</w:t>
            </w:r>
          </w:p>
        </w:tc>
        <w:tc>
          <w:tcPr>
            <w:tcW w:w="980" w:type="dxa"/>
            <w:vAlign w:val="bottom"/>
          </w:tcPr>
          <w:p>
            <w:pPr>
              <w:spacing w:after="0"/>
              <w:rPr>
                <w:sz w:val="17"/>
                <w:szCs w:val="17"/>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net income, net of tax</w:t>
            </w:r>
          </w:p>
        </w:tc>
        <w:tc>
          <w:tcPr>
            <w:tcW w:w="9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unrealized gain (loss) on marketable securities, net of tax</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(4,837)</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 Months Ended October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2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(loss) income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(5,500)</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Non-cash charges to earnings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Proceeds on redemption of marketable securities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Purchase of fixed assets and other assets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 before effect of exchange rate changes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Interest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40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ind w:left="640"/>
              <w:spacing w:after="0" w:line="196" w:lineRule="exact"/>
              <w:rPr>
                <w:sz w:val="20"/>
                <w:szCs w:val="20"/>
                <w:color w:val="auto"/>
              </w:rPr>
            </w:pPr>
            <w:r>
              <w:rPr>
                <w:rFonts w:ascii="Times New Roman" w:cs="Times New Roman" w:eastAsia="Times New Roman" w:hAnsi="Times New Roman"/>
                <w:sz w:val="18"/>
                <w:szCs w:val="18"/>
                <w:color w:val="auto"/>
              </w:rPr>
              <w:t>Cash refunded during the period for:</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Six Months Ended October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22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8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22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2019</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9,163,940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56,831</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(2,111)</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183,661</w:t>
            </w:r>
          </w:p>
        </w:tc>
        <w:tc>
          <w:tcPr>
            <w:tcW w:w="6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(841)</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63,089</w:t>
            </w: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 of stock to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401(k) plan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(10,906)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and stock appreciation rights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 net of shares tendered for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(41,325)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w:t>
            </w:r>
          </w:p>
        </w:tc>
      </w:tr>
      <w:tr>
        <w:trPr>
          <w:trHeight w:val="20"/>
        </w:trPr>
        <w:tc>
          <w:tcPr>
            <w:tcW w:w="2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31, 2019</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9,163,940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56,796</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(2,702)</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131,430</w:t>
            </w:r>
          </w:p>
        </w:tc>
        <w:tc>
          <w:tcPr>
            <w:tcW w:w="6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62,836</w:t>
            </w: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 of stock to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401(k) plan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(8,703)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and stock appreciation rights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 net of shares tendered for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(58,387)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(4,909)</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(4,909)</w:t>
            </w:r>
          </w:p>
        </w:tc>
      </w:tr>
      <w:tr>
        <w:trPr>
          <w:trHeight w:val="20"/>
        </w:trPr>
        <w:tc>
          <w:tcPr>
            <w:tcW w:w="2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2019</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9,163,940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56,658</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(7,611)</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64,340</w:t>
            </w:r>
          </w:p>
        </w:tc>
        <w:tc>
          <w:tcPr>
            <w:tcW w:w="6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58,168</w:t>
            </w: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Six Months Ended October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214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20" w:type="dxa"/>
            <w:vAlign w:val="bottom"/>
          </w:tcPr>
          <w:p>
            <w:pPr>
              <w:spacing w:after="0"/>
              <w:rPr>
                <w:sz w:val="20"/>
                <w:szCs w:val="20"/>
                <w:color w:val="auto"/>
              </w:rPr>
            </w:pPr>
          </w:p>
        </w:tc>
        <w:tc>
          <w:tcPr>
            <w:tcW w:w="22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214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2018</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9,163,940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56,439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297,083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(1,361)</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63,262</w:t>
            </w:r>
          </w:p>
        </w:tc>
        <w:tc>
          <w:tcPr>
            <w:tcW w:w="0" w:type="dxa"/>
            <w:vAlign w:val="bottom"/>
          </w:tcPr>
          <w:p>
            <w:pPr>
              <w:spacing w:after="0"/>
              <w:rPr>
                <w:sz w:val="1"/>
                <w:szCs w:val="1"/>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Opening BS adjustment for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adoption of ASU 2014-09</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2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Adjusted balance at May 1,</w:t>
            </w: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9,163,940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9,164</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56,439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297,083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(915)</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63,746</w:t>
            </w:r>
          </w:p>
        </w:tc>
        <w:tc>
          <w:tcPr>
            <w:tcW w:w="0" w:type="dxa"/>
            <w:vAlign w:val="bottom"/>
          </w:tcPr>
          <w:p>
            <w:pPr>
              <w:spacing w:after="0"/>
              <w:rPr>
                <w:sz w:val="1"/>
                <w:szCs w:val="1"/>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 of stock to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401(k) plan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and stock appreciation rights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 net of shares tendered for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31, 2018</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9,163,940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56,610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282,744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63,970</w:t>
            </w:r>
          </w:p>
        </w:tc>
        <w:tc>
          <w:tcPr>
            <w:tcW w:w="0" w:type="dxa"/>
            <w:vAlign w:val="bottom"/>
          </w:tcPr>
          <w:p>
            <w:pPr>
              <w:spacing w:after="0"/>
              <w:rPr>
                <w:sz w:val="1"/>
                <w:szCs w:val="1"/>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 of stock to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401(k) plan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(10,089)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and stock appreciation rights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 net of shares tendered for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(17,708)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2018</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9,163,940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56,710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254,947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(1,168)</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64,224</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CONDENSED CONSOLIDATED FINANCIAL STATEMENTS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October 31, 2019 and the results of its operations and cash flows for the six and three months ended October 31, 2019 and 2018. The April 30, 2019 condensed consolidated balance sheet was derived from audited financial statements. Certain information and footnote disclosures normally included in financial statements prepared in accordance with generally accepted accounting principles in the United States (“U.S. GAAP”) have been condensed or omitted. It is suggested that these condensed consolidated financial statements be read in conjunction with the Company’s Annual Report on Form 10-K for the year ended April 30, 2019, filed on July 26, 2019 with the Securities and Exchange Commission, and the financial statements and notes thereto (“2019 Form 10-K”). The results of operations for such interim periods are not necessarily indicative of the operating results for the full fiscal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EARNINGS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Reconciliation of the weighted average shares outstanding for basic and diluted Earnings Per Share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18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9,036,732</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8,884,810</w:t>
            </w:r>
          </w:p>
        </w:tc>
        <w:tc>
          <w:tcPr>
            <w:tcW w:w="1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9,072,141</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8,893,203</w:t>
            </w:r>
          </w:p>
        </w:tc>
        <w:tc>
          <w:tcPr>
            <w:tcW w:w="0" w:type="dxa"/>
            <w:vAlign w:val="bottom"/>
          </w:tcPr>
          <w:p>
            <w:pPr>
              <w:spacing w:after="0"/>
              <w:rPr>
                <w:sz w:val="1"/>
                <w:szCs w:val="1"/>
                <w:color w:val="auto"/>
              </w:rPr>
            </w:pPr>
          </w:p>
        </w:tc>
      </w:tr>
      <w:tr>
        <w:trPr>
          <w:trHeight w:val="216"/>
        </w:trPr>
        <w:tc>
          <w:tcPr>
            <w:tcW w:w="4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161,028</w:t>
            </w:r>
          </w:p>
        </w:tc>
        <w:tc>
          <w:tcPr>
            <w:tcW w:w="1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208,836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9,036,732</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9,045,838</w:t>
            </w:r>
          </w:p>
        </w:tc>
        <w:tc>
          <w:tcPr>
            <w:tcW w:w="1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9,072,141</w:t>
            </w: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9,102,039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56"/>
        <w:spacing w:after="0" w:line="266" w:lineRule="auto"/>
        <w:tabs>
          <w:tab w:leader="none" w:pos="90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and three-month periods ended October 31, 2019 dilutive securities are excluded since the inclusion of such shares would be antidilutive due to the net loss for the periods. The exercisable shares excluded as of October 31, 2019 are 178,000 options. The effect of dilutive securities would have been 239,866 options and 230,670 options for the six and three-month periods ended October 31, 2019,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COSTS AND ESTIMATED EARNINGS IN EXCESS OF BILLINGS, NET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October 31, 2019 and April 30, 2019, costs and estimated earnings in excess of billings, net,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April 30, 2019</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172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color w:val="auto"/>
                <w:w w:val="74"/>
              </w:rPr>
              <w:t>thousands)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(2,115)</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(1,608)</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basis of costs incurred relative to the total expected costs, or percentage of completion (“POC”), at the measurement date. In general, the recorded amounts will be billed and collected or revenue recognized within twelve months of the balance sheet date. Revenue on these long-term contracts is accounted for on the POC basis as defined above. During the six and three months ended October 31, 2019, revenue recognized under POC contracts was approximately $19.1 million and $7.7 million, respectively. During the six and three months ended October 31, 2018, revenue recognized under POC contracts was approximately $20.4 million and $11.2 million, respectively. If contract losses are anticipated the full amount of such losses are recorded in the loss provision accrual on the condensed consolidated balance sheets when they are determinable. Contract losses recognized for the six and three months ended October 31, 2019 were approximately $1.9 million and $1.6 million, respectively. There were no contract losses for the six and three months ended October 31, 2018.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TREASURY STOCK TRANSACTIONS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and three month periods ended October 31, 2019, the Company made contributions of 19,609 shares and 8,703 shares respectively of its common stock held in treasury to the Company’s profit-sharing plan and trust under Section 401(k) of the Internal Revenue Code. Such contributions are in accordance with the Company’s discretionary match of employee voluntary contributions to this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INVENTORIES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which are reported at the lower of cost and net realizable value,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April 30, 2019</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172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color w:val="auto"/>
                <w:w w:val="74"/>
              </w:rPr>
              <w:t>thousands)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amounts above are net of reserves of $6.9 million and $6.6 million as of October 31, 2019 and April 30, 2019, respectively. As of October 31, 2019 and April 30, 2019, all inventory was located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RIGHT-OF-USE ASSETS AND LEASE LIABILITIES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leases primarily represent offices, warehouses, vehicles, and manufacturing and research and development facilities which expire at various times through 2029 and are generally operating leases. Contractual arrangements are evaluated at inception to determine if the agreement contains a lease. Certain lease agreements contain renewal options, rent abatement, and escalation clauses that are factored into our determination of lease payments when appropriate. Right-of-use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elected the practical expedient for short-term leases which allows leases with terms of twelve months or less to be recorded on a straight-line basis over the lease term without being recognized on the balance sheet.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Effective May 1, 2019, the Company adopted ASU 2016-02. The table below presents ROU assets and liabilities recorded on the unaudited condensed consolidated balance sheet related to ASU 2016-02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00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0"/>
                <w:szCs w:val="20"/>
                <w:color w:val="auto"/>
              </w:rPr>
            </w:pPr>
          </w:p>
        </w:tc>
        <w:tc>
          <w:tcPr>
            <w:tcW w:w="15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0" w:type="dxa"/>
            <w:vAlign w:val="bottom"/>
          </w:tcPr>
          <w:p>
            <w:pPr>
              <w:spacing w:after="0"/>
              <w:rPr>
                <w:sz w:val="1"/>
                <w:szCs w:val="1"/>
                <w:color w:val="auto"/>
              </w:rPr>
            </w:pPr>
          </w:p>
        </w:tc>
      </w:tr>
      <w:tr>
        <w:trPr>
          <w:trHeight w:val="232"/>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720" w:type="dxa"/>
            <w:vAlign w:val="bottom"/>
            <w:gridSpan w:val="2"/>
            <w:vMerge w:val="continue"/>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current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lease liabilities</w:t>
            </w:r>
          </w:p>
        </w:tc>
        <w:tc>
          <w:tcPr>
            <w:tcW w:w="40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operating lease expense was approximately $1.0 million and $504,000 for the six and three months, respectively, ended October 31, 2019, the majority of which is included in cost of revenues and the remaining amount in selling and administrative expenses on the unaudited condensed consolidated statements of operations. There were no new leases entered into for the current period ended October 31, 2019. Net non-cash operating activities related to leases was approximately $333,000 for the six months ended October 31, 2019.</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previously disclosed in the 2019 Form 10-K, and under the previous lease accounting standard, future minimum lease payments for operating leases having initial or remaining non-cancellable lease terms in excess of one year would have been as follows (in thousands):</w:t>
      </w:r>
    </w:p>
    <w:p>
      <w:pPr>
        <w:spacing w:after="0" w:line="158"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38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For the years ending</w:t>
            </w:r>
          </w:p>
        </w:tc>
        <w:tc>
          <w:tcPr>
            <w:tcW w:w="160" w:type="dxa"/>
            <w:vAlign w:val="bottom"/>
          </w:tcPr>
          <w:p>
            <w:pPr>
              <w:spacing w:after="0"/>
              <w:rPr>
                <w:sz w:val="18"/>
                <w:szCs w:val="18"/>
                <w:color w:val="auto"/>
              </w:rPr>
            </w:pPr>
          </w:p>
        </w:tc>
        <w:tc>
          <w:tcPr>
            <w:tcW w:w="1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6,349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13,593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unaudited consolidated balance sheet as of October 31, 2019:</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960" w:type="dxa"/>
            <w:vAlign w:val="bottom"/>
            <w:gridSpan w:val="2"/>
          </w:tcPr>
          <w:p>
            <w:pPr>
              <w:jc w:val="right"/>
              <w:ind w:right="2460"/>
              <w:spacing w:after="0"/>
              <w:rPr>
                <w:sz w:val="20"/>
                <w:szCs w:val="20"/>
                <w:color w:val="auto"/>
              </w:rPr>
            </w:pPr>
            <w:r>
              <w:rPr>
                <w:rFonts w:ascii="Times New Roman" w:cs="Times New Roman" w:eastAsia="Times New Roman" w:hAnsi="Times New Roman"/>
                <w:sz w:val="18"/>
                <w:szCs w:val="18"/>
                <w:b w:val="1"/>
                <w:bCs w:val="1"/>
                <w:color w:val="auto"/>
              </w:rPr>
              <w:t>Fiscal Year Ending April 30,</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960" w:type="dxa"/>
            <w:vAlign w:val="bottom"/>
            <w:gridSpan w:val="2"/>
          </w:tcPr>
          <w:p>
            <w:pPr>
              <w:jc w:val="right"/>
              <w:ind w:right="30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4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4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4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4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October 31, 2019, the weighted-average remaining lease term for all operating leases was 8.7 years. The Company does not generally have access to the rate implicit in the leases and therefore utilized the Company’s borrowing rate as the discount rate. The weighted average discount rate for operating leases as of October 31, 2019 was 6.17%.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SEGMENT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080" w:hanging="613"/>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satellites (both commercial and U.S. Government-funded); terrestrial cellular telephone or other ground-based telecommunication stations; and other components and systems for the U.S. military.</w:t>
      </w:r>
    </w:p>
    <w:p>
      <w:pPr>
        <w:spacing w:after="0" w:line="176" w:lineRule="exact"/>
        <w:rPr>
          <w:rFonts w:ascii="Times New Roman" w:cs="Times New Roman" w:eastAsia="Times New Roman" w:hAnsi="Times New Roman"/>
          <w:sz w:val="18"/>
          <w:szCs w:val="18"/>
          <w:color w:val="auto"/>
        </w:rPr>
      </w:pPr>
    </w:p>
    <w:p>
      <w:pPr>
        <w:ind w:left="10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FEI-NY segment also includes the operations of the Company’s wholly-owned subsidiary, FEI-Elcom. FEI-Elcom, in addition to its own product line, provides design and technical support for the FEI-NY segment’s satellite business.</w:t>
      </w:r>
    </w:p>
    <w:p>
      <w:pPr>
        <w:spacing w:after="0" w:line="161" w:lineRule="exact"/>
        <w:rPr>
          <w:rFonts w:ascii="Times New Roman" w:cs="Times New Roman" w:eastAsia="Times New Roman" w:hAnsi="Times New Roman"/>
          <w:sz w:val="18"/>
          <w:szCs w:val="18"/>
          <w:color w:val="auto"/>
        </w:rPr>
      </w:pPr>
    </w:p>
    <w:p>
      <w:pPr>
        <w:jc w:val="both"/>
        <w:ind w:left="1080" w:hanging="613"/>
        <w:spacing w:after="0" w:line="25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FEI-Zyfer’s products also incorporate precision time references for terrestrial secure communications and command and control, and frequency products that incorporate GPS. FEI-Zyfer’s GPS capability complements the Company’s existing technologies and permits the combined entities to provide a broader range of embedded systems for a variety of timing functions and anti-spoofing (“SAASM”) applications.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accounting policies of the two segments are the same as those described in the “Summary of Significant Accounting Policies” in the 2019 Form 10-K.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 information about reported segments with reconciliation of segment amounts to consolidated amounts as reported in the condensed consolidated statements of operations or the condensed consolidated balance sheets for each of the periods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16,794</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18,322</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7,784</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21,641</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23,153</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9,087</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12,142</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(5,475)</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(402)</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(4,296)</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operating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(5,703)</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(4,922)</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14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April 30, 2019</w:t>
            </w:r>
          </w:p>
        </w:tc>
        <w:tc>
          <w:tcPr>
            <w:tcW w:w="0" w:type="dxa"/>
            <w:vAlign w:val="bottom"/>
          </w:tcPr>
          <w:p>
            <w:pPr>
              <w:spacing w:after="0"/>
              <w:rPr>
                <w:sz w:val="1"/>
                <w:szCs w:val="1"/>
                <w:color w:val="auto"/>
              </w:rPr>
            </w:pPr>
          </w:p>
        </w:tc>
      </w:tr>
      <w:tr>
        <w:trPr>
          <w:trHeight w:val="210"/>
        </w:trPr>
        <w:tc>
          <w:tcPr>
            <w:tcW w:w="436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FEI-NY</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49,225</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FEI-Zyfer</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less intersegment balances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(8,586)</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Corporate</w:t>
            </w: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Consolidated identifiable assets</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91,949</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revenue related to the adoption of ASU 2014-09, Revenue from Contracts with Customers (Topic 606), (“ASU 2014-09”) and recognized over time as POC and Passage of Title (“POT”) were approximately $19.1 million and $2.5 million, respectively, of the $21.6 million reported for the six months ended October 31, 2019. The amounts recognized over time as POC and POT were approximately $20.4 million and $2.8 million of the $23.2 million reported for the six months ended October 31, 2018. The amounts by segment and product line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POC</w:t>
            </w:r>
          </w:p>
        </w:tc>
        <w:tc>
          <w:tcPr>
            <w:tcW w:w="100" w:type="dxa"/>
            <w:vAlign w:val="bottom"/>
          </w:tcPr>
          <w:p>
            <w:pPr>
              <w:spacing w:after="0"/>
              <w:rPr>
                <w:sz w:val="19"/>
                <w:szCs w:val="19"/>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POT Revenue</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Total 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POC Revenue</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POT 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Total Revenue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FEI-NY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14,297</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2,497</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16,794</w:t>
            </w:r>
          </w:p>
        </w:tc>
        <w:tc>
          <w:tcPr>
            <w:tcW w:w="4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1,123</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18,322</w:t>
            </w:r>
          </w:p>
        </w:tc>
        <w:tc>
          <w:tcPr>
            <w:tcW w:w="0" w:type="dxa"/>
            <w:vAlign w:val="bottom"/>
          </w:tcPr>
          <w:p>
            <w:pPr>
              <w:spacing w:after="0"/>
              <w:rPr>
                <w:sz w:val="1"/>
                <w:szCs w:val="1"/>
                <w:color w:val="auto"/>
              </w:rPr>
            </w:pPr>
          </w:p>
        </w:tc>
      </w:tr>
      <w:tr>
        <w:trPr>
          <w:trHeight w:val="216"/>
        </w:trPr>
        <w:tc>
          <w:tcPr>
            <w:tcW w:w="3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FEI-Zyfer</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3,233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Intersegment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(778)</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19,146</w:t>
            </w:r>
          </w:p>
        </w:tc>
        <w:tc>
          <w:tcPr>
            <w:tcW w:w="14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2,495</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21,641</w:t>
            </w: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2,757</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23,153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1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4"/>
          </w:tcPr>
          <w:p>
            <w:pPr>
              <w:jc w:val="right"/>
              <w:ind w:right="18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POC Revenue</w:t>
            </w:r>
          </w:p>
        </w:tc>
        <w:tc>
          <w:tcPr>
            <w:tcW w:w="24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POT Revenue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Total 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POC Revenue</w:t>
            </w:r>
          </w:p>
        </w:tc>
        <w:tc>
          <w:tcPr>
            <w:tcW w:w="140" w:type="dxa"/>
            <w:vAlign w:val="bottom"/>
          </w:tcPr>
          <w:p>
            <w:pPr>
              <w:spacing w:after="0"/>
              <w:rPr>
                <w:sz w:val="20"/>
                <w:szCs w:val="20"/>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POT 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Total Revenue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FEI-NY</w:t>
            </w:r>
          </w:p>
        </w:tc>
        <w:tc>
          <w:tcPr>
            <w:tcW w:w="4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6,139</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1,645</w:t>
            </w:r>
          </w:p>
        </w:tc>
        <w:tc>
          <w:tcPr>
            <w:tcW w:w="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7,784</w:t>
            </w:r>
          </w:p>
        </w:tc>
        <w:tc>
          <w:tcPr>
            <w:tcW w:w="5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9,120</w:t>
            </w:r>
          </w:p>
        </w:tc>
        <w:tc>
          <w:tcPr>
            <w:tcW w:w="960" w:type="dxa"/>
            <w:vAlign w:val="bottom"/>
            <w:tcBorders>
              <w:right w:val="single" w:sz="8" w:color="CCEEFF"/>
            </w:tcBorders>
            <w:gridSpan w:val="2"/>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9,745</w:t>
            </w:r>
          </w:p>
        </w:tc>
        <w:tc>
          <w:tcPr>
            <w:tcW w:w="0" w:type="dxa"/>
            <w:vAlign w:val="bottom"/>
          </w:tcPr>
          <w:p>
            <w:pPr>
              <w:spacing w:after="0"/>
              <w:rPr>
                <w:sz w:val="1"/>
                <w:szCs w:val="1"/>
                <w:color w:val="auto"/>
              </w:rPr>
            </w:pPr>
          </w:p>
        </w:tc>
      </w:tr>
      <w:tr>
        <w:trPr>
          <w:trHeight w:val="216"/>
        </w:trPr>
        <w:tc>
          <w:tcPr>
            <w:tcW w:w="3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FEI-Zyfer</w:t>
            </w:r>
          </w:p>
        </w:tc>
        <w:tc>
          <w:tcPr>
            <w:tcW w:w="4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1,602</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2,058</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Intersegment</w:t>
            </w:r>
          </w:p>
        </w:tc>
        <w:tc>
          <w:tcPr>
            <w:tcW w:w="4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2"/>
              </w:rPr>
              <w:t>(115)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Revenue</w:t>
            </w:r>
          </w:p>
        </w:tc>
        <w:tc>
          <w:tcPr>
            <w:tcW w:w="4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24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1,396</w:t>
            </w:r>
          </w:p>
        </w:tc>
        <w:tc>
          <w:tcPr>
            <w:tcW w:w="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9,087</w:t>
            </w:r>
          </w:p>
        </w:tc>
        <w:tc>
          <w:tcPr>
            <w:tcW w:w="5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11,148</w:t>
            </w:r>
          </w:p>
        </w:tc>
        <w:tc>
          <w:tcPr>
            <w:tcW w:w="96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9"/>
          </w:tcPr>
          <w:p>
            <w:pPr>
              <w:ind w:left="20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by Product Line:</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Revenue</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3"/>
              </w:rPr>
              <w:t>5,537</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Government Non-Space Revenue</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10,420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3"/>
              </w:rPr>
              <w:t>2,261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 &amp; Industrial Revenue</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3"/>
              </w:rPr>
              <w:t>1,289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21,641</w:t>
            </w:r>
          </w:p>
        </w:tc>
        <w:tc>
          <w:tcPr>
            <w:tcW w:w="1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23,153</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3"/>
              </w:rPr>
              <w:t>9,087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INVESTMENT IN MORION, INC.</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condensed consolidated balance sheets. During the six months ended October 31, 2019 and 2018, the Company acquired product from Morion in the aggregate amount of approximately $380,000 and $145,000, respectively, and the Company sold product and training services to Morion in the aggregate amount of approximately $49,000 and $2,000, respectively, included in revenues in the condensed consolidated statements of operations as part of the FEI-NY segment. During the three months ended October 31, 2019 and 2018, the Company acquired product from Morion in the aggregate amount of approximately $135,000 and $78,000, respectively, and the Company sold product and training services to Morion in the aggregate amount of approximately $2,000 and $0 respectively, included in revenues in the condensed consolidated statements of operations as part of the FEI-NY segment. At October 31, 2019 there was approximately $53,000 payable to Morion, up from approximately $38,000 at April 30, 2019, and there were no receivables related to Morion for either period. During the six months ended October 31, 2019 and 2018, the Company received a dividend from Morion in the amount of approximately $125,000 and $105,000 respectively, which is included in other income, net in the condensed consolidated statements of operations as part of the FEI-NY segment.</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Morion operates as a subsidiary of Gazprombank, a state-owned Russian bank. On July 16, 2014, after the Company’s investment in Morion, Gazprombank became subject to the U.S. Department of Treasury’s prohibition against U.S. persons from providing it with new financing.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FAIR VALUE OF FINANCIAL INSTRUMENTS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cost, gross unrealized gains, gross unrealized losses, and fair market value of available-for-sale securities at October 31, 2019 and April 30, 2019, respectively,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6"/>
                <w:szCs w:val="16"/>
                <w:color w:val="auto"/>
              </w:rPr>
            </w:pPr>
          </w:p>
        </w:tc>
        <w:tc>
          <w:tcPr>
            <w:tcW w:w="160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Fair Market Value</w:t>
            </w:r>
          </w:p>
        </w:tc>
        <w:tc>
          <w:tcPr>
            <w:tcW w:w="100" w:type="dxa"/>
            <w:vAlign w:val="bottom"/>
          </w:tcPr>
          <w:p>
            <w:pPr>
              <w:spacing w:after="0"/>
              <w:rPr>
                <w:sz w:val="20"/>
                <w:szCs w:val="20"/>
                <w:color w:val="auto"/>
              </w:rPr>
            </w:pPr>
          </w:p>
        </w:tc>
      </w:tr>
      <w:tr>
        <w:trPr>
          <w:trHeight w:val="250"/>
        </w:trPr>
        <w:tc>
          <w:tcPr>
            <w:tcW w:w="3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Fixed income securities</w:t>
            </w:r>
          </w:p>
        </w:tc>
        <w:tc>
          <w:tcPr>
            <w:tcW w:w="1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8,131</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126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8,383</w:t>
            </w:r>
          </w:p>
        </w:tc>
      </w:tr>
      <w:tr>
        <w:trPr>
          <w:trHeight w:val="413"/>
        </w:trPr>
        <w:tc>
          <w:tcPr>
            <w:tcW w:w="324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2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2" w:right="23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2019</w:t>
            </w: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20" w:type="dxa"/>
            <w:vAlign w:val="bottom"/>
          </w:tcPr>
          <w:p>
            <w:pPr>
              <w:spacing w:after="0"/>
              <w:rPr>
                <w:sz w:val="16"/>
                <w:szCs w:val="16"/>
                <w:color w:val="auto"/>
              </w:rPr>
            </w:pPr>
          </w:p>
        </w:tc>
        <w:tc>
          <w:tcPr>
            <w:tcW w:w="160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Fair Market Value</w:t>
            </w:r>
          </w:p>
        </w:tc>
        <w:tc>
          <w:tcPr>
            <w:tcW w:w="100" w:type="dxa"/>
            <w:vAlign w:val="bottom"/>
          </w:tcPr>
          <w:p>
            <w:pPr>
              <w:spacing w:after="0"/>
              <w:rPr>
                <w:sz w:val="20"/>
                <w:szCs w:val="20"/>
                <w:color w:val="auto"/>
              </w:rPr>
            </w:pPr>
          </w:p>
        </w:tc>
      </w:tr>
      <w:tr>
        <w:trPr>
          <w:trHeight w:val="230"/>
        </w:trPr>
        <w:tc>
          <w:tcPr>
            <w:tcW w:w="3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Fixed income securities</w:t>
            </w:r>
          </w:p>
        </w:tc>
        <w:tc>
          <w:tcPr>
            <w:tcW w:w="1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8,152</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8,199</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October 31, 2019, the Company sold or redeemed available-for-sale securities of approximately $2,480,000, realizing gains of approximately $1,000.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38"/>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183"/>
        </w:trPr>
        <w:tc>
          <w:tcPr>
            <w:tcW w:w="3340" w:type="dxa"/>
            <w:vAlign w:val="bottom"/>
            <w:gridSpan w:val="5"/>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rPr>
              <w:t>October 31, 2019</w:t>
            </w: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340" w:type="dxa"/>
            <w:vAlign w:val="bottom"/>
            <w:gridSpan w:val="5"/>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120" w:type="dxa"/>
            <w:vAlign w:val="bottom"/>
            <w:gridSpan w:val="2"/>
            <w:shd w:val="clear" w:color="auto" w:fill="CCEEFF"/>
          </w:tcPr>
          <w:p>
            <w:pPr>
              <w:jc w:val="right"/>
              <w:ind w:right="8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w w:val="95"/>
              </w:rPr>
              <w:t>(3)</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326</w:t>
            </w:r>
          </w:p>
        </w:tc>
        <w:tc>
          <w:tcPr>
            <w:tcW w:w="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386"/>
        </w:trPr>
        <w:tc>
          <w:tcPr>
            <w:tcW w:w="980" w:type="dxa"/>
            <w:vAlign w:val="bottom"/>
            <w:tcBorders>
              <w:top w:val="single" w:sz="8" w:color="CCEEFF"/>
            </w:tcBorders>
          </w:tcPr>
          <w:p>
            <w:pPr>
              <w:spacing w:after="0"/>
              <w:rPr>
                <w:sz w:val="24"/>
                <w:szCs w:val="24"/>
                <w:color w:val="auto"/>
              </w:rPr>
            </w:pPr>
          </w:p>
        </w:tc>
        <w:tc>
          <w:tcPr>
            <w:tcW w:w="2360" w:type="dxa"/>
            <w:vAlign w:val="bottom"/>
            <w:tcBorders>
              <w:top w:val="single" w:sz="8" w:color="CCEEFF"/>
            </w:tcBorders>
            <w:gridSpan w:val="4"/>
          </w:tcPr>
          <w:p>
            <w:pPr>
              <w:jc w:val="center"/>
              <w:ind w:right="1100"/>
              <w:spacing w:after="0"/>
              <w:rPr>
                <w:sz w:val="20"/>
                <w:szCs w:val="20"/>
                <w:color w:val="auto"/>
              </w:rPr>
            </w:pPr>
            <w:r>
              <w:rPr>
                <w:rFonts w:ascii="Times New Roman" w:cs="Times New Roman" w:eastAsia="Times New Roman" w:hAnsi="Times New Roman"/>
                <w:sz w:val="18"/>
                <w:szCs w:val="18"/>
                <w:color w:val="auto"/>
              </w:rPr>
              <w:t>April 30, 2019</w:t>
            </w: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3340" w:type="dxa"/>
            <w:vAlign w:val="bottom"/>
            <w:gridSpan w:val="5"/>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w w:val="95"/>
              </w:rPr>
              <w:t>(4)</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3,349</w:t>
            </w:r>
          </w:p>
        </w:tc>
        <w:tc>
          <w:tcPr>
            <w:tcW w:w="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4,344</w:t>
            </w:r>
          </w:p>
        </w:tc>
        <w:tc>
          <w:tcPr>
            <w:tcW w:w="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October 31, 2019 were other-than-temporary due to market volatility of the security’s fair value, analysts’ expectations, and the Company’s ability to hold the securities for a period of time sufficient to allow for any anticipated recoveries in market value.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fixed income securities classified as available-for-sale at October 31, 2019 were as follows, at cost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6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levels of the fair value hierarchy are described below:</w:t>
      </w:r>
    </w:p>
    <w:p>
      <w:pPr>
        <w:spacing w:after="0" w:line="225" w:lineRule="exact"/>
        <w:rPr>
          <w:sz w:val="20"/>
          <w:szCs w:val="20"/>
          <w:color w:val="auto"/>
        </w:rPr>
      </w:pPr>
    </w:p>
    <w:p>
      <w:pPr>
        <w:ind w:left="1000" w:hanging="769"/>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Level 1</w:t>
        <w:tab/>
        <w:t>Inputs to the valuation methodology are unadjusted quoted prices for identical assets or liabilities in active markets that the Company has the ability to access.</w:t>
      </w:r>
    </w:p>
    <w:p>
      <w:pPr>
        <w:spacing w:after="0" w:line="162" w:lineRule="exact"/>
        <w:rPr>
          <w:sz w:val="20"/>
          <w:szCs w:val="20"/>
          <w:color w:val="auto"/>
        </w:rPr>
      </w:pPr>
    </w:p>
    <w:p>
      <w:pPr>
        <w:ind w:left="240"/>
        <w:spacing w:after="0"/>
        <w:tabs>
          <w:tab w:leader="none" w:pos="980" w:val="left"/>
        </w:tabs>
        <w:rPr>
          <w:sz w:val="20"/>
          <w:szCs w:val="20"/>
          <w:color w:val="auto"/>
        </w:rPr>
      </w:pPr>
      <w:r>
        <w:rPr>
          <w:rFonts w:ascii="Times New Roman" w:cs="Times New Roman" w:eastAsia="Times New Roman" w:hAnsi="Times New Roman"/>
          <w:sz w:val="18"/>
          <w:szCs w:val="18"/>
          <w:color w:val="auto"/>
        </w:rPr>
        <w:t>Level 2</w:t>
        <w:tab/>
        <w:t>Inputs to the valuation methodology include:</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07" w:lineRule="exact"/>
        <w:rPr>
          <w:sz w:val="20"/>
          <w:szCs w:val="20"/>
          <w:color w:val="auto"/>
        </w:rPr>
      </w:pPr>
    </w:p>
    <w:p>
      <w:pPr>
        <w:ind w:left="240"/>
        <w:spacing w:after="0"/>
        <w:tabs>
          <w:tab w:leader="none" w:pos="980" w:val="left"/>
        </w:tabs>
        <w:rPr>
          <w:sz w:val="20"/>
          <w:szCs w:val="20"/>
          <w:color w:val="auto"/>
        </w:rPr>
      </w:pPr>
      <w:r>
        <w:rPr>
          <w:rFonts w:ascii="Times New Roman" w:cs="Times New Roman" w:eastAsia="Times New Roman" w:hAnsi="Times New Roman"/>
          <w:sz w:val="18"/>
          <w:szCs w:val="18"/>
          <w:color w:val="auto"/>
        </w:rPr>
        <w:t>Level 3</w:t>
        <w:tab/>
        <w:t>Inputs to the valuation methodology are unobservable and significant to the fair value measurement.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RECENT ACCOUNTING PRONOUNCEMENTS</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Accounting Standards Update (“ASU”) No. 2018-13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(Topic 820) </w:t>
      </w:r>
      <w:r>
        <w:rPr>
          <w:rFonts w:ascii="Times New Roman" w:cs="Times New Roman" w:eastAsia="Times New Roman" w:hAnsi="Times New Roman"/>
          <w:sz w:val="18"/>
          <w:szCs w:val="18"/>
          <w:color w:val="auto"/>
        </w:rPr>
        <w:t>(“ASU 2018-13”) which modifies the disclosure requirement on fair value measurements. The new guidance is effective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beginning after December 15, 2019. The Company is evaluating the effect, if any, the update will have on its financial statements when adopted in fiscal year 2021.</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xml:space="preserve"> (“ASU 2017-04”), which simplifies how an entity is required to test goodwill 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will not be adopting ASU 2017-04 early, and is in the process of determining the effect that ASU 2017-04 may have. However, the Company expects the new standard to have an immaterial effect on its financial statements.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which replaces the incurred loss impairment methodology in current U.S. GAAP with a methodology that reflects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credit losses and requires consideration of a broader range of reasonable and supportable information to inform credit loss estimates. In November 2019 the FASB issued ASU No. 2019-10, </w:t>
      </w:r>
      <w:r>
        <w:rPr>
          <w:rFonts w:ascii="Times New Roman" w:cs="Times New Roman" w:eastAsia="Times New Roman" w:hAnsi="Times New Roman"/>
          <w:sz w:val="18"/>
          <w:szCs w:val="18"/>
          <w:i w:val="1"/>
          <w:iCs w:val="1"/>
          <w:color w:val="auto"/>
        </w:rPr>
        <w:t>Financial Instruments – Credit Losses (Topic 326), Derivatives and Hedging (Topic 815), and Leases (Topic 842):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Dates </w:t>
      </w:r>
      <w:r>
        <w:rPr>
          <w:rFonts w:ascii="Times New Roman" w:cs="Times New Roman" w:eastAsia="Times New Roman" w:hAnsi="Times New Roman"/>
          <w:sz w:val="18"/>
          <w:szCs w:val="18"/>
          <w:color w:val="auto"/>
        </w:rPr>
        <w:t>which defers the effective date of ASU 2016-13 to fiscal years beginning after December 15, 2022. The Company is evaluating the effect, if any,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will have on its financial statements when adopted in fiscal year 2024.</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Newly Adopted Accounting Standards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Leases (Topic 842)</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the first quarter of fiscal 2020 the Company adopted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and recognized on its condensed consolidated balance sheets $12.1 million of lease liabilities with corresponding ROU assets for operating leases. The Company elected a prospective application for the new guidance, as permitted under ASU 2016-02, and therefore prior periods continue to be presented in accordance with Topic 840. We also elected the package of practical expedients, which among other things, does not require reassessment of lease classification.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CREDIT FACILITY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October 31, 2019, the Company had available credit at variable terms based on its securities holdings under an advisory arrangement, under which no borrowings have been made.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VALUATION ALLOWANCE ON DEFERRED TAX ASSETS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required by the authoritative guidance on accounting for income taxes, we evaluate the realizability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As of October 31, 2019, and April 30, 2019, the Company maintained a full valuation allowance against its deferred tax assets. If these estimates and assumptions change in the future, the Company may be required to adjust its existing valuation allowance resulting in changes to deferred income tax expense.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 Statement under the Private Securities Litigation Reform Act of 1995</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statements in this quarterly report on Form 10-Q regarding future earnings and operations and other statements relating to the future constitute “forward-looking” statements within the meaning of Section 27A of the Securities Act of 1933, Section 21E of the Securities Exchange Act of 1933 or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All statements by the Company that address activities, events or developments that the Company expects or anticipates will occur in the future, including all statements by the Company regarding its expected financial position, revenues, cash flows and other operating results, business position, legal proceedings or similar matters, are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Any and all of the forward-looking statements contained in this Form 10-Q and any other public statements by the Company or its management may turn out to be incorrect. The Company expressly disclaims any obligation to update or revise any forward-looking statement, whether as a result of new information, future events or otherwise, except as required by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significant accounting policies are described in Note 1 to the consolidated financial statements included in the 2019 Form 10-</w:t>
      </w:r>
    </w:p>
    <w:p>
      <w:pPr>
        <w:spacing w:after="0" w:line="27" w:lineRule="exact"/>
        <w:rPr>
          <w:sz w:val="20"/>
          <w:szCs w:val="20"/>
          <w:color w:val="auto"/>
        </w:rPr>
      </w:pPr>
    </w:p>
    <w:p>
      <w:pPr>
        <w:jc w:val="both"/>
        <w:ind w:firstLine="8"/>
        <w:spacing w:after="0" w:line="253" w:lineRule="auto"/>
        <w:tabs>
          <w:tab w:leader="none" w:pos="2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its most critical accounting policies to be the recognition of revenue and costs on production contracts, income taxes, and the valuation of inventory. Each of these areas requires the Company to make use of reasoned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six and three months ended October 31, 2019, except for those impacted by the newly adopted accounting standard regarding leases.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is recognized when a performance obligation is satisfied, when the expected goods or services are transferred to the customer, in an amount that reflects the consideration to which the entity expects to be entitled in exchange for those goods and services. A performance obligation is a distinct product or service that is transferred to the customer’s control based on the contract. The transaction price is allocated to each performance obligation and is recognized as revenue upon satisfaction of that performance obligation. The Company derives revenue either as (i) units with specifications and frequencies that can be used by multiple customers (POT) or (ii) units with specific specifications and frequencies that are used by a specific customer or for government end use (POC).</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Revenues under larger, long-term contracts which generally require billings based on achievement of milestones rather than delivery of product, are reported in operating results using the POC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In situations where the estimated costs to complete a project are revised, revenue earned to date is adjusted on a prospective basis. Provisions for the full amount of anticipated losses on contracts are made in the period in which they become determinable.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production-type orders, revenue is recorded as units are delivered with the related cost of sales recognized on each shipment based upon a percentage of estimated final program costs. 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customer orders in the Company’s FEI-Zyfer segment or smaller contracts or orders in the FEI-NY segment, sales of products and services to customers are reported in operating results based upon (i) shipment of the product or (ii) performance of the services pursuant to terms of the customer order which then transfers control of the performance obligation to the customer. When payment is contingent upon customer acceptance of the installed product, revenue is deferred until such installation completed and acceptance is received.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Costs and Expenses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costs include all direct material costs, direct labor costs, manufacturing overhead and other direct costs related to contract performance. Selling, general and administrative costs are expensed as incurred, with the exception of sales commissions with an amortization period of greater than one year which are amortized over the length of the contract in relation to the adoption of ASU 2014-09.</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write-downs are established for slow-moving, obsolete items and costs incurred on programs for which production-level orders cannot be determined as probable. Such write-downs are based upon management’s experience and expectations for future business. Any changes arising from revised expectations are reflected in cost of revenues in the period the revision is made.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Marketable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the Company’s investments in marketable securities are Level 1 securities which trade on public markets and have current prices that are readily available. In general, investments in fixed income securities are limited to the commercial paper of financially sound corporations or the bonds and shorter-term notes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for the six and three months ended October 31, 2019 and 2018, respectively, the percentage of consolidated revenues represented by certain items in the Company’s condensed consolidated statements of operations or notes to the condensed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218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18"/>
                <w:szCs w:val="18"/>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77.6%</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79.1%</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85.7%</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26.3</w:t>
            </w:r>
          </w:p>
        </w:tc>
        <w:tc>
          <w:tcPr>
            <w:tcW w:w="4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22.0</w:t>
            </w:r>
          </w:p>
        </w:tc>
        <w:tc>
          <w:tcPr>
            <w:tcW w:w="4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87.2</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64.2</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113.0</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w:t>
            </w:r>
          </w:p>
        </w:tc>
        <w:tc>
          <w:tcPr>
            <w:tcW w:w="4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35.8</w:t>
            </w: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w:t>
            </w:r>
          </w:p>
        </w:tc>
        <w:tc>
          <w:tcPr>
            <w:tcW w:w="4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22.4</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25.2</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w:t>
            </w:r>
          </w:p>
        </w:tc>
        <w:tc>
          <w:tcPr>
            <w:tcW w:w="4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16.0</w:t>
            </w:r>
          </w:p>
        </w:tc>
        <w:tc>
          <w:tcPr>
            <w:tcW w:w="4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loss</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(54.2)</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4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w:t>
            </w:r>
          </w:p>
        </w:tc>
        <w:tc>
          <w:tcPr>
            <w:tcW w:w="4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(1,528)</w:t>
            </w:r>
          </w:p>
        </w:tc>
        <w:tc>
          <w:tcPr>
            <w:tcW w:w="4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(1,961)</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598</w:t>
            </w:r>
          </w:p>
        </w:tc>
        <w:tc>
          <w:tcPr>
            <w:tcW w:w="4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w:t>
            </w:r>
          </w:p>
        </w:tc>
        <w:tc>
          <w:tcPr>
            <w:tcW w:w="36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(582)</w:t>
            </w:r>
          </w:p>
        </w:tc>
        <w:tc>
          <w:tcPr>
            <w:tcW w:w="4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(552)</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23,153</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(1,512)</w:t>
            </w:r>
          </w:p>
        </w:tc>
        <w:tc>
          <w:tcPr>
            <w:tcW w:w="4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9,087</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12,142</w:t>
            </w: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(3,055)</w:t>
            </w:r>
          </w:p>
        </w:tc>
        <w:tc>
          <w:tcPr>
            <w:tcW w:w="36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40" w:right="140" w:firstLine="648"/>
        <w:spacing w:after="0" w:line="254" w:lineRule="auto"/>
        <w:rPr>
          <w:sz w:val="20"/>
          <w:szCs w:val="20"/>
          <w:color w:val="auto"/>
        </w:rPr>
      </w:pPr>
      <w:r>
        <w:rPr>
          <w:rFonts w:ascii="Times New Roman" w:cs="Times New Roman" w:eastAsia="Times New Roman" w:hAnsi="Times New Roman"/>
          <w:sz w:val="18"/>
          <w:szCs w:val="18"/>
          <w:color w:val="auto"/>
        </w:rPr>
        <w:t>For the six months ended October 31, 2019, revenues from commercial and U.S. Government satellite programs decreased approximately $1.9 million as compared to the same period of the previous fiscal year. For the six months ended October 31, 2019 and the six months ended October 31, 2018, revenue from commercial and U.S. Government satellite programs accounted for approximately 44% and 49%, respectively, of consolidated revenues. Revenues on these contracts are recognized primarily under the POC method. Revenues from the satellite market are recorded in the FEI-NY segment. Revenues from non-space U.S. Government/Department of Defense (“DOD”) customers, which are recorded in both the FEI-NY and FEI-Zyfer segments, decreased $1.4 million as compared to the same period of fiscal 2019, and accounted for approximately 42% of consolidated revenues during the six months ended October 31, 2019 as compared to approximately 45% during this same period in fiscal 2019. Other commercial and industrial revenues for the six months ended October 31, 2019 accounted for approximately 14% of consolidated revenues as compared to 6% in the same period in fiscal 2019. Intersegment revenues are eliminated in consolidation.</w:t>
      </w:r>
    </w:p>
    <w:p>
      <w:pPr>
        <w:spacing w:after="0" w:line="189" w:lineRule="exact"/>
        <w:rPr>
          <w:sz w:val="20"/>
          <w:szCs w:val="20"/>
          <w:color w:val="auto"/>
        </w:rPr>
      </w:pPr>
    </w:p>
    <w:p>
      <w:pPr>
        <w:jc w:val="both"/>
        <w:ind w:left="140" w:right="140"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months ended October 31, 2019 revenues from commercial and U.S. Government satellite programs decreased approximately $200,000 as compared to the same period of fiscal 2019. For the three months ended October 31, 2019, revenues from commercial and U.S. Government satellite programs accounted for approximately 61% of consolidated revenues compared to approximately 48% during this same period in fiscal 2019. Revenues from non-space U.S. Government/DOD customers, which are recorded in both the FEI-NY and FEI-Zyfer segments, decreased $3.4 million as compared to the same period of fiscal 2019, and accounted for approximately 25% of consolidated revenues during the three months ended October 31, 2019 as compared to approximately 46% during this same period in fiscal 2019. Other commercial and industrial revenues for the three months ended October 31, 2019 and the three months ended October 31, 2018 accounted for approximately 14% and 6%, respectively of consolidated revenues.</w:t>
      </w:r>
    </w:p>
    <w:p>
      <w:pPr>
        <w:spacing w:after="0" w:line="189" w:lineRule="exact"/>
        <w:rPr>
          <w:sz w:val="20"/>
          <w:szCs w:val="20"/>
          <w:color w:val="auto"/>
        </w:rPr>
      </w:pPr>
    </w:p>
    <w:p>
      <w:pPr>
        <w:jc w:val="both"/>
        <w:ind w:left="140" w:right="140" w:firstLine="648"/>
        <w:spacing w:after="0" w:line="282" w:lineRule="auto"/>
        <w:rPr>
          <w:sz w:val="20"/>
          <w:szCs w:val="20"/>
          <w:color w:val="auto"/>
        </w:rPr>
      </w:pPr>
      <w:r>
        <w:rPr>
          <w:rFonts w:ascii="Times New Roman" w:cs="Times New Roman" w:eastAsia="Times New Roman" w:hAnsi="Times New Roman"/>
          <w:sz w:val="18"/>
          <w:szCs w:val="18"/>
          <w:color w:val="auto"/>
        </w:rPr>
        <w:t>Revenue for both the six and three months ended October 31, 2019, compared to the same period of the prior fiscal year, were impacted by timing slippage of anticipated contract awards.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108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2,771</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8,293</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(5,522)</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(66.6)%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4,019</w:t>
            </w: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(5,201)</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GM Rate</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and three month periods ended October 31, 2019, gross margin and GM Rate decreased as compared to the same periods in fiscal 2019. The GM rate was impacted by increases in engineering costs incurred on several programs, which are in the development phase and which encountered unanticipated technical challenges related to customer driven system packaging and environmental requirements for state-of-the-art performance demands.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and Administrative Expenses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(439)</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(352)</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r>
    </w:tbl>
    <w:p>
      <w:pPr>
        <w:spacing w:after="0" w:line="198" w:lineRule="exact"/>
        <w:rPr>
          <w:sz w:val="20"/>
          <w:szCs w:val="20"/>
          <w:color w:val="auto"/>
        </w:rPr>
      </w:pPr>
    </w:p>
    <w:p>
      <w:pPr>
        <w:jc w:val="both"/>
        <w:ind w:left="140" w:right="140" w:firstLine="648"/>
        <w:spacing w:after="0" w:line="259" w:lineRule="auto"/>
        <w:rPr>
          <w:sz w:val="20"/>
          <w:szCs w:val="20"/>
          <w:color w:val="auto"/>
        </w:rPr>
      </w:pPr>
      <w:r>
        <w:rPr>
          <w:rFonts w:ascii="Times New Roman" w:cs="Times New Roman" w:eastAsia="Times New Roman" w:hAnsi="Times New Roman"/>
          <w:sz w:val="18"/>
          <w:szCs w:val="18"/>
          <w:color w:val="auto"/>
        </w:rPr>
        <w:t>For the six months ended October 31, 2019 and 2018, selling and administrative (“SG&amp;A”) expenses were approximately 22%, of consolidated revenues for both periods. For the three months ended October 31, 2019 and 2018, SG&amp;A expenses were approximately 25% and 22% respectively, of consolidated revenues. While SG&amp;A expenses remained even as a percentage of consolidated revenue, during the six and three months ended October 31, 2019, as compared to the six and three months ended October 31, 2018, the actual dollars expenditures decreased by $439,000 and $352,000 respectively.</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474</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3"/>
              </w:rPr>
              <w:t>1,607</w:t>
            </w:r>
          </w:p>
        </w:tc>
        <w:tc>
          <w:tcPr>
            <w:tcW w:w="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(157)</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expenditures represent investments intended to keep the Company’s products at the leading edge of time and frequency technology and enhance future competitiveness. The R&amp;D rate for the six months ended October 31, 2019 was 17% of sales compared to 14% of sales for the same period of the previous fiscal year. The R&amp;D rate for the three months ended October 31, 2019 was 16% of sales as compared to 13% of sales for the same period of the previous fiscal year. The Company expects to maintain a high level of internally funded activity related to R&amp;D through the balance of the current year and beyond to address new large opportunities, which it plans to pursue.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Operating Loss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53"/>
        </w:trPr>
        <w:tc>
          <w:tcPr>
            <w:tcW w:w="1160" w:type="dxa"/>
            <w:vAlign w:val="bottom"/>
            <w:tcBorders>
              <w:top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20" w:type="dxa"/>
            <w:vAlign w:val="bottom"/>
            <w:gridSpan w:val="6"/>
          </w:tcPr>
          <w:p>
            <w:pPr>
              <w:jc w:val="right"/>
              <w:ind w:right="680"/>
              <w:spacing w:after="0" w:line="188" w:lineRule="exact"/>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1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(5,703)</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(146)</w:t>
            </w:r>
          </w:p>
        </w:tc>
        <w:tc>
          <w:tcPr>
            <w:tcW w:w="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(5,557)</w:t>
            </w:r>
          </w:p>
        </w:tc>
        <w:tc>
          <w:tcPr>
            <w:tcW w:w="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NM  $</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(4,922)</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5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(4,692)</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operating loss for both the six months and three months ended October 31, 2019, as compared to the respective periods in fiscal 2019 was attributable largely to the increased engineering costs described previously. The increased costs affect revenue, gross margin and operating loss.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53"/>
        </w:trPr>
        <w:tc>
          <w:tcPr>
            <w:tcW w:w="18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47.1%</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0"/>
        </w:trPr>
        <w:tc>
          <w:tcPr>
            <w:tcW w:w="18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0"/>
        </w:trPr>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Investment income is derived primarily from the Company’s holdings of marketable securities. Earnings on securities may vary based on fluctuating interest rates, dividend payout levels, and the timing of purchases, sales, redemptions or maturities of securities. For the six-month period ended October 31, 2019 investment income includes a $125,000 dividend from Morion, compared to a $105,000 dividend from Morion in the same period in fiscal 2019.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Tax Provision (Benefit)</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228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52</w:t>
            </w:r>
          </w:p>
        </w:tc>
        <w:tc>
          <w:tcPr>
            <w:tcW w:w="8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NM   $</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39</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NM</w:t>
            </w:r>
          </w:p>
        </w:tc>
      </w:tr>
      <w:tr>
        <w:trPr>
          <w:trHeight w:val="198"/>
        </w:trPr>
        <w:tc>
          <w:tcPr>
            <w:tcW w:w="24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Effective tax rate on pre-tax</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book (loss) income:</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estimated annual effective tax rate for the fiscal year ending April 30, 2020 is 0%. This calculation reflects estimated income tax expense (benefit) based on our current year forecasted earnings, which is offset by a corresponding change in the current year valuation allowance. As of October 31, 2019, and April 30, 2019, the Company maintained a full valuation allowance against its deferred tax assets.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October 31, 2019, the Company recorded a discrete income tax provision of $28,900, which primarily consisted of an accrual of interest for unrecognized tax benefits. For the six months ended October 31, 2018, the Company recorded an income tax benefit of $(22,600), which includes a discrete income tax provision of $36,700.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October 31, 2019, the Company recorded a discrete income tax provision of $9,400, which primarily consisted of an accrual of interest for unrecognized tax benefits. For the three months ended October 31, 2018, the Company recorded an income tax benefit of $(29,700), which includes a discrete income tax provision of $18,400.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six months ended October 31, 2019 was an income tax provision of (0.5) % on a pretax loss of $5,808,000 compared to an income tax benefit of (17.7) % on pretax income of $130,000 in the comparable prior year period. The effective tax rate for the six months ended October 31, 2019 differs from the U.S. statutory rate of 21% primarily due to a discrete income tax provision related to the accrual of interest for unrecognized tax benefits and domestic losses for which the Company is not recognizing an income tax benefit.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October 31, 2019 was an income tax provision of (0.2) % on a pretax loss of $5,237,000 compared to an income tax benefit of (32.6) % on pretax income of $92,000 in the comparable prior year period. The effective tax rate for the three months ended October 31, 2019 differs from the U.S. statutory rate of 21% primarily due to a discrete income tax provision related to the accrual of interest for unrecognized tax benefits and domestic losses for which the Company is not recognizing an income tax benefit.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balance sheet continues to reflect a strong working capital position of $40.7 million at October 31, 2019 and $46.9 million at April 30, 2019. Included in working capital at October 31, 2019 and April 30 2019, is $11.0 million and $11.9 million, respectively, consisting of cash, cash equivalents, and marketable securities. The Company’s current ratio at October 31, 2019 was 5.9 to 1.</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provided by operations for the six months ended October 31, 2019 was $180,000 compared to $1.1 million of cash used in operations in the comparable fiscal 2019 period. The increase cash flow in the fiscal 2020 period resulted primarily from a decrease in accounts receivable balances. For the six-month periods ended October 31, 2019 and 2018, the Company incurred approximately $3.9 million and $2.2 million, respectively, of non-cash operating expenses including ROU assets and liabilities for leases, loss provision accrual, depreciation and amortization, inventory reserve adjustments, and accruals for employee benefit programs.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October 31, 2019 was $1.3 million compared to $2.6 million for the six months ended October 31, 2018. During the fiscal 2020 period, marketable securities were sold or redeemed in the amount of $2.5 million compared to $947,000 of such redemptions during the comparable fiscal 2019 period. During the six months ended October 31, 2019 approximately $2.5 million of marketable securities were purchased compared to $2.2 million for the same period of fiscal 2019. The Company acquired property, plant and equipment in the amount of approximately $1.3 million for the six-month periods ended October 31, 2019 and 2018. The Company may continue to invest in cash equivalents as dictated by its investment strategy.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cash provided by financing activities for either the six months ended October 31, 2019 or 2018.</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been authorized by its Board of Directors to repurchase up to $5 million worth of shares of its common stock when appropriate opportunities arise. As of October 31, 2019, the Company has repurchased approximately $4 million of its common stock out of the $5 million authorization. For the six months ended October 31, 2019 and 2018, there were no repurchases of shares.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continue to expend resources to develop, improve and acquire products for space applications, guidance and targeting systems, and communication systems which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October 31, 2019, the Company’s consolidated funded backlog was approximately $40 million compared to $37 million at April 30, 2019, the end of fiscal 2019. Approximately 81% of this backlog is expected to be realized in the next twelve months. As of October 31, 2019, there were no amounts included in backlog under cost-plus fixed-fee (“CPFF”) contracts that have not been funded.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its liquidity is adequate to meet its operating and investment needs through at least December 17, 2020 and the foreseeable future.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international business may be subject to changes where contracts are delineated in currencies other than the US Dollar.</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October 31, 2019, the Company’s disclosure controls and procedures were effective to ensure that information relating to the Company, including its consolidated subsidiaries, required to be included in its reports that it filed or submitted under the Exchange Act is recorded, processed, summarized and reported within the time periods specified in the Securities and Exchange Commission rules and forms.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There were no changes in the Company’s internal control over financial reporting (as such term is defined in Rules 13a-15(f) and 15d-15(f) under the Exchange Act) during the fiscal quarter ended October 31, 2019 to which this report relates that have materially affected, or are reasonably likely to materially affect, the Company’s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jc w:val="both"/>
        <w:ind w:left="1380" w:hanging="728"/>
        <w:spacing w:after="0" w:line="282"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31.1 -</w:t>
      </w:r>
      <w:r>
        <w:rPr>
          <w:sz w:val="20"/>
          <w:szCs w:val="20"/>
          <w:color w:val="auto"/>
        </w:rPr>
        <w:tab/>
      </w:r>
      <w:hyperlink w:anchor="page25">
        <w:r>
          <w:rPr>
            <w:rFonts w:ascii="Times New Roman" w:cs="Times New Roman" w:eastAsia="Times New Roman" w:hAnsi="Times New Roman"/>
            <w:sz w:val="18"/>
            <w:szCs w:val="18"/>
            <w:u w:val="single" w:color="auto"/>
            <w:color w:val="0000EE"/>
          </w:rPr>
          <w:t>Certification by the Chief Executive Officer pursuant to Rule 13a-14(a) or 15d-14(a) under the Securities Exchange Act of 1934, as</w:t>
        </w:r>
      </w:hyperlink>
      <w:r>
        <w:rPr>
          <w:rFonts w:ascii="Times New Roman" w:cs="Times New Roman" w:eastAsia="Times New Roman" w:hAnsi="Times New Roman"/>
          <w:sz w:val="18"/>
          <w:szCs w:val="18"/>
          <w:u w:val="single" w:color="auto"/>
          <w:color w:val="0000EE"/>
        </w:rPr>
        <w:t xml:space="preserve"> </w:t>
      </w:r>
      <w:hyperlink w:anchor="page25">
        <w:r>
          <w:rPr>
            <w:rFonts w:ascii="Times New Roman" w:cs="Times New Roman" w:eastAsia="Times New Roman" w:hAnsi="Times New Roman"/>
            <w:sz w:val="18"/>
            <w:szCs w:val="18"/>
            <w:u w:val="single" w:color="auto"/>
            <w:color w:val="0000EE"/>
          </w:rPr>
          <w:t>adopted pursuant to Section 302 of the Sarbanes-Oxley Act of 2002.</w:t>
        </w:r>
      </w:hyperlink>
    </w:p>
    <w:p>
      <w:pPr>
        <w:spacing w:after="0" w:line="162" w:lineRule="exact"/>
        <w:rPr>
          <w:sz w:val="20"/>
          <w:szCs w:val="20"/>
          <w:color w:val="auto"/>
        </w:rPr>
      </w:pPr>
    </w:p>
    <w:p>
      <w:pPr>
        <w:jc w:val="both"/>
        <w:ind w:left="1380" w:hanging="728"/>
        <w:spacing w:after="0" w:line="282"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31.2 -</w:t>
      </w:r>
      <w:r>
        <w:rPr>
          <w:sz w:val="20"/>
          <w:szCs w:val="20"/>
          <w:color w:val="auto"/>
        </w:rPr>
        <w:tab/>
      </w:r>
      <w:hyperlink w:anchor="page26">
        <w:r>
          <w:rPr>
            <w:rFonts w:ascii="Times New Roman" w:cs="Times New Roman" w:eastAsia="Times New Roman" w:hAnsi="Times New Roman"/>
            <w:sz w:val="18"/>
            <w:szCs w:val="18"/>
            <w:u w:val="single" w:color="auto"/>
            <w:color w:val="0000EE"/>
          </w:rPr>
          <w:t>Certification by the Chief Financial Officer pursuant to Rule 13a-14(a) or 15d-14(a) under the Securities Exchange Act of 1934, as</w:t>
        </w:r>
      </w:hyperlink>
      <w:r>
        <w:rPr>
          <w:rFonts w:ascii="Times New Roman" w:cs="Times New Roman" w:eastAsia="Times New Roman" w:hAnsi="Times New Roman"/>
          <w:sz w:val="18"/>
          <w:szCs w:val="18"/>
          <w:u w:val="single" w:color="auto"/>
          <w:color w:val="0000EE"/>
        </w:rPr>
        <w:t xml:space="preserve"> </w:t>
      </w:r>
      <w:hyperlink w:anchor="page26">
        <w:r>
          <w:rPr>
            <w:rFonts w:ascii="Times New Roman" w:cs="Times New Roman" w:eastAsia="Times New Roman" w:hAnsi="Times New Roman"/>
            <w:sz w:val="18"/>
            <w:szCs w:val="18"/>
            <w:u w:val="single" w:color="auto"/>
            <w:color w:val="0000EE"/>
          </w:rPr>
          <w:t>adopted pursuant to Section 302 of the Sarbanes-Oxley Act of 2002.</w:t>
        </w:r>
      </w:hyperlink>
    </w:p>
    <w:p>
      <w:pPr>
        <w:spacing w:after="0" w:line="162" w:lineRule="exact"/>
        <w:rPr>
          <w:sz w:val="20"/>
          <w:szCs w:val="20"/>
          <w:color w:val="auto"/>
        </w:rPr>
      </w:pPr>
    </w:p>
    <w:p>
      <w:pPr>
        <w:jc w:val="both"/>
        <w:ind w:left="1380" w:hanging="728"/>
        <w:spacing w:after="0" w:line="282"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32 -</w:t>
      </w:r>
      <w:r>
        <w:rPr>
          <w:sz w:val="20"/>
          <w:szCs w:val="20"/>
          <w:color w:val="auto"/>
        </w:rPr>
        <w:tab/>
      </w:r>
      <w:hyperlink w:anchor="page27">
        <w:r>
          <w:rPr>
            <w:rFonts w:ascii="Times New Roman" w:cs="Times New Roman" w:eastAsia="Times New Roman" w:hAnsi="Times New Roman"/>
            <w:sz w:val="18"/>
            <w:szCs w:val="18"/>
            <w:u w:val="single" w:color="auto"/>
            <w:color w:val="0000EE"/>
          </w:rPr>
          <w:t>Certifications by the Chief Executive Officer and Chief Financial Officer pursuant to 18 U.S.C. Section 1350, as adopted pursuant to</w:t>
        </w:r>
      </w:hyperlink>
      <w:r>
        <w:rPr>
          <w:rFonts w:ascii="Times New Roman" w:cs="Times New Roman" w:eastAsia="Times New Roman" w:hAnsi="Times New Roman"/>
          <w:sz w:val="18"/>
          <w:szCs w:val="18"/>
          <w:u w:val="single" w:color="auto"/>
          <w:color w:val="0000EE"/>
        </w:rPr>
        <w:t xml:space="preserve"> </w:t>
      </w:r>
      <w:hyperlink w:anchor="page27">
        <w:r>
          <w:rPr>
            <w:rFonts w:ascii="Times New Roman" w:cs="Times New Roman" w:eastAsia="Times New Roman" w:hAnsi="Times New Roman"/>
            <w:sz w:val="18"/>
            <w:szCs w:val="18"/>
            <w:u w:val="single" w:color="auto"/>
            <w:color w:val="0000EE"/>
          </w:rPr>
          <w:t>Section 906 of the Sarbanes-Oxley Act of 2002.</w:t>
        </w:r>
      </w:hyperlink>
    </w:p>
    <w:p>
      <w:pPr>
        <w:spacing w:after="0" w:line="162" w:lineRule="exact"/>
        <w:rPr>
          <w:sz w:val="20"/>
          <w:szCs w:val="20"/>
          <w:color w:val="auto"/>
        </w:rPr>
      </w:pPr>
    </w:p>
    <w:p>
      <w:pPr>
        <w:jc w:val="both"/>
        <w:ind w:left="1380" w:hanging="728"/>
        <w:spacing w:after="0" w:line="261" w:lineRule="auto"/>
        <w:tabs>
          <w:tab w:leader="none" w:pos="13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the Frequency Electronics, Inc. Quarterly Report on Form 10-Q for the quarter ended October 31, 2019 formatted in eXtensible Business Reporting Language (XBRL): (i) Condensed Consolidated Balance Sheets, (ii) Condensed Consolidated Statements of Operations (iii) Condensed Consolidated Statements of Cash Flows, (iv) Condensed Consolidated Statements of Changes in Stockholders’ Equity and (v)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60" w:type="dxa"/>
            <w:vAlign w:val="bottom"/>
          </w:tcPr>
          <w:p>
            <w:pPr>
              <w:spacing w:after="0"/>
              <w:rPr>
                <w:sz w:val="19"/>
                <w:szCs w:val="19"/>
                <w:color w:val="auto"/>
              </w:rPr>
            </w:pPr>
          </w:p>
        </w:tc>
        <w:tc>
          <w:tcPr>
            <w:tcW w:w="668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tc>
      </w:tr>
      <w:tr>
        <w:trPr>
          <w:trHeight w:val="234"/>
        </w:trPr>
        <w:tc>
          <w:tcPr>
            <w:tcW w:w="2960" w:type="dxa"/>
            <w:vAlign w:val="bottom"/>
          </w:tcPr>
          <w:p>
            <w:pPr>
              <w:spacing w:after="0"/>
              <w:rPr>
                <w:sz w:val="20"/>
                <w:szCs w:val="20"/>
                <w:color w:val="auto"/>
              </w:rPr>
            </w:pPr>
          </w:p>
        </w:tc>
        <w:tc>
          <w:tcPr>
            <w:tcW w:w="6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(Registrant)</w:t>
            </w:r>
          </w:p>
        </w:tc>
      </w:tr>
      <w:tr>
        <w:trPr>
          <w:trHeight w:val="39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16, 2019</w:t>
            </w:r>
          </w:p>
        </w:tc>
        <w:tc>
          <w:tcPr>
            <w:tcW w:w="668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By:  /s/  Steven L. Bernstein</w:t>
            </w:r>
          </w:p>
        </w:tc>
      </w:tr>
      <w:tr>
        <w:trPr>
          <w:trHeight w:val="218"/>
        </w:trPr>
        <w:tc>
          <w:tcPr>
            <w:tcW w:w="2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Steven L. Bernstein</w:t>
            </w:r>
          </w:p>
        </w:tc>
        <w:tc>
          <w:tcPr>
            <w:tcW w:w="16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r>
        <w:trPr>
          <w:trHeight w:val="234"/>
        </w:trPr>
        <w:tc>
          <w:tcPr>
            <w:tcW w:w="2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Signing on behalf of the registrant and as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11" w:right="25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Stanton Sloane, certify that:</w:t>
      </w:r>
    </w:p>
    <w:p>
      <w:pPr>
        <w:spacing w:after="0" w:line="225"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2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20" w:firstLine="8"/>
        <w:spacing w:after="0" w:line="282" w:lineRule="auto"/>
        <w:tabs>
          <w:tab w:leader="none" w:pos="3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8"/>
        <w:spacing w:after="0" w:line="282" w:lineRule="auto"/>
        <w:tabs>
          <w:tab w:leader="none" w:pos="2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Stanton Sloane</w:t>
            </w:r>
          </w:p>
        </w:tc>
        <w:tc>
          <w:tcPr>
            <w:tcW w:w="1820" w:type="dxa"/>
            <w:vAlign w:val="bottom"/>
          </w:tcPr>
          <w:p>
            <w:pPr>
              <w:spacing w:after="0"/>
              <w:rPr>
                <w:sz w:val="18"/>
                <w:szCs w:val="18"/>
                <w:color w:val="auto"/>
              </w:rPr>
            </w:pPr>
          </w:p>
        </w:tc>
        <w:tc>
          <w:tcPr>
            <w:tcW w:w="284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8"/>
              </w:rPr>
              <w:t>December 16, 2019</w:t>
            </w:r>
          </w:p>
        </w:tc>
      </w:tr>
      <w:tr>
        <w:trPr>
          <w:trHeight w:val="218"/>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Stanton Sloane</w:t>
            </w:r>
          </w:p>
        </w:tc>
        <w:tc>
          <w:tcPr>
            <w:tcW w:w="2840" w:type="dxa"/>
            <w:vAlign w:val="bottom"/>
          </w:tcPr>
          <w:p>
            <w:pPr>
              <w:spacing w:after="0"/>
              <w:rPr>
                <w:sz w:val="18"/>
                <w:szCs w:val="18"/>
                <w:color w:val="auto"/>
              </w:rPr>
            </w:pPr>
          </w:p>
        </w:tc>
      </w:tr>
      <w:tr>
        <w:trPr>
          <w:trHeight w:val="234"/>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840" w:type="dxa"/>
            <w:vAlign w:val="bottom"/>
          </w:tcPr>
          <w:p>
            <w:pPr>
              <w:spacing w:after="0"/>
              <w:rPr>
                <w:sz w:val="20"/>
                <w:szCs w:val="20"/>
                <w:color w:val="auto"/>
              </w:rPr>
            </w:pPr>
          </w:p>
        </w:tc>
      </w:tr>
    </w:tbl>
    <w:p>
      <w:pPr>
        <w:sectPr>
          <w:pgSz w:w="11900" w:h="16838" w:orient="portrait"/>
          <w:cols w:equalWidth="0" w:num="1">
            <w:col w:w="11420"/>
          </w:cols>
          <w:pgMar w:left="240" w:top="549"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3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20" w:firstLine="8"/>
        <w:spacing w:after="0" w:line="282"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8"/>
        <w:spacing w:after="0" w:line="282" w:lineRule="auto"/>
        <w:tabs>
          <w:tab w:leader="none" w:pos="2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Steven L. Bernstein</w:t>
            </w:r>
          </w:p>
        </w:tc>
        <w:tc>
          <w:tcPr>
            <w:tcW w:w="2020" w:type="dxa"/>
            <w:vAlign w:val="bottom"/>
          </w:tcPr>
          <w:p>
            <w:pPr>
              <w:spacing w:after="0"/>
              <w:rPr>
                <w:sz w:val="18"/>
                <w:szCs w:val="18"/>
                <w:color w:val="auto"/>
              </w:rPr>
            </w:pPr>
          </w:p>
        </w:tc>
        <w:tc>
          <w:tcPr>
            <w:tcW w:w="24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7"/>
              </w:rPr>
              <w:t>December 16, 2019</w:t>
            </w:r>
          </w:p>
        </w:tc>
      </w:tr>
      <w:tr>
        <w:trPr>
          <w:trHeight w:val="218"/>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2400" w:type="dxa"/>
            <w:vAlign w:val="bottom"/>
          </w:tcPr>
          <w:p>
            <w:pPr>
              <w:spacing w:after="0"/>
              <w:rPr>
                <w:sz w:val="18"/>
                <w:szCs w:val="18"/>
                <w:color w:val="auto"/>
              </w:rPr>
            </w:pPr>
          </w:p>
        </w:tc>
      </w:tr>
      <w:tr>
        <w:trPr>
          <w:trHeight w:val="234"/>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400" w:type="dxa"/>
            <w:vAlign w:val="bottom"/>
          </w:tcPr>
          <w:p>
            <w:pPr>
              <w:spacing w:after="0"/>
              <w:rPr>
                <w:sz w:val="20"/>
                <w:szCs w:val="20"/>
                <w:color w:val="auto"/>
              </w:rPr>
            </w:pPr>
          </w:p>
        </w:tc>
      </w:tr>
    </w:tbl>
    <w:p>
      <w:pPr>
        <w:sectPr>
          <w:pgSz w:w="11900" w:h="16838" w:orient="portrait"/>
          <w:cols w:equalWidth="0" w:num="1">
            <w:col w:w="11420"/>
          </w:cols>
          <w:pgMar w:left="240" w:top="549"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October 31, 2019 as filed with the Securities and Exchange Commission on the date hereof (the “Report”), I, Stanton Sloane,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60" w:hanging="30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Stanton Sloane</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16, 2019</w:t>
            </w:r>
          </w:p>
        </w:tc>
        <w:tc>
          <w:tcPr>
            <w:tcW w:w="0" w:type="dxa"/>
            <w:vAlign w:val="bottom"/>
          </w:tcPr>
          <w:p>
            <w:pPr>
              <w:spacing w:after="0"/>
              <w:rPr>
                <w:sz w:val="1"/>
                <w:szCs w:val="1"/>
                <w:color w:val="auto"/>
              </w:rPr>
            </w:pPr>
          </w:p>
        </w:tc>
      </w:tr>
      <w:tr>
        <w:trPr>
          <w:trHeight w:val="218"/>
        </w:trPr>
        <w:tc>
          <w:tcPr>
            <w:tcW w:w="37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Stanton Sloane</w:t>
            </w: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Certification of CFO</w:t>
            </w:r>
          </w:p>
        </w:tc>
        <w:tc>
          <w:tcPr>
            <w:tcW w:w="398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6"/>
        </w:trPr>
        <w:tc>
          <w:tcPr>
            <w:tcW w:w="3780" w:type="dxa"/>
            <w:vAlign w:val="bottom"/>
            <w:gridSpan w:val="3"/>
            <w:vMerge w:val="continue"/>
          </w:tcPr>
          <w:p>
            <w:pPr>
              <w:spacing w:after="0"/>
              <w:rPr>
                <w:sz w:val="15"/>
                <w:szCs w:val="15"/>
                <w:color w:val="auto"/>
              </w:rPr>
            </w:pPr>
          </w:p>
        </w:tc>
        <w:tc>
          <w:tcPr>
            <w:tcW w:w="3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October 31, 2019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60" w:hanging="30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Steven L. Bernstein</w:t>
            </w:r>
          </w:p>
        </w:tc>
        <w:tc>
          <w:tcPr>
            <w:tcW w:w="1620" w:type="dxa"/>
            <w:vAlign w:val="bottom"/>
          </w:tcPr>
          <w:p>
            <w:pPr>
              <w:spacing w:after="0"/>
              <w:rPr>
                <w:sz w:val="18"/>
                <w:szCs w:val="18"/>
                <w:color w:val="auto"/>
              </w:rPr>
            </w:pPr>
          </w:p>
        </w:tc>
        <w:tc>
          <w:tcPr>
            <w:tcW w:w="250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8"/>
              </w:rPr>
              <w:t>December 16, 2019</w:t>
            </w:r>
          </w:p>
        </w:tc>
      </w:tr>
      <w:tr>
        <w:trPr>
          <w:trHeight w:val="218"/>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2500" w:type="dxa"/>
            <w:vAlign w:val="bottom"/>
          </w:tcPr>
          <w:p>
            <w:pPr>
              <w:spacing w:after="0"/>
              <w:rPr>
                <w:sz w:val="18"/>
                <w:szCs w:val="18"/>
                <w:color w:val="auto"/>
              </w:rPr>
            </w:pPr>
          </w:p>
        </w:tc>
      </w:t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50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upperLetter"/>
      <w:start w:val="1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2019-12-28T00:59:38Z</dcterms:created>
  <dcterms:modified xsi:type="dcterms:W3CDTF">2019-12-28T00:59:38Z</dcterms:modified>
</cp:coreProperties>
</file>