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3940" w:right="1660" w:hanging="3122"/>
        <w:spacing w:after="0" w:line="530" w:lineRule="auto"/>
        <w:tabs>
          <w:tab w:leader="none" w:pos="1138"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October 31, 2010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600" w:right="1640" w:hanging="2782"/>
        <w:spacing w:after="0" w:line="524" w:lineRule="auto"/>
        <w:tabs>
          <w:tab w:leader="none" w:pos="11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Arial" w:cs="Arial" w:eastAsia="Arial" w:hAnsi="Arial"/>
          <w:sz w:val="18"/>
          <w:szCs w:val="18"/>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6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600" w:type="dxa"/>
            <w:vAlign w:val="bottom"/>
          </w:tcPr>
          <w:p>
            <w:pPr>
              <w:jc w:val="center"/>
              <w:ind w:right="90"/>
              <w:spacing w:after="0"/>
              <w:rPr>
                <w:sz w:val="20"/>
                <w:szCs w:val="20"/>
                <w:color w:val="auto"/>
              </w:rPr>
            </w:pPr>
            <w:r>
              <w:rPr>
                <w:rFonts w:ascii="Arial" w:cs="Arial" w:eastAsia="Arial" w:hAnsi="Arial"/>
                <w:sz w:val="18"/>
                <w:szCs w:val="18"/>
                <w:color w:val="auto"/>
                <w:w w:val="93"/>
              </w:rPr>
              <w:t>(State or other jurisdiction of</w:t>
            </w:r>
          </w:p>
        </w:tc>
        <w:tc>
          <w:tcPr>
            <w:tcW w:w="3620" w:type="dxa"/>
            <w:vAlign w:val="bottom"/>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600" w:type="dxa"/>
            <w:vAlign w:val="bottom"/>
          </w:tcPr>
          <w:p>
            <w:pPr>
              <w:jc w:val="center"/>
              <w:ind w:right="90"/>
              <w:spacing w:after="0"/>
              <w:rPr>
                <w:sz w:val="20"/>
                <w:szCs w:val="20"/>
                <w:color w:val="auto"/>
              </w:rPr>
            </w:pPr>
            <w:r>
              <w:rPr>
                <w:rFonts w:ascii="Arial" w:cs="Arial" w:eastAsia="Arial" w:hAnsi="Arial"/>
                <w:sz w:val="18"/>
                <w:szCs w:val="18"/>
                <w:color w:val="auto"/>
                <w:w w:val="93"/>
              </w:rPr>
              <w:t>incorporation or organization)</w:t>
            </w:r>
          </w:p>
        </w:tc>
        <w:tc>
          <w:tcPr>
            <w:tcW w:w="3620" w:type="dxa"/>
            <w:vAlign w:val="bottom"/>
          </w:tcPr>
          <w:p>
            <w:pPr>
              <w:spacing w:after="0"/>
              <w:rPr>
                <w:sz w:val="20"/>
                <w:szCs w:val="20"/>
                <w:color w:val="auto"/>
              </w:rPr>
            </w:pPr>
          </w:p>
        </w:tc>
      </w:tr>
      <w:tr>
        <w:trPr>
          <w:trHeight w:val="445"/>
        </w:trPr>
        <w:tc>
          <w:tcPr>
            <w:tcW w:w="6600" w:type="dxa"/>
            <w:vAlign w:val="bottom"/>
          </w:tcPr>
          <w:p>
            <w:pPr>
              <w:jc w:val="center"/>
              <w:ind w:right="90"/>
              <w:spacing w:after="0"/>
              <w:rPr>
                <w:sz w:val="20"/>
                <w:szCs w:val="20"/>
                <w:color w:val="auto"/>
              </w:rPr>
            </w:pPr>
            <w:r>
              <w:rPr>
                <w:rFonts w:ascii="Arial" w:cs="Arial" w:eastAsia="Arial" w:hAnsi="Arial"/>
                <w:sz w:val="18"/>
                <w:szCs w:val="18"/>
                <w:b w:val="1"/>
                <w:bCs w:val="1"/>
                <w:color w:val="auto"/>
              </w:rPr>
              <w:t>55 CHARLES LINDBERGH BLVD., MITCHEL FIELD, N.Y.</w:t>
            </w:r>
          </w:p>
        </w:tc>
        <w:tc>
          <w:tcPr>
            <w:tcW w:w="3620" w:type="dxa"/>
            <w:vAlign w:val="bottom"/>
          </w:tcPr>
          <w:p>
            <w:pPr>
              <w:jc w:val="right"/>
              <w:ind w:right="990"/>
              <w:spacing w:after="0"/>
              <w:rPr>
                <w:sz w:val="20"/>
                <w:szCs w:val="20"/>
                <w:color w:val="auto"/>
              </w:rPr>
            </w:pPr>
            <w:r>
              <w:rPr>
                <w:rFonts w:ascii="Arial" w:cs="Arial" w:eastAsia="Arial" w:hAnsi="Arial"/>
                <w:sz w:val="18"/>
                <w:szCs w:val="18"/>
                <w:b w:val="1"/>
                <w:bCs w:val="1"/>
                <w:color w:val="auto"/>
              </w:rPr>
              <w:t>11553</w:t>
            </w:r>
          </w:p>
        </w:tc>
      </w:tr>
      <w:tr>
        <w:trPr>
          <w:trHeight w:val="230"/>
        </w:trPr>
        <w:tc>
          <w:tcPr>
            <w:tcW w:w="660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left="930"/>
              <w:spacing w:after="0"/>
              <w:rPr>
                <w:sz w:val="20"/>
                <w:szCs w:val="20"/>
                <w:color w:val="auto"/>
              </w:rPr>
            </w:pPr>
            <w:r>
              <w:rPr>
                <w:rFonts w:ascii="Arial" w:cs="Arial" w:eastAsia="Arial" w:hAnsi="Arial"/>
                <w:sz w:val="18"/>
                <w:szCs w:val="18"/>
                <w:color w:val="auto"/>
                <w:w w:val="94"/>
              </w:rPr>
              <w:t>(Zip Code)</w:t>
            </w:r>
          </w:p>
        </w:tc>
      </w:tr>
      <w:tr>
        <w:trPr>
          <w:trHeight w:val="459"/>
        </w:trPr>
        <w:tc>
          <w:tcPr>
            <w:tcW w:w="660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62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p>
      <w:pPr>
        <w:ind w:left="940" w:right="3460" w:hanging="764"/>
        <w:spacing w:after="0" w:line="277" w:lineRule="auto"/>
        <w:rPr>
          <w:sz w:val="20"/>
          <w:szCs w:val="20"/>
          <w:color w:val="auto"/>
        </w:rPr>
      </w:pPr>
      <w:r>
        <w:rPr>
          <w:rFonts w:ascii="Arial" w:cs="Arial" w:eastAsia="Arial" w:hAnsi="Arial"/>
          <w:sz w:val="18"/>
          <w:szCs w:val="18"/>
          <w:color w:val="auto"/>
        </w:rPr>
        <w:t>Large accelerated filer o</w:t>
      </w:r>
      <w:r>
        <w:rPr>
          <w:sz w:val="20"/>
          <w:szCs w:val="20"/>
          <w:color w:val="auto"/>
        </w:rPr>
        <w:t xml:space="preserve"> </w:t>
      </w:r>
      <w:r>
        <w:rPr>
          <w:rFonts w:ascii="Arial" w:cs="Arial" w:eastAsia="Arial" w:hAnsi="Arial"/>
          <w:sz w:val="18"/>
          <w:szCs w:val="18"/>
          <w:color w:val="auto"/>
        </w:rPr>
        <w:t>Accelerated filer o Non-accelerated filer o Smaller Reporting Company x (do not check if a smaller reporting company)</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December 10, 2010 – 8,256,350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5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Page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shd w:val="clear" w:color="auto" w:fill="CCFFCC"/>
          </w:tcPr>
          <w:p>
            <w:pPr>
              <w:ind w:left="320"/>
              <w:spacing w:after="0"/>
              <w:rPr>
                <w:sz w:val="20"/>
                <w:szCs w:val="20"/>
                <w:color w:val="auto"/>
              </w:rPr>
            </w:pPr>
            <w:r>
              <w:rPr>
                <w:rFonts w:ascii="Arial" w:cs="Arial" w:eastAsia="Arial" w:hAnsi="Arial"/>
                <w:sz w:val="18"/>
                <w:szCs w:val="18"/>
                <w:color w:val="auto"/>
                <w:w w:val="87"/>
              </w:rPr>
              <w:t>Item 1</w:t>
            </w:r>
          </w:p>
        </w:tc>
        <w:tc>
          <w:tcPr>
            <w:tcW w:w="4600" w:type="dxa"/>
            <w:vAlign w:val="bottom"/>
            <w:shd w:val="clear" w:color="auto" w:fill="CCFFCC"/>
          </w:tcPr>
          <w:p>
            <w:pPr>
              <w:ind w:left="40"/>
              <w:spacing w:after="0"/>
              <w:rPr>
                <w:sz w:val="20"/>
                <w:szCs w:val="20"/>
                <w:color w:val="auto"/>
              </w:rPr>
            </w:pPr>
            <w:r>
              <w:rPr>
                <w:rFonts w:ascii="Arial" w:cs="Arial" w:eastAsia="Arial" w:hAnsi="Arial"/>
                <w:sz w:val="18"/>
                <w:szCs w:val="18"/>
                <w:color w:val="auto"/>
              </w:rPr>
              <w:t>- Financial Statements:</w:t>
            </w:r>
          </w:p>
        </w:tc>
        <w:tc>
          <w:tcPr>
            <w:tcW w:w="6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Balance Sheets -</w:t>
            </w:r>
          </w:p>
        </w:tc>
        <w:tc>
          <w:tcPr>
            <w:tcW w:w="6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October 31, 2010 and April 30, 2010</w:t>
            </w:r>
          </w:p>
        </w:tc>
        <w:tc>
          <w:tcPr>
            <w:tcW w:w="6020" w:type="dxa"/>
            <w:vAlign w:val="bottom"/>
            <w:shd w:val="clear" w:color="auto" w:fill="CCFFCC"/>
          </w:tcPr>
          <w:p>
            <w:pPr>
              <w:jc w:val="center"/>
              <w:ind w:left="449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Statements of Operations</w:t>
            </w:r>
          </w:p>
        </w:tc>
        <w:tc>
          <w:tcPr>
            <w:tcW w:w="6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Six Months Ended October 31, 2010 and 2009</w:t>
            </w:r>
          </w:p>
        </w:tc>
        <w:tc>
          <w:tcPr>
            <w:tcW w:w="6020" w:type="dxa"/>
            <w:vAlign w:val="bottom"/>
            <w:shd w:val="clear" w:color="auto" w:fill="CCFFCC"/>
          </w:tcPr>
          <w:p>
            <w:pPr>
              <w:jc w:val="center"/>
              <w:ind w:left="449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Statements of Operations</w:t>
            </w:r>
          </w:p>
        </w:tc>
        <w:tc>
          <w:tcPr>
            <w:tcW w:w="6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Three Months Ended October 31, 2010 and 2009</w:t>
            </w:r>
          </w:p>
        </w:tc>
        <w:tc>
          <w:tcPr>
            <w:tcW w:w="6020" w:type="dxa"/>
            <w:vAlign w:val="bottom"/>
            <w:shd w:val="clear" w:color="auto" w:fill="CCFFCC"/>
          </w:tcPr>
          <w:p>
            <w:pPr>
              <w:jc w:val="center"/>
              <w:ind w:left="449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Condensed Consolidated Statements of Cash Flows</w:t>
            </w:r>
          </w:p>
        </w:tc>
        <w:tc>
          <w:tcPr>
            <w:tcW w:w="6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Six Months Ended October 31, 2010 and 2009</w:t>
            </w:r>
          </w:p>
        </w:tc>
        <w:tc>
          <w:tcPr>
            <w:tcW w:w="6020" w:type="dxa"/>
            <w:vAlign w:val="bottom"/>
            <w:shd w:val="clear" w:color="auto" w:fill="CCFFCC"/>
          </w:tcPr>
          <w:p>
            <w:pPr>
              <w:jc w:val="center"/>
              <w:ind w:left="449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Notes to Condensed Consolidated Financial Statements</w:t>
            </w:r>
          </w:p>
        </w:tc>
        <w:tc>
          <w:tcPr>
            <w:tcW w:w="6020" w:type="dxa"/>
            <w:vAlign w:val="bottom"/>
            <w:shd w:val="clear" w:color="auto" w:fill="CCFFCC"/>
          </w:tcPr>
          <w:p>
            <w:pPr>
              <w:jc w:val="center"/>
              <w:ind w:left="4490"/>
              <w:spacing w:after="0"/>
              <w:rPr>
                <w:sz w:val="20"/>
                <w:szCs w:val="20"/>
                <w:color w:val="auto"/>
              </w:rPr>
            </w:pPr>
            <w:r>
              <w:rPr>
                <w:rFonts w:ascii="Arial" w:cs="Arial" w:eastAsia="Arial" w:hAnsi="Arial"/>
                <w:sz w:val="18"/>
                <w:szCs w:val="18"/>
                <w:color w:val="auto"/>
                <w:w w:val="88"/>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ind w:left="320"/>
              <w:spacing w:after="0"/>
              <w:rPr>
                <w:sz w:val="20"/>
                <w:szCs w:val="20"/>
                <w:color w:val="auto"/>
              </w:rPr>
            </w:pPr>
            <w:r>
              <w:rPr>
                <w:rFonts w:ascii="Arial" w:cs="Arial" w:eastAsia="Arial" w:hAnsi="Arial"/>
                <w:sz w:val="18"/>
                <w:szCs w:val="18"/>
                <w:color w:val="auto"/>
                <w:w w:val="87"/>
              </w:rPr>
              <w:t>Item 2</w:t>
            </w:r>
          </w:p>
        </w:tc>
        <w:tc>
          <w:tcPr>
            <w:tcW w:w="4600" w:type="dxa"/>
            <w:vAlign w:val="bottom"/>
            <w:shd w:val="clear" w:color="auto" w:fill="CCFFCC"/>
          </w:tcPr>
          <w:p>
            <w:pPr>
              <w:ind w:left="40"/>
              <w:spacing w:after="0"/>
              <w:rPr>
                <w:sz w:val="20"/>
                <w:szCs w:val="20"/>
                <w:color w:val="auto"/>
              </w:rPr>
            </w:pPr>
            <w:r>
              <w:rPr>
                <w:rFonts w:ascii="Arial" w:cs="Arial" w:eastAsia="Arial" w:hAnsi="Arial"/>
                <w:sz w:val="18"/>
                <w:szCs w:val="18"/>
                <w:color w:val="auto"/>
              </w:rPr>
              <w:t>- Management's Discussion and Analysis of</w:t>
            </w:r>
          </w:p>
        </w:tc>
        <w:tc>
          <w:tcPr>
            <w:tcW w:w="6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4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Financial Condition and Results of Operations</w:t>
            </w:r>
          </w:p>
        </w:tc>
        <w:tc>
          <w:tcPr>
            <w:tcW w:w="6020" w:type="dxa"/>
            <w:vAlign w:val="bottom"/>
            <w:shd w:val="clear" w:color="auto" w:fill="CCFFCC"/>
          </w:tcPr>
          <w:p>
            <w:pPr>
              <w:jc w:val="center"/>
              <w:ind w:left="4510"/>
              <w:spacing w:after="0"/>
              <w:rPr>
                <w:sz w:val="20"/>
                <w:szCs w:val="20"/>
                <w:color w:val="auto"/>
              </w:rPr>
            </w:pPr>
            <w:r>
              <w:rPr>
                <w:rFonts w:ascii="Arial" w:cs="Arial" w:eastAsia="Arial" w:hAnsi="Arial"/>
                <w:sz w:val="18"/>
                <w:szCs w:val="18"/>
                <w:color w:val="auto"/>
                <w:w w:val="91"/>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ind w:left="320"/>
              <w:spacing w:after="0"/>
              <w:rPr>
                <w:sz w:val="20"/>
                <w:szCs w:val="20"/>
                <w:color w:val="auto"/>
              </w:rPr>
            </w:pPr>
            <w:r>
              <w:rPr>
                <w:rFonts w:ascii="Arial" w:cs="Arial" w:eastAsia="Arial" w:hAnsi="Arial"/>
                <w:sz w:val="18"/>
                <w:szCs w:val="18"/>
                <w:color w:val="auto"/>
                <w:w w:val="87"/>
              </w:rPr>
              <w:t>Item 3</w:t>
            </w:r>
          </w:p>
        </w:tc>
        <w:tc>
          <w:tcPr>
            <w:tcW w:w="4600" w:type="dxa"/>
            <w:vAlign w:val="bottom"/>
            <w:shd w:val="clear" w:color="auto" w:fill="CCFFCC"/>
          </w:tcPr>
          <w:p>
            <w:pPr>
              <w:ind w:left="40"/>
              <w:spacing w:after="0"/>
              <w:rPr>
                <w:sz w:val="20"/>
                <w:szCs w:val="20"/>
                <w:color w:val="auto"/>
              </w:rPr>
            </w:pPr>
            <w:r>
              <w:rPr>
                <w:rFonts w:ascii="Arial" w:cs="Arial" w:eastAsia="Arial" w:hAnsi="Arial"/>
                <w:sz w:val="18"/>
                <w:szCs w:val="18"/>
                <w:color w:val="auto"/>
                <w:w w:val="93"/>
              </w:rPr>
              <w:t>– Quantitative and Qualitative Disclosures About Market Risk</w:t>
            </w:r>
          </w:p>
        </w:tc>
        <w:tc>
          <w:tcPr>
            <w:tcW w:w="6020" w:type="dxa"/>
            <w:vAlign w:val="bottom"/>
            <w:shd w:val="clear" w:color="auto" w:fill="CCFFCC"/>
          </w:tcPr>
          <w:p>
            <w:pPr>
              <w:jc w:val="center"/>
              <w:ind w:left="451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Item 4- Controls and Procedures</w:t>
            </w:r>
          </w:p>
        </w:tc>
        <w:tc>
          <w:tcPr>
            <w:tcW w:w="6020" w:type="dxa"/>
            <w:vAlign w:val="bottom"/>
            <w:shd w:val="clear" w:color="auto" w:fill="CCFFCC"/>
          </w:tcPr>
          <w:p>
            <w:pPr>
              <w:jc w:val="center"/>
              <w:ind w:left="451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6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ind w:left="320"/>
              <w:spacing w:after="0"/>
              <w:rPr>
                <w:sz w:val="20"/>
                <w:szCs w:val="20"/>
                <w:color w:val="auto"/>
              </w:rPr>
            </w:pPr>
            <w:r>
              <w:rPr>
                <w:rFonts w:ascii="Arial" w:cs="Arial" w:eastAsia="Arial" w:hAnsi="Arial"/>
                <w:sz w:val="18"/>
                <w:szCs w:val="18"/>
                <w:color w:val="auto"/>
                <w:w w:val="87"/>
              </w:rPr>
              <w:t>Item 6</w:t>
            </w:r>
          </w:p>
        </w:tc>
        <w:tc>
          <w:tcPr>
            <w:tcW w:w="4600" w:type="dxa"/>
            <w:vAlign w:val="bottom"/>
            <w:shd w:val="clear" w:color="auto" w:fill="CCFFCC"/>
          </w:tcPr>
          <w:p>
            <w:pPr>
              <w:ind w:left="40"/>
              <w:spacing w:after="0"/>
              <w:rPr>
                <w:sz w:val="20"/>
                <w:szCs w:val="20"/>
                <w:color w:val="auto"/>
              </w:rPr>
            </w:pPr>
            <w:r>
              <w:rPr>
                <w:rFonts w:ascii="Arial" w:cs="Arial" w:eastAsia="Arial" w:hAnsi="Arial"/>
                <w:sz w:val="18"/>
                <w:szCs w:val="18"/>
                <w:color w:val="auto"/>
              </w:rPr>
              <w:t>- Exhibits</w:t>
            </w:r>
          </w:p>
        </w:tc>
        <w:tc>
          <w:tcPr>
            <w:tcW w:w="6020" w:type="dxa"/>
            <w:vAlign w:val="bottom"/>
            <w:shd w:val="clear" w:color="auto" w:fill="CCFFCC"/>
          </w:tcPr>
          <w:p>
            <w:pPr>
              <w:jc w:val="center"/>
              <w:ind w:left="451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Signatures</w:t>
            </w:r>
          </w:p>
        </w:tc>
        <w:tc>
          <w:tcPr>
            <w:tcW w:w="6020" w:type="dxa"/>
            <w:vAlign w:val="bottom"/>
            <w:shd w:val="clear" w:color="auto" w:fill="CCFFCC"/>
          </w:tcPr>
          <w:p>
            <w:pPr>
              <w:jc w:val="center"/>
              <w:ind w:left="451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Exhibits</w:t>
            </w:r>
          </w:p>
        </w:tc>
        <w:tc>
          <w:tcPr>
            <w:tcW w:w="60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rPr>
              <w:t>2 of 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228600</wp:posOffset>
            </wp:positionV>
            <wp:extent cx="291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October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30,</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line="201" w:lineRule="exact"/>
              <w:rPr>
                <w:sz w:val="20"/>
                <w:szCs w:val="20"/>
                <w:color w:val="auto"/>
              </w:rPr>
            </w:pPr>
            <w:r>
              <w:rPr>
                <w:rFonts w:ascii="Arial" w:cs="Arial" w:eastAsia="Arial" w:hAnsi="Arial"/>
                <w:sz w:val="18"/>
                <w:szCs w:val="18"/>
                <w:color w:val="auto"/>
                <w:w w:val="99"/>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rPr>
              <w:t>(AUDITED)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(NOTE A)</w:t>
            </w:r>
          </w:p>
        </w:tc>
      </w:tr>
      <w:tr>
        <w:trPr>
          <w:trHeight w:val="230"/>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share data)</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7,384</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9,954</w:t>
            </w: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10,418</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2"/>
              </w:rPr>
              <w:t>Accounts receivable, net of allowance for doubtful accounts of $258 at October 31, 2010 and $266 at April 30, 2010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11,855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10,504</w:t>
            </w: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28,954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26,975</w:t>
            </w: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1,141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1,122</w:t>
            </w:r>
          </w:p>
        </w:tc>
      </w:tr>
      <w:tr>
        <w:trPr>
          <w:trHeight w:val="27"/>
        </w:trPr>
        <w:tc>
          <w:tcPr>
            <w:tcW w:w="20" w:type="dxa"/>
            <w:vAlign w:val="bottom"/>
          </w:tcPr>
          <w:p>
            <w:pPr>
              <w:spacing w:after="0"/>
              <w:rPr>
                <w:sz w:val="2"/>
                <w:szCs w:val="2"/>
                <w:color w:val="auto"/>
              </w:rPr>
            </w:pPr>
          </w:p>
        </w:tc>
        <w:tc>
          <w:tcPr>
            <w:tcW w:w="86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63,632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60,640</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6,811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7,015</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9,181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8,917</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Investment in and loans receivable from affiliates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3,813</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86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84,500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81,420</w:t>
            </w:r>
          </w:p>
        </w:tc>
      </w:tr>
      <w:tr>
        <w:trPr>
          <w:trHeight w:val="21"/>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Short-term credit and lease obligations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 trade</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2,496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5,043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5,047</w:t>
            </w:r>
          </w:p>
        </w:tc>
      </w:tr>
      <w:tr>
        <w:trPr>
          <w:trHeight w:val="27"/>
        </w:trPr>
        <w:tc>
          <w:tcPr>
            <w:tcW w:w="20" w:type="dxa"/>
            <w:vAlign w:val="bottom"/>
          </w:tcPr>
          <w:p>
            <w:pPr>
              <w:spacing w:after="0"/>
              <w:rPr>
                <w:sz w:val="2"/>
                <w:szCs w:val="2"/>
                <w:color w:val="auto"/>
              </w:rPr>
            </w:pPr>
          </w:p>
        </w:tc>
        <w:tc>
          <w:tcPr>
            <w:tcW w:w="86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7,308</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Lease obligation- noncurrent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9,737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9,624</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Deferred rent and other liabilities</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664</w:t>
            </w:r>
          </w:p>
        </w:tc>
      </w:tr>
      <w:tr>
        <w:trPr>
          <w:trHeight w:val="27"/>
        </w:trPr>
        <w:tc>
          <w:tcPr>
            <w:tcW w:w="20" w:type="dxa"/>
            <w:vAlign w:val="bottom"/>
          </w:tcPr>
          <w:p>
            <w:pPr>
              <w:spacing w:after="0"/>
              <w:rPr>
                <w:sz w:val="2"/>
                <w:szCs w:val="2"/>
                <w:color w:val="auto"/>
              </w:rPr>
            </w:pPr>
          </w:p>
        </w:tc>
        <w:tc>
          <w:tcPr>
            <w:tcW w:w="86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18,546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18,037</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Preferred stock - $1.00 par value</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Common stock - $1.00 par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49,763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49,580</w:t>
            </w: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5,271</w:t>
            </w: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65,033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64,015</w:t>
            </w:r>
          </w:p>
        </w:tc>
      </w:tr>
      <w:tr>
        <w:trPr>
          <w:trHeight w:val="202"/>
        </w:trPr>
        <w:tc>
          <w:tcPr>
            <w:tcW w:w="20" w:type="dxa"/>
            <w:vAlign w:val="bottom"/>
          </w:tcPr>
          <w:p>
            <w:pPr>
              <w:spacing w:after="0"/>
              <w:rPr>
                <w:sz w:val="17"/>
                <w:szCs w:val="17"/>
                <w:color w:val="auto"/>
              </w:rPr>
            </w:pPr>
          </w:p>
        </w:tc>
        <w:tc>
          <w:tcPr>
            <w:tcW w:w="866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reacquired and held in treasury - at cost (907,590 shares at October 31, 2010 and 946,172 shares 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April 30, 2010)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(4,651)</w:t>
            </w:r>
          </w:p>
        </w:tc>
      </w:tr>
      <w:tr>
        <w:trPr>
          <w:trHeight w:val="216"/>
        </w:trPr>
        <w:tc>
          <w:tcPr>
            <w:tcW w:w="20" w:type="dxa"/>
            <w:vAlign w:val="bottom"/>
          </w:tcPr>
          <w:p>
            <w:pPr>
              <w:spacing w:after="0"/>
              <w:rPr>
                <w:sz w:val="18"/>
                <w:szCs w:val="18"/>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4,019</w:t>
            </w:r>
          </w:p>
        </w:tc>
      </w:tr>
      <w:tr>
        <w:trPr>
          <w:trHeight w:val="27"/>
        </w:trPr>
        <w:tc>
          <w:tcPr>
            <w:tcW w:w="20" w:type="dxa"/>
            <w:vAlign w:val="bottom"/>
          </w:tcPr>
          <w:p>
            <w:pPr>
              <w:spacing w:after="0"/>
              <w:rPr>
                <w:sz w:val="2"/>
                <w:szCs w:val="2"/>
                <w:color w:val="auto"/>
              </w:rPr>
            </w:pPr>
          </w:p>
        </w:tc>
        <w:tc>
          <w:tcPr>
            <w:tcW w:w="86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65,954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63,383</w:t>
            </w: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6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84,500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81,420</w:t>
            </w: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94"/>
              </w:rPr>
              <w:t>FREQUENCY ELECTRONICS, INC. and SUBSIDIARIES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88"/>
              </w:rPr>
              <w:t>Condensed Consolidated Statements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740" w:type="dxa"/>
            <w:vAlign w:val="bottom"/>
            <w:gridSpan w:val="2"/>
          </w:tcPr>
          <w:p>
            <w:pPr>
              <w:jc w:val="center"/>
              <w:ind w:right="770"/>
              <w:spacing w:after="0"/>
              <w:rPr>
                <w:sz w:val="20"/>
                <w:szCs w:val="20"/>
                <w:color w:val="auto"/>
              </w:rPr>
            </w:pPr>
            <w:r>
              <w:rPr>
                <w:rFonts w:ascii="Arial" w:cs="Arial" w:eastAsia="Arial" w:hAnsi="Arial"/>
                <w:sz w:val="18"/>
                <w:szCs w:val="18"/>
                <w:color w:val="auto"/>
                <w:w w:val="91"/>
              </w:rPr>
              <w:t>Six Months Ended October 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740" w:type="dxa"/>
            <w:vAlign w:val="bottom"/>
            <w:gridSpan w:val="2"/>
          </w:tcPr>
          <w:p>
            <w:pPr>
              <w:jc w:val="center"/>
              <w:ind w:right="790"/>
              <w:spacing w:after="0"/>
              <w:rPr>
                <w:sz w:val="20"/>
                <w:szCs w:val="20"/>
                <w:color w:val="auto"/>
              </w:rPr>
            </w:pPr>
            <w:r>
              <w:rPr>
                <w:rFonts w:ascii="Arial" w:cs="Arial" w:eastAsia="Arial" w:hAnsi="Arial"/>
                <w:sz w:val="18"/>
                <w:szCs w:val="18"/>
                <w:color w:val="auto"/>
                <w:w w:val="91"/>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5740" w:type="dxa"/>
            <w:vAlign w:val="bottom"/>
            <w:gridSpan w:val="2"/>
            <w:shd w:val="clear" w:color="auto" w:fill="CCFFCC"/>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24,652</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revenues</w:t>
            </w:r>
          </w:p>
        </w:tc>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Gross margin</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9,550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55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2,389</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Arial" w:cs="Arial" w:eastAsia="Arial" w:hAnsi="Arial"/>
                <w:sz w:val="18"/>
                <w:szCs w:val="18"/>
                <w:color w:val="auto"/>
              </w:rPr>
              <w:t>Operating profit</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FFCC"/>
          </w:tcPr>
          <w:p>
            <w:pPr>
              <w:spacing w:after="0"/>
              <w:rPr>
                <w:sz w:val="18"/>
                <w:szCs w:val="18"/>
                <w:color w:val="auto"/>
              </w:rPr>
            </w:pP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income (expense):</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Investment income</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Equity income (loss)</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Impairment of investment in affiliate</w:t>
            </w: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expense, net</w:t>
            </w:r>
          </w:p>
        </w:tc>
        <w:tc>
          <w:tcPr>
            <w:tcW w:w="55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top w:val="single" w:sz="8" w:color="CCFFCC"/>
            </w:tcBorders>
          </w:tcPr>
          <w:p>
            <w:pPr>
              <w:spacing w:after="0"/>
              <w:rPr>
                <w:sz w:val="20"/>
                <w:szCs w:val="20"/>
                <w:color w:val="auto"/>
              </w:rPr>
            </w:pPr>
            <w:r>
              <w:rPr>
                <w:rFonts w:ascii="Arial" w:cs="Arial" w:eastAsia="Arial" w:hAnsi="Arial"/>
                <w:sz w:val="18"/>
                <w:szCs w:val="18"/>
                <w:color w:val="auto"/>
                <w:w w:val="98"/>
              </w:rPr>
              <w:t>Income before provision for income taxes</w:t>
            </w:r>
          </w:p>
        </w:tc>
        <w:tc>
          <w:tcPr>
            <w:tcW w:w="55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55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5740" w:type="dxa"/>
            <w:vAlign w:val="bottom"/>
            <w:gridSpan w:val="2"/>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835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FFCC"/>
          </w:tcPr>
          <w:p>
            <w:pPr>
              <w:spacing w:after="0"/>
              <w:rPr>
                <w:sz w:val="18"/>
                <w:szCs w:val="18"/>
                <w:color w:val="auto"/>
              </w:rPr>
            </w:pP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5740" w:type="dxa"/>
            <w:vAlign w:val="bottom"/>
            <w:gridSpan w:val="2"/>
            <w:shd w:val="clear" w:color="auto" w:fill="CCFFCC"/>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FFCC"/>
            </w:tcBorders>
            <w:shd w:val="clear" w:color="auto" w:fill="CCFFCC"/>
          </w:tcPr>
          <w:p>
            <w:pPr>
              <w:spacing w:after="0" w:line="20" w:lineRule="exact"/>
              <w:rPr>
                <w:sz w:val="1"/>
                <w:szCs w:val="1"/>
                <w:color w:val="auto"/>
              </w:rPr>
            </w:pPr>
          </w:p>
        </w:tc>
        <w:tc>
          <w:tcPr>
            <w:tcW w:w="55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Arial" w:cs="Arial" w:eastAsia="Arial" w:hAnsi="Arial"/>
                <w:sz w:val="18"/>
                <w:szCs w:val="18"/>
                <w:color w:val="auto"/>
              </w:rPr>
              <w:t>Diluted</w:t>
            </w:r>
          </w:p>
        </w:tc>
        <w:tc>
          <w:tcPr>
            <w:tcW w:w="5740" w:type="dxa"/>
            <w:vAlign w:val="bottom"/>
            <w:gridSpan w:val="2"/>
          </w:tcPr>
          <w:p>
            <w:pPr>
              <w:ind w:left="5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FFCC"/>
          </w:tcPr>
          <w:p>
            <w:pPr>
              <w:spacing w:after="0"/>
              <w:rPr>
                <w:sz w:val="18"/>
                <w:szCs w:val="18"/>
                <w:color w:val="auto"/>
              </w:rPr>
            </w:pPr>
          </w:p>
        </w:tc>
        <w:tc>
          <w:tcPr>
            <w:tcW w:w="55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55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8,242,481</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8,172,643</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480"/>
              <w:spacing w:after="0"/>
              <w:rPr>
                <w:sz w:val="20"/>
                <w:szCs w:val="20"/>
                <w:color w:val="auto"/>
              </w:rPr>
            </w:pPr>
            <w:r>
              <w:rPr>
                <w:rFonts w:ascii="Arial" w:cs="Arial" w:eastAsia="Arial" w:hAnsi="Arial"/>
                <w:sz w:val="18"/>
                <w:szCs w:val="18"/>
                <w:color w:val="auto"/>
              </w:rPr>
              <w:t>Diluted</w:t>
            </w: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8,302,405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8,184,764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520" w:type="dxa"/>
            <w:vAlign w:val="bottom"/>
            <w:gridSpan w:val="2"/>
          </w:tcPr>
          <w:p>
            <w:pPr>
              <w:jc w:val="center"/>
              <w:ind w:right="1010"/>
              <w:spacing w:after="0"/>
              <w:rPr>
                <w:sz w:val="20"/>
                <w:szCs w:val="20"/>
                <w:color w:val="auto"/>
              </w:rPr>
            </w:pPr>
            <w:r>
              <w:rPr>
                <w:rFonts w:ascii="Arial" w:cs="Arial" w:eastAsia="Arial" w:hAnsi="Arial"/>
                <w:sz w:val="18"/>
                <w:szCs w:val="18"/>
                <w:color w:val="auto"/>
                <w:w w:val="94"/>
              </w:rPr>
              <w:t>FREQUENCY ELECTRONICS, INC. and SUBSIDIARIES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520" w:type="dxa"/>
            <w:vAlign w:val="bottom"/>
            <w:gridSpan w:val="2"/>
          </w:tcPr>
          <w:p>
            <w:pPr>
              <w:jc w:val="center"/>
              <w:ind w:right="1010"/>
              <w:spacing w:after="0"/>
              <w:rPr>
                <w:sz w:val="20"/>
                <w:szCs w:val="20"/>
                <w:color w:val="auto"/>
              </w:rPr>
            </w:pPr>
            <w:r>
              <w:rPr>
                <w:rFonts w:ascii="Arial" w:cs="Arial" w:eastAsia="Arial" w:hAnsi="Arial"/>
                <w:sz w:val="18"/>
                <w:szCs w:val="18"/>
                <w:color w:val="auto"/>
                <w:w w:val="88"/>
              </w:rPr>
              <w:t>Condensed Consolidated Statements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520" w:type="dxa"/>
            <w:vAlign w:val="bottom"/>
            <w:gridSpan w:val="2"/>
          </w:tcPr>
          <w:p>
            <w:pPr>
              <w:jc w:val="center"/>
              <w:ind w:right="1010"/>
              <w:spacing w:after="0"/>
              <w:rPr>
                <w:sz w:val="20"/>
                <w:szCs w:val="20"/>
                <w:color w:val="auto"/>
              </w:rPr>
            </w:pPr>
            <w:r>
              <w:rPr>
                <w:rFonts w:ascii="Arial" w:cs="Arial" w:eastAsia="Arial" w:hAnsi="Arial"/>
                <w:sz w:val="18"/>
                <w:szCs w:val="18"/>
                <w:color w:val="auto"/>
                <w:w w:val="90"/>
              </w:rPr>
              <w:t>Three Months Ended October 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520" w:type="dxa"/>
            <w:vAlign w:val="bottom"/>
            <w:gridSpan w:val="2"/>
          </w:tcPr>
          <w:p>
            <w:pPr>
              <w:jc w:val="center"/>
              <w:ind w:right="1010"/>
              <w:spacing w:after="0"/>
              <w:rPr>
                <w:sz w:val="20"/>
                <w:szCs w:val="20"/>
                <w:color w:val="auto"/>
              </w:rPr>
            </w:pPr>
            <w:r>
              <w:rPr>
                <w:rFonts w:ascii="Arial" w:cs="Arial" w:eastAsia="Arial" w:hAnsi="Arial"/>
                <w:sz w:val="18"/>
                <w:szCs w:val="18"/>
                <w:color w:val="auto"/>
                <w:w w:val="91"/>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5520" w:type="dxa"/>
            <w:vAlign w:val="bottom"/>
            <w:gridSpan w:val="2"/>
            <w:shd w:val="clear" w:color="auto" w:fill="CCFFCC"/>
          </w:tcPr>
          <w:p>
            <w:pPr>
              <w:ind w:left="5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12,528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revenues</w:t>
            </w:r>
          </w:p>
        </w:tc>
        <w:tc>
          <w:tcPr>
            <w:tcW w:w="5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Gross margin</w:t>
            </w:r>
          </w:p>
        </w:tc>
        <w:tc>
          <w:tcPr>
            <w:tcW w:w="5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Operating profit</w:t>
            </w:r>
          </w:p>
        </w:tc>
        <w:tc>
          <w:tcPr>
            <w:tcW w:w="5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income (expense):</w:t>
            </w: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Investment income</w:t>
            </w:r>
          </w:p>
        </w:tc>
        <w:tc>
          <w:tcPr>
            <w:tcW w:w="5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Equity loss</w:t>
            </w: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Impairment of investment in affiliate</w:t>
            </w:r>
          </w:p>
        </w:tc>
        <w:tc>
          <w:tcPr>
            <w:tcW w:w="5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expense, net</w:t>
            </w:r>
          </w:p>
        </w:tc>
        <w:tc>
          <w:tcPr>
            <w:tcW w:w="5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52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1"/>
              </w:rPr>
              <w:t>Income (loss) before provision for income taxes</w:t>
            </w: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52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5520" w:type="dxa"/>
            <w:vAlign w:val="bottom"/>
            <w:gridSpan w:val="2"/>
          </w:tcPr>
          <w:p>
            <w:pPr>
              <w:ind w:left="5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FFCC"/>
          </w:tcPr>
          <w:p>
            <w:pPr>
              <w:spacing w:after="0"/>
              <w:rPr>
                <w:sz w:val="18"/>
                <w:szCs w:val="18"/>
                <w:color w:val="auto"/>
              </w:rPr>
            </w:pPr>
          </w:p>
        </w:tc>
        <w:tc>
          <w:tcPr>
            <w:tcW w:w="5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5520" w:type="dxa"/>
            <w:vAlign w:val="bottom"/>
            <w:gridSpan w:val="2"/>
            <w:shd w:val="clear" w:color="auto" w:fill="CCFFCC"/>
          </w:tcPr>
          <w:p>
            <w:pPr>
              <w:ind w:left="5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FFCC"/>
            </w:tcBorders>
            <w:shd w:val="clear" w:color="auto" w:fill="CCFFCC"/>
          </w:tcPr>
          <w:p>
            <w:pPr>
              <w:spacing w:after="0" w:line="20" w:lineRule="exact"/>
              <w:rPr>
                <w:sz w:val="1"/>
                <w:szCs w:val="1"/>
                <w:color w:val="auto"/>
              </w:rPr>
            </w:pPr>
          </w:p>
        </w:tc>
        <w:tc>
          <w:tcPr>
            <w:tcW w:w="52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Diluted</w:t>
            </w:r>
          </w:p>
        </w:tc>
        <w:tc>
          <w:tcPr>
            <w:tcW w:w="5520" w:type="dxa"/>
            <w:vAlign w:val="bottom"/>
            <w:gridSpan w:val="2"/>
          </w:tcPr>
          <w:p>
            <w:pPr>
              <w:ind w:left="5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FFCC"/>
          </w:tcPr>
          <w:p>
            <w:pPr>
              <w:spacing w:after="0"/>
              <w:rPr>
                <w:sz w:val="18"/>
                <w:szCs w:val="18"/>
                <w:color w:val="auto"/>
              </w:rPr>
            </w:pPr>
          </w:p>
        </w:tc>
        <w:tc>
          <w:tcPr>
            <w:tcW w:w="5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8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52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8,251,391</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8,180,659</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Diluted</w:t>
            </w: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8,323,303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8,180,659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4"/>
              </w:rPr>
              <w:t>FREQUENCY ELECTRONICS, INC. and SUBSIDIARIES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color w:val="auto"/>
                <w:w w:val="89"/>
              </w:rPr>
              <w:t>Condensed Consolidated Statements of Cash Flows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color w:val="auto"/>
                <w:w w:val="91"/>
              </w:rPr>
              <w:t>Six Months Ended October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835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charges to earnings and non-operating income or loss, net</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changes in operating assets and liabilities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(1,842)</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Proceeds from sale of marketable securities and investments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Purchase of marketable securities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Purchase of fixed assets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Payment of short-term credit and lease obligations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(3,656)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1,086</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(2,570)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9,954</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7,384</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FFCC"/>
            </w:tcBorders>
          </w:tcPr>
          <w:p>
            <w:pPr>
              <w:ind w:left="640"/>
              <w:spacing w:after="0"/>
              <w:rPr>
                <w:sz w:val="20"/>
                <w:szCs w:val="20"/>
                <w:color w:val="auto"/>
              </w:rPr>
            </w:pPr>
            <w:r>
              <w:rPr>
                <w:rFonts w:ascii="Arial" w:cs="Arial" w:eastAsia="Arial" w:hAnsi="Arial"/>
                <w:sz w:val="18"/>
                <w:szCs w:val="18"/>
                <w:color w:val="auto"/>
              </w:rPr>
              <w:t>Income Taxes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2010 and the results of its operations and cash flows for the six and three months ended October 31, 2010 and 2009. The April 30, 2010 condensed consolidated balance sheet was derived from audited financial statements. Certain information and footnote disclosures normally included in financial statements prepared in accordance with generally accepted accounting principles have been condensed or omitted. These condensed consolidated financial statements should be read in conjunction with the financial statements and notes thereto included in the Company's April 30, 2010 Annual Report to Stockholders on Form 10-K. The results of operations for such interim periods are not necessarily indicative of the operating results for the full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Six months</w:t>
            </w:r>
          </w:p>
        </w:tc>
        <w:tc>
          <w:tcPr>
            <w:tcW w:w="200" w:type="dxa"/>
            <w:vAlign w:val="bottom"/>
          </w:tcPr>
          <w:p>
            <w:pPr>
              <w:spacing w:after="0"/>
              <w:rPr>
                <w:sz w:val="20"/>
                <w:szCs w:val="20"/>
                <w:color w:val="auto"/>
              </w:rPr>
            </w:pPr>
          </w:p>
        </w:tc>
        <w:tc>
          <w:tcPr>
            <w:tcW w:w="22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130"/>
              <w:spacing w:after="0" w:line="201" w:lineRule="exact"/>
              <w:rPr>
                <w:sz w:val="20"/>
                <w:szCs w:val="20"/>
                <w:color w:val="auto"/>
              </w:rPr>
            </w:pPr>
            <w:r>
              <w:rPr>
                <w:rFonts w:ascii="Arial" w:cs="Arial" w:eastAsia="Arial" w:hAnsi="Arial"/>
                <w:sz w:val="18"/>
                <w:szCs w:val="18"/>
                <w:color w:val="auto"/>
                <w:w w:val="93"/>
              </w:rPr>
              <w:t>Periods ended October 31,</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1260" w:type="dxa"/>
            <w:vAlign w:val="bottom"/>
            <w:gridSpan w:val="2"/>
          </w:tcPr>
          <w:p>
            <w:pPr>
              <w:jc w:val="right"/>
              <w:ind w:right="250"/>
              <w:spacing w:after="0"/>
              <w:rPr>
                <w:sz w:val="20"/>
                <w:szCs w:val="20"/>
                <w:color w:val="auto"/>
              </w:rPr>
            </w:pPr>
            <w:r>
              <w:rPr>
                <w:rFonts w:ascii="Arial" w:cs="Arial" w:eastAsia="Arial" w:hAnsi="Arial"/>
                <w:sz w:val="18"/>
                <w:szCs w:val="18"/>
                <w:color w:val="auto"/>
              </w:rPr>
              <w:t>2009</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2010</w:t>
            </w: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10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0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8,242,481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8,172,643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8,251,391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8,180,659</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Effect of dilutive securities</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59,924</w:t>
            </w:r>
          </w:p>
        </w:tc>
        <w:tc>
          <w:tcPr>
            <w:tcW w:w="22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12,121</w:t>
            </w:r>
          </w:p>
        </w:tc>
        <w:tc>
          <w:tcPr>
            <w:tcW w:w="20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71,912</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00"/>
              <w:spacing w:after="0"/>
              <w:rPr>
                <w:sz w:val="20"/>
                <w:szCs w:val="20"/>
                <w:color w:val="auto"/>
              </w:rPr>
            </w:pPr>
            <w:r>
              <w:rPr>
                <w:rFonts w:ascii="Arial" w:cs="Arial" w:eastAsia="Arial" w:hAnsi="Arial"/>
                <w:sz w:val="18"/>
                <w:szCs w:val="18"/>
                <w:color w:val="auto"/>
              </w:rPr>
              <w:t>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8,302,405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8,184,764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8,323,303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8,180,659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820" w:right="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Dilutive securities are excluded for the three month period ended October 31, 2009 since the inclusion of such shares would be antidilutive due to the net loss for the period then ended.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7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w w:val="94"/>
              </w:rPr>
              <w:t>Six months</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5"/>
          </w:tcPr>
          <w:p>
            <w:pPr>
              <w:jc w:val="right"/>
              <w:ind w:right="540"/>
              <w:spacing w:after="0" w:line="201" w:lineRule="exact"/>
              <w:rPr>
                <w:sz w:val="20"/>
                <w:szCs w:val="20"/>
                <w:color w:val="auto"/>
              </w:rPr>
            </w:pPr>
            <w:r>
              <w:rPr>
                <w:rFonts w:ascii="Arial" w:cs="Arial" w:eastAsia="Arial" w:hAnsi="Arial"/>
                <w:sz w:val="18"/>
                <w:szCs w:val="18"/>
                <w:color w:val="auto"/>
                <w:w w:val="99"/>
              </w:rPr>
              <w:t>Periods ended October 31,</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2009</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Outstanding options and SARS excluded</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966,775</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869,213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966,775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869,213</w:t>
            </w:r>
          </w:p>
        </w:tc>
      </w:tr>
      <w:tr>
        <w:trPr>
          <w:trHeight w:val="27"/>
        </w:trPr>
        <w:tc>
          <w:tcPr>
            <w:tcW w:w="20" w:type="dxa"/>
            <w:vAlign w:val="bottom"/>
          </w:tcPr>
          <w:p>
            <w:pPr>
              <w:spacing w:after="0"/>
              <w:rPr>
                <w:sz w:val="2"/>
                <w:szCs w:val="2"/>
                <w:color w:val="auto"/>
              </w:rPr>
            </w:pPr>
          </w:p>
        </w:tc>
        <w:tc>
          <w:tcPr>
            <w:tcW w:w="60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2010 and April 30, 2010, costs and estimated earnings in excess of billings, net, consist of the following:</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w w:val="89"/>
              </w:rPr>
              <w:t>October 31, 2010</w:t>
            </w:r>
          </w:p>
        </w:tc>
        <w:tc>
          <w:tcPr>
            <w:tcW w:w="100" w:type="dxa"/>
            <w:vAlign w:val="bottom"/>
          </w:tcPr>
          <w:p>
            <w:pPr>
              <w:spacing w:after="0"/>
              <w:rPr>
                <w:sz w:val="20"/>
                <w:szCs w:val="20"/>
                <w:color w:val="auto"/>
              </w:rPr>
            </w:pPr>
          </w:p>
        </w:tc>
        <w:tc>
          <w:tcPr>
            <w:tcW w:w="1220" w:type="dxa"/>
            <w:vAlign w:val="bottom"/>
            <w:gridSpan w:val="4"/>
          </w:tcPr>
          <w:p>
            <w:pPr>
              <w:ind w:left="80"/>
              <w:spacing w:after="0"/>
              <w:rPr>
                <w:sz w:val="20"/>
                <w:szCs w:val="20"/>
                <w:color w:val="auto"/>
              </w:rPr>
            </w:pPr>
            <w:r>
              <w:rPr>
                <w:rFonts w:ascii="Arial" w:cs="Arial" w:eastAsia="Arial" w:hAnsi="Arial"/>
                <w:sz w:val="18"/>
                <w:szCs w:val="18"/>
                <w:color w:val="auto"/>
              </w:rPr>
              <w:t>April 30, 2010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gridSpan w:val="2"/>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4"/>
          </w:tcPr>
          <w:p>
            <w:pPr>
              <w:ind w:left="300"/>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Costs and estimated earnings in excess of billings</w:t>
            </w:r>
          </w:p>
        </w:tc>
        <w:tc>
          <w:tcPr>
            <w:tcW w:w="2180" w:type="dxa"/>
            <w:vAlign w:val="bottom"/>
            <w:gridSpan w:val="2"/>
            <w:shd w:val="clear" w:color="auto" w:fill="CCFFCC"/>
          </w:tcPr>
          <w:p>
            <w:pPr>
              <w:ind w:left="1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2,917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Net asset</w:t>
            </w:r>
          </w:p>
        </w:tc>
        <w:tc>
          <w:tcPr>
            <w:tcW w:w="176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FFCC"/>
          </w:tcPr>
          <w:p>
            <w:pPr>
              <w:spacing w:after="0"/>
              <w:rPr>
                <w:sz w:val="20"/>
                <w:szCs w:val="20"/>
                <w:color w:val="auto"/>
              </w:rPr>
            </w:pP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FFCC"/>
            </w:tcBorders>
            <w:shd w:val="clear" w:color="auto" w:fill="CCFFCC"/>
          </w:tcPr>
          <w:p>
            <w:pPr>
              <w:spacing w:after="0" w:line="20" w:lineRule="exact"/>
              <w:rPr>
                <w:sz w:val="1"/>
                <w:szCs w:val="1"/>
                <w:color w:val="auto"/>
              </w:rPr>
            </w:pPr>
          </w:p>
        </w:tc>
        <w:tc>
          <w:tcPr>
            <w:tcW w:w="176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six and three months ended October 31, 2010, revenue recognized under percentage of completion contracts was approximately $10.5 million and $5.5 million, respectively. For the six and three months ended October 31, 2009, such revenue was approximately $9.7 million and $5.1 million,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Inventories, which are reported at the lower of cost or market at October 31, 2010 and April 30, 2010, respectively, consist of the following:</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w w:val="89"/>
              </w:rPr>
              <w:t>October 31, 2010</w:t>
            </w:r>
          </w:p>
        </w:tc>
        <w:tc>
          <w:tcPr>
            <w:tcW w:w="1320" w:type="dxa"/>
            <w:vAlign w:val="bottom"/>
            <w:gridSpan w:val="4"/>
          </w:tcPr>
          <w:p>
            <w:pPr>
              <w:ind w:left="180"/>
              <w:spacing w:after="0"/>
              <w:rPr>
                <w:sz w:val="20"/>
                <w:szCs w:val="20"/>
                <w:color w:val="auto"/>
              </w:rPr>
            </w:pPr>
            <w:r>
              <w:rPr>
                <w:rFonts w:ascii="Arial" w:cs="Arial" w:eastAsia="Arial" w:hAnsi="Arial"/>
                <w:sz w:val="18"/>
                <w:szCs w:val="18"/>
                <w:color w:val="auto"/>
              </w:rPr>
              <w:t>April 30, 2010</w:t>
            </w: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ind w:left="300"/>
              <w:spacing w:after="0"/>
              <w:rPr>
                <w:sz w:val="20"/>
                <w:szCs w:val="20"/>
                <w:color w:val="auto"/>
              </w:rPr>
            </w:pPr>
            <w:r>
              <w:rPr>
                <w:rFonts w:ascii="Arial" w:cs="Arial" w:eastAsia="Arial" w:hAnsi="Arial"/>
                <w:sz w:val="18"/>
                <w:szCs w:val="18"/>
                <w:color w:val="auto"/>
                <w:w w:val="99"/>
              </w:rPr>
              <w:t>(In thousands)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11,679</w:t>
            </w:r>
          </w:p>
        </w:tc>
        <w:tc>
          <w:tcPr>
            <w:tcW w:w="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13,192</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Work in Progress</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14,224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11,039</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3,051</w:t>
            </w:r>
          </w:p>
        </w:tc>
        <w:tc>
          <w:tcPr>
            <w:tcW w:w="18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2,744</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28,954</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26,975</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October 31, 2010 and April 30, 2010, approximately $18.6 million and $18.2 million, respectively, of total inventory is located in the United States, approximately $9.6 million and $7.9 million, respectively, is located in Belgium and approximately $800,000 and $900,000, respectively, is located in China.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 and three months ended October 31, 2010 and 2009, comprehensive income is composed of (in thousands):</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jc w:val="right"/>
              <w:ind w:right="150"/>
              <w:spacing w:after="0" w:line="201" w:lineRule="exact"/>
              <w:rPr>
                <w:sz w:val="20"/>
                <w:szCs w:val="20"/>
                <w:color w:val="auto"/>
              </w:rPr>
            </w:pPr>
            <w:r>
              <w:rPr>
                <w:rFonts w:ascii="Arial" w:cs="Arial" w:eastAsia="Arial" w:hAnsi="Arial"/>
                <w:sz w:val="18"/>
                <w:szCs w:val="18"/>
                <w:color w:val="auto"/>
                <w:w w:val="98"/>
              </w:rPr>
              <w:t>Periods ended October 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835</w:t>
            </w:r>
          </w:p>
        </w:tc>
        <w:tc>
          <w:tcPr>
            <w:tcW w:w="54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525</w:t>
            </w: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w:t>
            </w: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Change in market value of marketable securities</w:t>
            </w:r>
          </w:p>
        </w:tc>
        <w:tc>
          <w:tcPr>
            <w:tcW w:w="22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CFFCC"/>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2,116</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140" w:hanging="484"/>
        <w:spacing w:after="0" w:line="256"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484"/>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484"/>
        <w:spacing w:after="0" w:line="30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FEI-Asia functions primarily as a manufacturing facility for the FEI-NY segment.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color w:val="auto"/>
                <w:w w:val="96"/>
              </w:rPr>
              <w:t>Six months</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9"/>
          </w:tcPr>
          <w:p>
            <w:pPr>
              <w:jc w:val="right"/>
              <w:ind w:right="540"/>
              <w:spacing w:after="0" w:line="201" w:lineRule="exact"/>
              <w:rPr>
                <w:sz w:val="20"/>
                <w:szCs w:val="20"/>
                <w:color w:val="auto"/>
              </w:rPr>
            </w:pPr>
            <w:r>
              <w:rPr>
                <w:rFonts w:ascii="Arial" w:cs="Arial" w:eastAsia="Arial" w:hAnsi="Arial"/>
                <w:sz w:val="18"/>
                <w:szCs w:val="18"/>
                <w:color w:val="auto"/>
                <w:w w:val="89"/>
              </w:rPr>
              <w:t>Periods ended October 31,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2009</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FEI-NY</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15,168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7,527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Gillam-FEI</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5,203</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4,975</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FEI-Zyfer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6,828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less intersegment revenues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(1,981)</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Consolidated revenues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24,652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23,836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12,528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 (loss):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FEI-NY</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1,465</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Gillam-FEI</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FEI-Zyfer</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Consolidated operating profit</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1,601</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w w:val="96"/>
              </w:rPr>
              <w:t>October 31, 2010</w:t>
            </w:r>
          </w:p>
        </w:tc>
        <w:tc>
          <w:tcPr>
            <w:tcW w:w="1120" w:type="dxa"/>
            <w:vAlign w:val="bottom"/>
            <w:gridSpan w:val="4"/>
          </w:tcPr>
          <w:p>
            <w:pPr>
              <w:ind w:left="60"/>
              <w:spacing w:after="0"/>
              <w:rPr>
                <w:sz w:val="20"/>
                <w:szCs w:val="20"/>
                <w:color w:val="auto"/>
              </w:rPr>
            </w:pPr>
            <w:r>
              <w:rPr>
                <w:rFonts w:ascii="Arial" w:cs="Arial" w:eastAsia="Arial" w:hAnsi="Arial"/>
                <w:sz w:val="18"/>
                <w:szCs w:val="18"/>
                <w:color w:val="auto"/>
                <w:w w:val="93"/>
              </w:rPr>
              <w:t>April 30, 2010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FEI-NY (approximately $3.6 million in China)</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35,854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35,462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 (all in Belgium or France)</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21,345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19,594</w:t>
            </w: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7,741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balances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(13,365)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(14,655)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32,925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33,606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126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84,500</w:t>
            </w:r>
          </w:p>
        </w:tc>
        <w:tc>
          <w:tcPr>
            <w:tcW w:w="120" w:type="dxa"/>
            <w:vAlign w:val="bottom"/>
            <w:tcBorders>
              <w:bottom w:val="single" w:sz="8" w:color="CCFFCC"/>
            </w:tcBorders>
            <w:shd w:val="clear" w:color="auto" w:fill="CCFFCC"/>
          </w:tcPr>
          <w:p>
            <w:pPr>
              <w:spacing w:after="0"/>
              <w:rPr>
                <w:sz w:val="22"/>
                <w:szCs w:val="22"/>
                <w:color w:val="auto"/>
              </w:rPr>
            </w:pP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81,420</w:t>
            </w:r>
          </w:p>
        </w:tc>
        <w:tc>
          <w:tcPr>
            <w:tcW w:w="100" w:type="dxa"/>
            <w:vAlign w:val="bottom"/>
            <w:tcBorders>
              <w:bottom w:val="single" w:sz="8" w:color="CCFFCC"/>
            </w:tcBorders>
            <w:shd w:val="clear" w:color="auto" w:fill="CCFFCC"/>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RELATED PARTY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equity interests in two strategically important companies: Elcom Technologies, Inc. (“Elcom”) and Morion Inc. (“Morion”), accounted for on the equity and cost basis, respectively. During the six and three month periods ended October 31, 2010 and 2009, the Company acquired technical services from Elcom, purchased crystal oscillator products from Morion and sold certain of its products to both companies. The Company also receives interest from Elcom under two notes receivable. The table below summarizes these transactions: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Three months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2"/>
        </w:trPr>
        <w:tc>
          <w:tcPr>
            <w:tcW w:w="8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right"/>
              <w:ind w:right="30"/>
              <w:spacing w:after="0" w:line="201" w:lineRule="exact"/>
              <w:rPr>
                <w:sz w:val="20"/>
                <w:szCs w:val="20"/>
                <w:color w:val="auto"/>
              </w:rPr>
            </w:pPr>
            <w:r>
              <w:rPr>
                <w:rFonts w:ascii="Arial" w:cs="Arial" w:eastAsia="Arial" w:hAnsi="Arial"/>
                <w:sz w:val="18"/>
                <w:szCs w:val="18"/>
                <w:color w:val="auto"/>
                <w:w w:val="91"/>
              </w:rPr>
              <w:t>Periods ended October 31,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2009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right"/>
              <w:ind w:right="4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Purchases from:</w:t>
            </w:r>
          </w:p>
        </w:tc>
        <w:tc>
          <w:tcPr>
            <w:tcW w:w="1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640"/>
              <w:spacing w:after="0"/>
              <w:rPr>
                <w:sz w:val="20"/>
                <w:szCs w:val="20"/>
                <w:color w:val="auto"/>
              </w:rPr>
            </w:pPr>
            <w:r>
              <w:rPr>
                <w:rFonts w:ascii="Arial" w:cs="Arial" w:eastAsia="Arial" w:hAnsi="Arial"/>
                <w:sz w:val="18"/>
                <w:szCs w:val="18"/>
                <w:color w:val="auto"/>
              </w:rPr>
              <w:t>Elcom</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Morion</w:t>
            </w:r>
          </w:p>
        </w:tc>
        <w:tc>
          <w:tcPr>
            <w:tcW w:w="1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Sales to:</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Elcom</w:t>
            </w: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4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20" w:type="dxa"/>
            <w:vAlign w:val="bottom"/>
          </w:tcPr>
          <w:p>
            <w:pPr>
              <w:ind w:left="640"/>
              <w:spacing w:after="0"/>
              <w:rPr>
                <w:sz w:val="20"/>
                <w:szCs w:val="20"/>
                <w:color w:val="auto"/>
              </w:rPr>
            </w:pPr>
            <w:r>
              <w:rPr>
                <w:rFonts w:ascii="Arial" w:cs="Arial" w:eastAsia="Arial" w:hAnsi="Arial"/>
                <w:sz w:val="18"/>
                <w:szCs w:val="18"/>
                <w:color w:val="auto"/>
              </w:rPr>
              <w:t>Morion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Interest on Elcom notes receivable</w:t>
            </w: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4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r>
      <w:tr>
        <w:trPr>
          <w:trHeight w:val="608"/>
        </w:trPr>
        <w:tc>
          <w:tcPr>
            <w:tcW w:w="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9 of 20</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measures the current market value of Elcom based on comparisons to comparable companies as well as Elcom’s forecasts of future financial results. For the year ended April 30, 2010, in addition to its equity share in the income or loss of Elcom during the year, the Company determined that its investment was impaired and recorded impairment charges in the amount $550,000 for fiscal year 2010, of which $200,000 was recorded during the six and three months ended October 31, 2009. No impairment charges were recorded during the six and three months ended October 31,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October 31, 2010 and April 30, 2010 are as follows (in thousands):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color w:val="auto"/>
              </w:rPr>
              <w:t>October 31, 2010</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7"/>
                <w:szCs w:val="17"/>
                <w:color w:val="auto"/>
              </w:rPr>
            </w:pPr>
          </w:p>
        </w:tc>
        <w:tc>
          <w:tcPr>
            <w:tcW w:w="86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Fixed income debt securities</w:t>
            </w:r>
          </w:p>
        </w:tc>
        <w:tc>
          <w:tcPr>
            <w:tcW w:w="1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10,566</w:t>
            </w: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w:t>
            </w:r>
          </w:p>
        </w:tc>
        <w:tc>
          <w:tcPr>
            <w:tcW w:w="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10,896</w:t>
            </w:r>
          </w:p>
        </w:tc>
        <w:tc>
          <w:tcPr>
            <w:tcW w:w="10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1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740" w:type="dxa"/>
            <w:vAlign w:val="bottom"/>
            <w:shd w:val="clear" w:color="auto" w:fill="CCFFCC"/>
          </w:tcPr>
          <w:p>
            <w:pPr>
              <w:spacing w:after="0"/>
              <w:rPr>
                <w:sz w:val="20"/>
                <w:szCs w:val="20"/>
                <w:color w:val="auto"/>
              </w:rPr>
            </w:pPr>
          </w:p>
        </w:tc>
        <w:tc>
          <w:tcPr>
            <w:tcW w:w="1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11,016</w:t>
            </w: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585</w:t>
            </w:r>
          </w:p>
        </w:tc>
        <w:tc>
          <w:tcPr>
            <w:tcW w:w="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shd w:val="clear" w:color="auto" w:fill="CCFFC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FFCC"/>
            </w:tcBorders>
            <w:shd w:val="clear" w:color="auto" w:fill="CCFFCC"/>
          </w:tcPr>
          <w:p>
            <w:pPr>
              <w:spacing w:after="0" w:line="20" w:lineRule="exact"/>
              <w:rPr>
                <w:sz w:val="1"/>
                <w:szCs w:val="1"/>
                <w:color w:val="auto"/>
              </w:rPr>
            </w:pPr>
          </w:p>
        </w:tc>
        <w:tc>
          <w:tcPr>
            <w:tcW w:w="17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April 30, 2010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7"/>
                <w:szCs w:val="17"/>
                <w:color w:val="auto"/>
              </w:rPr>
            </w:pPr>
          </w:p>
        </w:tc>
        <w:tc>
          <w:tcPr>
            <w:tcW w:w="86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Fixed income debt securities</w:t>
            </w:r>
          </w:p>
        </w:tc>
        <w:tc>
          <w:tcPr>
            <w:tcW w:w="1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9,606</w:t>
            </w: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w:t>
            </w:r>
          </w:p>
        </w:tc>
        <w:tc>
          <w:tcPr>
            <w:tcW w:w="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9,777</w:t>
            </w:r>
          </w:p>
        </w:tc>
        <w:tc>
          <w:tcPr>
            <w:tcW w:w="10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1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740" w:type="dxa"/>
            <w:vAlign w:val="bottom"/>
            <w:shd w:val="clear" w:color="auto" w:fill="CCFFCC"/>
          </w:tcPr>
          <w:p>
            <w:pPr>
              <w:spacing w:after="0"/>
              <w:rPr>
                <w:sz w:val="20"/>
                <w:szCs w:val="20"/>
                <w:color w:val="auto"/>
              </w:rPr>
            </w:pPr>
          </w:p>
        </w:tc>
        <w:tc>
          <w:tcPr>
            <w:tcW w:w="1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10,056</w:t>
            </w: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w:t>
            </w:r>
          </w:p>
        </w:tc>
        <w:tc>
          <w:tcPr>
            <w:tcW w:w="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shd w:val="clear" w:color="auto" w:fill="CCFFC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FFCC"/>
            </w:tcBorders>
            <w:shd w:val="clear" w:color="auto" w:fill="CCFFCC"/>
          </w:tcPr>
          <w:p>
            <w:pPr>
              <w:spacing w:after="0" w:line="20" w:lineRule="exact"/>
              <w:rPr>
                <w:sz w:val="1"/>
                <w:szCs w:val="1"/>
                <w:color w:val="auto"/>
              </w:rPr>
            </w:pPr>
          </w:p>
        </w:tc>
        <w:tc>
          <w:tcPr>
            <w:tcW w:w="17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color w:val="auto"/>
              </w:rPr>
              <w:t>12 Months or more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10"/>
              <w:spacing w:after="0" w:line="201" w:lineRule="exact"/>
              <w:rPr>
                <w:sz w:val="20"/>
                <w:szCs w:val="20"/>
                <w:color w:val="auto"/>
              </w:rPr>
            </w:pPr>
            <w:r>
              <w:rPr>
                <w:rFonts w:ascii="Arial" w:cs="Arial" w:eastAsia="Arial" w:hAnsi="Arial"/>
                <w:sz w:val="18"/>
                <w:szCs w:val="18"/>
                <w:color w:val="auto"/>
              </w:rPr>
              <w:t>Fair</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0"/>
              <w:spacing w:after="0" w:line="201" w:lineRule="exact"/>
              <w:rPr>
                <w:sz w:val="20"/>
                <w:szCs w:val="20"/>
                <w:color w:val="auto"/>
              </w:rPr>
            </w:pPr>
            <w:r>
              <w:rPr>
                <w:rFonts w:ascii="Arial" w:cs="Arial" w:eastAsia="Arial" w:hAnsi="Arial"/>
                <w:sz w:val="18"/>
                <w:szCs w:val="18"/>
                <w:color w:val="auto"/>
              </w:rPr>
              <w:t>Fair</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Fair</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Losses</w:t>
            </w: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shd w:val="clear" w:color="auto" w:fill="CCFFCC"/>
          </w:tcPr>
          <w:p>
            <w:pPr>
              <w:ind w:left="140"/>
              <w:spacing w:after="0"/>
              <w:rPr>
                <w:sz w:val="20"/>
                <w:szCs w:val="20"/>
                <w:color w:val="auto"/>
              </w:rPr>
            </w:pPr>
            <w:r>
              <w:rPr>
                <w:rFonts w:ascii="Arial" w:cs="Arial" w:eastAsia="Arial" w:hAnsi="Arial"/>
                <w:sz w:val="18"/>
                <w:szCs w:val="18"/>
                <w:color w:val="auto"/>
              </w:rPr>
              <w:t>October 31, 2010</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CCFFCC"/>
            </w:tcBorders>
            <w:shd w:val="clear" w:color="auto" w:fill="CCFFCC"/>
          </w:tcPr>
          <w:p>
            <w:pPr>
              <w:spacing w:after="0"/>
              <w:rPr>
                <w:sz w:val="19"/>
                <w:szCs w:val="19"/>
                <w:color w:val="auto"/>
              </w:rPr>
            </w:pPr>
          </w:p>
        </w:tc>
        <w:tc>
          <w:tcPr>
            <w:tcW w:w="860" w:type="dxa"/>
            <w:vAlign w:val="bottom"/>
            <w:tcBorders>
              <w:top w:val="single" w:sz="8" w:color="auto"/>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CCFFCC"/>
            </w:tcBorders>
            <w:shd w:val="clear" w:color="auto" w:fill="CCFFCC"/>
          </w:tcPr>
          <w:p>
            <w:pPr>
              <w:spacing w:after="0"/>
              <w:rPr>
                <w:sz w:val="19"/>
                <w:szCs w:val="19"/>
                <w:color w:val="auto"/>
              </w:rPr>
            </w:pPr>
          </w:p>
        </w:tc>
        <w:tc>
          <w:tcPr>
            <w:tcW w:w="960" w:type="dxa"/>
            <w:vAlign w:val="bottom"/>
            <w:tcBorders>
              <w:top w:val="single" w:sz="8" w:color="auto"/>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CCFFCC"/>
            </w:tcBorders>
            <w:shd w:val="clear" w:color="auto" w:fill="CCFFCC"/>
          </w:tcPr>
          <w:p>
            <w:pPr>
              <w:spacing w:after="0"/>
              <w:rPr>
                <w:sz w:val="19"/>
                <w:szCs w:val="19"/>
                <w:color w:val="auto"/>
              </w:rPr>
            </w:pPr>
          </w:p>
        </w:tc>
        <w:tc>
          <w:tcPr>
            <w:tcW w:w="880" w:type="dxa"/>
            <w:vAlign w:val="bottom"/>
            <w:tcBorders>
              <w:top w:val="single" w:sz="8" w:color="auto"/>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CCFFCC"/>
            </w:tcBorders>
            <w:shd w:val="clear" w:color="auto" w:fill="CCFFCC"/>
          </w:tcPr>
          <w:p>
            <w:pPr>
              <w:spacing w:after="0"/>
              <w:rPr>
                <w:sz w:val="19"/>
                <w:szCs w:val="19"/>
                <w:color w:val="auto"/>
              </w:rPr>
            </w:pPr>
          </w:p>
        </w:tc>
        <w:tc>
          <w:tcPr>
            <w:tcW w:w="980" w:type="dxa"/>
            <w:vAlign w:val="bottom"/>
            <w:tcBorders>
              <w:top w:val="single" w:sz="8" w:color="auto"/>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CCFFCC"/>
            </w:tcBorders>
            <w:shd w:val="clear" w:color="auto" w:fill="CCFFCC"/>
          </w:tcPr>
          <w:p>
            <w:pPr>
              <w:spacing w:after="0"/>
              <w:rPr>
                <w:sz w:val="19"/>
                <w:szCs w:val="19"/>
                <w:color w:val="auto"/>
              </w:rPr>
            </w:pPr>
          </w:p>
        </w:tc>
        <w:tc>
          <w:tcPr>
            <w:tcW w:w="880" w:type="dxa"/>
            <w:vAlign w:val="bottom"/>
            <w:tcBorders>
              <w:top w:val="single" w:sz="8" w:color="auto"/>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CCFFCC"/>
            </w:tcBorders>
            <w:shd w:val="clear" w:color="auto" w:fill="CCFFCC"/>
          </w:tcPr>
          <w:p>
            <w:pPr>
              <w:spacing w:after="0"/>
              <w:rPr>
                <w:sz w:val="19"/>
                <w:szCs w:val="19"/>
                <w:color w:val="auto"/>
              </w:rPr>
            </w:pPr>
          </w:p>
        </w:tc>
        <w:tc>
          <w:tcPr>
            <w:tcW w:w="960" w:type="dxa"/>
            <w:vAlign w:val="bottom"/>
            <w:tcBorders>
              <w:top w:val="single" w:sz="8" w:color="auto"/>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Fixed income debt securities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Borders>
              <w:bottom w:val="single" w:sz="8" w:color="auto"/>
            </w:tcBorders>
            <w:shd w:val="clear" w:color="auto" w:fill="CCFFCC"/>
          </w:tcPr>
          <w:p>
            <w:pPr>
              <w:ind w:left="140"/>
              <w:spacing w:after="0"/>
              <w:rPr>
                <w:sz w:val="20"/>
                <w:szCs w:val="20"/>
                <w:color w:val="auto"/>
              </w:rPr>
            </w:pPr>
            <w:r>
              <w:rPr>
                <w:rFonts w:ascii="Arial" w:cs="Arial" w:eastAsia="Arial" w:hAnsi="Arial"/>
                <w:sz w:val="18"/>
                <w:szCs w:val="18"/>
                <w:color w:val="auto"/>
              </w:rPr>
              <w:t>April 30, 2010</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Fixed income debt securities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2010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October 31, 2010, the Company redeemed an available-for-sale security in the amount of $1,500,000 and realized a loss of $27,800 on the transaction which is included in the determination of net income for the period. During the six and three months ended October 31, 2009, the Company did not sell or redeem any available-for-sale securities. Accordingly, there were no realized gains or losses included in the determination of net income for that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Maturities of fixed income debt securities, which include corporate and government agency debt securities classified as available-for-sale at October 31, 2010 are as follows, at cost (in thousands):</w:t>
      </w:r>
    </w:p>
    <w:p>
      <w:pPr>
        <w:spacing w:after="0" w:line="212"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FFC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7,066</w:t>
            </w:r>
          </w:p>
        </w:tc>
        <w:tc>
          <w:tcPr>
            <w:tcW w:w="60" w:type="dxa"/>
            <w:vAlign w:val="bottom"/>
          </w:tcPr>
          <w:p>
            <w:pPr>
              <w:spacing w:after="0"/>
              <w:rPr>
                <w:sz w:val="18"/>
                <w:szCs w:val="18"/>
                <w:color w:val="auto"/>
              </w:rPr>
            </w:pPr>
          </w:p>
        </w:tc>
      </w:tr>
      <w:tr>
        <w:trPr>
          <w:trHeight w:val="223"/>
        </w:trPr>
        <w:tc>
          <w:tcPr>
            <w:tcW w:w="60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160" w:type="dxa"/>
            <w:vAlign w:val="bottom"/>
            <w:tcBorders>
              <w:bottom w:val="single" w:sz="8" w:color="auto"/>
            </w:tcBorders>
            <w:shd w:val="clear" w:color="auto" w:fill="CCFFCC"/>
          </w:tcPr>
          <w:p>
            <w:pPr>
              <w:spacing w:after="0"/>
              <w:rPr>
                <w:sz w:val="19"/>
                <w:szCs w:val="19"/>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16"/>
        </w:trPr>
        <w:tc>
          <w:tcPr>
            <w:tcW w:w="60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10,566</w:t>
            </w:r>
          </w:p>
        </w:tc>
        <w:tc>
          <w:tcPr>
            <w:tcW w:w="60" w:type="dxa"/>
            <w:vAlign w:val="bottom"/>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 whereby fair value has been determined from quoted market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2009, the FASB issued standards which modified how a company determines when an entity that is insufficiently capitalized or is not controlled through voting (or similar rights) should be consolidated. These standards clarify that the determination of whether a company is required to consolidate an entity is based on, among other things, an entity’s purpose and design and a company’s ability to direct the activities of the entity that most significantly impact the entity’s economic performance. These standards require an ongoing reassessment of whether a company is the primary beneficiary of a variable interest entity. These standards also require additional disclosures about a company’s involvement in variable interest entities and any significant changes in risk exposure due to that involvement. These standards are effective for fiscal years beginning after November 15, 2009 and were effective for the Company on May 1, 2010. The adoption of these standards did not have a material impact on the financial condition, results of operations, cash flows and disclosures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J – INCOME TAXES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established a valuation allowance against all the deferred tax assets of its domestic and foreign subsidiaries. Because of the full valuation allowance, the provision for income taxes consists solely of taxes currently due to taxing authorities in the United States. Any tax provision or benefit realized from temporary tax differences is offset by increases or decreases in the valuation allowance thus creating a difference from a normally expected effective tax rate. For the six and three months ended October 31, 2010, the deferred tax asset valuation allowance increased by approximately $100,000 to $8.2 million. In future periods, the valuation allowance may be reduced if the Company’s current positive earnings are sufficient to offset past losses for purposes of predicting future utilization of deferred tax assets.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K – TREASURY STOCK TRANSACTIONS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 period ended October 31, 2010, the Company made a contribution of 38,582 shares of its common stock held in treasury to the Company’s profit sharing plan and trust under section 401(k) of the Internal Revenue Code. Such contribution is in accordance with the Company’s discretionary match of employee voluntary contributions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-424180</wp:posOffset>
            </wp:positionV>
            <wp:extent cx="2603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2010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Marketable securities consist of investments in common stocks, corporate debt securities and debt securities of U.S. government agencies which trade on public markets with current prices readily available (Level 1 securities in the fair value hierarchy). Investments in debt and equity securities are categorized as available for sale and are carried at fair value, with unrealized gains and losses excluded from income and recorded directly to stockholders' equity. The market value of these investments may temporarily decline due to economic conditions, but the Company’s own financial strength enables it to wait for such securities to recover their value or to mature such that any interim unrealized losses are deemed to be temporary. The Company recognizes gains or losses when securities are sold using the specific identification method.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2011 and 2010 the percentage of consolidated revenues represented by certain items in the Company’s consolidated statements of operations: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680" w:type="dxa"/>
            <w:vAlign w:val="bottom"/>
            <w:gridSpan w:val="4"/>
          </w:tcPr>
          <w:p>
            <w:pPr>
              <w:jc w:val="right"/>
              <w:ind w:right="1080"/>
              <w:spacing w:after="0"/>
              <w:rPr>
                <w:sz w:val="20"/>
                <w:szCs w:val="20"/>
                <w:color w:val="auto"/>
              </w:rPr>
            </w:pPr>
            <w:r>
              <w:rPr>
                <w:rFonts w:ascii="Arial" w:cs="Arial" w:eastAsia="Arial" w:hAnsi="Arial"/>
                <w:sz w:val="18"/>
                <w:szCs w:val="18"/>
                <w:color w:val="auto"/>
              </w:rPr>
              <w:t>Six months</w:t>
            </w:r>
          </w:p>
        </w:tc>
        <w:tc>
          <w:tcPr>
            <w:tcW w:w="2620" w:type="dxa"/>
            <w:vAlign w:val="bottom"/>
            <w:gridSpan w:val="4"/>
          </w:tcPr>
          <w:p>
            <w:pPr>
              <w:jc w:val="right"/>
              <w:ind w:right="940"/>
              <w:spacing w:after="0"/>
              <w:rPr>
                <w:sz w:val="20"/>
                <w:szCs w:val="20"/>
                <w:color w:val="auto"/>
              </w:rPr>
            </w:pPr>
            <w:r>
              <w:rPr>
                <w:rFonts w:ascii="Arial" w:cs="Arial" w:eastAsia="Arial" w:hAnsi="Arial"/>
                <w:sz w:val="18"/>
                <w:szCs w:val="18"/>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4"/>
          </w:tcPr>
          <w:p>
            <w:pPr>
              <w:jc w:val="right"/>
              <w:ind w:right="540"/>
              <w:spacing w:after="0"/>
              <w:rPr>
                <w:sz w:val="20"/>
                <w:szCs w:val="20"/>
                <w:color w:val="auto"/>
              </w:rPr>
            </w:pPr>
            <w:r>
              <w:rPr>
                <w:rFonts w:ascii="Arial" w:cs="Arial" w:eastAsia="Arial" w:hAnsi="Arial"/>
                <w:sz w:val="18"/>
                <w:szCs w:val="18"/>
                <w:color w:val="auto"/>
                <w:w w:val="98"/>
              </w:rPr>
              <w:t>Periods ended October 31,</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FEI-NY</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Gillam-FEI</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FEI-Zyfer</w:t>
            </w: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Less intersegment revenues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Borders>
              <w:top w:val="single" w:sz="8" w:color="CCFFCC"/>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FFCC"/>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FFCC"/>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FFCC"/>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61.3</w:t>
            </w:r>
          </w:p>
        </w:tc>
        <w:tc>
          <w:tcPr>
            <w:tcW w:w="280" w:type="dxa"/>
            <w:vAlign w:val="bottom"/>
            <w:tcBorders>
              <w:bottom w:val="single" w:sz="8" w:color="CCFFCC"/>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Borders>
              <w:bottom w:val="single" w:sz="8" w:color="CCFFCC"/>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61.6</w:t>
            </w:r>
          </w:p>
        </w:tc>
        <w:tc>
          <w:tcPr>
            <w:tcW w:w="280" w:type="dxa"/>
            <w:vAlign w:val="bottom"/>
            <w:tcBorders>
              <w:bottom w:val="single" w:sz="8" w:color="CCFFCC"/>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Gross Margin</w:t>
            </w: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780"/>
              <w:spacing w:after="0"/>
              <w:rPr>
                <w:sz w:val="20"/>
                <w:szCs w:val="20"/>
                <w:color w:val="auto"/>
              </w:rPr>
            </w:pPr>
            <w:r>
              <w:rPr>
                <w:rFonts w:ascii="Arial" w:cs="Arial" w:eastAsia="Arial" w:hAnsi="Arial"/>
                <w:sz w:val="18"/>
                <w:szCs w:val="18"/>
                <w:color w:val="auto"/>
              </w:rPr>
              <w:t>Operating Profit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Pretax Income (Loss)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FFCC"/>
          </w:tcPr>
          <w:p>
            <w:pPr>
              <w:ind w:left="620"/>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 All dollar amounts in following tables are in thousands, except Revenues which are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gridSpan w:val="5"/>
          </w:tcPr>
          <w:p>
            <w:pPr>
              <w:jc w:val="right"/>
              <w:ind w:right="8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1"/>
        </w:trPr>
        <w:tc>
          <w:tcPr>
            <w:tcW w:w="20" w:type="dxa"/>
            <w:vAlign w:val="bottom"/>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Six months</w:t>
            </w:r>
          </w:p>
        </w:tc>
        <w:tc>
          <w:tcPr>
            <w:tcW w:w="4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Three months</w:t>
            </w:r>
          </w:p>
        </w:tc>
        <w:tc>
          <w:tcPr>
            <w:tcW w:w="4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60" w:type="dxa"/>
            <w:vAlign w:val="bottom"/>
            <w:gridSpan w:val="6"/>
          </w:tcPr>
          <w:p>
            <w:pPr>
              <w:jc w:val="right"/>
              <w:ind w:right="320"/>
              <w:spacing w:after="0" w:line="201" w:lineRule="exact"/>
              <w:rPr>
                <w:sz w:val="20"/>
                <w:szCs w:val="20"/>
                <w:color w:val="auto"/>
              </w:rPr>
            </w:pPr>
            <w:r>
              <w:rPr>
                <w:rFonts w:ascii="Arial" w:cs="Arial" w:eastAsia="Arial" w:hAnsi="Arial"/>
                <w:sz w:val="18"/>
                <w:szCs w:val="18"/>
                <w:color w:val="auto"/>
              </w:rPr>
              <w:t>Periods ended October 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FEI-NY</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640"/>
              <w:spacing w:after="0"/>
              <w:rPr>
                <w:sz w:val="20"/>
                <w:szCs w:val="20"/>
                <w:color w:val="auto"/>
              </w:rPr>
            </w:pPr>
            <w:r>
              <w:rPr>
                <w:rFonts w:ascii="Arial" w:cs="Arial" w:eastAsia="Arial" w:hAnsi="Arial"/>
                <w:sz w:val="18"/>
                <w:szCs w:val="18"/>
                <w:color w:val="auto"/>
              </w:rPr>
              <w:t>0.6</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51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FEI-Zyfer</w:t>
            </w:r>
          </w:p>
        </w:tc>
        <w:tc>
          <w:tcPr>
            <w:tcW w:w="1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40"/>
              <w:spacing w:after="0"/>
              <w:rPr>
                <w:sz w:val="20"/>
                <w:szCs w:val="20"/>
                <w:color w:val="auto"/>
              </w:rPr>
            </w:pPr>
            <w:r>
              <w:rPr>
                <w:rFonts w:ascii="Arial" w:cs="Arial" w:eastAsia="Arial" w:hAnsi="Arial"/>
                <w:sz w:val="18"/>
                <w:szCs w:val="18"/>
                <w:color w:val="auto"/>
              </w:rPr>
              <w:t>0.6</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060" w:type="dxa"/>
            <w:vAlign w:val="bottom"/>
            <w:gridSpan w:val="2"/>
          </w:tcPr>
          <w:p>
            <w:pPr>
              <w:jc w:val="right"/>
              <w:ind w:right="510"/>
              <w:spacing w:after="0"/>
              <w:rPr>
                <w:sz w:val="20"/>
                <w:szCs w:val="20"/>
                <w:color w:val="auto"/>
              </w:rPr>
            </w:pPr>
            <w:r>
              <w:rPr>
                <w:rFonts w:ascii="Arial" w:cs="Arial" w:eastAsia="Arial" w:hAnsi="Arial"/>
                <w:sz w:val="18"/>
                <w:szCs w:val="18"/>
                <w:color w:val="auto"/>
              </w:rPr>
              <w:t>0.6</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5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23.8</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0.8</w:t>
            </w:r>
          </w:p>
        </w:tc>
        <w:tc>
          <w:tcPr>
            <w:tcW w:w="8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FFCC"/>
          </w:tcPr>
          <w:p>
            <w:pPr>
              <w:spacing w:after="0"/>
              <w:rPr>
                <w:sz w:val="20"/>
                <w:szCs w:val="20"/>
                <w:color w:val="auto"/>
              </w:rPr>
            </w:pP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640"/>
              <w:spacing w:after="0"/>
              <w:rPr>
                <w:sz w:val="20"/>
                <w:szCs w:val="20"/>
                <w:color w:val="auto"/>
              </w:rPr>
            </w:pPr>
            <w:r>
              <w:rPr>
                <w:rFonts w:ascii="Arial" w:cs="Arial" w:eastAsia="Arial" w:hAnsi="Arial"/>
                <w:sz w:val="18"/>
                <w:szCs w:val="18"/>
                <w:color w:val="auto"/>
              </w:rPr>
              <w:t>1.1</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increase in revenues for the six and three month periods ended October 31, 2010 compared to the same periods of fiscal year 2010, was the result of increases in revenues from both U.S. Government/DOD satellite and non-satellite programs partially offset by continuing declines in revenue from wireless infrastructure products recorded in the FEI-NY and FEI-Zyfer segments. Revenues from wireline telecommunications products which are sold by both Gillam-FEI and FEI-Zyfer, were relatively flat in fiscal year 2011 compared to the same periods of fiscal year 2010. Revenues from satellite payload programs which are recorded in the FEI-NY segment, account for one-third of the Company’s revenues with U.S. Government space programs increasing over 15% year-over-year. These increases were partially offset by continued low levels of activity in commercial satellite space programs. Revenues from U.S. Government/DOD non-space programs, which are recorded in the FEI-NY and FEI-Zyfer segments, also increased over 15% year-over-year and accounted for approximately 30% of consolidated revenue in the fiscal year 2011 periods compared to approximately 25% in the fiscal year 2010 periods. During the remainder of fiscal year 2011, the Company expects to book additional new satellite payload business for both U.S. Government and commercial applications and to realize increased revenues from that market area. Similarly, the Company expects to realize continued sales growth in U.S. Government/DOD non-space programs and from wireline telecommunication infrastructure products.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4"/>
          </w:tcPr>
          <w:p>
            <w:pPr>
              <w:jc w:val="right"/>
              <w:ind w:right="1820"/>
              <w:spacing w:after="0"/>
              <w:rPr>
                <w:sz w:val="20"/>
                <w:szCs w:val="20"/>
                <w:color w:val="auto"/>
              </w:rPr>
            </w:pPr>
            <w:r>
              <w:rPr>
                <w:rFonts w:ascii="Arial" w:cs="Arial" w:eastAsia="Arial" w:hAnsi="Arial"/>
                <w:sz w:val="18"/>
                <w:szCs w:val="18"/>
                <w:b w:val="1"/>
                <w:bCs w:val="1"/>
                <w:color w:val="auto"/>
                <w:w w:val="88"/>
              </w:rPr>
              <w:t>Gross margin</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Six months</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Three months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gridSpan w:val="5"/>
          </w:tcPr>
          <w:p>
            <w:pPr>
              <w:jc w:val="right"/>
              <w:ind w:right="120"/>
              <w:spacing w:after="0" w:line="201" w:lineRule="exact"/>
              <w:rPr>
                <w:sz w:val="20"/>
                <w:szCs w:val="20"/>
                <w:color w:val="auto"/>
              </w:rPr>
            </w:pPr>
            <w:r>
              <w:rPr>
                <w:rFonts w:ascii="Arial" w:cs="Arial" w:eastAsia="Arial" w:hAnsi="Arial"/>
                <w:sz w:val="18"/>
                <w:szCs w:val="18"/>
                <w:color w:val="auto"/>
              </w:rPr>
              <w:t>Periods ended October 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2010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9,550</w:t>
            </w:r>
          </w:p>
        </w:tc>
        <w:tc>
          <w:tcPr>
            <w:tcW w:w="18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8,695</w:t>
            </w:r>
          </w:p>
        </w:tc>
        <w:tc>
          <w:tcPr>
            <w:tcW w:w="200" w:type="dxa"/>
            <w:vAlign w:val="bottom"/>
            <w:shd w:val="clear" w:color="auto" w:fill="CCFFCC"/>
          </w:tcPr>
          <w:p>
            <w:pPr>
              <w:spacing w:after="0"/>
              <w:rPr>
                <w:sz w:val="18"/>
                <w:szCs w:val="18"/>
                <w:color w:val="auto"/>
              </w:rPr>
            </w:pPr>
          </w:p>
        </w:tc>
        <w:tc>
          <w:tcPr>
            <w:tcW w:w="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855</w:t>
            </w:r>
          </w:p>
        </w:tc>
        <w:tc>
          <w:tcPr>
            <w:tcW w:w="13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10% $   4,804</w:t>
            </w:r>
          </w:p>
        </w:tc>
        <w:tc>
          <w:tcPr>
            <w:tcW w:w="20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4,394</w:t>
            </w:r>
          </w:p>
        </w:tc>
        <w:tc>
          <w:tcPr>
            <w:tcW w:w="20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410</w:t>
            </w: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000" w:type="dxa"/>
            <w:vAlign w:val="bottom"/>
            <w:gridSpan w:val="3"/>
          </w:tcPr>
          <w:p>
            <w:pPr>
              <w:jc w:val="right"/>
              <w:ind w:right="1340"/>
              <w:spacing w:after="0"/>
              <w:rPr>
                <w:sz w:val="20"/>
                <w:szCs w:val="20"/>
                <w:color w:val="auto"/>
              </w:rPr>
            </w:pPr>
            <w:r>
              <w:rPr>
                <w:rFonts w:ascii="Arial" w:cs="Arial" w:eastAsia="Arial" w:hAnsi="Arial"/>
                <w:sz w:val="18"/>
                <w:szCs w:val="18"/>
                <w:color w:val="auto"/>
                <w:w w:val="88"/>
              </w:rPr>
              <w:t>GM Rate</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improvement in gross margins and gross margin rates for the six and three months ended October 31, 2010 compared to the same period a year ago reflect the benefits of the efficiency improvements which were implemented in the prior year and the different mix of programs on which the Company is working in the fiscal year 2011 periods. Of the Company’s three segments, the FEI-NY segment experienced the greatest gross margin rate improvement. The gross margin rate recorded in the fiscal year 2011 period approaches the Company’s targeted rate. The Company anticipates that its gross margin rates for the remainder of fiscal year 2011 will be comparable to the current periods and will show an improvement over the prior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Six months</w:t>
            </w: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rPr>
              <w:t>Three months</w:t>
            </w: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40" w:type="dxa"/>
            <w:vAlign w:val="bottom"/>
            <w:gridSpan w:val="5"/>
          </w:tcPr>
          <w:p>
            <w:pPr>
              <w:jc w:val="right"/>
              <w:ind w:right="320"/>
              <w:spacing w:after="0" w:line="201" w:lineRule="exact"/>
              <w:rPr>
                <w:sz w:val="20"/>
                <w:szCs w:val="20"/>
                <w:color w:val="auto"/>
              </w:rPr>
            </w:pPr>
            <w:r>
              <w:rPr>
                <w:rFonts w:ascii="Arial" w:cs="Arial" w:eastAsia="Arial" w:hAnsi="Arial"/>
                <w:sz w:val="18"/>
                <w:szCs w:val="18"/>
                <w:color w:val="auto"/>
                <w:w w:val="88"/>
              </w:rPr>
              <w:t>Periods ended October 31,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5,560</w:t>
            </w:r>
          </w:p>
        </w:tc>
        <w:tc>
          <w:tcPr>
            <w:tcW w:w="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5,340</w:t>
            </w:r>
          </w:p>
        </w:tc>
        <w:tc>
          <w:tcPr>
            <w:tcW w:w="6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220</w:t>
            </w:r>
          </w:p>
        </w:tc>
        <w:tc>
          <w:tcPr>
            <w:tcW w:w="12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 $</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2,765</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2,773</w:t>
            </w:r>
          </w:p>
        </w:tc>
        <w:tc>
          <w:tcPr>
            <w:tcW w:w="74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(8)</w:t>
            </w:r>
          </w:p>
        </w:tc>
        <w:tc>
          <w:tcPr>
            <w:tcW w:w="7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six and three months ended October 31, 2010, selling and administrative expenses were 23% and 22%, respectively, of consolidated revenues. This is compared to 22% and 24%, respectively, for the same periods of fiscal year 2010. Although the Company’s target for such expenses is not to exceed 20% of revenues, since many of the costs are relatively fixed, revenues at the current level result in a higher ratio of expenses to revenues. The increase in expenses for the six months ended October 31, 2010 compared to the same period of fiscal year 2010 is due primarily to increased deferred and incentive compensation expenses resulting from greater profitability and partially offset by a decrease in professional fee expenses. In subsequent quarters of fiscal year 2011, the Company expects selling and administrative expenses to be incurred at approximately the same rate in both dollars and as a percentage of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8"/>
                <w:szCs w:val="18"/>
                <w:color w:val="auto"/>
              </w:rPr>
              <w:t>Six months</w:t>
            </w:r>
          </w:p>
        </w:tc>
        <w:tc>
          <w:tcPr>
            <w:tcW w:w="8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Three months</w:t>
            </w: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8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Periods ended October 31,</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2,389</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2,454</w:t>
            </w:r>
          </w:p>
        </w:tc>
        <w:tc>
          <w:tcPr>
            <w:tcW w:w="520" w:type="dxa"/>
            <w:vAlign w:val="bottom"/>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(65)</w:t>
            </w:r>
          </w:p>
        </w:tc>
        <w:tc>
          <w:tcPr>
            <w:tcW w:w="13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 $</w:t>
            </w: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1,227</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1,379</w:t>
            </w:r>
          </w:p>
        </w:tc>
        <w:tc>
          <w:tcPr>
            <w:tcW w:w="540" w:type="dxa"/>
            <w:vAlign w:val="bottom"/>
            <w:shd w:val="clear" w:color="auto" w:fill="CCFFCC"/>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(152)</w:t>
            </w:r>
          </w:p>
        </w:tc>
        <w:tc>
          <w:tcPr>
            <w:tcW w:w="7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Research and development expenditures represent investments intended to keep the Company’s products at the leading edge of time and frequency technology and enhance competitiveness for future revenues. Research and development spending for the six and three-month periods ended October 31, 2010 was 10% of revenues, respectively, compared to 10% and 12% of revenues for the same periods of fiscal year 2010, respectively. R&amp;D spending in fiscal year 2011 continued the development of new satellite payload products, including new C and Ku band beacon/telemetry transceivers, a new family of frequency generators and converters, and new product introductions and improvements in the technology of the Company’s GPS-based wireless products and wireline synchronization equipment. In addition, the Company continues to conduct development activities on customer-funded programs the cost of which appears in cost of revenues, thus reducing the level of internal research and development spending. The Company will continue to devote significant resources to develop new products, enhance existing products and implement efficient manufacturing processes. For the remainder of fiscal year 2011, the Company anticipates that internal research and development spending will be approximately 10% of revenues. Internally generated cash and cash reserves are adequate to fund these development efforts.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w w:val="91"/>
              </w:rPr>
              <w:t>Operating Profit</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Six months</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Three months</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8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vMerge w:val="continue"/>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4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Periods ended October 31,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1,601</w:t>
            </w:r>
          </w:p>
        </w:tc>
        <w:tc>
          <w:tcPr>
            <w:tcW w:w="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901</w:t>
            </w:r>
          </w:p>
        </w:tc>
        <w:tc>
          <w:tcPr>
            <w:tcW w:w="62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700</w:t>
            </w:r>
          </w:p>
        </w:tc>
        <w:tc>
          <w:tcPr>
            <w:tcW w:w="12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78% $</w:t>
            </w: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w:t>
            </w:r>
          </w:p>
        </w:tc>
        <w:tc>
          <w:tcPr>
            <w:tcW w:w="68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570</w:t>
            </w:r>
          </w:p>
        </w:tc>
        <w:tc>
          <w:tcPr>
            <w:tcW w:w="7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Improved gross margins in the fiscal year 2011 periods enabled the Company to record increased operating profits for the six and three-month periods ended October 31, 2010, compared to the same periods of fiscal year 2010. The Company anticipates that at the current level of business and having implemented certain cost saving measures, that it can sustain operating profits at this level. As the Company gains additional business through increased bookings on its current product lines and expands its product offerings through research and development efforts, operating profit is expected to further improve. The Company anticipates that it will generate an operating profit for the full fiscal year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Six months</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4"/>
            <w:vMerge w:val="restart"/>
          </w:tcPr>
          <w:p>
            <w:pPr>
              <w:ind w:left="400"/>
              <w:spacing w:after="0"/>
              <w:rPr>
                <w:sz w:val="20"/>
                <w:szCs w:val="20"/>
                <w:color w:val="auto"/>
              </w:rPr>
            </w:pPr>
            <w:r>
              <w:rPr>
                <w:rFonts w:ascii="Arial" w:cs="Arial" w:eastAsia="Arial" w:hAnsi="Arial"/>
                <w:sz w:val="18"/>
                <w:szCs w:val="18"/>
                <w:color w:val="auto"/>
              </w:rPr>
              <w:t>Three months</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right"/>
              <w:ind w:right="160"/>
              <w:spacing w:after="0" w:line="201" w:lineRule="exact"/>
              <w:rPr>
                <w:sz w:val="20"/>
                <w:szCs w:val="20"/>
                <w:color w:val="auto"/>
              </w:rPr>
            </w:pPr>
            <w:r>
              <w:rPr>
                <w:rFonts w:ascii="Arial" w:cs="Arial" w:eastAsia="Arial" w:hAnsi="Arial"/>
                <w:sz w:val="18"/>
                <w:szCs w:val="18"/>
                <w:color w:val="auto"/>
                <w:w w:val="88"/>
              </w:rPr>
              <w:t>Periods ended October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Change</w:t>
            </w: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179</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253</w:t>
            </w:r>
          </w:p>
        </w:tc>
        <w:tc>
          <w:tcPr>
            <w:tcW w:w="54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(74)</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w:t>
            </w:r>
          </w:p>
        </w:tc>
        <w:tc>
          <w:tcPr>
            <w:tcW w:w="6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Equity income (loss)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Impairment charge</w:t>
            </w: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200</w:t>
            </w:r>
          </w:p>
        </w:tc>
        <w:tc>
          <w:tcPr>
            <w:tcW w:w="10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200</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(376)</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430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( 14)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( 371)</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357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 levels and the timing of purchases or sales of securities. During the six months ended October 31, 2010, the Company redeemed a marketable security which resulted in a realized loss of approximately $28,000. No gains or losses on marketable securities were recorded during the same periods of fiscal year 2010.</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Equity income (loss) in the fiscal year 2011 and 2010 periods represent the Company’s share of the quarterly income or loss recorded by Elcom Technologies in which the Company owns a 25% interest. In addition, during the three month period ended October 31, 2009, the Company measured the current market value of Elcom based on comparisons to comparable companies as well as Elcom’s forecasts of future financial results and determined that its investment was impaired. Consequently, the Company recorded an impairment charge in the amount of $200,000 in addition to its equity share in Elcom’s quarterly results.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interest expense for the six and three months ended October 31, 2010 compared to the same periods of fiscal year 2010 is due to lower levels of credit and lease obligations in the fiscal year 2011 periods.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expenses in the fiscal year 2011 periods consisted primarily of charges on certain financial instruments and foreign currency exchange losses at the Company’s overseas subsidiaries. In the same six and three-month periods ended October 31, 2009 the Company also recorded certain royalty expenses which have not been incurred during fiscal year 2011 to-date.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color w:val="auto"/>
              </w:rPr>
              <w:t>Six months</w:t>
            </w: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Three months</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79"/>
              </w:rPr>
              <w:t>Periods ended</w:t>
            </w:r>
          </w:p>
        </w:tc>
        <w:tc>
          <w:tcPr>
            <w:tcW w:w="80" w:type="dxa"/>
            <w:vAlign w:val="bottom"/>
          </w:tcPr>
          <w:p>
            <w:pPr>
              <w:spacing w:after="0"/>
              <w:rPr>
                <w:sz w:val="17"/>
                <w:szCs w:val="17"/>
                <w:color w:val="auto"/>
              </w:rPr>
            </w:pPr>
          </w:p>
        </w:tc>
        <w:tc>
          <w:tcPr>
            <w:tcW w:w="154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October 31,</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820</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820</w:t>
            </w:r>
          </w:p>
        </w:tc>
        <w:tc>
          <w:tcPr>
            <w:tcW w:w="80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NM $</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470</w:t>
            </w:r>
          </w:p>
        </w:tc>
        <w:tc>
          <w:tcPr>
            <w:tcW w:w="18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470</w:t>
            </w:r>
          </w:p>
        </w:tc>
        <w:tc>
          <w:tcPr>
            <w:tcW w:w="42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2"/>
              </w:rPr>
              <w:t>NM</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established a valuation allowance against all the deferred tax assets of its domestic and foreign subsidiaries. Because of the full valuation allowance, the provision for income taxes consists solely of taxes currently due to taxing authorities in the United States. Any tax provision or benefit realized from temporary tax differences is offset by increases or decreases in the valuation allowance thus creating a difference from a normally expected effective tax rate. For the six and three months ended October 31, 2010, the deferred tax asset valuation allowance increased by approximately $100,000 to $8.2 million. In future periods, the valuation allowance may be reduced if the Company’s current positive earnings are sufficient to offset past losses for purposes of predicting future utilization of deferred tax assets.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first half of fiscal year 2010, the Company expected to carryforward a portion of the tax loss incurred in the previous fiscal year. Consequently, the Company did not expect to incur any current tax expense even though it recorded pretax income for both financial reporting and tax purposes. Subsequent to the end of the Company’s second quarter, in November 2009, Congress changed the tax code enabling companies to carry back tax losses up to five years rather than two years. Consequently, the Company’s U.S. corporate tax return, filed in January 2010, claimed full benefit for the loss incurred in fiscal year 2009 and received a tax refund during fiscal year 2010. In the second half of fiscal year 2010, the Company recorded an additional tax benefit due to the change in tax law but also recorded a tax provision on that year’s earnings since the prior year tax loss had been fully utilized.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and California. The statutory federal rates are 34% in the United States and Belgium.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2010, the Company’s European subsidiaries had available net operating loss carryforwards of approximately $1.3 million, which will offset future taxable income. The domestic U.S. tax loss carryforward for state income tax purposes is approximately $8.4 million in New York and $2.3 million in California.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(Loss)</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Six months</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0"/>
              </w:rPr>
              <w:t>Three months</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gridSpan w:val="2"/>
          </w:tcPr>
          <w:p>
            <w:pPr>
              <w:ind w:left="760"/>
              <w:spacing w:after="0" w:line="201" w:lineRule="exact"/>
              <w:rPr>
                <w:sz w:val="20"/>
                <w:szCs w:val="20"/>
                <w:color w:val="auto"/>
              </w:rPr>
            </w:pPr>
            <w:r>
              <w:rPr>
                <w:rFonts w:ascii="Arial" w:cs="Arial" w:eastAsia="Arial" w:hAnsi="Arial"/>
                <w:sz w:val="18"/>
                <w:szCs w:val="18"/>
                <w:color w:val="auto"/>
                <w:w w:val="87"/>
              </w:rPr>
              <w:t>Periods ended</w:t>
            </w:r>
          </w:p>
        </w:tc>
        <w:tc>
          <w:tcPr>
            <w:tcW w:w="10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w w:val="91"/>
              </w:rPr>
              <w:t>October 31,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525</w:t>
            </w:r>
          </w:p>
        </w:tc>
        <w:tc>
          <w:tcPr>
            <w:tcW w:w="66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310</w:t>
            </w:r>
          </w:p>
        </w:tc>
        <w:tc>
          <w:tcPr>
            <w:tcW w:w="1560" w:type="dxa"/>
            <w:vAlign w:val="bottom"/>
            <w:gridSpan w:val="3"/>
            <w:shd w:val="clear" w:color="auto" w:fill="CCFFCC"/>
          </w:tcPr>
          <w:p>
            <w:pPr>
              <w:jc w:val="right"/>
              <w:ind w:right="590"/>
              <w:spacing w:after="0"/>
              <w:rPr>
                <w:sz w:val="20"/>
                <w:szCs w:val="20"/>
                <w:color w:val="auto"/>
              </w:rPr>
            </w:pPr>
            <w:r>
              <w:rPr>
                <w:rFonts w:ascii="Arial" w:cs="Arial" w:eastAsia="Arial" w:hAnsi="Arial"/>
                <w:sz w:val="18"/>
                <w:szCs w:val="18"/>
                <w:color w:val="auto"/>
              </w:rPr>
              <w:t>59% $</w:t>
            </w: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328</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(129)</w:t>
            </w:r>
          </w:p>
        </w:tc>
        <w:tc>
          <w:tcPr>
            <w:tcW w:w="5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457</w:t>
            </w:r>
          </w:p>
        </w:tc>
        <w:tc>
          <w:tcPr>
            <w:tcW w:w="4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2"/>
              </w:rPr>
              <w:t>NM</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income for the six and three months ended October 31, 2010 increased over the same periods of fiscal year 2010 as a result of improved gross margins and operating profits. In addition, as discussed above, in the fiscal year 2010 periods, the Company recorded a $200,000 non-cash impairment charge against its investment in Elcom. Such charges have not been incurred in fiscal year 2011 to date. The Company expects to realize improved gross and operating margins throughout fiscal year 2011 and anticipates that it will report a profit for the full year. However, comparisons of net income to the prior year will be inconsistent due to the change in tax law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$56 million at October 31, 2010, compared to $53 million at April 30, 2010. Included in working capital at October 31, 2010 is $19.0 million of cash, cash equivalents and marketable securities. The Company’s current ratio at October 31, 2010 is 8.2 to 1.</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six months ended October 31, 2010, the Company used cash in operating activities in the amount of $1.8 million compared to $2.7 million provided by operations in the comparable fiscal year 2010 period. The primary uses of cash in the fiscal year 2011 period were increased inventory and accounts receivable and payments of estimated income taxes. During the six months ended October 31, 2010 and 2009, the Company incurred $2.0 million and $2.5 million, respectively, of non-cash charges to earnings and non-operating income or loss, such as depreciation and amortization and accruals for employee benefit programs. For the balance of fiscal year 2011, the Company expects to generate positive cash flow from operating activities as it sells the inventory, collects the related receivables and bills and collects its unbilled revenue.</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investing activities for the six months ended October 31, 2010, was $1.7 million compared to a use of cash of $280,000 for the same period of fiscal year 2010. In the fiscal year 2011 period, the Company redeemed a marketable security in the amount of $1.5 million and invested in additional marketable securities for $2.5 million. In both fiscal years, the Company acquired property, plant and equipment in the amount of $694,000 and $280,000, respectively. The Company may continue to acquire or sell marketable securities as dictated by its investment strategies as well as by the cash requirements for its development activities. Property, plant and equipment purchases for all of fiscal year 2011 are expected to be less than $1.0 million. Internally generated cash is adequate to acquire this level of property, plant and equipment.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financing activities for the six months ended October 31, 2010, was $120,000 compared to $1.2 million used during the comparable fiscal year 2010 period. In both fiscal years, financing activity consisted of payments against the Company’s capital lease obligation. In the six months ended October 31, 2009, the Company also paid down its line of credit with a financial institution.</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October 31, 2010, the Company has repurchased approximately $4 million of its common stock out of the $5 million authorization.</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2011, the Company intends to make a substantial investment of capital and technical resources to develop and acquire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October 31, 2010, the Company's consolidated backlog amounted to approximately $31 million. Approximately 75% of this backlog is expected to be realized in the next twelve months. Included in the backlog at October 31, 2010 is approximately $5.5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April 30, 2011.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3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15(e) under the Securities Exchange Act of 1934, as amended (the “Exchange Act”)) as of the end of the period </w:t>
      </w:r>
      <w:r>
        <w:rPr>
          <w:rFonts w:ascii="Arial" w:cs="Arial" w:eastAsia="Arial" w:hAnsi="Arial"/>
          <w:sz w:val="19"/>
          <w:szCs w:val="19"/>
          <w:color w:val="auto"/>
        </w:rPr>
        <w:t>covered by this report. There are</w:t>
      </w:r>
      <w:r>
        <w:rPr>
          <w:rFonts w:ascii="Arial" w:cs="Arial" w:eastAsia="Arial" w:hAnsi="Arial"/>
          <w:sz w:val="16"/>
          <w:szCs w:val="16"/>
          <w:color w:val="auto"/>
        </w:rPr>
        <w:t xml:space="preserve"> </w:t>
      </w:r>
      <w:r>
        <w:rPr>
          <w:rFonts w:ascii="Arial" w:cs="Arial" w:eastAsia="Arial" w:hAnsi="Arial"/>
          <w:sz w:val="19"/>
          <w:szCs w:val="19"/>
          <w:color w:val="auto"/>
        </w:rPr>
        <w:t>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October 31, 2010,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disclosed in its Form 10-K for the year ended April 30, 2010, the Company has identified several material weaknesses in its internal control over financial reporting. While the Company did not conduct a full assessment of the effectiveness of internal controls over financial reporting at October 31, 2010, for the second quarter of fiscal year 2010, there were no substantial changes made to the Company’s internal control over financial reporting since management’s assessment of April 30, 2010, and therefore the weaknesses previously identified by management continued to exist at October 31, 2010. Please refer to the Company’s Annual Report on Form 10-K for the year ended April 30, 2010 for a more detailed discussion of the weaknesses previously identified by management.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ended October 31, 2010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31.1 - Certification by the Chief Executive Officer Pursuant to Section 302 of the Sarbanes-Oxley Act of 2002.</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31.2 - Certification by the Chief Financial Officer Pursuant to Section 302 of the Sarbanes-Oxley Act of 2002.</w:t>
      </w:r>
    </w:p>
    <w:p>
      <w:pPr>
        <w:spacing w:after="0" w:line="252" w:lineRule="exact"/>
        <w:rPr>
          <w:sz w:val="20"/>
          <w:szCs w:val="20"/>
          <w:color w:val="auto"/>
        </w:rPr>
      </w:pPr>
    </w:p>
    <w:p>
      <w:pPr>
        <w:ind w:left="1300" w:right="260" w:hanging="485"/>
        <w:spacing w:after="0" w:line="277" w:lineRule="auto"/>
        <w:rPr>
          <w:sz w:val="20"/>
          <w:szCs w:val="20"/>
          <w:color w:val="auto"/>
        </w:rPr>
      </w:pPr>
      <w:r>
        <w:rPr>
          <w:rFonts w:ascii="Arial" w:cs="Arial" w:eastAsia="Arial" w:hAnsi="Arial"/>
          <w:sz w:val="18"/>
          <w:szCs w:val="18"/>
          <w:color w:val="auto"/>
        </w:rPr>
        <w:t>32.1 - Certification by the Chief Executive Officer Pursuant to 18 U.S.C. Section 1350 Adopted Pursuant to Section 906 of the Sarbanes-Oxley Act of 2002.</w:t>
      </w:r>
    </w:p>
    <w:p>
      <w:pPr>
        <w:spacing w:after="0" w:line="197" w:lineRule="exact"/>
        <w:rPr>
          <w:sz w:val="20"/>
          <w:szCs w:val="20"/>
          <w:color w:val="auto"/>
        </w:rPr>
      </w:pPr>
    </w:p>
    <w:p>
      <w:pPr>
        <w:ind w:left="1300" w:hanging="485"/>
        <w:spacing w:after="0" w:line="277" w:lineRule="auto"/>
        <w:rPr>
          <w:sz w:val="20"/>
          <w:szCs w:val="20"/>
          <w:color w:val="auto"/>
        </w:rPr>
      </w:pPr>
      <w:r>
        <w:rPr>
          <w:rFonts w:ascii="Arial" w:cs="Arial" w:eastAsia="Arial" w:hAnsi="Arial"/>
          <w:sz w:val="18"/>
          <w:szCs w:val="18"/>
          <w:color w:val="auto"/>
        </w:rPr>
        <w:t>32.2 - Certification by the Chief Financial Officer Pursuant to 18 U.S.C. Section 1350 Adopted Pursuant to Section 906 of the Sarbanes-Oxley Act of 2002.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6040" w:val="left"/>
          <w:tab w:leader="none" w:pos="6560" w:val="left"/>
        </w:tabs>
        <w:rPr>
          <w:sz w:val="20"/>
          <w:szCs w:val="20"/>
          <w:color w:val="auto"/>
        </w:rPr>
      </w:pPr>
      <w:r>
        <w:rPr>
          <w:rFonts w:ascii="Arial" w:cs="Arial" w:eastAsia="Arial" w:hAnsi="Arial"/>
          <w:sz w:val="18"/>
          <w:szCs w:val="18"/>
          <w:color w:val="auto"/>
        </w:rPr>
        <w:t>Date: December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and Treasurer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80"/>
        <w:spacing w:after="0"/>
        <w:tabs>
          <w:tab w:leader="none" w:pos="764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6"/>
          <w:szCs w:val="16"/>
          <w:color w:val="auto"/>
        </w:rPr>
        <w:t>December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80"/>
        <w:spacing w:after="0"/>
        <w:tabs>
          <w:tab w:leader="none" w:pos="764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6"/>
          <w:szCs w:val="16"/>
          <w:color w:val="auto"/>
        </w:rPr>
        <w:t>December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2010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40" w:hanging="332"/>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80"/>
        <w:spacing w:after="0"/>
        <w:tabs>
          <w:tab w:leader="none" w:pos="764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6"/>
          <w:szCs w:val="16"/>
          <w:color w:val="auto"/>
        </w:rPr>
        <w:t>December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October 31, 2010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80"/>
        <w:spacing w:after="0"/>
        <w:tabs>
          <w:tab w:leader="none" w:pos="764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6"/>
          <w:szCs w:val="16"/>
          <w:color w:val="auto"/>
        </w:rPr>
        <w:t>December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decimal"/>
      <w:start w:val="1"/>
    </w:lvl>
  </w:abstractNum>
  <w:abstractNum w:abstractNumId="8">
    <w:nsid w:val="12200854"/>
    <w:multiLevelType w:val="hybridMultilevel"/>
    <w:lvl w:ilvl="0">
      <w:lvlJc w:val="left"/>
      <w:lvlText w:val="(%1)"/>
      <w:numFmt w:val="decimal"/>
      <w:start w:val="2"/>
    </w:lvl>
    <w:lvl w:ilvl="1">
      <w:lvlJc w:val="left"/>
      <w:lvlText w:val="%2"/>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2019-12-09T23:20:52Z</dcterms:created>
  <dcterms:modified xsi:type="dcterms:W3CDTF">2019-12-09T23:20:52Z</dcterms:modified>
</cp:coreProperties>
</file>