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294005</wp:posOffset>
            </wp:positionH>
            <wp:positionV relativeFrom="page">
              <wp:posOffset>157480</wp:posOffset>
            </wp:positionV>
            <wp:extent cx="696087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60870" cy="25400"/>
                    </a:xfrm>
                    <a:prstGeom prst="rect">
                      <a:avLst/>
                    </a:prstGeom>
                    <a:noFill/>
                  </pic:spPr>
                </pic:pic>
              </a:graphicData>
            </a:graphic>
          </wp:anchor>
        </w:drawing>
        <w:drawing>
          <wp:anchor simplePos="0" relativeHeight="251657728" behindDoc="1" locked="0" layoutInCell="0" allowOverlap="1">
            <wp:simplePos x="0" y="0"/>
            <wp:positionH relativeFrom="page">
              <wp:posOffset>294005</wp:posOffset>
            </wp:positionH>
            <wp:positionV relativeFrom="page">
              <wp:posOffset>217805</wp:posOffset>
            </wp:positionV>
            <wp:extent cx="69608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6087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3130550</wp:posOffset>
            </wp:positionH>
            <wp:positionV relativeFrom="paragraph">
              <wp:posOffset>141605</wp:posOffset>
            </wp:positionV>
            <wp:extent cx="7029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2945" cy="8890"/>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3130550</wp:posOffset>
            </wp:positionH>
            <wp:positionV relativeFrom="paragraph">
              <wp:posOffset>160020</wp:posOffset>
            </wp:positionV>
            <wp:extent cx="7029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96" w:lineRule="exact"/>
        <w:rPr>
          <w:sz w:val="24"/>
          <w:szCs w:val="24"/>
          <w:color w:val="auto"/>
        </w:rPr>
      </w:pPr>
    </w:p>
    <w:p>
      <w:pPr>
        <w:ind w:left="6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QUARTERLY REPORT PURSUANT TO SECTION 13 or 15(d) OF THE SECURITIES EXCHANGE ACT OF 1934</w:t>
      </w:r>
    </w:p>
    <w:p>
      <w:pPr>
        <w:spacing w:after="0" w:line="258" w:lineRule="exact"/>
        <w:rPr>
          <w:sz w:val="24"/>
          <w:szCs w:val="24"/>
          <w:color w:val="auto"/>
        </w:rPr>
      </w:pPr>
    </w:p>
    <w:p>
      <w:pPr>
        <w:ind w:left="3720"/>
        <w:spacing w:after="0"/>
        <w:rPr>
          <w:sz w:val="20"/>
          <w:szCs w:val="20"/>
          <w:color w:val="auto"/>
        </w:rPr>
      </w:pPr>
      <w:r>
        <w:rPr>
          <w:rFonts w:ascii="Arial" w:cs="Arial" w:eastAsia="Arial" w:hAnsi="Arial"/>
          <w:sz w:val="18"/>
          <w:szCs w:val="18"/>
          <w:color w:val="auto"/>
        </w:rPr>
        <w:t>For the Quarterly Period ended January 31, 2022</w:t>
      </w:r>
    </w:p>
    <w:p>
      <w:pPr>
        <w:spacing w:after="0" w:line="23" w:lineRule="exact"/>
        <w:rPr>
          <w:sz w:val="24"/>
          <w:szCs w:val="24"/>
          <w:color w:val="auto"/>
        </w:rPr>
      </w:pPr>
    </w:p>
    <w:p>
      <w:pPr>
        <w:ind w:left="5340"/>
        <w:spacing w:after="0"/>
        <w:rPr>
          <w:sz w:val="20"/>
          <w:szCs w:val="20"/>
          <w:color w:val="auto"/>
        </w:rPr>
      </w:pPr>
      <w:r>
        <w:rPr>
          <w:rFonts w:ascii="Arial" w:cs="Arial" w:eastAsia="Arial" w:hAnsi="Arial"/>
          <w:sz w:val="18"/>
          <w:szCs w:val="18"/>
          <w:b w:val="1"/>
          <w:bCs w:val="1"/>
          <w:color w:val="auto"/>
        </w:rPr>
        <w:t>OR</w:t>
      </w:r>
    </w:p>
    <w:p>
      <w:pPr>
        <w:spacing w:after="0" w:line="4" w:lineRule="exact"/>
        <w:rPr>
          <w:sz w:val="24"/>
          <w:szCs w:val="24"/>
          <w:color w:val="auto"/>
        </w:rPr>
      </w:pPr>
    </w:p>
    <w:p>
      <w:pPr>
        <w:ind w:left="6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TRANSITION REPORT PURSUANT TO SECTION 13 or 15(d) OF THE SECURITIES EXCHANGE ACT OF 1934</w:t>
      </w:r>
    </w:p>
    <w:p>
      <w:pPr>
        <w:spacing w:after="0" w:line="216" w:lineRule="exact"/>
        <w:rPr>
          <w:sz w:val="24"/>
          <w:szCs w:val="24"/>
          <w:color w:val="auto"/>
        </w:rPr>
      </w:pPr>
    </w:p>
    <w:p>
      <w:pPr>
        <w:ind w:left="3380"/>
        <w:spacing w:after="0"/>
        <w:rPr>
          <w:sz w:val="20"/>
          <w:szCs w:val="20"/>
          <w:color w:val="auto"/>
        </w:rPr>
      </w:pPr>
      <w:r>
        <w:rPr>
          <w:rFonts w:ascii="Arial" w:cs="Arial" w:eastAsia="Arial" w:hAnsi="Arial"/>
          <w:sz w:val="18"/>
          <w:szCs w:val="18"/>
          <w:color w:val="auto"/>
        </w:rPr>
        <w:t>For the transition period from __________ to __________</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No. 1-8061</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u w:val="single" w:color="auto"/>
          <w:color w:val="auto"/>
        </w:rPr>
        <w:t>FREQUENCY ELECTRONICS,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3640" w:type="dxa"/>
            <w:vAlign w:val="bottom"/>
            <w:gridSpan w:val="3"/>
          </w:tcPr>
          <w:p>
            <w:pPr>
              <w:jc w:val="center"/>
              <w:ind w:right="2920"/>
              <w:spacing w:after="0"/>
              <w:rPr>
                <w:sz w:val="20"/>
                <w:szCs w:val="20"/>
                <w:color w:val="auto"/>
              </w:rPr>
            </w:pPr>
            <w:r>
              <w:rPr>
                <w:rFonts w:ascii="Arial" w:cs="Arial" w:eastAsia="Arial" w:hAnsi="Arial"/>
                <w:sz w:val="18"/>
                <w:szCs w:val="18"/>
                <w:b w:val="1"/>
                <w:bCs w:val="1"/>
                <w:color w:val="auto"/>
                <w:w w:val="91"/>
              </w:rPr>
              <w:t>Delaware</w:t>
            </w:r>
          </w:p>
        </w:tc>
        <w:tc>
          <w:tcPr>
            <w:tcW w:w="3520" w:type="dxa"/>
            <w:vAlign w:val="bottom"/>
            <w:gridSpan w:val="5"/>
          </w:tcPr>
          <w:p>
            <w:pPr>
              <w:jc w:val="right"/>
              <w:ind w:right="880"/>
              <w:spacing w:after="0"/>
              <w:rPr>
                <w:sz w:val="20"/>
                <w:szCs w:val="20"/>
                <w:color w:val="auto"/>
              </w:rPr>
            </w:pPr>
            <w:r>
              <w:rPr>
                <w:rFonts w:ascii="Arial" w:cs="Arial" w:eastAsia="Arial" w:hAnsi="Arial"/>
                <w:sz w:val="18"/>
                <w:szCs w:val="18"/>
                <w:b w:val="1"/>
                <w:bCs w:val="1"/>
                <w:color w:val="auto"/>
              </w:rPr>
              <w:t>11-1986657</w:t>
            </w:r>
          </w:p>
        </w:tc>
      </w:tr>
      <w:tr>
        <w:trPr>
          <w:trHeight w:val="20"/>
        </w:trPr>
        <w:tc>
          <w:tcPr>
            <w:tcW w:w="3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2"/>
        </w:trPr>
        <w:tc>
          <w:tcPr>
            <w:tcW w:w="340" w:type="dxa"/>
            <w:vAlign w:val="bottom"/>
          </w:tcPr>
          <w:p>
            <w:pPr>
              <w:spacing w:after="0"/>
              <w:rPr>
                <w:sz w:val="19"/>
                <w:szCs w:val="19"/>
                <w:color w:val="auto"/>
              </w:rPr>
            </w:pPr>
          </w:p>
        </w:tc>
        <w:tc>
          <w:tcPr>
            <w:tcW w:w="5680" w:type="dxa"/>
            <w:vAlign w:val="bottom"/>
            <w:gridSpan w:val="4"/>
          </w:tcPr>
          <w:p>
            <w:pPr>
              <w:jc w:val="center"/>
              <w:ind w:right="880"/>
              <w:spacing w:after="0"/>
              <w:rPr>
                <w:sz w:val="20"/>
                <w:szCs w:val="20"/>
                <w:color w:val="auto"/>
              </w:rPr>
            </w:pPr>
            <w:r>
              <w:rPr>
                <w:rFonts w:ascii="Arial" w:cs="Arial" w:eastAsia="Arial" w:hAnsi="Arial"/>
                <w:sz w:val="18"/>
                <w:szCs w:val="18"/>
                <w:color w:val="auto"/>
                <w:w w:val="92"/>
              </w:rPr>
              <w:t>(State or other jurisdiction of</w:t>
            </w:r>
          </w:p>
        </w:tc>
        <w:tc>
          <w:tcPr>
            <w:tcW w:w="3520" w:type="dxa"/>
            <w:vAlign w:val="bottom"/>
            <w:gridSpan w:val="5"/>
          </w:tcPr>
          <w:p>
            <w:pPr>
              <w:jc w:val="center"/>
              <w:ind w:left="81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340" w:type="dxa"/>
            <w:vAlign w:val="bottom"/>
          </w:tcPr>
          <w:p>
            <w:pPr>
              <w:spacing w:after="0"/>
              <w:rPr>
                <w:sz w:val="20"/>
                <w:szCs w:val="20"/>
                <w:color w:val="auto"/>
              </w:rPr>
            </w:pPr>
          </w:p>
        </w:tc>
        <w:tc>
          <w:tcPr>
            <w:tcW w:w="5680" w:type="dxa"/>
            <w:vAlign w:val="bottom"/>
            <w:gridSpan w:val="4"/>
          </w:tcPr>
          <w:p>
            <w:pPr>
              <w:jc w:val="center"/>
              <w:ind w:right="880"/>
              <w:spacing w:after="0"/>
              <w:rPr>
                <w:sz w:val="20"/>
                <w:szCs w:val="20"/>
                <w:color w:val="auto"/>
              </w:rPr>
            </w:pPr>
            <w:r>
              <w:rPr>
                <w:rFonts w:ascii="Arial" w:cs="Arial" w:eastAsia="Arial" w:hAnsi="Arial"/>
                <w:sz w:val="18"/>
                <w:szCs w:val="18"/>
                <w:color w:val="auto"/>
                <w:w w:val="92"/>
              </w:rPr>
              <w:t>incorporation or organization)</w:t>
            </w:r>
          </w:p>
        </w:tc>
        <w:tc>
          <w:tcPr>
            <w:tcW w:w="1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91"/>
        </w:trPr>
        <w:tc>
          <w:tcPr>
            <w:tcW w:w="340" w:type="dxa"/>
            <w:vAlign w:val="bottom"/>
          </w:tcPr>
          <w:p>
            <w:pPr>
              <w:spacing w:after="0"/>
              <w:rPr>
                <w:sz w:val="24"/>
                <w:szCs w:val="24"/>
                <w:color w:val="auto"/>
              </w:rPr>
            </w:pPr>
          </w:p>
        </w:tc>
        <w:tc>
          <w:tcPr>
            <w:tcW w:w="4800" w:type="dxa"/>
            <w:vAlign w:val="bottom"/>
            <w:gridSpan w:val="3"/>
          </w:tcPr>
          <w:p>
            <w:pPr>
              <w:jc w:val="center"/>
              <w:spacing w:after="0"/>
              <w:rPr>
                <w:sz w:val="20"/>
                <w:szCs w:val="20"/>
                <w:color w:val="auto"/>
              </w:rPr>
            </w:pPr>
            <w:r>
              <w:rPr>
                <w:rFonts w:ascii="Arial" w:cs="Arial" w:eastAsia="Arial" w:hAnsi="Arial"/>
                <w:sz w:val="18"/>
                <w:szCs w:val="18"/>
                <w:b w:val="1"/>
                <w:bCs w:val="1"/>
                <w:color w:val="auto"/>
              </w:rPr>
              <w:t>55 CHARLES LINDBERGH BLVD., MITCHEL FIELD, N.Y.</w:t>
            </w:r>
          </w:p>
        </w:tc>
        <w:tc>
          <w:tcPr>
            <w:tcW w:w="880" w:type="dxa"/>
            <w:vAlign w:val="bottom"/>
          </w:tcPr>
          <w:p>
            <w:pPr>
              <w:spacing w:after="0"/>
              <w:rPr>
                <w:sz w:val="24"/>
                <w:szCs w:val="24"/>
                <w:color w:val="auto"/>
              </w:rPr>
            </w:pPr>
          </w:p>
        </w:tc>
        <w:tc>
          <w:tcPr>
            <w:tcW w:w="1980" w:type="dxa"/>
            <w:vAlign w:val="bottom"/>
            <w:gridSpan w:val="2"/>
          </w:tcPr>
          <w:p>
            <w:pPr>
              <w:spacing w:after="0"/>
              <w:rPr>
                <w:sz w:val="24"/>
                <w:szCs w:val="2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3"/>
              </w:rPr>
              <w:t>11553</w:t>
            </w:r>
          </w:p>
        </w:tc>
        <w:tc>
          <w:tcPr>
            <w:tcW w:w="880" w:type="dxa"/>
            <w:vAlign w:val="bottom"/>
          </w:tcPr>
          <w:p>
            <w:pPr>
              <w:spacing w:after="0"/>
              <w:rPr>
                <w:sz w:val="24"/>
                <w:szCs w:val="24"/>
                <w:color w:val="auto"/>
              </w:rPr>
            </w:pPr>
          </w:p>
        </w:tc>
      </w:tr>
      <w:tr>
        <w:trPr>
          <w:trHeight w:val="20"/>
        </w:trPr>
        <w:tc>
          <w:tcPr>
            <w:tcW w:w="340" w:type="dxa"/>
            <w:vAlign w:val="bottom"/>
          </w:tcPr>
          <w:p>
            <w:pPr>
              <w:spacing w:after="0" w:line="20" w:lineRule="exact"/>
              <w:rPr>
                <w:sz w:val="1"/>
                <w:szCs w:val="1"/>
                <w:color w:val="auto"/>
              </w:rPr>
            </w:pPr>
          </w:p>
        </w:tc>
        <w:tc>
          <w:tcPr>
            <w:tcW w:w="4800" w:type="dxa"/>
            <w:vAlign w:val="bottom"/>
            <w:gridSpan w:val="3"/>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r>
      <w:tr>
        <w:trPr>
          <w:trHeight w:val="237"/>
        </w:trPr>
        <w:tc>
          <w:tcPr>
            <w:tcW w:w="340" w:type="dxa"/>
            <w:vAlign w:val="bottom"/>
          </w:tcPr>
          <w:p>
            <w:pPr>
              <w:spacing w:after="0"/>
              <w:rPr>
                <w:sz w:val="20"/>
                <w:szCs w:val="20"/>
                <w:color w:val="auto"/>
              </w:rPr>
            </w:pPr>
          </w:p>
        </w:tc>
        <w:tc>
          <w:tcPr>
            <w:tcW w:w="4800" w:type="dxa"/>
            <w:vAlign w:val="bottom"/>
            <w:gridSpan w:val="3"/>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8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740" w:type="dxa"/>
            <w:vAlign w:val="bottom"/>
            <w:gridSpan w:val="4"/>
          </w:tcPr>
          <w:p>
            <w:pPr>
              <w:jc w:val="center"/>
              <w:ind w:right="900"/>
              <w:spacing w:after="0"/>
              <w:rPr>
                <w:sz w:val="20"/>
                <w:szCs w:val="20"/>
                <w:color w:val="auto"/>
              </w:rPr>
            </w:pPr>
            <w:r>
              <w:rPr>
                <w:rFonts w:ascii="Arial" w:cs="Arial" w:eastAsia="Arial" w:hAnsi="Arial"/>
                <w:sz w:val="18"/>
                <w:szCs w:val="18"/>
                <w:color w:val="auto"/>
                <w:w w:val="94"/>
              </w:rPr>
              <w:t>(Zip Code)</w:t>
            </w:r>
          </w:p>
        </w:tc>
      </w:tr>
      <w:tr>
        <w:trPr>
          <w:trHeight w:val="432"/>
        </w:trPr>
        <w:tc>
          <w:tcPr>
            <w:tcW w:w="6020" w:type="dxa"/>
            <w:vAlign w:val="bottom"/>
            <w:gridSpan w:val="5"/>
          </w:tcPr>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516-794-4500</w:t>
            </w:r>
          </w:p>
        </w:tc>
        <w:tc>
          <w:tcPr>
            <w:tcW w:w="1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pacing w:after="0" w:line="20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6"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44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2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Trading Symbol</w:t>
            </w:r>
          </w:p>
        </w:tc>
        <w:tc>
          <w:tcPr>
            <w:tcW w:w="43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09"/>
        </w:trPr>
        <w:tc>
          <w:tcPr>
            <w:tcW w:w="44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$1.00 per share)</w:t>
            </w:r>
          </w:p>
        </w:tc>
        <w:tc>
          <w:tcPr>
            <w:tcW w:w="2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FEIM</w:t>
            </w:r>
          </w:p>
        </w:tc>
        <w:tc>
          <w:tcPr>
            <w:tcW w:w="4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NASDAQ Global Market</w:t>
            </w:r>
          </w:p>
        </w:tc>
      </w:tr>
    </w:tbl>
    <w:p>
      <w:pPr>
        <w:spacing w:after="0" w:line="198"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960"/>
          </w:cols>
          <w:pgMar w:left="460" w:top="377" w:right="479" w:bottom="1440" w:gutter="0" w:footer="0" w:header="0"/>
        </w:sectPr>
      </w:pPr>
    </w:p>
    <w:p>
      <w:pPr>
        <w:spacing w:after="0" w:line="15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p>
      <w:pPr>
        <w:spacing w:after="0" w:line="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416" w:lineRule="exact"/>
        <w:rPr>
          <w:sz w:val="24"/>
          <w:szCs w:val="24"/>
          <w:color w:val="auto"/>
        </w:rPr>
      </w:pPr>
    </w:p>
    <w:p>
      <w:pPr>
        <w:sectPr>
          <w:pgSz w:w="11900" w:h="16838" w:orient="portrait"/>
          <w:cols w:equalWidth="0" w:num="2">
            <w:col w:w="5380" w:space="720"/>
            <w:col w:w="4860"/>
          </w:cols>
          <w:pgMar w:left="460" w:top="377" w:right="479" w:bottom="1440" w:gutter="0" w:footer="0" w:header="0"/>
          <w:type w:val="continuous"/>
        </w:sectPr>
      </w:pPr>
    </w:p>
    <w:p>
      <w:pPr>
        <w:spacing w:after="0" w:line="3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APPLICABLE ONLY TO CORPORATE ISSUERS: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outstanding of registrant’s Common Stock, par value $1.00 per share, as of March 11, 2022 – 9,283,652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696087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377" w:right="479" w:bottom="1440" w:gutter="0" w:footer="0" w:header="0"/>
          <w:type w:val="continuous"/>
        </w:sectPr>
      </w:pPr>
    </w:p>
    <w:bookmarkStart w:id="1" w:name="page2"/>
    <w:bookmarkEnd w:id="1"/>
    <w:p>
      <w:pPr>
        <w:jc w:val="center"/>
        <w:ind w:left="1100"/>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29" w:lineRule="exact"/>
        <w:rPr>
          <w:sz w:val="20"/>
          <w:szCs w:val="20"/>
          <w:color w:val="auto"/>
        </w:rPr>
      </w:pPr>
    </w:p>
    <w:p>
      <w:pPr>
        <w:ind w:left="48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1 - Financial Statements:</w:t>
        </w:r>
      </w:hyperlink>
    </w:p>
    <w:p>
      <w:pPr>
        <w:spacing w:after="0" w:line="225" w:lineRule="exact"/>
        <w:rPr>
          <w:sz w:val="20"/>
          <w:szCs w:val="20"/>
          <w:color w:val="auto"/>
        </w:rPr>
      </w:pPr>
    </w:p>
    <w:p>
      <w:pPr>
        <w:ind w:left="8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Consolidated Balance Sheets – January 31, 2022 (unaudited) and April 30, 2021</w:t>
        </w:r>
      </w:hyperlink>
    </w:p>
    <w:p>
      <w:pPr>
        <w:spacing w:after="0" w:line="225" w:lineRule="exact"/>
        <w:rPr>
          <w:sz w:val="20"/>
          <w:szCs w:val="20"/>
          <w:color w:val="auto"/>
        </w:rPr>
      </w:pPr>
    </w:p>
    <w:p>
      <w:pPr>
        <w:ind w:left="820"/>
        <w:spacing w:after="0" w:line="277" w:lineRule="auto"/>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Consolidated Statements of Operations and Comprehensive Loss Three and Nine Months Ended January 31, 2022</w:t>
        </w:r>
      </w:hyperlink>
      <w:r>
        <w:rPr>
          <w:rFonts w:ascii="Arial" w:cs="Arial" w:eastAsia="Arial" w:hAnsi="Arial"/>
          <w:sz w:val="18"/>
          <w:szCs w:val="18"/>
          <w:u w:val="single" w:color="auto"/>
          <w:color w:val="0000EE"/>
        </w:rPr>
        <w:t xml:space="preserve"> </w:t>
      </w:r>
      <w:hyperlink w:anchor="page4">
        <w:r>
          <w:rPr>
            <w:rFonts w:ascii="Arial" w:cs="Arial" w:eastAsia="Arial" w:hAnsi="Arial"/>
            <w:sz w:val="18"/>
            <w:szCs w:val="18"/>
            <w:u w:val="single" w:color="auto"/>
            <w:color w:val="0000EE"/>
          </w:rPr>
          <w:t>and 2021 (unaudited)</w:t>
        </w:r>
      </w:hyperlink>
    </w:p>
    <w:p>
      <w:pPr>
        <w:spacing w:after="0" w:line="170" w:lineRule="exact"/>
        <w:rPr>
          <w:sz w:val="20"/>
          <w:szCs w:val="20"/>
          <w:color w:val="auto"/>
        </w:rPr>
      </w:pPr>
    </w:p>
    <w:p>
      <w:pPr>
        <w:ind w:left="82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Consolidated Statements of Cash Flows Nine Months Ended January 31, 2022 and 2021 (unaudited)</w:t>
        </w:r>
      </w:hyperlink>
    </w:p>
    <w:p>
      <w:pPr>
        <w:spacing w:after="0" w:line="225" w:lineRule="exact"/>
        <w:rPr>
          <w:sz w:val="20"/>
          <w:szCs w:val="20"/>
          <w:color w:val="auto"/>
        </w:rPr>
      </w:pPr>
    </w:p>
    <w:p>
      <w:pPr>
        <w:ind w:left="820" w:right="300"/>
        <w:spacing w:after="0" w:line="277" w:lineRule="auto"/>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Condensed Consolidated Statements of Changes in Stockholders’ Equity Three and Nine Months Ended January 31, 2022</w:t>
        </w:r>
      </w:hyperlink>
      <w:r>
        <w:rPr>
          <w:rFonts w:ascii="Arial" w:cs="Arial" w:eastAsia="Arial" w:hAnsi="Arial"/>
          <w:sz w:val="18"/>
          <w:szCs w:val="18"/>
          <w:u w:val="single" w:color="auto"/>
          <w:color w:val="0000EE"/>
        </w:rPr>
        <w:t xml:space="preserve"> </w:t>
      </w:r>
      <w:hyperlink w:anchor="page6">
        <w:r>
          <w:rPr>
            <w:rFonts w:ascii="Arial" w:cs="Arial" w:eastAsia="Arial" w:hAnsi="Arial"/>
            <w:sz w:val="18"/>
            <w:szCs w:val="18"/>
            <w:u w:val="single" w:color="auto"/>
            <w:color w:val="0000EE"/>
          </w:rPr>
          <w:t>(unaudited)</w:t>
        </w:r>
      </w:hyperlink>
    </w:p>
    <w:p>
      <w:pPr>
        <w:spacing w:after="0" w:line="170" w:lineRule="exact"/>
        <w:rPr>
          <w:sz w:val="20"/>
          <w:szCs w:val="20"/>
          <w:color w:val="auto"/>
        </w:rPr>
      </w:pPr>
    </w:p>
    <w:p>
      <w:pPr>
        <w:ind w:left="820" w:right="300"/>
        <w:spacing w:after="0" w:line="277" w:lineRule="auto"/>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Condensed Consolidated Statements of Changes in Stockholders’ Equity Three and Nine Months Ended January 31, 2021</w:t>
        </w:r>
      </w:hyperlink>
      <w:r>
        <w:rPr>
          <w:rFonts w:ascii="Arial" w:cs="Arial" w:eastAsia="Arial" w:hAnsi="Arial"/>
          <w:sz w:val="18"/>
          <w:szCs w:val="18"/>
          <w:u w:val="single" w:color="auto"/>
          <w:color w:val="0000EE"/>
        </w:rPr>
        <w:t xml:space="preserve"> </w:t>
      </w:r>
      <w:hyperlink w:anchor="page7">
        <w:r>
          <w:rPr>
            <w:rFonts w:ascii="Arial" w:cs="Arial" w:eastAsia="Arial" w:hAnsi="Arial"/>
            <w:sz w:val="18"/>
            <w:szCs w:val="18"/>
            <w:u w:val="single" w:color="auto"/>
            <w:color w:val="0000EE"/>
          </w:rPr>
          <w:t>(unaudited)</w:t>
        </w:r>
      </w:hyperlink>
    </w:p>
    <w:p>
      <w:pPr>
        <w:spacing w:after="0" w:line="170" w:lineRule="exact"/>
        <w:rPr>
          <w:sz w:val="20"/>
          <w:szCs w:val="20"/>
          <w:color w:val="auto"/>
        </w:rPr>
      </w:pPr>
    </w:p>
    <w:p>
      <w:pPr>
        <w:ind w:left="82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Notes to Condensed Consolidated Financial Statements (unaudited)</w:t>
        </w:r>
      </w:hyperlink>
    </w:p>
    <w:p>
      <w:pPr>
        <w:spacing w:after="0" w:line="225" w:lineRule="exact"/>
        <w:rPr>
          <w:sz w:val="20"/>
          <w:szCs w:val="20"/>
          <w:color w:val="auto"/>
        </w:rPr>
      </w:pPr>
    </w:p>
    <w:p>
      <w:pPr>
        <w:ind w:left="480" w:right="2320"/>
        <w:spacing w:after="0" w:line="499" w:lineRule="auto"/>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Item 2 - Management’s Discussion and Analysis of Financial Condition and Results of Operations</w:t>
        </w:r>
      </w:hyperlink>
      <w:r>
        <w:rPr>
          <w:rFonts w:ascii="Arial" w:cs="Arial" w:eastAsia="Arial" w:hAnsi="Arial"/>
          <w:sz w:val="18"/>
          <w:szCs w:val="18"/>
          <w:u w:val="single" w:color="auto"/>
          <w:color w:val="0000EE"/>
        </w:rPr>
        <w:t xml:space="preserve"> </w:t>
      </w:r>
      <w:hyperlink w:anchor="page24">
        <w:r>
          <w:rPr>
            <w:rFonts w:ascii="Arial" w:cs="Arial" w:eastAsia="Arial" w:hAnsi="Arial"/>
            <w:sz w:val="18"/>
            <w:szCs w:val="18"/>
            <w:u w:val="single" w:color="auto"/>
            <w:color w:val="0000EE"/>
          </w:rPr>
          <w:t>Item 3 - Quantitative and Qualitative Disclosures About Market Risk</w:t>
        </w:r>
      </w:hyperlink>
      <w:r>
        <w:rPr>
          <w:rFonts w:ascii="Arial" w:cs="Arial" w:eastAsia="Arial" w:hAnsi="Arial"/>
          <w:sz w:val="18"/>
          <w:szCs w:val="18"/>
          <w:u w:val="single" w:color="auto"/>
          <w:color w:val="0000EE"/>
        </w:rPr>
        <w:t xml:space="preserve"> </w:t>
      </w:r>
      <w:hyperlink w:anchor="page24">
        <w:r>
          <w:rPr>
            <w:rFonts w:ascii="Arial" w:cs="Arial" w:eastAsia="Arial" w:hAnsi="Arial"/>
            <w:sz w:val="18"/>
            <w:szCs w:val="18"/>
            <w:u w:val="single" w:color="auto"/>
            <w:color w:val="0000EE"/>
          </w:rPr>
          <w:t>Item 4 - Controls and Procedures</w:t>
        </w:r>
      </w:hyperlink>
    </w:p>
    <w:p>
      <w:pPr>
        <w:spacing w:after="0" w:line="1"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9" w:lineRule="exact"/>
        <w:rPr>
          <w:rFonts w:ascii="Arial" w:cs="Arial" w:eastAsia="Arial" w:hAnsi="Arial"/>
          <w:sz w:val="18"/>
          <w:szCs w:val="18"/>
          <w:u w:val="single" w:color="auto"/>
          <w:color w:val="0000EE"/>
        </w:rPr>
      </w:pPr>
    </w:p>
    <w:p>
      <w:pPr>
        <w:ind w:left="48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Item 6 - Exhibits</w:t>
        </w:r>
      </w:hyperlink>
    </w:p>
    <w:p>
      <w:pPr>
        <w:spacing w:after="0" w:line="225" w:lineRule="exact"/>
        <w:rPr>
          <w:rFonts w:ascii="Arial" w:cs="Arial" w:eastAsia="Arial" w:hAnsi="Arial"/>
          <w:sz w:val="18"/>
          <w:szCs w:val="18"/>
          <w:u w:val="single" w:color="auto"/>
          <w:color w:val="0000EE"/>
        </w:rPr>
      </w:pPr>
    </w:p>
    <w:p>
      <w:pPr>
        <w:ind w:left="48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Signatures</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1905</wp:posOffset>
            </wp:positionH>
            <wp:positionV relativeFrom="paragraph">
              <wp:posOffset>486410</wp:posOffset>
            </wp:positionV>
            <wp:extent cx="696087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44"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5"/>
          <w:szCs w:val="15"/>
          <w:b w:val="1"/>
          <w:bCs w:val="1"/>
          <w:u w:val="single" w:color="auto"/>
          <w:color w:val="auto"/>
        </w:rPr>
        <w:t>Page No.</w:t>
      </w: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325" w:lineRule="exact"/>
        <w:rPr>
          <w:rFonts w:ascii="Arial" w:cs="Arial" w:eastAsia="Arial" w:hAnsi="Arial"/>
          <w:sz w:val="18"/>
          <w:szCs w:val="18"/>
          <w:u w:val="single" w:color="auto"/>
          <w:color w:val="0000EE"/>
        </w:rPr>
      </w:pPr>
    </w:p>
    <w:p>
      <w:pPr>
        <w:ind w:left="280"/>
        <w:spacing w:after="0"/>
        <w:rPr>
          <w:sz w:val="20"/>
          <w:szCs w:val="20"/>
          <w:color w:val="auto"/>
        </w:rPr>
      </w:pPr>
      <w:r>
        <w:rPr>
          <w:rFonts w:ascii="Arial" w:cs="Arial" w:eastAsia="Arial" w:hAnsi="Arial"/>
          <w:sz w:val="18"/>
          <w:szCs w:val="18"/>
          <w:color w:val="auto"/>
        </w:rPr>
        <w:t>3</w:t>
      </w:r>
    </w:p>
    <w:p>
      <w:pPr>
        <w:spacing w:after="0" w:line="225" w:lineRule="exact"/>
        <w:rPr>
          <w:rFonts w:ascii="Arial" w:cs="Arial" w:eastAsia="Arial" w:hAnsi="Arial"/>
          <w:sz w:val="18"/>
          <w:szCs w:val="18"/>
          <w:u w:val="single" w:color="auto"/>
          <w:color w:val="0000EE"/>
        </w:rPr>
      </w:pPr>
    </w:p>
    <w:p>
      <w:pPr>
        <w:ind w:left="280"/>
        <w:spacing w:after="0"/>
        <w:rPr>
          <w:sz w:val="20"/>
          <w:szCs w:val="20"/>
          <w:color w:val="auto"/>
        </w:rPr>
      </w:pPr>
      <w:r>
        <w:rPr>
          <w:rFonts w:ascii="Arial" w:cs="Arial" w:eastAsia="Arial" w:hAnsi="Arial"/>
          <w:sz w:val="18"/>
          <w:szCs w:val="18"/>
          <w:color w:val="auto"/>
        </w:rPr>
        <w:t>4</w:t>
      </w:r>
    </w:p>
    <w:p>
      <w:pPr>
        <w:spacing w:after="0" w:line="200" w:lineRule="exact"/>
        <w:rPr>
          <w:rFonts w:ascii="Arial" w:cs="Arial" w:eastAsia="Arial" w:hAnsi="Arial"/>
          <w:sz w:val="18"/>
          <w:szCs w:val="18"/>
          <w:u w:val="single" w:color="auto"/>
          <w:color w:val="0000EE"/>
        </w:rPr>
      </w:pPr>
    </w:p>
    <w:p>
      <w:pPr>
        <w:spacing w:after="0" w:line="241" w:lineRule="exact"/>
        <w:rPr>
          <w:rFonts w:ascii="Arial" w:cs="Arial" w:eastAsia="Arial" w:hAnsi="Arial"/>
          <w:sz w:val="18"/>
          <w:szCs w:val="18"/>
          <w:u w:val="single" w:color="auto"/>
          <w:color w:val="0000EE"/>
        </w:rPr>
      </w:pPr>
    </w:p>
    <w:p>
      <w:pPr>
        <w:ind w:left="280"/>
        <w:spacing w:after="0"/>
        <w:rPr>
          <w:sz w:val="20"/>
          <w:szCs w:val="20"/>
          <w:color w:val="auto"/>
        </w:rPr>
      </w:pPr>
      <w:r>
        <w:rPr>
          <w:rFonts w:ascii="Arial" w:cs="Arial" w:eastAsia="Arial" w:hAnsi="Arial"/>
          <w:sz w:val="18"/>
          <w:szCs w:val="18"/>
          <w:color w:val="auto"/>
        </w:rPr>
        <w:t>5</w:t>
      </w:r>
    </w:p>
    <w:p>
      <w:pPr>
        <w:spacing w:after="0" w:line="333" w:lineRule="exact"/>
        <w:rPr>
          <w:rFonts w:ascii="Arial" w:cs="Arial" w:eastAsia="Arial" w:hAnsi="Arial"/>
          <w:sz w:val="18"/>
          <w:szCs w:val="18"/>
          <w:u w:val="single" w:color="auto"/>
          <w:color w:val="0000EE"/>
        </w:rPr>
      </w:pPr>
    </w:p>
    <w:p>
      <w:pPr>
        <w:ind w:left="280"/>
        <w:spacing w:after="0"/>
        <w:rPr>
          <w:sz w:val="20"/>
          <w:szCs w:val="20"/>
          <w:color w:val="auto"/>
        </w:rPr>
      </w:pPr>
      <w:r>
        <w:rPr>
          <w:rFonts w:ascii="Arial" w:cs="Arial" w:eastAsia="Arial" w:hAnsi="Arial"/>
          <w:sz w:val="18"/>
          <w:szCs w:val="18"/>
          <w:color w:val="auto"/>
        </w:rPr>
        <w:t>6</w:t>
      </w:r>
    </w:p>
    <w:p>
      <w:pPr>
        <w:spacing w:after="0" w:line="200" w:lineRule="exact"/>
        <w:rPr>
          <w:rFonts w:ascii="Arial" w:cs="Arial" w:eastAsia="Arial" w:hAnsi="Arial"/>
          <w:sz w:val="18"/>
          <w:szCs w:val="18"/>
          <w:u w:val="single" w:color="auto"/>
          <w:color w:val="0000EE"/>
        </w:rPr>
      </w:pPr>
    </w:p>
    <w:p>
      <w:pPr>
        <w:spacing w:after="0" w:line="241" w:lineRule="exact"/>
        <w:rPr>
          <w:rFonts w:ascii="Arial" w:cs="Arial" w:eastAsia="Arial" w:hAnsi="Arial"/>
          <w:sz w:val="18"/>
          <w:szCs w:val="18"/>
          <w:u w:val="single" w:color="auto"/>
          <w:color w:val="0000EE"/>
        </w:rPr>
      </w:pPr>
    </w:p>
    <w:p>
      <w:pPr>
        <w:ind w:left="280"/>
        <w:spacing w:after="0"/>
        <w:rPr>
          <w:sz w:val="20"/>
          <w:szCs w:val="20"/>
          <w:color w:val="auto"/>
        </w:rPr>
      </w:pPr>
      <w:r>
        <w:rPr>
          <w:rFonts w:ascii="Arial" w:cs="Arial" w:eastAsia="Arial" w:hAnsi="Arial"/>
          <w:sz w:val="18"/>
          <w:szCs w:val="18"/>
          <w:color w:val="auto"/>
        </w:rPr>
        <w:t>7</w:t>
      </w:r>
    </w:p>
    <w:p>
      <w:pPr>
        <w:spacing w:after="0" w:line="333" w:lineRule="exact"/>
        <w:rPr>
          <w:rFonts w:ascii="Arial" w:cs="Arial" w:eastAsia="Arial" w:hAnsi="Arial"/>
          <w:sz w:val="18"/>
          <w:szCs w:val="18"/>
          <w:u w:val="single" w:color="auto"/>
          <w:color w:val="0000EE"/>
        </w:rPr>
      </w:pPr>
    </w:p>
    <w:p>
      <w:pPr>
        <w:ind w:left="160"/>
        <w:spacing w:after="0"/>
        <w:rPr>
          <w:sz w:val="20"/>
          <w:szCs w:val="20"/>
          <w:color w:val="auto"/>
        </w:rPr>
      </w:pPr>
      <w:r>
        <w:rPr>
          <w:rFonts w:ascii="Arial" w:cs="Arial" w:eastAsia="Arial" w:hAnsi="Arial"/>
          <w:sz w:val="18"/>
          <w:szCs w:val="18"/>
          <w:color w:val="auto"/>
        </w:rPr>
        <w:t>8-16</w:t>
      </w:r>
    </w:p>
    <w:p>
      <w:pPr>
        <w:spacing w:after="0" w:line="225" w:lineRule="exact"/>
        <w:rPr>
          <w:rFonts w:ascii="Arial" w:cs="Arial" w:eastAsia="Arial" w:hAnsi="Arial"/>
          <w:sz w:val="18"/>
          <w:szCs w:val="18"/>
          <w:u w:val="single" w:color="auto"/>
          <w:color w:val="0000EE"/>
        </w:rPr>
      </w:pPr>
    </w:p>
    <w:p>
      <w:pPr>
        <w:jc w:val="center"/>
        <w:spacing w:after="0"/>
        <w:rPr>
          <w:sz w:val="20"/>
          <w:szCs w:val="20"/>
          <w:color w:val="auto"/>
        </w:rPr>
      </w:pPr>
      <w:r>
        <w:rPr>
          <w:rFonts w:ascii="Arial" w:cs="Arial" w:eastAsia="Arial" w:hAnsi="Arial"/>
          <w:sz w:val="18"/>
          <w:szCs w:val="18"/>
          <w:color w:val="auto"/>
        </w:rPr>
        <w:t>17-23</w:t>
      </w:r>
    </w:p>
    <w:p>
      <w:pPr>
        <w:spacing w:after="0" w:line="225" w:lineRule="exact"/>
        <w:rPr>
          <w:rFonts w:ascii="Arial" w:cs="Arial" w:eastAsia="Arial" w:hAnsi="Arial"/>
          <w:sz w:val="18"/>
          <w:szCs w:val="18"/>
          <w:u w:val="single" w:color="auto"/>
          <w:color w:val="0000EE"/>
        </w:rPr>
      </w:pPr>
    </w:p>
    <w:p>
      <w:pPr>
        <w:ind w:left="240"/>
        <w:spacing w:after="0"/>
        <w:rPr>
          <w:sz w:val="20"/>
          <w:szCs w:val="20"/>
          <w:color w:val="auto"/>
        </w:rPr>
      </w:pPr>
      <w:r>
        <w:rPr>
          <w:rFonts w:ascii="Arial" w:cs="Arial" w:eastAsia="Arial" w:hAnsi="Arial"/>
          <w:sz w:val="18"/>
          <w:szCs w:val="18"/>
          <w:color w:val="auto"/>
        </w:rPr>
        <w:t>24</w:t>
      </w:r>
    </w:p>
    <w:p>
      <w:pPr>
        <w:spacing w:after="0" w:line="225" w:lineRule="exact"/>
        <w:rPr>
          <w:rFonts w:ascii="Arial" w:cs="Arial" w:eastAsia="Arial" w:hAnsi="Arial"/>
          <w:sz w:val="18"/>
          <w:szCs w:val="18"/>
          <w:u w:val="single" w:color="auto"/>
          <w:color w:val="0000EE"/>
        </w:rPr>
      </w:pPr>
    </w:p>
    <w:p>
      <w:pPr>
        <w:ind w:left="240"/>
        <w:spacing w:after="0"/>
        <w:rPr>
          <w:sz w:val="20"/>
          <w:szCs w:val="20"/>
          <w:color w:val="auto"/>
        </w:rPr>
      </w:pPr>
      <w:r>
        <w:rPr>
          <w:rFonts w:ascii="Arial" w:cs="Arial" w:eastAsia="Arial" w:hAnsi="Arial"/>
          <w:sz w:val="18"/>
          <w:szCs w:val="18"/>
          <w:color w:val="auto"/>
        </w:rPr>
        <w:t>24</w:t>
      </w: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57" w:lineRule="exact"/>
        <w:rPr>
          <w:rFonts w:ascii="Arial" w:cs="Arial" w:eastAsia="Arial" w:hAnsi="Arial"/>
          <w:sz w:val="18"/>
          <w:szCs w:val="18"/>
          <w:u w:val="single" w:color="auto"/>
          <w:color w:val="0000EE"/>
        </w:rPr>
      </w:pPr>
    </w:p>
    <w:p>
      <w:pPr>
        <w:ind w:left="240"/>
        <w:spacing w:after="0"/>
        <w:rPr>
          <w:sz w:val="20"/>
          <w:szCs w:val="20"/>
          <w:color w:val="auto"/>
        </w:rPr>
      </w:pPr>
      <w:r>
        <w:rPr>
          <w:rFonts w:ascii="Arial" w:cs="Arial" w:eastAsia="Arial" w:hAnsi="Arial"/>
          <w:sz w:val="18"/>
          <w:szCs w:val="18"/>
          <w:color w:val="auto"/>
        </w:rPr>
        <w:t>25</w:t>
      </w:r>
    </w:p>
    <w:p>
      <w:pPr>
        <w:spacing w:after="0" w:line="225" w:lineRule="exact"/>
        <w:rPr>
          <w:rFonts w:ascii="Arial" w:cs="Arial" w:eastAsia="Arial" w:hAnsi="Arial"/>
          <w:sz w:val="18"/>
          <w:szCs w:val="18"/>
          <w:u w:val="single" w:color="auto"/>
          <w:color w:val="0000EE"/>
        </w:rPr>
      </w:pPr>
    </w:p>
    <w:p>
      <w:pPr>
        <w:ind w:left="240"/>
        <w:spacing w:after="0"/>
        <w:rPr>
          <w:sz w:val="20"/>
          <w:szCs w:val="20"/>
          <w:color w:val="auto"/>
        </w:rPr>
      </w:pPr>
      <w:r>
        <w:rPr>
          <w:rFonts w:ascii="Arial" w:cs="Arial" w:eastAsia="Arial" w:hAnsi="Arial"/>
          <w:sz w:val="18"/>
          <w:szCs w:val="18"/>
          <w:color w:val="auto"/>
        </w:rPr>
        <w:t>26</w:t>
      </w:r>
    </w:p>
    <w:p>
      <w:pPr>
        <w:sectPr>
          <w:pgSz w:w="11900" w:h="16838" w:orient="portrait"/>
          <w:cols w:equalWidth="0" w:num="2">
            <w:col w:w="9880" w:space="360"/>
            <w:col w:w="680"/>
          </w:cols>
          <w:pgMar w:left="460" w:top="553" w:right="5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u w:val="single" w:color="auto"/>
          <w:color w:val="auto"/>
        </w:rPr>
        <w:t>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par value)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January 31,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April 30,</w:t>
            </w:r>
          </w:p>
        </w:tc>
        <w:tc>
          <w:tcPr>
            <w:tcW w:w="0" w:type="dxa"/>
            <w:vAlign w:val="bottom"/>
          </w:tcPr>
          <w:p>
            <w:pPr>
              <w:spacing w:after="0"/>
              <w:rPr>
                <w:sz w:val="1"/>
                <w:szCs w:val="1"/>
                <w:color w:val="auto"/>
              </w:rPr>
            </w:pPr>
          </w:p>
        </w:tc>
      </w:tr>
      <w:tr>
        <w:trPr>
          <w:trHeight w:val="234"/>
        </w:trPr>
        <w:tc>
          <w:tcPr>
            <w:tcW w:w="78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7800" w:type="dxa"/>
            <w:vAlign w:val="bottom"/>
            <w:vMerge w:val="restart"/>
          </w:tcPr>
          <w:p>
            <w:pPr>
              <w:ind w:left="3480"/>
              <w:spacing w:after="0"/>
              <w:rPr>
                <w:sz w:val="20"/>
                <w:szCs w:val="20"/>
                <w:color w:val="auto"/>
              </w:rPr>
            </w:pPr>
            <w:r>
              <w:rPr>
                <w:rFonts w:ascii="Arial" w:cs="Arial" w:eastAsia="Arial" w:hAnsi="Arial"/>
                <w:sz w:val="18"/>
                <w:szCs w:val="18"/>
                <w:b w:val="1"/>
                <w:bCs w:val="1"/>
                <w:color w:val="auto"/>
              </w:rPr>
              <w:t>ASSETS:</w:t>
            </w:r>
          </w:p>
        </w:tc>
        <w:tc>
          <w:tcPr>
            <w:tcW w:w="100" w:type="dxa"/>
            <w:vAlign w:val="bottom"/>
          </w:tcPr>
          <w:p>
            <w:pPr>
              <w:spacing w:after="0"/>
              <w:rPr>
                <w:sz w:val="19"/>
                <w:szCs w:val="19"/>
                <w:color w:val="auto"/>
              </w:rPr>
            </w:pPr>
          </w:p>
        </w:tc>
        <w:tc>
          <w:tcPr>
            <w:tcW w:w="1320" w:type="dxa"/>
            <w:vAlign w:val="bottom"/>
          </w:tcPr>
          <w:p>
            <w:pPr>
              <w:jc w:val="center"/>
              <w:ind w:right="10"/>
              <w:spacing w:after="0"/>
              <w:rPr>
                <w:sz w:val="20"/>
                <w:szCs w:val="20"/>
                <w:color w:val="auto"/>
              </w:rPr>
            </w:pPr>
            <w:r>
              <w:rPr>
                <w:rFonts w:ascii="Arial" w:cs="Arial" w:eastAsia="Arial" w:hAnsi="Arial"/>
                <w:sz w:val="18"/>
                <w:szCs w:val="18"/>
                <w:color w:val="auto"/>
              </w:rPr>
              <w:t>(UNAUDITED)</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7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80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12,136</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tcPr>
          <w:p>
            <w:pPr>
              <w:ind w:left="360"/>
              <w:spacing w:after="0"/>
              <w:rPr>
                <w:sz w:val="20"/>
                <w:szCs w:val="20"/>
                <w:color w:val="auto"/>
              </w:rPr>
            </w:pPr>
            <w:r>
              <w:rPr>
                <w:rFonts w:ascii="Arial" w:cs="Arial" w:eastAsia="Arial" w:hAnsi="Arial"/>
                <w:sz w:val="18"/>
                <w:szCs w:val="18"/>
                <w:color w:val="auto"/>
              </w:rPr>
              <w:t>Marketable securities</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10,107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10,313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80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w w:val="94"/>
              </w:rPr>
              <w:t>Accounts receivable, net of allowance for doubtful accounts of $111 at January 31, 2022 and April</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30, 2021</w:t>
            </w: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6,834</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5,515</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800" w:type="dxa"/>
            <w:vAlign w:val="bottom"/>
          </w:tcPr>
          <w:p>
            <w:pPr>
              <w:ind w:left="360"/>
              <w:spacing w:after="0"/>
              <w:rPr>
                <w:sz w:val="20"/>
                <w:szCs w:val="20"/>
                <w:color w:val="auto"/>
              </w:rPr>
            </w:pPr>
            <w:r>
              <w:rPr>
                <w:rFonts w:ascii="Arial" w:cs="Arial" w:eastAsia="Arial" w:hAnsi="Arial"/>
                <w:sz w:val="18"/>
                <w:szCs w:val="18"/>
                <w:color w:val="auto"/>
              </w:rPr>
              <w:t>Costs and estimated earnings in excess of billings, net</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 net</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19,710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tcPr>
          <w:p>
            <w:pPr>
              <w:ind w:left="360"/>
              <w:spacing w:after="0"/>
              <w:rPr>
                <w:sz w:val="20"/>
                <w:szCs w:val="20"/>
                <w:color w:val="auto"/>
              </w:rPr>
            </w:pPr>
            <w:r>
              <w:rPr>
                <w:rFonts w:ascii="Arial" w:cs="Arial" w:eastAsia="Arial" w:hAnsi="Arial"/>
                <w:sz w:val="18"/>
                <w:szCs w:val="18"/>
                <w:color w:val="auto"/>
              </w:rPr>
              <w:t>Prepaid income taxes</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450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Prepaid expenses and other</w:t>
            </w:r>
          </w:p>
        </w:tc>
        <w:tc>
          <w:tcPr>
            <w:tcW w:w="1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00" w:type="dxa"/>
            <w:vAlign w:val="bottom"/>
          </w:tcPr>
          <w:p>
            <w:pPr>
              <w:ind w:left="360"/>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50,392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48,679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at cost, net of accumulated depreciation and amortization</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Cash surrender value of life insurance</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1,735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Right-of-Use assets – operating leases</w:t>
            </w:r>
          </w:p>
        </w:tc>
        <w:tc>
          <w:tcPr>
            <w:tcW w:w="1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9,149</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0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81,216</w:t>
            </w:r>
          </w:p>
        </w:tc>
        <w:tc>
          <w:tcPr>
            <w:tcW w:w="14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86,016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0" w:type="dxa"/>
            <w:vAlign w:val="bottom"/>
          </w:tcPr>
          <w:p>
            <w:pPr>
              <w:ind w:left="1860"/>
              <w:spacing w:after="0"/>
              <w:rPr>
                <w:sz w:val="20"/>
                <w:szCs w:val="20"/>
                <w:color w:val="auto"/>
              </w:rPr>
            </w:pPr>
            <w:r>
              <w:rPr>
                <w:rFonts w:ascii="Arial" w:cs="Arial" w:eastAsia="Arial" w:hAnsi="Arial"/>
                <w:sz w:val="18"/>
                <w:szCs w:val="18"/>
                <w:b w:val="1"/>
                <w:bCs w:val="1"/>
                <w:color w:val="auto"/>
              </w:rPr>
              <w:t>LIABILITIES AND STOCKHOLDERS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tcPr>
          <w:p>
            <w:pPr>
              <w:ind w:left="360"/>
              <w:spacing w:after="0"/>
              <w:rPr>
                <w:sz w:val="20"/>
                <w:szCs w:val="20"/>
                <w:color w:val="auto"/>
              </w:rPr>
            </w:pPr>
            <w:r>
              <w:rPr>
                <w:rFonts w:ascii="Arial" w:cs="Arial" w:eastAsia="Arial" w:hAnsi="Arial"/>
                <w:sz w:val="18"/>
                <w:szCs w:val="18"/>
                <w:color w:val="auto"/>
              </w:rPr>
              <w:t>Accounts payable – trade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1,188</w:t>
            </w:r>
          </w:p>
        </w:tc>
        <w:tc>
          <w:tcPr>
            <w:tcW w:w="14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liabilities</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tcPr>
          <w:p>
            <w:pPr>
              <w:ind w:left="360"/>
              <w:spacing w:after="0"/>
              <w:rPr>
                <w:sz w:val="20"/>
                <w:szCs w:val="20"/>
                <w:color w:val="auto"/>
              </w:rPr>
            </w:pPr>
            <w:r>
              <w:rPr>
                <w:rFonts w:ascii="Arial" w:cs="Arial" w:eastAsia="Arial" w:hAnsi="Arial"/>
                <w:sz w:val="18"/>
                <w:szCs w:val="18"/>
                <w:color w:val="auto"/>
              </w:rPr>
              <w:t>Loss provision accrual</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 liability</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tcPr>
          <w:p>
            <w:pPr>
              <w:ind w:left="360"/>
              <w:spacing w:after="0"/>
              <w:rPr>
                <w:sz w:val="20"/>
                <w:szCs w:val="20"/>
                <w:color w:val="auto"/>
              </w:rPr>
            </w:pPr>
            <w:r>
              <w:rPr>
                <w:rFonts w:ascii="Arial" w:cs="Arial" w:eastAsia="Arial" w:hAnsi="Arial"/>
                <w:sz w:val="18"/>
                <w:szCs w:val="18"/>
                <w:color w:val="auto"/>
              </w:rPr>
              <w:t>Billings in excess of costs and estimated earnings, net</w:t>
            </w: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Deferred compensation</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9,093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Operating lease liability – non-current</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7,708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8,366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00" w:type="dxa"/>
            <w:vAlign w:val="bottom"/>
          </w:tcPr>
          <w:p>
            <w:pPr>
              <w:ind w:left="180"/>
              <w:spacing w:after="0"/>
              <w:rPr>
                <w:sz w:val="20"/>
                <w:szCs w:val="20"/>
                <w:color w:val="auto"/>
              </w:rPr>
            </w:pPr>
            <w:r>
              <w:rPr>
                <w:rFonts w:ascii="Arial" w:cs="Arial" w:eastAsia="Arial" w:hAnsi="Arial"/>
                <w:sz w:val="18"/>
                <w:szCs w:val="18"/>
                <w:color w:val="auto"/>
              </w:rPr>
              <w:t>Total liabilities</w:t>
            </w: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27,369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Preferred stock - $1.00 par value; authorized 600 shares, no shares issued</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800" w:type="dxa"/>
            <w:vAlign w:val="bottom"/>
          </w:tcPr>
          <w:p>
            <w:pPr>
              <w:ind w:left="360"/>
              <w:spacing w:after="0" w:line="201" w:lineRule="exact"/>
              <w:rPr>
                <w:sz w:val="20"/>
                <w:szCs w:val="20"/>
                <w:color w:val="auto"/>
              </w:rPr>
            </w:pPr>
            <w:r>
              <w:rPr>
                <w:rFonts w:ascii="Arial" w:cs="Arial" w:eastAsia="Arial" w:hAnsi="Arial"/>
                <w:sz w:val="18"/>
                <w:szCs w:val="18"/>
                <w:color w:val="auto"/>
                <w:w w:val="94"/>
              </w:rPr>
              <w:t>Common stock - $1.00 par value; authorized 20,000 shares, 9,285 shares issued and 9,284 shares</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800" w:type="dxa"/>
            <w:vAlign w:val="bottom"/>
          </w:tcPr>
          <w:p>
            <w:pPr>
              <w:ind w:left="480"/>
              <w:spacing w:after="0"/>
              <w:rPr>
                <w:sz w:val="20"/>
                <w:szCs w:val="20"/>
                <w:color w:val="auto"/>
              </w:rPr>
            </w:pPr>
            <w:r>
              <w:rPr>
                <w:rFonts w:ascii="Arial" w:cs="Arial" w:eastAsia="Arial" w:hAnsi="Arial"/>
                <w:sz w:val="18"/>
                <w:szCs w:val="18"/>
                <w:color w:val="auto"/>
                <w:w w:val="90"/>
              </w:rPr>
              <w:t>outstanding at January 31, 2022; 9,226 shares issued and 9,225 shares outstanding at April 30, 2021</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9,285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9,226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57,834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tcPr>
          <w:p>
            <w:pPr>
              <w:ind w:left="36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(13,270)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(11,457)</w:t>
            </w:r>
          </w:p>
        </w:tc>
        <w:tc>
          <w:tcPr>
            <w:tcW w:w="0" w:type="dxa"/>
            <w:vAlign w:val="bottom"/>
          </w:tcPr>
          <w:p>
            <w:pPr>
              <w:spacing w:after="0"/>
              <w:rPr>
                <w:sz w:val="1"/>
                <w:szCs w:val="1"/>
                <w:color w:val="auto"/>
              </w:rPr>
            </w:pPr>
          </w:p>
        </w:tc>
      </w:tr>
      <w:tr>
        <w:trPr>
          <w:trHeight w:val="202"/>
        </w:trPr>
        <w:tc>
          <w:tcPr>
            <w:tcW w:w="78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Common stock reacquired and held in treasury -</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at cost (1 share at January 31, 2022 and 1 share at April 30, 2021)</w:t>
            </w:r>
          </w:p>
        </w:tc>
        <w:tc>
          <w:tcPr>
            <w:tcW w:w="10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7800" w:type="dxa"/>
            <w:vAlign w:val="bottom"/>
          </w:tcPr>
          <w:p>
            <w:pPr>
              <w:ind w:left="360"/>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53,847</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55,409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0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81,216</w:t>
            </w:r>
          </w:p>
        </w:tc>
        <w:tc>
          <w:tcPr>
            <w:tcW w:w="14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86,016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553" w:right="47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540" w:type="dxa"/>
            <w:vAlign w:val="bottom"/>
            <w:gridSpan w:val="7"/>
          </w:tcPr>
          <w:p>
            <w:pPr>
              <w:jc w:val="center"/>
              <w:ind w:right="140"/>
              <w:spacing w:after="0"/>
              <w:rPr>
                <w:sz w:val="20"/>
                <w:szCs w:val="20"/>
                <w:color w:val="auto"/>
              </w:rPr>
            </w:pPr>
            <w:r>
              <w:rPr>
                <w:rFonts w:ascii="Arial" w:cs="Arial" w:eastAsia="Arial" w:hAnsi="Arial"/>
                <w:sz w:val="18"/>
                <w:szCs w:val="18"/>
                <w:b w:val="1"/>
                <w:bCs w:val="1"/>
                <w:color w:val="auto"/>
                <w:w w:val="92"/>
              </w:rPr>
              <w:t>Three Months Ended January</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20" w:type="dxa"/>
            <w:vAlign w:val="bottom"/>
            <w:gridSpan w:val="6"/>
          </w:tcPr>
          <w:p>
            <w:pPr>
              <w:jc w:val="center"/>
              <w:ind w:right="200"/>
              <w:spacing w:after="0"/>
              <w:rPr>
                <w:sz w:val="20"/>
                <w:szCs w:val="20"/>
                <w:color w:val="auto"/>
              </w:rPr>
            </w:pPr>
            <w:r>
              <w:rPr>
                <w:rFonts w:ascii="Arial" w:cs="Arial" w:eastAsia="Arial" w:hAnsi="Arial"/>
                <w:sz w:val="18"/>
                <w:szCs w:val="18"/>
                <w:b w:val="1"/>
                <w:bCs w:val="1"/>
                <w:color w:val="auto"/>
                <w:w w:val="91"/>
              </w:rPr>
              <w:t>Nine Months Ended January</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31,</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31,</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8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Condensed Consolidated Statements of Operations</w:t>
            </w:r>
          </w:p>
        </w:tc>
        <w:tc>
          <w:tcPr>
            <w:tcW w:w="9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4860" w:type="dxa"/>
            <w:vAlign w:val="bottom"/>
            <w:gridSpan w:val="3"/>
            <w:vMerge w:val="continue"/>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3880" w:type="dxa"/>
            <w:vAlign w:val="bottom"/>
            <w:tcBorders>
              <w:top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12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12,245</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11,672</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38,136</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Cost of revenues</w:t>
            </w:r>
          </w:p>
        </w:tc>
        <w:tc>
          <w:tcPr>
            <w:tcW w:w="9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26,744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Gross margin</w:t>
            </w: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Selling and administrative expenses</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2,832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2,454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9,637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9,805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9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1,129</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1,289</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3,861</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40" w:type="dxa"/>
            <w:vAlign w:val="bottom"/>
            <w:gridSpan w:val="2"/>
          </w:tcPr>
          <w:p>
            <w:pPr>
              <w:ind w:left="340"/>
              <w:spacing w:after="0"/>
              <w:rPr>
                <w:sz w:val="20"/>
                <w:szCs w:val="20"/>
                <w:color w:val="auto"/>
              </w:rPr>
            </w:pPr>
            <w:r>
              <w:rPr>
                <w:rFonts w:ascii="Arial" w:cs="Arial" w:eastAsia="Arial" w:hAnsi="Arial"/>
                <w:sz w:val="18"/>
                <w:szCs w:val="18"/>
                <w:color w:val="auto"/>
              </w:rPr>
              <w:t>Operating loss</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(721)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(939)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(2,106)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(1,057)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Investment income</w:t>
            </w: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ind w:left="340"/>
              <w:spacing w:after="0"/>
              <w:rPr>
                <w:sz w:val="20"/>
                <w:szCs w:val="20"/>
                <w:color w:val="auto"/>
              </w:rPr>
            </w:pPr>
            <w:r>
              <w:rPr>
                <w:rFonts w:ascii="Arial" w:cs="Arial" w:eastAsia="Arial" w:hAnsi="Arial"/>
                <w:sz w:val="18"/>
                <w:szCs w:val="18"/>
                <w:color w:val="auto"/>
              </w:rPr>
              <w:t>Interest expense</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(59)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Other income (expense), net</w:t>
            </w:r>
          </w:p>
        </w:tc>
        <w:tc>
          <w:tcPr>
            <w:tcW w:w="9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Loss before provision for income taxes</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(734)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(788)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(1,810)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9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40" w:type="dxa"/>
            <w:vAlign w:val="bottom"/>
            <w:gridSpan w:val="2"/>
          </w:tcPr>
          <w:p>
            <w:pPr>
              <w:ind w:left="340"/>
              <w:spacing w:after="0"/>
              <w:rPr>
                <w:sz w:val="20"/>
                <w:szCs w:val="20"/>
                <w:color w:val="auto"/>
              </w:rPr>
            </w:pPr>
            <w:r>
              <w:rPr>
                <w:rFonts w:ascii="Arial" w:cs="Arial" w:eastAsia="Arial" w:hAnsi="Arial"/>
                <w:sz w:val="18"/>
                <w:szCs w:val="18"/>
                <w:color w:val="auto"/>
              </w:rPr>
              <w:t>Net loss</w:t>
            </w:r>
          </w:p>
        </w:tc>
        <w:tc>
          <w:tcPr>
            <w:tcW w:w="12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(735)</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(800)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(1,813)</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8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0960"/>
          </w:cols>
          <w:pgMar w:left="460" w:top="125" w:right="479" w:bottom="1440" w:gutter="0" w:footer="0" w:header="0"/>
        </w:sectPr>
      </w:pPr>
    </w:p>
    <w:p>
      <w:pPr>
        <w:spacing w:after="0"/>
        <w:rPr>
          <w:sz w:val="20"/>
          <w:szCs w:val="20"/>
          <w:color w:val="auto"/>
        </w:rPr>
      </w:pPr>
      <w:r>
        <w:rPr>
          <w:rFonts w:ascii="Arial" w:cs="Arial" w:eastAsia="Arial" w:hAnsi="Arial"/>
          <w:sz w:val="18"/>
          <w:szCs w:val="18"/>
          <w:color w:val="auto"/>
        </w:rPr>
        <w:t>Net loss per common share:</w:t>
      </w:r>
    </w:p>
    <w:p>
      <w:pPr>
        <w:spacing w:after="0" w:line="3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Basic and diluted loss per share</w:t>
      </w:r>
    </w:p>
    <w:p>
      <w:pPr>
        <w:spacing w:after="0" w:line="248" w:lineRule="exact"/>
        <w:rPr>
          <w:sz w:val="20"/>
          <w:szCs w:val="20"/>
          <w:color w:val="auto"/>
        </w:rPr>
      </w:pPr>
    </w:p>
    <w:p>
      <w:pPr>
        <w:spacing w:after="0"/>
        <w:rPr>
          <w:sz w:val="20"/>
          <w:szCs w:val="20"/>
          <w:color w:val="auto"/>
        </w:rPr>
      </w:pPr>
      <w:r>
        <w:rPr>
          <w:rFonts w:ascii="Arial" w:cs="Arial" w:eastAsia="Arial" w:hAnsi="Arial"/>
          <w:sz w:val="15"/>
          <w:szCs w:val="15"/>
          <w:color w:val="auto"/>
        </w:rPr>
        <w:t>Weighted average shares outstanding:</w:t>
      </w:r>
    </w:p>
    <w:p>
      <w:pPr>
        <w:spacing w:after="0" w:line="8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Basic and diluted</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00" w:type="dxa"/>
            <w:vAlign w:val="bottom"/>
            <w:gridSpan w:val="2"/>
          </w:tcPr>
          <w:p>
            <w:pPr>
              <w:jc w:val="right"/>
              <w:ind w:right="30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(0.08)</w:t>
            </w:r>
          </w:p>
        </w:tc>
        <w:tc>
          <w:tcPr>
            <w:tcW w:w="4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(0.09)</w:t>
            </w:r>
          </w:p>
        </w:tc>
        <w:tc>
          <w:tcPr>
            <w:tcW w:w="4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(0.20)</w:t>
            </w:r>
          </w:p>
        </w:tc>
        <w:tc>
          <w:tcPr>
            <w:tcW w:w="4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(0.08)</w:t>
            </w:r>
          </w:p>
        </w:tc>
      </w:tr>
      <w:tr>
        <w:trPr>
          <w:trHeight w:val="20"/>
        </w:trPr>
        <w:tc>
          <w:tcPr>
            <w:tcW w:w="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9,279</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9,185</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9,257</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9,165</w:t>
            </w:r>
          </w:p>
        </w:tc>
        <w:tc>
          <w:tcPr>
            <w:tcW w:w="6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-3693160</wp:posOffset>
            </wp:positionH>
            <wp:positionV relativeFrom="paragraph">
              <wp:posOffset>-599440</wp:posOffset>
            </wp:positionV>
            <wp:extent cx="6960870" cy="1631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60870" cy="163195"/>
                    </a:xfrm>
                    <a:prstGeom prst="rect">
                      <a:avLst/>
                    </a:prstGeom>
                    <a:noFill/>
                  </pic:spPr>
                </pic:pic>
              </a:graphicData>
            </a:graphic>
          </wp:anchor>
        </w:drawing>
        <w:drawing>
          <wp:anchor simplePos="0" relativeHeight="251657728" behindDoc="1" locked="0" layoutInCell="0" allowOverlap="1">
            <wp:simplePos x="0" y="0"/>
            <wp:positionH relativeFrom="column">
              <wp:posOffset>-3693160</wp:posOffset>
            </wp:positionH>
            <wp:positionV relativeFrom="paragraph">
              <wp:posOffset>-299720</wp:posOffset>
            </wp:positionV>
            <wp:extent cx="696087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60870" cy="137160"/>
                    </a:xfrm>
                    <a:prstGeom prst="rect">
                      <a:avLst/>
                    </a:prstGeom>
                    <a:noFill/>
                  </pic:spPr>
                </pic:pic>
              </a:graphicData>
            </a:graphic>
          </wp:anchor>
        </w:drawing>
        <w:drawing>
          <wp:anchor simplePos="0" relativeHeight="251657728" behindDoc="1" locked="0" layoutInCell="0" allowOverlap="1">
            <wp:simplePos x="0" y="0"/>
            <wp:positionH relativeFrom="column">
              <wp:posOffset>-3693160</wp:posOffset>
            </wp:positionH>
            <wp:positionV relativeFrom="paragraph">
              <wp:posOffset>0</wp:posOffset>
            </wp:positionV>
            <wp:extent cx="696087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6087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00" w:space="720"/>
            <w:col w:w="5140"/>
          </w:cols>
          <w:pgMar w:left="460" w:top="125" w:right="479" w:bottom="1440" w:gutter="0" w:footer="0" w:header="0"/>
          <w:type w:val="continuous"/>
        </w:sect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4"/>
              </w:rPr>
              <w:t>Condensed Consolidated Statements of Comprehensive Loss</w:t>
            </w:r>
          </w:p>
        </w:tc>
        <w:tc>
          <w:tcPr>
            <w:tcW w:w="8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4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Net loss</w:t>
            </w:r>
          </w:p>
        </w:tc>
        <w:tc>
          <w:tcPr>
            <w:tcW w:w="4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gridSpan w:val="2"/>
          </w:tcPr>
          <w:p>
            <w:pPr>
              <w:jc w:val="right"/>
              <w:ind w:right="34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CCEEFF"/>
            </w:tcBorders>
            <w:gridSpan w:val="2"/>
          </w:tcPr>
          <w:p>
            <w:pPr>
              <w:jc w:val="right"/>
              <w:ind w:right="80"/>
              <w:spacing w:after="0"/>
              <w:rPr>
                <w:sz w:val="20"/>
                <w:szCs w:val="20"/>
                <w:color w:val="auto"/>
              </w:rPr>
            </w:pPr>
            <w:r>
              <w:rPr>
                <w:rFonts w:ascii="Arial" w:cs="Arial" w:eastAsia="Arial" w:hAnsi="Arial"/>
                <w:sz w:val="18"/>
                <w:szCs w:val="18"/>
                <w:color w:val="auto"/>
              </w:rPr>
              <w:t>(735)</w:t>
            </w:r>
          </w:p>
        </w:tc>
        <w:tc>
          <w:tcPr>
            <w:tcW w:w="500" w:type="dxa"/>
            <w:vAlign w:val="bottom"/>
            <w:tcBorders>
              <w:top w:val="single" w:sz="8" w:color="CCEEFF"/>
            </w:tcBorders>
            <w:gridSpan w:val="2"/>
          </w:tcPr>
          <w:p>
            <w:pPr>
              <w:jc w:val="right"/>
              <w:ind w:right="34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CCEEFF"/>
            </w:tcBorders>
            <w:gridSpan w:val="2"/>
          </w:tcPr>
          <w:p>
            <w:pPr>
              <w:jc w:val="right"/>
              <w:ind w:right="80"/>
              <w:spacing w:after="0"/>
              <w:rPr>
                <w:sz w:val="20"/>
                <w:szCs w:val="20"/>
                <w:color w:val="auto"/>
              </w:rPr>
            </w:pPr>
            <w:r>
              <w:rPr>
                <w:rFonts w:ascii="Arial" w:cs="Arial" w:eastAsia="Arial" w:hAnsi="Arial"/>
                <w:sz w:val="18"/>
                <w:szCs w:val="18"/>
                <w:color w:val="auto"/>
              </w:rPr>
              <w:t>(800)</w:t>
            </w:r>
          </w:p>
        </w:tc>
        <w:tc>
          <w:tcPr>
            <w:tcW w:w="420" w:type="dxa"/>
            <w:vAlign w:val="bottom"/>
            <w:tcBorders>
              <w:top w:val="single" w:sz="8" w:color="CCEEFF"/>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CCEEFF"/>
            </w:tcBorders>
            <w:gridSpan w:val="2"/>
          </w:tcPr>
          <w:p>
            <w:pPr>
              <w:jc w:val="right"/>
              <w:ind w:right="80"/>
              <w:spacing w:after="0"/>
              <w:rPr>
                <w:sz w:val="20"/>
                <w:szCs w:val="20"/>
                <w:color w:val="auto"/>
              </w:rPr>
            </w:pPr>
            <w:r>
              <w:rPr>
                <w:rFonts w:ascii="Arial" w:cs="Arial" w:eastAsia="Arial" w:hAnsi="Arial"/>
                <w:sz w:val="18"/>
                <w:szCs w:val="18"/>
                <w:color w:val="auto"/>
              </w:rPr>
              <w:t>(1,813)</w:t>
            </w:r>
          </w:p>
        </w:tc>
        <w:tc>
          <w:tcPr>
            <w:tcW w:w="500" w:type="dxa"/>
            <w:vAlign w:val="bottom"/>
            <w:tcBorders>
              <w:top w:val="single" w:sz="8" w:color="CCEEFF"/>
            </w:tcBorders>
            <w:gridSpan w:val="2"/>
          </w:tcPr>
          <w:p>
            <w:pPr>
              <w:jc w:val="right"/>
              <w:ind w:right="34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Unrealized loss on marketable securities:</w:t>
            </w: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2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rPr>
              <w:t>Change in market value of marketable securities before</w:t>
            </w: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reclassification, net of tax</w:t>
            </w:r>
          </w:p>
        </w:tc>
        <w:tc>
          <w:tcPr>
            <w:tcW w:w="8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(211)</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(283)</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20" w:type="dxa"/>
            <w:vAlign w:val="bottom"/>
            <w:gridSpan w:val="2"/>
          </w:tcPr>
          <w:p>
            <w:pPr>
              <w:ind w:left="340"/>
              <w:spacing w:after="0" w:line="201" w:lineRule="exact"/>
              <w:rPr>
                <w:sz w:val="20"/>
                <w:szCs w:val="20"/>
                <w:color w:val="auto"/>
              </w:rPr>
            </w:pPr>
            <w:r>
              <w:rPr>
                <w:rFonts w:ascii="Arial" w:cs="Arial" w:eastAsia="Arial" w:hAnsi="Arial"/>
                <w:sz w:val="18"/>
                <w:szCs w:val="18"/>
                <w:color w:val="auto"/>
              </w:rPr>
              <w:t>Reclassification adjustment for realized gains included in</w:t>
            </w: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20" w:type="dxa"/>
            <w:vAlign w:val="bottom"/>
            <w:gridSpan w:val="2"/>
          </w:tcPr>
          <w:p>
            <w:pPr>
              <w:ind w:left="340"/>
              <w:spacing w:after="0"/>
              <w:rPr>
                <w:sz w:val="20"/>
                <w:szCs w:val="20"/>
                <w:color w:val="auto"/>
              </w:rPr>
            </w:pPr>
            <w:r>
              <w:rPr>
                <w:rFonts w:ascii="Arial" w:cs="Arial" w:eastAsia="Arial" w:hAnsi="Arial"/>
                <w:sz w:val="18"/>
                <w:szCs w:val="18"/>
                <w:color w:val="auto"/>
              </w:rPr>
              <w:t>net income, net of tax</w:t>
            </w: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0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Total unrealized loss on marketable securities, net of tax</w:t>
            </w: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(209)</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(287)</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Comprehensive loss</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(944)</w:t>
            </w:r>
          </w:p>
        </w:tc>
        <w:tc>
          <w:tcPr>
            <w:tcW w:w="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(834)</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(2,100)</w:t>
            </w:r>
          </w:p>
        </w:tc>
        <w:tc>
          <w:tcPr>
            <w:tcW w:w="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8360" w:type="dxa"/>
            <w:vAlign w:val="bottom"/>
            <w:gridSpan w:val="10"/>
          </w:tcPr>
          <w:p>
            <w:pPr>
              <w:jc w:val="center"/>
              <w:ind w:left="2470"/>
              <w:spacing w:after="0"/>
              <w:rPr>
                <w:sz w:val="20"/>
                <w:szCs w:val="20"/>
                <w:color w:val="auto"/>
              </w:rPr>
            </w:pPr>
            <w:r>
              <w:rPr>
                <w:rFonts w:ascii="Arial" w:cs="Arial" w:eastAsia="Arial" w:hAnsi="Arial"/>
                <w:sz w:val="18"/>
                <w:szCs w:val="18"/>
                <w:color w:val="auto"/>
                <w:w w:val="88"/>
              </w:rPr>
              <w:t>See accompanying notes to condensed consolidated financial statements.</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4</w:t>
            </w: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46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60" w:top="125" w:right="479" w:bottom="1440"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8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160" w:type="dxa"/>
            <w:vAlign w:val="bottom"/>
            <w:gridSpan w:val="7"/>
          </w:tcPr>
          <w:p>
            <w:pPr>
              <w:jc w:val="right"/>
              <w:ind w:right="380"/>
              <w:spacing w:after="0"/>
              <w:rPr>
                <w:sz w:val="20"/>
                <w:szCs w:val="20"/>
                <w:color w:val="auto"/>
              </w:rPr>
            </w:pPr>
            <w:r>
              <w:rPr>
                <w:rFonts w:ascii="Arial" w:cs="Arial" w:eastAsia="Arial" w:hAnsi="Arial"/>
                <w:sz w:val="18"/>
                <w:szCs w:val="18"/>
                <w:b w:val="1"/>
                <w:bCs w:val="1"/>
                <w:color w:val="auto"/>
              </w:rPr>
              <w:t>Nine Months Ended January 31,</w:t>
            </w:r>
          </w:p>
        </w:tc>
        <w:tc>
          <w:tcPr>
            <w:tcW w:w="0" w:type="dxa"/>
            <w:vAlign w:val="bottom"/>
          </w:tcPr>
          <w:p>
            <w:pPr>
              <w:spacing w:after="0"/>
              <w:rPr>
                <w:sz w:val="1"/>
                <w:szCs w:val="1"/>
                <w:color w:val="auto"/>
              </w:rPr>
            </w:pPr>
          </w:p>
        </w:tc>
      </w:tr>
      <w:tr>
        <w:trPr>
          <w:trHeight w:val="209"/>
        </w:trPr>
        <w:tc>
          <w:tcPr>
            <w:tcW w:w="5840" w:type="dxa"/>
            <w:vAlign w:val="bottom"/>
            <w:gridSpan w:val="2"/>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196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40" w:type="dxa"/>
            <w:vAlign w:val="bottom"/>
            <w:gridSpan w:val="2"/>
            <w:vMerge w:val="continue"/>
          </w:tcPr>
          <w:p>
            <w:pPr>
              <w:spacing w:after="0"/>
              <w:rPr>
                <w:sz w:val="18"/>
                <w:szCs w:val="18"/>
                <w:color w:val="auto"/>
              </w:rPr>
            </w:pPr>
          </w:p>
        </w:tc>
        <w:tc>
          <w:tcPr>
            <w:tcW w:w="19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w:t>
            </w:r>
          </w:p>
        </w:tc>
        <w:tc>
          <w:tcPr>
            <w:tcW w:w="2860" w:type="dxa"/>
            <w:vAlign w:val="bottom"/>
            <w:gridSpan w:val="2"/>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(1,813)</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340"/>
              <w:spacing w:after="0"/>
              <w:rPr>
                <w:sz w:val="20"/>
                <w:szCs w:val="20"/>
                <w:color w:val="auto"/>
              </w:rPr>
            </w:pPr>
            <w:r>
              <w:rPr>
                <w:rFonts w:ascii="Arial" w:cs="Arial" w:eastAsia="Arial" w:hAnsi="Arial"/>
                <w:sz w:val="18"/>
                <w:szCs w:val="18"/>
                <w:color w:val="auto"/>
              </w:rPr>
              <w:t>Non-cash charges to earnings</w:t>
            </w:r>
          </w:p>
        </w:tc>
        <w:tc>
          <w:tcPr>
            <w:tcW w:w="19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2,870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changes in operating assets and liabilities</w:t>
            </w:r>
          </w:p>
        </w:tc>
        <w:tc>
          <w:tcPr>
            <w:tcW w:w="19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2,913</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196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8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9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on redemption of marketable securities</w:t>
            </w:r>
          </w:p>
        </w:tc>
        <w:tc>
          <w:tcPr>
            <w:tcW w:w="19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340"/>
              <w:spacing w:after="0"/>
              <w:rPr>
                <w:sz w:val="20"/>
                <w:szCs w:val="20"/>
                <w:color w:val="auto"/>
              </w:rPr>
            </w:pPr>
            <w:r>
              <w:rPr>
                <w:rFonts w:ascii="Arial" w:cs="Arial" w:eastAsia="Arial" w:hAnsi="Arial"/>
                <w:sz w:val="18"/>
                <w:szCs w:val="18"/>
                <w:color w:val="auto"/>
              </w:rPr>
              <w:t>Purchase of marketable securities</w:t>
            </w:r>
          </w:p>
        </w:tc>
        <w:tc>
          <w:tcPr>
            <w:tcW w:w="19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(1,846)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 of fixed assets and other assets</w:t>
            </w:r>
          </w:p>
        </w:tc>
        <w:tc>
          <w:tcPr>
            <w:tcW w:w="19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(1,534)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20" w:type="dxa"/>
            <w:vAlign w:val="bottom"/>
            <w:shd w:val="clear" w:color="auto" w:fill="CCEEFF"/>
          </w:tcPr>
          <w:p>
            <w:pPr>
              <w:spacing w:after="0" w:line="20" w:lineRule="exact"/>
              <w:rPr>
                <w:sz w:val="1"/>
                <w:szCs w:val="1"/>
                <w:color w:val="auto"/>
              </w:rPr>
            </w:pPr>
          </w:p>
        </w:tc>
        <w:tc>
          <w:tcPr>
            <w:tcW w:w="196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9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(1,641)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(921)</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8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Net cash used in financing activities:</w:t>
            </w:r>
          </w:p>
        </w:tc>
        <w:tc>
          <w:tcPr>
            <w:tcW w:w="19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Repayment of PPP Loan</w:t>
            </w:r>
          </w:p>
        </w:tc>
        <w:tc>
          <w:tcPr>
            <w:tcW w:w="19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340"/>
              <w:spacing w:after="0"/>
              <w:rPr>
                <w:sz w:val="20"/>
                <w:szCs w:val="20"/>
                <w:color w:val="auto"/>
              </w:rPr>
            </w:pPr>
            <w:r>
              <w:rPr>
                <w:rFonts w:ascii="Arial" w:cs="Arial" w:eastAsia="Arial" w:hAnsi="Arial"/>
                <w:sz w:val="18"/>
                <w:szCs w:val="18"/>
                <w:color w:val="auto"/>
              </w:rPr>
              <w:t>Proceeds from UBS line of credit</w:t>
            </w:r>
          </w:p>
        </w:tc>
        <w:tc>
          <w:tcPr>
            <w:tcW w:w="19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Repayment of UBS line of credit</w:t>
            </w:r>
          </w:p>
        </w:tc>
        <w:tc>
          <w:tcPr>
            <w:tcW w:w="19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20" w:type="dxa"/>
            <w:vAlign w:val="bottom"/>
            <w:shd w:val="clear" w:color="auto" w:fill="CCEEFF"/>
          </w:tcPr>
          <w:p>
            <w:pPr>
              <w:spacing w:after="0" w:line="20" w:lineRule="exact"/>
              <w:rPr>
                <w:sz w:val="1"/>
                <w:szCs w:val="1"/>
                <w:color w:val="auto"/>
              </w:rPr>
            </w:pPr>
          </w:p>
        </w:tc>
        <w:tc>
          <w:tcPr>
            <w:tcW w:w="196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Net cash used in financing activities</w:t>
            </w:r>
          </w:p>
        </w:tc>
        <w:tc>
          <w:tcPr>
            <w:tcW w:w="19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(4,965)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19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2,329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96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9,807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2860" w:type="dxa"/>
            <w:vAlign w:val="bottom"/>
            <w:gridSpan w:val="2"/>
          </w:tcPr>
          <w:p>
            <w:pPr>
              <w:jc w:val="right"/>
              <w:ind w:right="71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12,136</w:t>
            </w:r>
          </w:p>
        </w:tc>
        <w:tc>
          <w:tcPr>
            <w:tcW w:w="14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7,255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82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 of cash flow information:</w:t>
            </w:r>
          </w:p>
        </w:tc>
        <w:tc>
          <w:tcPr>
            <w:tcW w:w="19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340"/>
              <w:spacing w:after="0"/>
              <w:rPr>
                <w:sz w:val="20"/>
                <w:szCs w:val="20"/>
                <w:color w:val="auto"/>
              </w:rPr>
            </w:pPr>
            <w:r>
              <w:rPr>
                <w:rFonts w:ascii="Arial" w:cs="Arial" w:eastAsia="Arial" w:hAnsi="Arial"/>
                <w:sz w:val="18"/>
                <w:szCs w:val="18"/>
                <w:color w:val="auto"/>
              </w:rPr>
              <w:t>Cash paid during the period for:</w:t>
            </w:r>
          </w:p>
        </w:tc>
        <w:tc>
          <w:tcPr>
            <w:tcW w:w="19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w:t>
            </w:r>
          </w:p>
        </w:tc>
        <w:tc>
          <w:tcPr>
            <w:tcW w:w="19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40" w:type="dxa"/>
            <w:vAlign w:val="bottom"/>
            <w:shd w:val="clear" w:color="auto" w:fill="CCEEFF"/>
          </w:tcPr>
          <w:p>
            <w:pPr>
              <w:spacing w:after="0"/>
              <w:rPr>
                <w:sz w:val="22"/>
                <w:szCs w:val="22"/>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20" w:type="dxa"/>
            <w:vAlign w:val="bottom"/>
            <w:tcBorders>
              <w:top w:val="single" w:sz="8" w:color="CCEEFF"/>
            </w:tcBorders>
          </w:tcPr>
          <w:p>
            <w:pPr>
              <w:ind w:left="340"/>
              <w:spacing w:after="0" w:line="196" w:lineRule="exact"/>
              <w:rPr>
                <w:sz w:val="20"/>
                <w:szCs w:val="20"/>
                <w:color w:val="auto"/>
              </w:rPr>
            </w:pPr>
            <w:r>
              <w:rPr>
                <w:rFonts w:ascii="Arial" w:cs="Arial" w:eastAsia="Arial" w:hAnsi="Arial"/>
                <w:sz w:val="18"/>
                <w:szCs w:val="18"/>
                <w:color w:val="auto"/>
              </w:rPr>
              <w:t>Income taxes</w:t>
            </w:r>
          </w:p>
        </w:tc>
        <w:tc>
          <w:tcPr>
            <w:tcW w:w="1960" w:type="dxa"/>
            <w:vAlign w:val="bottom"/>
            <w:tcBorders>
              <w:top w:val="single" w:sz="8" w:color="CCEEFF"/>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710"/>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w:t>
            </w: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82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340"/>
              <w:spacing w:after="0"/>
              <w:rPr>
                <w:sz w:val="20"/>
                <w:szCs w:val="20"/>
                <w:color w:val="auto"/>
              </w:rPr>
            </w:pPr>
            <w:r>
              <w:rPr>
                <w:rFonts w:ascii="Arial" w:cs="Arial" w:eastAsia="Arial" w:hAnsi="Arial"/>
                <w:sz w:val="18"/>
                <w:szCs w:val="18"/>
                <w:color w:val="auto"/>
              </w:rPr>
              <w:t>Cash refunded during the period for:</w:t>
            </w:r>
          </w:p>
        </w:tc>
        <w:tc>
          <w:tcPr>
            <w:tcW w:w="19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w:t>
            </w:r>
          </w:p>
        </w:tc>
        <w:tc>
          <w:tcPr>
            <w:tcW w:w="196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Borders>
              <w:top w:val="single" w:sz="8" w:color="CCEEFF"/>
            </w:tcBorders>
            <w:shd w:val="clear" w:color="auto" w:fill="CCEEFF"/>
          </w:tcPr>
          <w:p>
            <w:pPr>
              <w:spacing w:after="0" w:line="20" w:lineRule="exact"/>
              <w:rPr>
                <w:sz w:val="1"/>
                <w:szCs w:val="1"/>
                <w:color w:val="auto"/>
              </w:rPr>
            </w:pPr>
          </w:p>
        </w:tc>
        <w:tc>
          <w:tcPr>
            <w:tcW w:w="19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5" w:right="47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Three and Nine Months Ended January 31,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3"/>
              </w:rPr>
              <w:t>Additional</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gridSpan w:val="3"/>
            <w:vMerge w:val="restart"/>
          </w:tcPr>
          <w:p>
            <w:pPr>
              <w:jc w:val="right"/>
              <w:ind w:right="298"/>
              <w:spacing w:after="0"/>
              <w:rPr>
                <w:sz w:val="20"/>
                <w:szCs w:val="20"/>
                <w:color w:val="auto"/>
              </w:rPr>
            </w:pPr>
            <w:r>
              <w:rPr>
                <w:rFonts w:ascii="Arial" w:cs="Arial" w:eastAsia="Arial" w:hAnsi="Arial"/>
                <w:sz w:val="14"/>
                <w:szCs w:val="14"/>
                <w:b w:val="1"/>
                <w:bCs w:val="1"/>
                <w:color w:val="auto"/>
              </w:rPr>
              <w:t>Treasury stock</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other</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020" w:type="dxa"/>
            <w:vAlign w:val="bottom"/>
            <w:tcBorders>
              <w:bottom w:val="single" w:sz="8" w:color="auto"/>
            </w:tcBorders>
            <w:gridSpan w:val="4"/>
          </w:tcPr>
          <w:p>
            <w:pPr>
              <w:jc w:val="right"/>
              <w:ind w:right="468"/>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paid in</w:t>
            </w:r>
          </w:p>
        </w:tc>
        <w:tc>
          <w:tcPr>
            <w:tcW w:w="100" w:type="dxa"/>
            <w:vAlign w:val="bottom"/>
          </w:tcPr>
          <w:p>
            <w:pPr>
              <w:spacing w:after="0"/>
              <w:rPr>
                <w:sz w:val="14"/>
                <w:szCs w:val="14"/>
                <w:color w:val="auto"/>
              </w:rPr>
            </w:pPr>
          </w:p>
        </w:tc>
        <w:tc>
          <w:tcPr>
            <w:tcW w:w="108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0"/>
              </w:rPr>
              <w:t>Accumulated</w:t>
            </w:r>
          </w:p>
        </w:tc>
        <w:tc>
          <w:tcPr>
            <w:tcW w:w="1780" w:type="dxa"/>
            <w:vAlign w:val="bottom"/>
            <w:tcBorders>
              <w:bottom w:val="single" w:sz="8" w:color="auto"/>
            </w:tcBorders>
            <w:gridSpan w:val="3"/>
          </w:tcPr>
          <w:p>
            <w:pPr>
              <w:jc w:val="right"/>
              <w:ind w:right="518"/>
              <w:spacing w:after="0"/>
              <w:rPr>
                <w:sz w:val="20"/>
                <w:szCs w:val="20"/>
                <w:color w:val="auto"/>
              </w:rPr>
            </w:pPr>
            <w:r>
              <w:rPr>
                <w:rFonts w:ascii="Arial" w:cs="Arial" w:eastAsia="Arial" w:hAnsi="Arial"/>
                <w:sz w:val="14"/>
                <w:szCs w:val="14"/>
                <w:b w:val="1"/>
                <w:bCs w:val="1"/>
                <w:color w:val="auto"/>
              </w:rPr>
              <w:t>(at cost)</w:t>
            </w:r>
          </w:p>
        </w:tc>
        <w:tc>
          <w:tcPr>
            <w:tcW w:w="1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89"/>
              </w:rPr>
              <w:t>comprehensive</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900" w:type="dxa"/>
            <w:vAlign w:val="bottom"/>
            <w:tcBorders>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Deficit</w:t>
            </w:r>
          </w:p>
        </w:tc>
        <w:tc>
          <w:tcPr>
            <w:tcW w:w="220" w:type="dxa"/>
            <w:vAlign w:val="bottom"/>
          </w:tcPr>
          <w:p>
            <w:pPr>
              <w:spacing w:after="0"/>
              <w:rPr>
                <w:sz w:val="12"/>
                <w:szCs w:val="12"/>
                <w:color w:val="auto"/>
              </w:rPr>
            </w:pPr>
          </w:p>
        </w:tc>
        <w:tc>
          <w:tcPr>
            <w:tcW w:w="860" w:type="dxa"/>
            <w:vAlign w:val="bottom"/>
            <w:tcBorders>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8"/>
              </w:rPr>
              <w:t>Income (loss)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Balance at April 30, 2021</w:t>
            </w: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9,226,268</w:t>
            </w:r>
          </w:p>
        </w:tc>
        <w:tc>
          <w:tcPr>
            <w:tcW w:w="360" w:type="dxa"/>
            <w:vAlign w:val="bottom"/>
            <w:gridSpan w:val="2"/>
            <w:shd w:val="clear" w:color="auto" w:fill="CCEEFF"/>
          </w:tcPr>
          <w:p>
            <w:pPr>
              <w:jc w:val="right"/>
              <w:ind w:right="9"/>
              <w:spacing w:after="0" w:line="142"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9,226</w:t>
            </w:r>
          </w:p>
        </w:tc>
        <w:tc>
          <w:tcPr>
            <w:tcW w:w="3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57,355</w:t>
            </w:r>
          </w:p>
        </w:tc>
        <w:tc>
          <w:tcPr>
            <w:tcW w:w="1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18"/>
              <w:spacing w:after="0" w:line="142"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rPr>
              <w:t>(11,457)</w:t>
            </w:r>
          </w:p>
        </w:tc>
        <w:tc>
          <w:tcPr>
            <w:tcW w:w="8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1,376</w:t>
            </w:r>
          </w:p>
        </w:tc>
        <w:tc>
          <w:tcPr>
            <w:tcW w:w="920" w:type="dxa"/>
            <w:vAlign w:val="bottom"/>
            <w:gridSpan w:val="2"/>
            <w:shd w:val="clear" w:color="auto" w:fill="CCEEFF"/>
          </w:tcPr>
          <w:p>
            <w:pPr>
              <w:jc w:val="right"/>
              <w:ind w:right="578"/>
              <w:spacing w:after="0" w:line="142"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(6)</w:t>
            </w:r>
          </w:p>
        </w:tc>
        <w:tc>
          <w:tcPr>
            <w:tcW w:w="260" w:type="dxa"/>
            <w:vAlign w:val="bottom"/>
            <w:gridSpan w:val="2"/>
            <w:shd w:val="clear" w:color="auto" w:fill="CCEEFF"/>
          </w:tcPr>
          <w:p>
            <w:pPr>
              <w:jc w:val="right"/>
              <w:ind w:right="35"/>
              <w:spacing w:after="0" w:line="142"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291</w:t>
            </w:r>
          </w:p>
        </w:tc>
        <w:tc>
          <w:tcPr>
            <w:tcW w:w="12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49"/>
              <w:spacing w:after="0" w:line="142"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55,409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00" w:type="dxa"/>
            <w:vAlign w:val="bottom"/>
          </w:tcPr>
          <w:p>
            <w:pPr>
              <w:spacing w:after="0" w:line="130" w:lineRule="exact"/>
              <w:rPr>
                <w:sz w:val="20"/>
                <w:szCs w:val="20"/>
                <w:color w:val="auto"/>
              </w:rPr>
            </w:pPr>
            <w:r>
              <w:rPr>
                <w:rFonts w:ascii="Arial" w:cs="Arial" w:eastAsia="Arial" w:hAnsi="Arial"/>
                <w:sz w:val="14"/>
                <w:szCs w:val="14"/>
                <w:color w:val="auto"/>
              </w:rPr>
              <w:t>Contribution of stock to</w:t>
            </w: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320" w:type="dxa"/>
            <w:vAlign w:val="bottom"/>
            <w:gridSpan w:val="2"/>
          </w:tcPr>
          <w:p>
            <w:pPr>
              <w:spacing w:after="0"/>
              <w:rPr>
                <w:sz w:val="20"/>
                <w:szCs w:val="20"/>
                <w:color w:val="auto"/>
              </w:rPr>
            </w:pPr>
            <w:r>
              <w:rPr>
                <w:rFonts w:ascii="Arial" w:cs="Arial" w:eastAsia="Arial" w:hAnsi="Arial"/>
                <w:sz w:val="14"/>
                <w:szCs w:val="14"/>
                <w:color w:val="auto"/>
              </w:rPr>
              <w:t>401(k) plan</w:t>
            </w:r>
          </w:p>
        </w:tc>
        <w:tc>
          <w:tcPr>
            <w:tcW w:w="900" w:type="dxa"/>
            <w:vAlign w:val="bottom"/>
          </w:tcPr>
          <w:p>
            <w:pPr>
              <w:jc w:val="right"/>
              <w:spacing w:after="0"/>
              <w:rPr>
                <w:sz w:val="20"/>
                <w:szCs w:val="20"/>
                <w:color w:val="auto"/>
              </w:rPr>
            </w:pPr>
            <w:r>
              <w:rPr>
                <w:rFonts w:ascii="Arial" w:cs="Arial" w:eastAsia="Arial" w:hAnsi="Arial"/>
                <w:sz w:val="14"/>
                <w:szCs w:val="14"/>
                <w:color w:val="auto"/>
              </w:rPr>
              <w:t>13,251</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130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Stock-based</w:t>
            </w:r>
          </w:p>
        </w:tc>
        <w:tc>
          <w:tcPr>
            <w:tcW w:w="9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4"/>
                <w:szCs w:val="14"/>
                <w:color w:val="auto"/>
              </w:rPr>
              <w:t>compensation expense</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7,500</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00" w:type="dxa"/>
            <w:vAlign w:val="bottom"/>
          </w:tcPr>
          <w:p>
            <w:pPr>
              <w:spacing w:after="0" w:line="130" w:lineRule="exact"/>
              <w:rPr>
                <w:sz w:val="20"/>
                <w:szCs w:val="20"/>
                <w:color w:val="auto"/>
              </w:rPr>
            </w:pPr>
            <w:r>
              <w:rPr>
                <w:rFonts w:ascii="Arial" w:cs="Arial" w:eastAsia="Arial" w:hAnsi="Arial"/>
                <w:sz w:val="14"/>
                <w:szCs w:val="14"/>
                <w:color w:val="auto"/>
              </w:rPr>
              <w:t>Exercise of stock options</w:t>
            </w: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320" w:type="dxa"/>
            <w:vAlign w:val="bottom"/>
            <w:gridSpan w:val="2"/>
          </w:tcPr>
          <w:p>
            <w:pPr>
              <w:spacing w:after="0" w:line="149" w:lineRule="exact"/>
              <w:rPr>
                <w:sz w:val="20"/>
                <w:szCs w:val="20"/>
                <w:color w:val="auto"/>
              </w:rPr>
            </w:pPr>
            <w:r>
              <w:rPr>
                <w:rFonts w:ascii="Arial" w:cs="Arial" w:eastAsia="Arial" w:hAnsi="Arial"/>
                <w:sz w:val="14"/>
                <w:szCs w:val="14"/>
                <w:color w:val="auto"/>
              </w:rPr>
              <w:t>and stock appreciation</w:t>
            </w: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20" w:type="dxa"/>
            <w:vAlign w:val="bottom"/>
            <w:gridSpan w:val="2"/>
          </w:tcPr>
          <w:p>
            <w:pPr>
              <w:spacing w:after="0" w:line="149" w:lineRule="exact"/>
              <w:rPr>
                <w:sz w:val="20"/>
                <w:szCs w:val="20"/>
                <w:color w:val="auto"/>
              </w:rPr>
            </w:pPr>
            <w:r>
              <w:rPr>
                <w:rFonts w:ascii="Arial" w:cs="Arial" w:eastAsia="Arial" w:hAnsi="Arial"/>
                <w:sz w:val="14"/>
                <w:szCs w:val="14"/>
                <w:color w:val="auto"/>
              </w:rPr>
              <w:t>rights - net of shares</w:t>
            </w: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320" w:type="dxa"/>
            <w:vAlign w:val="bottom"/>
            <w:gridSpan w:val="2"/>
          </w:tcPr>
          <w:p>
            <w:pPr>
              <w:spacing w:after="0"/>
              <w:rPr>
                <w:sz w:val="20"/>
                <w:szCs w:val="20"/>
                <w:color w:val="auto"/>
              </w:rPr>
            </w:pPr>
            <w:r>
              <w:rPr>
                <w:rFonts w:ascii="Arial" w:cs="Arial" w:eastAsia="Arial" w:hAnsi="Arial"/>
                <w:sz w:val="14"/>
                <w:szCs w:val="14"/>
                <w:color w:val="auto"/>
              </w:rPr>
              <w:t>tendered for exercise price</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Other comprehensive</w:t>
            </w:r>
          </w:p>
        </w:tc>
        <w:tc>
          <w:tcPr>
            <w:tcW w:w="9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4"/>
                <w:szCs w:val="14"/>
                <w:color w:val="auto"/>
              </w:rPr>
              <w:t>income, net of tax</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0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(1,575)</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(1,575)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3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Balance at July 31, 2021</w:t>
            </w: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9,247,019</w:t>
            </w:r>
          </w:p>
        </w:tc>
        <w:tc>
          <w:tcPr>
            <w:tcW w:w="360" w:type="dxa"/>
            <w:vAlign w:val="bottom"/>
            <w:gridSpan w:val="2"/>
            <w:shd w:val="clear" w:color="auto" w:fill="CCEEFF"/>
          </w:tcPr>
          <w:p>
            <w:pPr>
              <w:jc w:val="right"/>
              <w:ind w:right="9"/>
              <w:spacing w:after="0" w:line="142"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9,247</w:t>
            </w:r>
          </w:p>
        </w:tc>
        <w:tc>
          <w:tcPr>
            <w:tcW w:w="3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57,533</w:t>
            </w:r>
          </w:p>
        </w:tc>
        <w:tc>
          <w:tcPr>
            <w:tcW w:w="1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18"/>
              <w:spacing w:after="0" w:line="142"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rPr>
              <w:t>(13,032)</w:t>
            </w:r>
          </w:p>
        </w:tc>
        <w:tc>
          <w:tcPr>
            <w:tcW w:w="8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1,376</w:t>
            </w:r>
          </w:p>
        </w:tc>
        <w:tc>
          <w:tcPr>
            <w:tcW w:w="920" w:type="dxa"/>
            <w:vAlign w:val="bottom"/>
            <w:gridSpan w:val="2"/>
            <w:shd w:val="clear" w:color="auto" w:fill="CCEEFF"/>
          </w:tcPr>
          <w:p>
            <w:pPr>
              <w:jc w:val="right"/>
              <w:ind w:right="578"/>
              <w:spacing w:after="0" w:line="142"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(6)</w:t>
            </w:r>
          </w:p>
        </w:tc>
        <w:tc>
          <w:tcPr>
            <w:tcW w:w="260" w:type="dxa"/>
            <w:vAlign w:val="bottom"/>
            <w:gridSpan w:val="2"/>
            <w:shd w:val="clear" w:color="auto" w:fill="CCEEFF"/>
          </w:tcPr>
          <w:p>
            <w:pPr>
              <w:jc w:val="right"/>
              <w:ind w:right="35"/>
              <w:spacing w:after="0" w:line="142"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370</w:t>
            </w:r>
          </w:p>
        </w:tc>
        <w:tc>
          <w:tcPr>
            <w:tcW w:w="12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49"/>
              <w:spacing w:after="0" w:line="142"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54,112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300" w:type="dxa"/>
            <w:vAlign w:val="bottom"/>
            <w:tcBorders>
              <w:top w:val="single" w:sz="8" w:color="CCEEFF"/>
            </w:tcBorders>
          </w:tcPr>
          <w:p>
            <w:pPr>
              <w:spacing w:after="0" w:line="123" w:lineRule="exact"/>
              <w:rPr>
                <w:sz w:val="20"/>
                <w:szCs w:val="20"/>
                <w:color w:val="auto"/>
              </w:rPr>
            </w:pPr>
            <w:r>
              <w:rPr>
                <w:rFonts w:ascii="Arial" w:cs="Arial" w:eastAsia="Arial" w:hAnsi="Arial"/>
                <w:sz w:val="14"/>
                <w:szCs w:val="14"/>
                <w:color w:val="auto"/>
              </w:rPr>
              <w:t>Contribution of stock to</w:t>
            </w:r>
          </w:p>
        </w:tc>
        <w:tc>
          <w:tcPr>
            <w:tcW w:w="90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320" w:type="dxa"/>
            <w:vAlign w:val="bottom"/>
            <w:gridSpan w:val="2"/>
          </w:tcPr>
          <w:p>
            <w:pPr>
              <w:spacing w:after="0"/>
              <w:rPr>
                <w:sz w:val="20"/>
                <w:szCs w:val="20"/>
                <w:color w:val="auto"/>
              </w:rPr>
            </w:pPr>
            <w:r>
              <w:rPr>
                <w:rFonts w:ascii="Arial" w:cs="Arial" w:eastAsia="Arial" w:hAnsi="Arial"/>
                <w:sz w:val="14"/>
                <w:szCs w:val="14"/>
                <w:color w:val="auto"/>
              </w:rPr>
              <w:t>401(k) plan</w:t>
            </w:r>
          </w:p>
        </w:tc>
        <w:tc>
          <w:tcPr>
            <w:tcW w:w="900" w:type="dxa"/>
            <w:vAlign w:val="bottom"/>
          </w:tcPr>
          <w:p>
            <w:pPr>
              <w:jc w:val="right"/>
              <w:spacing w:after="0"/>
              <w:rPr>
                <w:sz w:val="20"/>
                <w:szCs w:val="20"/>
                <w:color w:val="auto"/>
              </w:rPr>
            </w:pPr>
            <w:r>
              <w:rPr>
                <w:rFonts w:ascii="Arial" w:cs="Arial" w:eastAsia="Arial" w:hAnsi="Arial"/>
                <w:sz w:val="14"/>
                <w:szCs w:val="14"/>
                <w:color w:val="auto"/>
              </w:rPr>
              <w:t>10,779</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Stock-based</w:t>
            </w:r>
          </w:p>
        </w:tc>
        <w:tc>
          <w:tcPr>
            <w:tcW w:w="9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4"/>
                <w:szCs w:val="14"/>
                <w:color w:val="auto"/>
              </w:rPr>
              <w:t>compensation expense</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00" w:type="dxa"/>
            <w:vAlign w:val="bottom"/>
          </w:tcPr>
          <w:p>
            <w:pPr>
              <w:spacing w:after="0" w:line="130" w:lineRule="exact"/>
              <w:rPr>
                <w:sz w:val="20"/>
                <w:szCs w:val="20"/>
                <w:color w:val="auto"/>
              </w:rPr>
            </w:pPr>
            <w:r>
              <w:rPr>
                <w:rFonts w:ascii="Arial" w:cs="Arial" w:eastAsia="Arial" w:hAnsi="Arial"/>
                <w:sz w:val="14"/>
                <w:szCs w:val="14"/>
                <w:color w:val="auto"/>
              </w:rPr>
              <w:t>Exercise of stock options</w:t>
            </w: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320" w:type="dxa"/>
            <w:vAlign w:val="bottom"/>
            <w:gridSpan w:val="2"/>
          </w:tcPr>
          <w:p>
            <w:pPr>
              <w:spacing w:after="0" w:line="149" w:lineRule="exact"/>
              <w:rPr>
                <w:sz w:val="20"/>
                <w:szCs w:val="20"/>
                <w:color w:val="auto"/>
              </w:rPr>
            </w:pPr>
            <w:r>
              <w:rPr>
                <w:rFonts w:ascii="Arial" w:cs="Arial" w:eastAsia="Arial" w:hAnsi="Arial"/>
                <w:sz w:val="14"/>
                <w:szCs w:val="14"/>
                <w:color w:val="auto"/>
              </w:rPr>
              <w:t>and stock appreciation</w:t>
            </w: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20" w:type="dxa"/>
            <w:vAlign w:val="bottom"/>
            <w:gridSpan w:val="2"/>
          </w:tcPr>
          <w:p>
            <w:pPr>
              <w:spacing w:after="0" w:line="149" w:lineRule="exact"/>
              <w:rPr>
                <w:sz w:val="20"/>
                <w:szCs w:val="20"/>
                <w:color w:val="auto"/>
              </w:rPr>
            </w:pPr>
            <w:r>
              <w:rPr>
                <w:rFonts w:ascii="Arial" w:cs="Arial" w:eastAsia="Arial" w:hAnsi="Arial"/>
                <w:sz w:val="14"/>
                <w:szCs w:val="14"/>
                <w:color w:val="auto"/>
              </w:rPr>
              <w:t>rights - net of shares</w:t>
            </w: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320" w:type="dxa"/>
            <w:vAlign w:val="bottom"/>
            <w:gridSpan w:val="2"/>
          </w:tcPr>
          <w:p>
            <w:pPr>
              <w:spacing w:after="0"/>
              <w:rPr>
                <w:sz w:val="20"/>
                <w:szCs w:val="20"/>
                <w:color w:val="auto"/>
              </w:rPr>
            </w:pPr>
            <w:r>
              <w:rPr>
                <w:rFonts w:ascii="Arial" w:cs="Arial" w:eastAsia="Arial" w:hAnsi="Arial"/>
                <w:sz w:val="14"/>
                <w:szCs w:val="14"/>
                <w:color w:val="auto"/>
              </w:rPr>
              <w:t>tendered for exercise price</w:t>
            </w:r>
          </w:p>
        </w:tc>
        <w:tc>
          <w:tcPr>
            <w:tcW w:w="900" w:type="dxa"/>
            <w:vAlign w:val="bottom"/>
          </w:tcPr>
          <w:p>
            <w:pPr>
              <w:jc w:val="right"/>
              <w:spacing w:after="0"/>
              <w:rPr>
                <w:sz w:val="20"/>
                <w:szCs w:val="20"/>
                <w:color w:val="auto"/>
              </w:rPr>
            </w:pPr>
            <w:r>
              <w:rPr>
                <w:rFonts w:ascii="Arial" w:cs="Arial" w:eastAsia="Arial" w:hAnsi="Arial"/>
                <w:sz w:val="14"/>
                <w:szCs w:val="14"/>
                <w:color w:val="auto"/>
              </w:rPr>
              <w:t>6,278</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Other comprehensive</w:t>
            </w:r>
          </w:p>
        </w:tc>
        <w:tc>
          <w:tcPr>
            <w:tcW w:w="9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4"/>
                <w:szCs w:val="14"/>
                <w:color w:val="auto"/>
              </w:rPr>
              <w:t>loss, net of tax</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(157)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(157)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0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9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497</w:t>
            </w:r>
          </w:p>
        </w:tc>
        <w:tc>
          <w:tcPr>
            <w:tcW w:w="220" w:type="dxa"/>
            <w:vAlign w:val="bottom"/>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497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Balance at October 31, 2021</w:t>
            </w: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9,264,326</w:t>
            </w:r>
          </w:p>
        </w:tc>
        <w:tc>
          <w:tcPr>
            <w:tcW w:w="360" w:type="dxa"/>
            <w:vAlign w:val="bottom"/>
            <w:gridSpan w:val="2"/>
            <w:shd w:val="clear" w:color="auto" w:fill="CCEEFF"/>
          </w:tcPr>
          <w:p>
            <w:pPr>
              <w:jc w:val="right"/>
              <w:ind w:right="9"/>
              <w:spacing w:after="0" w:line="142"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9,264</w:t>
            </w:r>
          </w:p>
        </w:tc>
        <w:tc>
          <w:tcPr>
            <w:tcW w:w="3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57,693</w:t>
            </w:r>
          </w:p>
        </w:tc>
        <w:tc>
          <w:tcPr>
            <w:tcW w:w="1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18"/>
              <w:spacing w:after="0" w:line="142"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rPr>
              <w:t>(12,535)</w:t>
            </w:r>
          </w:p>
        </w:tc>
        <w:tc>
          <w:tcPr>
            <w:tcW w:w="8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1,376</w:t>
            </w:r>
          </w:p>
        </w:tc>
        <w:tc>
          <w:tcPr>
            <w:tcW w:w="920" w:type="dxa"/>
            <w:vAlign w:val="bottom"/>
            <w:gridSpan w:val="2"/>
            <w:shd w:val="clear" w:color="auto" w:fill="CCEEFF"/>
          </w:tcPr>
          <w:p>
            <w:pPr>
              <w:jc w:val="right"/>
              <w:ind w:right="578"/>
              <w:spacing w:after="0" w:line="142"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(6)</w:t>
            </w:r>
          </w:p>
        </w:tc>
        <w:tc>
          <w:tcPr>
            <w:tcW w:w="260" w:type="dxa"/>
            <w:vAlign w:val="bottom"/>
            <w:gridSpan w:val="2"/>
            <w:shd w:val="clear" w:color="auto" w:fill="CCEEFF"/>
          </w:tcPr>
          <w:p>
            <w:pPr>
              <w:jc w:val="right"/>
              <w:ind w:right="35"/>
              <w:spacing w:after="0" w:line="142"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213</w:t>
            </w:r>
          </w:p>
        </w:tc>
        <w:tc>
          <w:tcPr>
            <w:tcW w:w="12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49"/>
              <w:spacing w:after="0" w:line="142"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54,629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00" w:type="dxa"/>
            <w:vAlign w:val="bottom"/>
            <w:tcBorders>
              <w:top w:val="single" w:sz="8" w:color="CCEEFF"/>
            </w:tcBorders>
          </w:tcPr>
          <w:p>
            <w:pPr>
              <w:spacing w:after="0" w:line="142" w:lineRule="exact"/>
              <w:rPr>
                <w:sz w:val="20"/>
                <w:szCs w:val="20"/>
                <w:color w:val="auto"/>
              </w:rPr>
            </w:pPr>
            <w:r>
              <w:rPr>
                <w:rFonts w:ascii="Arial" w:cs="Arial" w:eastAsia="Arial" w:hAnsi="Arial"/>
                <w:sz w:val="14"/>
                <w:szCs w:val="14"/>
                <w:color w:val="auto"/>
              </w:rPr>
              <w:t>Contribution of stock to</w:t>
            </w:r>
          </w:p>
        </w:tc>
        <w:tc>
          <w:tcPr>
            <w:tcW w:w="90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401(k) plan</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7,045</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00" w:type="dxa"/>
            <w:vAlign w:val="bottom"/>
          </w:tcPr>
          <w:p>
            <w:pPr>
              <w:spacing w:after="0" w:line="130" w:lineRule="exact"/>
              <w:rPr>
                <w:sz w:val="20"/>
                <w:szCs w:val="20"/>
                <w:color w:val="auto"/>
              </w:rPr>
            </w:pPr>
            <w:r>
              <w:rPr>
                <w:rFonts w:ascii="Arial" w:cs="Arial" w:eastAsia="Arial" w:hAnsi="Arial"/>
                <w:sz w:val="14"/>
                <w:szCs w:val="14"/>
                <w:color w:val="auto"/>
              </w:rPr>
              <w:t>Stock-based</w:t>
            </w: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320" w:type="dxa"/>
            <w:vAlign w:val="bottom"/>
            <w:gridSpan w:val="2"/>
          </w:tcPr>
          <w:p>
            <w:pPr>
              <w:spacing w:after="0"/>
              <w:rPr>
                <w:sz w:val="20"/>
                <w:szCs w:val="20"/>
                <w:color w:val="auto"/>
              </w:rPr>
            </w:pPr>
            <w:r>
              <w:rPr>
                <w:rFonts w:ascii="Arial" w:cs="Arial" w:eastAsia="Arial" w:hAnsi="Arial"/>
                <w:sz w:val="14"/>
                <w:szCs w:val="14"/>
                <w:color w:val="auto"/>
              </w:rPr>
              <w:t>compensation expense</w:t>
            </w:r>
          </w:p>
        </w:tc>
        <w:tc>
          <w:tcPr>
            <w:tcW w:w="900" w:type="dxa"/>
            <w:vAlign w:val="bottom"/>
          </w:tcPr>
          <w:p>
            <w:pPr>
              <w:jc w:val="right"/>
              <w:spacing w:after="0"/>
              <w:rPr>
                <w:sz w:val="20"/>
                <w:szCs w:val="20"/>
                <w:color w:val="auto"/>
              </w:rPr>
            </w:pPr>
            <w:r>
              <w:rPr>
                <w:rFonts w:ascii="Arial" w:cs="Arial" w:eastAsia="Arial" w:hAnsi="Arial"/>
                <w:sz w:val="14"/>
                <w:szCs w:val="14"/>
                <w:color w:val="auto"/>
              </w:rPr>
              <w:t>7,953</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Exercise of stock options</w:t>
            </w:r>
          </w:p>
        </w:tc>
        <w:tc>
          <w:tcPr>
            <w:tcW w:w="9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and stock appreciation</w:t>
            </w: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rights - net of shares</w:t>
            </w: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4"/>
                <w:szCs w:val="14"/>
                <w:color w:val="auto"/>
              </w:rPr>
              <w:t>tendered for exercise price</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5,192</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00" w:type="dxa"/>
            <w:vAlign w:val="bottom"/>
          </w:tcPr>
          <w:p>
            <w:pPr>
              <w:spacing w:after="0" w:line="130" w:lineRule="exact"/>
              <w:rPr>
                <w:sz w:val="20"/>
                <w:szCs w:val="20"/>
                <w:color w:val="auto"/>
              </w:rPr>
            </w:pPr>
            <w:r>
              <w:rPr>
                <w:rFonts w:ascii="Arial" w:cs="Arial" w:eastAsia="Arial" w:hAnsi="Arial"/>
                <w:sz w:val="14"/>
                <w:szCs w:val="14"/>
                <w:color w:val="auto"/>
              </w:rPr>
              <w:t>Other comprehensive</w:t>
            </w: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320" w:type="dxa"/>
            <w:vAlign w:val="bottom"/>
            <w:gridSpan w:val="2"/>
          </w:tcPr>
          <w:p>
            <w:pPr>
              <w:spacing w:after="0"/>
              <w:rPr>
                <w:sz w:val="20"/>
                <w:szCs w:val="20"/>
                <w:color w:val="auto"/>
              </w:rPr>
            </w:pPr>
            <w:r>
              <w:rPr>
                <w:rFonts w:ascii="Arial" w:cs="Arial" w:eastAsia="Arial" w:hAnsi="Arial"/>
                <w:sz w:val="14"/>
                <w:szCs w:val="14"/>
                <w:color w:val="auto"/>
              </w:rPr>
              <w:t>loss, net of tax</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(209)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(209)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(735)</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320" w:type="dxa"/>
            <w:vAlign w:val="bottom"/>
            <w:gridSpan w:val="2"/>
          </w:tcPr>
          <w:p>
            <w:pPr>
              <w:spacing w:after="0" w:line="142" w:lineRule="exact"/>
              <w:rPr>
                <w:sz w:val="20"/>
                <w:szCs w:val="20"/>
                <w:color w:val="auto"/>
              </w:rPr>
            </w:pPr>
            <w:r>
              <w:rPr>
                <w:rFonts w:ascii="Arial" w:cs="Arial" w:eastAsia="Arial" w:hAnsi="Arial"/>
                <w:sz w:val="14"/>
                <w:szCs w:val="14"/>
                <w:color w:val="auto"/>
              </w:rPr>
              <w:t>Balance at January 31, 2022</w:t>
            </w:r>
          </w:p>
        </w:tc>
        <w:tc>
          <w:tcPr>
            <w:tcW w:w="900" w:type="dxa"/>
            <w:vAlign w:val="bottom"/>
          </w:tcPr>
          <w:p>
            <w:pPr>
              <w:jc w:val="right"/>
              <w:spacing w:after="0" w:line="129" w:lineRule="exact"/>
              <w:rPr>
                <w:sz w:val="20"/>
                <w:szCs w:val="20"/>
                <w:color w:val="auto"/>
              </w:rPr>
            </w:pPr>
            <w:r>
              <w:rPr>
                <w:rFonts w:ascii="Arial" w:cs="Arial" w:eastAsia="Arial" w:hAnsi="Arial"/>
                <w:sz w:val="14"/>
                <w:szCs w:val="14"/>
                <w:color w:val="auto"/>
              </w:rPr>
              <w:t>9,284,516</w:t>
            </w:r>
          </w:p>
        </w:tc>
        <w:tc>
          <w:tcPr>
            <w:tcW w:w="240" w:type="dxa"/>
            <w:vAlign w:val="bottom"/>
          </w:tcPr>
          <w:p>
            <w:pPr>
              <w:spacing w:after="0"/>
              <w:rPr>
                <w:sz w:val="12"/>
                <w:szCs w:val="12"/>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line="129" w:lineRule="exact"/>
              <w:rPr>
                <w:sz w:val="20"/>
                <w:szCs w:val="20"/>
                <w:color w:val="auto"/>
              </w:rPr>
            </w:pPr>
            <w:r>
              <w:rPr>
                <w:rFonts w:ascii="Arial" w:cs="Arial" w:eastAsia="Arial" w:hAnsi="Arial"/>
                <w:sz w:val="14"/>
                <w:szCs w:val="14"/>
                <w:color w:val="auto"/>
              </w:rPr>
              <w:t>9,285</w:t>
            </w:r>
          </w:p>
        </w:tc>
        <w:tc>
          <w:tcPr>
            <w:tcW w:w="22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line="129" w:lineRule="exact"/>
              <w:rPr>
                <w:sz w:val="20"/>
                <w:szCs w:val="20"/>
                <w:color w:val="auto"/>
              </w:rPr>
            </w:pPr>
            <w:r>
              <w:rPr>
                <w:rFonts w:ascii="Arial" w:cs="Arial" w:eastAsia="Arial" w:hAnsi="Arial"/>
                <w:sz w:val="14"/>
                <w:szCs w:val="14"/>
                <w:color w:val="auto"/>
              </w:rPr>
              <w:t>57,834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jc w:val="right"/>
              <w:ind w:right="18"/>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line="129" w:lineRule="exact"/>
              <w:rPr>
                <w:sz w:val="20"/>
                <w:szCs w:val="20"/>
                <w:color w:val="auto"/>
              </w:rPr>
            </w:pPr>
            <w:r>
              <w:rPr>
                <w:rFonts w:ascii="Arial" w:cs="Arial" w:eastAsia="Arial" w:hAnsi="Arial"/>
                <w:sz w:val="14"/>
                <w:szCs w:val="14"/>
                <w:color w:val="auto"/>
              </w:rPr>
              <w:t>(13,270)</w:t>
            </w:r>
          </w:p>
        </w:tc>
        <w:tc>
          <w:tcPr>
            <w:tcW w:w="220" w:type="dxa"/>
            <w:vAlign w:val="bottom"/>
          </w:tcPr>
          <w:p>
            <w:pPr>
              <w:spacing w:after="0"/>
              <w:rPr>
                <w:sz w:val="12"/>
                <w:szCs w:val="12"/>
                <w:color w:val="auto"/>
              </w:rPr>
            </w:pPr>
          </w:p>
        </w:tc>
        <w:tc>
          <w:tcPr>
            <w:tcW w:w="860" w:type="dxa"/>
            <w:vAlign w:val="bottom"/>
          </w:tcPr>
          <w:p>
            <w:pPr>
              <w:jc w:val="right"/>
              <w:spacing w:after="0" w:line="129" w:lineRule="exact"/>
              <w:rPr>
                <w:sz w:val="20"/>
                <w:szCs w:val="20"/>
                <w:color w:val="auto"/>
              </w:rPr>
            </w:pPr>
            <w:r>
              <w:rPr>
                <w:rFonts w:ascii="Arial" w:cs="Arial" w:eastAsia="Arial" w:hAnsi="Arial"/>
                <w:sz w:val="14"/>
                <w:szCs w:val="14"/>
                <w:color w:val="auto"/>
              </w:rPr>
              <w:t>1,376</w:t>
            </w:r>
          </w:p>
        </w:tc>
        <w:tc>
          <w:tcPr>
            <w:tcW w:w="220" w:type="dxa"/>
            <w:vAlign w:val="bottom"/>
          </w:tcPr>
          <w:p>
            <w:pPr>
              <w:spacing w:after="0"/>
              <w:rPr>
                <w:sz w:val="12"/>
                <w:szCs w:val="12"/>
                <w:color w:val="auto"/>
              </w:rPr>
            </w:pPr>
          </w:p>
        </w:tc>
        <w:tc>
          <w:tcPr>
            <w:tcW w:w="700" w:type="dxa"/>
            <w:vAlign w:val="bottom"/>
          </w:tcPr>
          <w:p>
            <w:pPr>
              <w:jc w:val="right"/>
              <w:ind w:right="578"/>
              <w:spacing w:after="0"/>
              <w:rPr>
                <w:sz w:val="20"/>
                <w:szCs w:val="20"/>
                <w:color w:val="auto"/>
              </w:rPr>
            </w:pPr>
            <w:r>
              <w:rPr>
                <w:rFonts w:ascii="Arial" w:cs="Arial" w:eastAsia="Arial" w:hAnsi="Arial"/>
                <w:sz w:val="10"/>
                <w:szCs w:val="10"/>
                <w:color w:val="auto"/>
                <w:w w:val="71"/>
              </w:rPr>
              <w:t>$</w:t>
            </w:r>
          </w:p>
        </w:tc>
        <w:tc>
          <w:tcPr>
            <w:tcW w:w="280" w:type="dxa"/>
            <w:vAlign w:val="bottom"/>
            <w:gridSpan w:val="2"/>
          </w:tcPr>
          <w:p>
            <w:pPr>
              <w:jc w:val="right"/>
              <w:ind w:right="80"/>
              <w:spacing w:after="0" w:line="129" w:lineRule="exact"/>
              <w:rPr>
                <w:sz w:val="20"/>
                <w:szCs w:val="20"/>
                <w:color w:val="auto"/>
              </w:rPr>
            </w:pPr>
            <w:r>
              <w:rPr>
                <w:rFonts w:ascii="Arial" w:cs="Arial" w:eastAsia="Arial" w:hAnsi="Arial"/>
                <w:sz w:val="14"/>
                <w:szCs w:val="14"/>
                <w:color w:val="auto"/>
              </w:rPr>
              <w:t>(6)</w:t>
            </w:r>
          </w:p>
        </w:tc>
        <w:tc>
          <w:tcPr>
            <w:tcW w:w="100" w:type="dxa"/>
            <w:vAlign w:val="bottom"/>
          </w:tcPr>
          <w:p>
            <w:pPr>
              <w:spacing w:after="0"/>
              <w:rPr>
                <w:sz w:val="12"/>
                <w:szCs w:val="12"/>
                <w:color w:val="auto"/>
              </w:rPr>
            </w:pPr>
          </w:p>
        </w:tc>
        <w:tc>
          <w:tcPr>
            <w:tcW w:w="160" w:type="dxa"/>
            <w:vAlign w:val="bottom"/>
          </w:tcPr>
          <w:p>
            <w:pPr>
              <w:jc w:val="right"/>
              <w:ind w:right="35"/>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line="129" w:lineRule="exact"/>
              <w:rPr>
                <w:sz w:val="20"/>
                <w:szCs w:val="20"/>
                <w:color w:val="auto"/>
              </w:rPr>
            </w:pPr>
            <w:r>
              <w:rPr>
                <w:rFonts w:ascii="Arial" w:cs="Arial" w:eastAsia="Arial" w:hAnsi="Arial"/>
                <w:sz w:val="14"/>
                <w:szCs w:val="14"/>
                <w:color w:val="auto"/>
              </w:rPr>
              <w:t>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line="129" w:lineRule="exact"/>
              <w:rPr>
                <w:sz w:val="20"/>
                <w:szCs w:val="20"/>
                <w:color w:val="auto"/>
              </w:rPr>
            </w:pPr>
            <w:r>
              <w:rPr>
                <w:rFonts w:ascii="Arial" w:cs="Arial" w:eastAsia="Arial" w:hAnsi="Arial"/>
                <w:sz w:val="14"/>
                <w:szCs w:val="14"/>
                <w:color w:val="auto"/>
              </w:rPr>
              <w:t>53,847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5" w:right="47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Three and Nine Months Ended January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3"/>
              </w:rPr>
              <w:t>Additional</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60" w:type="dxa"/>
            <w:vAlign w:val="bottom"/>
            <w:gridSpan w:val="6"/>
            <w:vMerge w:val="restart"/>
          </w:tcPr>
          <w:p>
            <w:pPr>
              <w:jc w:val="right"/>
              <w:ind w:right="640"/>
              <w:spacing w:after="0"/>
              <w:rPr>
                <w:sz w:val="20"/>
                <w:szCs w:val="20"/>
                <w:color w:val="auto"/>
              </w:rPr>
            </w:pPr>
            <w:r>
              <w:rPr>
                <w:rFonts w:ascii="Arial" w:cs="Arial" w:eastAsia="Arial" w:hAnsi="Arial"/>
                <w:sz w:val="14"/>
                <w:szCs w:val="14"/>
                <w:b w:val="1"/>
                <w:bCs w:val="1"/>
                <w:color w:val="auto"/>
              </w:rPr>
              <w:t>Treasury stock</w:t>
            </w:r>
          </w:p>
        </w:tc>
        <w:tc>
          <w:tcPr>
            <w:tcW w:w="100" w:type="dxa"/>
            <w:vAlign w:val="bottom"/>
          </w:tcPr>
          <w:p>
            <w:pPr>
              <w:spacing w:after="0"/>
              <w:rPr>
                <w:sz w:val="14"/>
                <w:szCs w:val="14"/>
                <w:color w:val="auto"/>
              </w:rPr>
            </w:pPr>
          </w:p>
        </w:tc>
        <w:tc>
          <w:tcPr>
            <w:tcW w:w="10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60" w:type="dxa"/>
            <w:vAlign w:val="bottom"/>
            <w:gridSpan w:val="6"/>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other</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020" w:type="dxa"/>
            <w:vAlign w:val="bottom"/>
            <w:tcBorders>
              <w:bottom w:val="single" w:sz="8" w:color="auto"/>
            </w:tcBorders>
            <w:gridSpan w:val="4"/>
          </w:tcPr>
          <w:p>
            <w:pPr>
              <w:jc w:val="right"/>
              <w:ind w:right="468"/>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paid in</w:t>
            </w:r>
          </w:p>
        </w:tc>
        <w:tc>
          <w:tcPr>
            <w:tcW w:w="100" w:type="dxa"/>
            <w:vAlign w:val="bottom"/>
          </w:tcPr>
          <w:p>
            <w:pPr>
              <w:spacing w:after="0"/>
              <w:rPr>
                <w:sz w:val="14"/>
                <w:szCs w:val="14"/>
                <w:color w:val="auto"/>
              </w:rPr>
            </w:pPr>
          </w:p>
        </w:tc>
        <w:tc>
          <w:tcPr>
            <w:tcW w:w="108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0"/>
              </w:rPr>
              <w:t>Accumulated</w:t>
            </w:r>
          </w:p>
        </w:tc>
        <w:tc>
          <w:tcPr>
            <w:tcW w:w="12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(at cost)</w:t>
            </w: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89"/>
              </w:rPr>
              <w:t>comprehensive</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900" w:type="dxa"/>
            <w:vAlign w:val="bottom"/>
            <w:tcBorders>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Deficit</w:t>
            </w:r>
          </w:p>
        </w:tc>
        <w:tc>
          <w:tcPr>
            <w:tcW w:w="220" w:type="dxa"/>
            <w:vAlign w:val="bottom"/>
          </w:tcPr>
          <w:p>
            <w:pPr>
              <w:spacing w:after="0"/>
              <w:rPr>
                <w:sz w:val="12"/>
                <w:szCs w:val="12"/>
                <w:color w:val="auto"/>
              </w:rPr>
            </w:pPr>
          </w:p>
        </w:tc>
        <w:tc>
          <w:tcPr>
            <w:tcW w:w="860" w:type="dxa"/>
            <w:vAlign w:val="bottom"/>
            <w:tcBorders>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8"/>
              </w:rPr>
              <w:t>Income (loss)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Balance at April 30, 2020</w:t>
            </w: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9,163,940</w:t>
            </w:r>
          </w:p>
        </w:tc>
        <w:tc>
          <w:tcPr>
            <w:tcW w:w="360" w:type="dxa"/>
            <w:vAlign w:val="bottom"/>
            <w:gridSpan w:val="2"/>
            <w:shd w:val="clear" w:color="auto" w:fill="CCEEFF"/>
          </w:tcPr>
          <w:p>
            <w:pPr>
              <w:jc w:val="right"/>
              <w:ind w:right="9"/>
              <w:spacing w:after="0" w:line="142"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9,164</w:t>
            </w:r>
          </w:p>
        </w:tc>
        <w:tc>
          <w:tcPr>
            <w:tcW w:w="3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56,914</w:t>
            </w:r>
          </w:p>
        </w:tc>
        <w:tc>
          <w:tcPr>
            <w:tcW w:w="1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18"/>
              <w:spacing w:after="0" w:line="142"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rPr>
              <w:t>(12,137)</w:t>
            </w:r>
          </w:p>
        </w:tc>
        <w:tc>
          <w:tcPr>
            <w:tcW w:w="8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42,696</w:t>
            </w:r>
          </w:p>
        </w:tc>
        <w:tc>
          <w:tcPr>
            <w:tcW w:w="1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29"/>
              <w:spacing w:after="0" w:line="142"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(195)</w:t>
            </w:r>
          </w:p>
        </w:tc>
        <w:tc>
          <w:tcPr>
            <w:tcW w:w="260" w:type="dxa"/>
            <w:vAlign w:val="bottom"/>
            <w:gridSpan w:val="2"/>
            <w:shd w:val="clear" w:color="auto" w:fill="CCEEFF"/>
          </w:tcPr>
          <w:p>
            <w:pPr>
              <w:jc w:val="right"/>
              <w:ind w:right="35"/>
              <w:spacing w:after="0" w:line="142"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490</w:t>
            </w:r>
          </w:p>
        </w:tc>
        <w:tc>
          <w:tcPr>
            <w:tcW w:w="12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49"/>
              <w:spacing w:after="0" w:line="142"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54,236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00" w:type="dxa"/>
            <w:vAlign w:val="bottom"/>
          </w:tcPr>
          <w:p>
            <w:pPr>
              <w:spacing w:after="0" w:line="130" w:lineRule="exact"/>
              <w:rPr>
                <w:sz w:val="20"/>
                <w:szCs w:val="20"/>
                <w:color w:val="auto"/>
              </w:rPr>
            </w:pPr>
            <w:r>
              <w:rPr>
                <w:rFonts w:ascii="Arial" w:cs="Arial" w:eastAsia="Arial" w:hAnsi="Arial"/>
                <w:sz w:val="14"/>
                <w:szCs w:val="14"/>
                <w:color w:val="auto"/>
              </w:rPr>
              <w:t>Contribution of stock to</w:t>
            </w: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320" w:type="dxa"/>
            <w:vAlign w:val="bottom"/>
            <w:gridSpan w:val="2"/>
          </w:tcPr>
          <w:p>
            <w:pPr>
              <w:spacing w:after="0"/>
              <w:rPr>
                <w:sz w:val="20"/>
                <w:szCs w:val="20"/>
                <w:color w:val="auto"/>
              </w:rPr>
            </w:pPr>
            <w:r>
              <w:rPr>
                <w:rFonts w:ascii="Arial" w:cs="Arial" w:eastAsia="Arial" w:hAnsi="Arial"/>
                <w:sz w:val="14"/>
                <w:szCs w:val="14"/>
                <w:color w:val="auto"/>
              </w:rPr>
              <w:t>401(k) plan</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4"/>
                <w:szCs w:val="14"/>
                <w:color w:val="auto"/>
              </w:rPr>
              <w:t>(14,926)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136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Stock-based</w:t>
            </w:r>
          </w:p>
        </w:tc>
        <w:tc>
          <w:tcPr>
            <w:tcW w:w="9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4"/>
                <w:szCs w:val="14"/>
                <w:color w:val="auto"/>
              </w:rPr>
              <w:t>compensation expense</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00" w:type="dxa"/>
            <w:vAlign w:val="bottom"/>
          </w:tcPr>
          <w:p>
            <w:pPr>
              <w:spacing w:after="0" w:line="130" w:lineRule="exact"/>
              <w:rPr>
                <w:sz w:val="20"/>
                <w:szCs w:val="20"/>
                <w:color w:val="auto"/>
              </w:rPr>
            </w:pPr>
            <w:r>
              <w:rPr>
                <w:rFonts w:ascii="Arial" w:cs="Arial" w:eastAsia="Arial" w:hAnsi="Arial"/>
                <w:sz w:val="14"/>
                <w:szCs w:val="14"/>
                <w:color w:val="auto"/>
              </w:rPr>
              <w:t>Exercise of stock options</w:t>
            </w: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320" w:type="dxa"/>
            <w:vAlign w:val="bottom"/>
            <w:gridSpan w:val="2"/>
          </w:tcPr>
          <w:p>
            <w:pPr>
              <w:spacing w:after="0" w:line="149" w:lineRule="exact"/>
              <w:rPr>
                <w:sz w:val="20"/>
                <w:szCs w:val="20"/>
                <w:color w:val="auto"/>
              </w:rPr>
            </w:pPr>
            <w:r>
              <w:rPr>
                <w:rFonts w:ascii="Arial" w:cs="Arial" w:eastAsia="Arial" w:hAnsi="Arial"/>
                <w:sz w:val="14"/>
                <w:szCs w:val="14"/>
                <w:color w:val="auto"/>
              </w:rPr>
              <w:t>and stock appreciation</w:t>
            </w: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20" w:type="dxa"/>
            <w:vAlign w:val="bottom"/>
            <w:gridSpan w:val="2"/>
          </w:tcPr>
          <w:p>
            <w:pPr>
              <w:spacing w:after="0" w:line="149" w:lineRule="exact"/>
              <w:rPr>
                <w:sz w:val="20"/>
                <w:szCs w:val="20"/>
                <w:color w:val="auto"/>
              </w:rPr>
            </w:pPr>
            <w:r>
              <w:rPr>
                <w:rFonts w:ascii="Arial" w:cs="Arial" w:eastAsia="Arial" w:hAnsi="Arial"/>
                <w:sz w:val="14"/>
                <w:szCs w:val="14"/>
                <w:color w:val="auto"/>
              </w:rPr>
              <w:t>rights - net of shares</w:t>
            </w: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320" w:type="dxa"/>
            <w:vAlign w:val="bottom"/>
            <w:gridSpan w:val="2"/>
          </w:tcPr>
          <w:p>
            <w:pPr>
              <w:spacing w:after="0"/>
              <w:rPr>
                <w:sz w:val="20"/>
                <w:szCs w:val="20"/>
                <w:color w:val="auto"/>
              </w:rPr>
            </w:pPr>
            <w:r>
              <w:rPr>
                <w:rFonts w:ascii="Arial" w:cs="Arial" w:eastAsia="Arial" w:hAnsi="Arial"/>
                <w:sz w:val="14"/>
                <w:szCs w:val="14"/>
                <w:color w:val="auto"/>
              </w:rPr>
              <w:t>tendered for exercise price</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(109)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4"/>
                <w:szCs w:val="14"/>
                <w:color w:val="auto"/>
              </w:rPr>
              <w:t>(23,808)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Other comprehensive</w:t>
            </w:r>
          </w:p>
        </w:tc>
        <w:tc>
          <w:tcPr>
            <w:tcW w:w="9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4"/>
                <w:szCs w:val="14"/>
                <w:color w:val="auto"/>
              </w:rPr>
              <w:t>income, net of tax</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0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(262)</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(262)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3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Balance at July 31, 2020</w:t>
            </w: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9,163,940</w:t>
            </w:r>
          </w:p>
        </w:tc>
        <w:tc>
          <w:tcPr>
            <w:tcW w:w="360" w:type="dxa"/>
            <w:vAlign w:val="bottom"/>
            <w:gridSpan w:val="2"/>
            <w:shd w:val="clear" w:color="auto" w:fill="CCEEFF"/>
          </w:tcPr>
          <w:p>
            <w:pPr>
              <w:jc w:val="right"/>
              <w:ind w:right="9"/>
              <w:spacing w:after="0" w:line="142"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9,164</w:t>
            </w:r>
          </w:p>
        </w:tc>
        <w:tc>
          <w:tcPr>
            <w:tcW w:w="3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56,927</w:t>
            </w:r>
          </w:p>
        </w:tc>
        <w:tc>
          <w:tcPr>
            <w:tcW w:w="1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18"/>
              <w:spacing w:after="0" w:line="142"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rPr>
              <w:t>(12,399)</w:t>
            </w:r>
          </w:p>
        </w:tc>
        <w:tc>
          <w:tcPr>
            <w:tcW w:w="8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3,962</w:t>
            </w:r>
          </w:p>
        </w:tc>
        <w:tc>
          <w:tcPr>
            <w:tcW w:w="1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29"/>
              <w:spacing w:after="0" w:line="142"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(18)</w:t>
            </w:r>
          </w:p>
        </w:tc>
        <w:tc>
          <w:tcPr>
            <w:tcW w:w="260" w:type="dxa"/>
            <w:vAlign w:val="bottom"/>
            <w:gridSpan w:val="2"/>
            <w:shd w:val="clear" w:color="auto" w:fill="CCEEFF"/>
          </w:tcPr>
          <w:p>
            <w:pPr>
              <w:jc w:val="right"/>
              <w:ind w:right="35"/>
              <w:spacing w:after="0" w:line="142"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661</w:t>
            </w:r>
          </w:p>
        </w:tc>
        <w:tc>
          <w:tcPr>
            <w:tcW w:w="12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49"/>
              <w:spacing w:after="0" w:line="142"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54,335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00" w:type="dxa"/>
            <w:vAlign w:val="bottom"/>
            <w:tcBorders>
              <w:top w:val="single" w:sz="8" w:color="CCEEFF"/>
            </w:tcBorders>
          </w:tcPr>
          <w:p>
            <w:pPr>
              <w:spacing w:after="0" w:line="142" w:lineRule="exact"/>
              <w:rPr>
                <w:sz w:val="20"/>
                <w:szCs w:val="20"/>
                <w:color w:val="auto"/>
              </w:rPr>
            </w:pPr>
            <w:r>
              <w:rPr>
                <w:rFonts w:ascii="Arial" w:cs="Arial" w:eastAsia="Arial" w:hAnsi="Arial"/>
                <w:sz w:val="14"/>
                <w:szCs w:val="14"/>
                <w:color w:val="auto"/>
              </w:rPr>
              <w:t>Contribution of stock to</w:t>
            </w:r>
          </w:p>
        </w:tc>
        <w:tc>
          <w:tcPr>
            <w:tcW w:w="90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401(k) plan</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9,496</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00" w:type="dxa"/>
            <w:vAlign w:val="bottom"/>
          </w:tcPr>
          <w:p>
            <w:pPr>
              <w:spacing w:after="0" w:line="130" w:lineRule="exact"/>
              <w:rPr>
                <w:sz w:val="20"/>
                <w:szCs w:val="20"/>
                <w:color w:val="auto"/>
              </w:rPr>
            </w:pPr>
            <w:r>
              <w:rPr>
                <w:rFonts w:ascii="Arial" w:cs="Arial" w:eastAsia="Arial" w:hAnsi="Arial"/>
                <w:sz w:val="14"/>
                <w:szCs w:val="14"/>
                <w:color w:val="auto"/>
              </w:rPr>
              <w:t>Stock-based</w:t>
            </w: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320" w:type="dxa"/>
            <w:vAlign w:val="bottom"/>
            <w:gridSpan w:val="2"/>
          </w:tcPr>
          <w:p>
            <w:pPr>
              <w:spacing w:after="0"/>
              <w:rPr>
                <w:sz w:val="20"/>
                <w:szCs w:val="20"/>
                <w:color w:val="auto"/>
              </w:rPr>
            </w:pPr>
            <w:r>
              <w:rPr>
                <w:rFonts w:ascii="Arial" w:cs="Arial" w:eastAsia="Arial" w:hAnsi="Arial"/>
                <w:sz w:val="14"/>
                <w:szCs w:val="14"/>
                <w:color w:val="auto"/>
              </w:rPr>
              <w:t>compensation expense</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Exercise of stock options</w:t>
            </w:r>
          </w:p>
        </w:tc>
        <w:tc>
          <w:tcPr>
            <w:tcW w:w="9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and stock appreciation</w:t>
            </w: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rights - net of shares</w:t>
            </w: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4"/>
                <w:szCs w:val="14"/>
                <w:color w:val="auto"/>
              </w:rPr>
              <w:t>tendered for exercise price</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2,654</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(2,586)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00" w:type="dxa"/>
            <w:vAlign w:val="bottom"/>
          </w:tcPr>
          <w:p>
            <w:pPr>
              <w:spacing w:after="0" w:line="130" w:lineRule="exact"/>
              <w:rPr>
                <w:sz w:val="20"/>
                <w:szCs w:val="20"/>
                <w:color w:val="auto"/>
              </w:rPr>
            </w:pPr>
            <w:r>
              <w:rPr>
                <w:rFonts w:ascii="Arial" w:cs="Arial" w:eastAsia="Arial" w:hAnsi="Arial"/>
                <w:sz w:val="14"/>
                <w:szCs w:val="14"/>
                <w:color w:val="auto"/>
              </w:rPr>
              <w:t>Other comprehensive</w:t>
            </w: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320" w:type="dxa"/>
            <w:vAlign w:val="bottom"/>
            <w:gridSpan w:val="2"/>
          </w:tcPr>
          <w:p>
            <w:pPr>
              <w:spacing w:after="0"/>
              <w:rPr>
                <w:sz w:val="20"/>
                <w:szCs w:val="20"/>
                <w:color w:val="auto"/>
              </w:rPr>
            </w:pPr>
            <w:r>
              <w:rPr>
                <w:rFonts w:ascii="Arial" w:cs="Arial" w:eastAsia="Arial" w:hAnsi="Arial"/>
                <w:sz w:val="14"/>
                <w:szCs w:val="14"/>
                <w:color w:val="auto"/>
              </w:rPr>
              <w:t>loss, net of tax</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(176)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(176)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0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329</w:t>
            </w:r>
          </w:p>
        </w:tc>
        <w:tc>
          <w:tcPr>
            <w:tcW w:w="22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329</w:t>
            </w:r>
          </w:p>
        </w:tc>
        <w:tc>
          <w:tcPr>
            <w:tcW w:w="10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00" w:type="dxa"/>
            <w:vAlign w:val="bottom"/>
          </w:tcPr>
          <w:p>
            <w:pPr>
              <w:spacing w:after="0" w:line="142" w:lineRule="exact"/>
              <w:rPr>
                <w:sz w:val="20"/>
                <w:szCs w:val="20"/>
                <w:color w:val="auto"/>
              </w:rPr>
            </w:pPr>
            <w:r>
              <w:rPr>
                <w:rFonts w:ascii="Arial" w:cs="Arial" w:eastAsia="Arial" w:hAnsi="Arial"/>
                <w:sz w:val="14"/>
                <w:szCs w:val="14"/>
                <w:color w:val="auto"/>
              </w:rPr>
              <w:t>Balance at October 31, 2020</w:t>
            </w:r>
          </w:p>
        </w:tc>
        <w:tc>
          <w:tcPr>
            <w:tcW w:w="900" w:type="dxa"/>
            <w:vAlign w:val="bottom"/>
          </w:tcPr>
          <w:p>
            <w:pPr>
              <w:jc w:val="right"/>
              <w:spacing w:after="0" w:line="142" w:lineRule="exact"/>
              <w:rPr>
                <w:sz w:val="20"/>
                <w:szCs w:val="20"/>
                <w:color w:val="auto"/>
              </w:rPr>
            </w:pPr>
            <w:r>
              <w:rPr>
                <w:rFonts w:ascii="Arial" w:cs="Arial" w:eastAsia="Arial" w:hAnsi="Arial"/>
                <w:sz w:val="14"/>
                <w:szCs w:val="14"/>
                <w:color w:val="auto"/>
              </w:rPr>
              <w:t>9,176,090</w:t>
            </w:r>
          </w:p>
        </w:tc>
        <w:tc>
          <w:tcPr>
            <w:tcW w:w="360" w:type="dxa"/>
            <w:vAlign w:val="bottom"/>
            <w:gridSpan w:val="2"/>
          </w:tcPr>
          <w:p>
            <w:pPr>
              <w:jc w:val="right"/>
              <w:ind w:right="9"/>
              <w:spacing w:after="0" w:line="142"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2" w:lineRule="exact"/>
              <w:rPr>
                <w:sz w:val="20"/>
                <w:szCs w:val="20"/>
                <w:color w:val="auto"/>
              </w:rPr>
            </w:pPr>
            <w:r>
              <w:rPr>
                <w:rFonts w:ascii="Arial" w:cs="Arial" w:eastAsia="Arial" w:hAnsi="Arial"/>
                <w:sz w:val="14"/>
                <w:szCs w:val="14"/>
                <w:color w:val="auto"/>
              </w:rPr>
              <w:t>9,176</w:t>
            </w:r>
          </w:p>
        </w:tc>
        <w:tc>
          <w:tcPr>
            <w:tcW w:w="30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57,071</w:t>
            </w:r>
          </w:p>
        </w:tc>
        <w:tc>
          <w:tcPr>
            <w:tcW w:w="120" w:type="dxa"/>
            <w:vAlign w:val="bottom"/>
          </w:tcPr>
          <w:p>
            <w:pPr>
              <w:spacing w:after="0"/>
              <w:rPr>
                <w:sz w:val="12"/>
                <w:szCs w:val="12"/>
                <w:color w:val="auto"/>
              </w:rPr>
            </w:pPr>
          </w:p>
        </w:tc>
        <w:tc>
          <w:tcPr>
            <w:tcW w:w="240" w:type="dxa"/>
            <w:vAlign w:val="bottom"/>
            <w:gridSpan w:val="2"/>
          </w:tcPr>
          <w:p>
            <w:pPr>
              <w:jc w:val="right"/>
              <w:ind w:right="18"/>
              <w:spacing w:after="0" w:line="142"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80"/>
              <w:spacing w:after="0" w:line="142" w:lineRule="exact"/>
              <w:rPr>
                <w:sz w:val="20"/>
                <w:szCs w:val="20"/>
                <w:color w:val="auto"/>
              </w:rPr>
            </w:pPr>
            <w:r>
              <w:rPr>
                <w:rFonts w:ascii="Arial" w:cs="Arial" w:eastAsia="Arial" w:hAnsi="Arial"/>
                <w:sz w:val="14"/>
                <w:szCs w:val="14"/>
                <w:color w:val="auto"/>
              </w:rPr>
              <w:t>(12,070)</w:t>
            </w: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1,376</w:t>
            </w:r>
          </w:p>
        </w:tc>
        <w:tc>
          <w:tcPr>
            <w:tcW w:w="120" w:type="dxa"/>
            <w:vAlign w:val="bottom"/>
          </w:tcPr>
          <w:p>
            <w:pPr>
              <w:spacing w:after="0"/>
              <w:rPr>
                <w:sz w:val="12"/>
                <w:szCs w:val="12"/>
                <w:color w:val="auto"/>
              </w:rPr>
            </w:pPr>
          </w:p>
        </w:tc>
        <w:tc>
          <w:tcPr>
            <w:tcW w:w="240" w:type="dxa"/>
            <w:vAlign w:val="bottom"/>
            <w:gridSpan w:val="2"/>
          </w:tcPr>
          <w:p>
            <w:pPr>
              <w:jc w:val="right"/>
              <w:ind w:right="29"/>
              <w:spacing w:after="0" w:line="142"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80"/>
              <w:spacing w:after="0" w:line="142" w:lineRule="exact"/>
              <w:rPr>
                <w:sz w:val="20"/>
                <w:szCs w:val="20"/>
                <w:color w:val="auto"/>
              </w:rPr>
            </w:pPr>
            <w:r>
              <w:rPr>
                <w:rFonts w:ascii="Arial" w:cs="Arial" w:eastAsia="Arial" w:hAnsi="Arial"/>
                <w:sz w:val="14"/>
                <w:szCs w:val="14"/>
                <w:color w:val="auto"/>
              </w:rPr>
              <w:t>(6)</w:t>
            </w:r>
          </w:p>
        </w:tc>
        <w:tc>
          <w:tcPr>
            <w:tcW w:w="260" w:type="dxa"/>
            <w:vAlign w:val="bottom"/>
            <w:gridSpan w:val="2"/>
          </w:tcPr>
          <w:p>
            <w:pPr>
              <w:jc w:val="right"/>
              <w:ind w:right="35"/>
              <w:spacing w:after="0" w:line="142"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485</w:t>
            </w:r>
          </w:p>
        </w:tc>
        <w:tc>
          <w:tcPr>
            <w:tcW w:w="120" w:type="dxa"/>
            <w:vAlign w:val="bottom"/>
          </w:tcPr>
          <w:p>
            <w:pPr>
              <w:spacing w:after="0"/>
              <w:rPr>
                <w:sz w:val="12"/>
                <w:szCs w:val="12"/>
                <w:color w:val="auto"/>
              </w:rPr>
            </w:pPr>
          </w:p>
        </w:tc>
        <w:tc>
          <w:tcPr>
            <w:tcW w:w="260" w:type="dxa"/>
            <w:vAlign w:val="bottom"/>
            <w:gridSpan w:val="2"/>
          </w:tcPr>
          <w:p>
            <w:pPr>
              <w:jc w:val="right"/>
              <w:ind w:right="49"/>
              <w:spacing w:after="0" w:line="142"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54,656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30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Contribution of stock to</w:t>
            </w:r>
          </w:p>
        </w:tc>
        <w:tc>
          <w:tcPr>
            <w:tcW w:w="900" w:type="dxa"/>
            <w:vAlign w:val="bottom"/>
            <w:tcBorders>
              <w:top w:val="single" w:sz="8" w:color="auto"/>
            </w:tcBorders>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4"/>
                <w:szCs w:val="14"/>
                <w:color w:val="auto"/>
              </w:rPr>
              <w:t>401(k) plan</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6,116</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00" w:type="dxa"/>
            <w:vAlign w:val="bottom"/>
          </w:tcPr>
          <w:p>
            <w:pPr>
              <w:spacing w:after="0" w:line="130" w:lineRule="exact"/>
              <w:rPr>
                <w:sz w:val="20"/>
                <w:szCs w:val="20"/>
                <w:color w:val="auto"/>
              </w:rPr>
            </w:pPr>
            <w:r>
              <w:rPr>
                <w:rFonts w:ascii="Arial" w:cs="Arial" w:eastAsia="Arial" w:hAnsi="Arial"/>
                <w:sz w:val="14"/>
                <w:szCs w:val="14"/>
                <w:color w:val="auto"/>
              </w:rPr>
              <w:t>Stock-based</w:t>
            </w: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320" w:type="dxa"/>
            <w:vAlign w:val="bottom"/>
            <w:gridSpan w:val="2"/>
          </w:tcPr>
          <w:p>
            <w:pPr>
              <w:spacing w:after="0"/>
              <w:rPr>
                <w:sz w:val="20"/>
                <w:szCs w:val="20"/>
                <w:color w:val="auto"/>
              </w:rPr>
            </w:pPr>
            <w:r>
              <w:rPr>
                <w:rFonts w:ascii="Arial" w:cs="Arial" w:eastAsia="Arial" w:hAnsi="Arial"/>
                <w:sz w:val="14"/>
                <w:szCs w:val="14"/>
                <w:color w:val="auto"/>
              </w:rPr>
              <w:t>compensation expense</w:t>
            </w:r>
          </w:p>
        </w:tc>
        <w:tc>
          <w:tcPr>
            <w:tcW w:w="900" w:type="dxa"/>
            <w:vAlign w:val="bottom"/>
          </w:tcPr>
          <w:p>
            <w:pPr>
              <w:jc w:val="right"/>
              <w:spacing w:after="0"/>
              <w:rPr>
                <w:sz w:val="20"/>
                <w:szCs w:val="20"/>
                <w:color w:val="auto"/>
              </w:rPr>
            </w:pPr>
            <w:r>
              <w:rPr>
                <w:rFonts w:ascii="Arial" w:cs="Arial" w:eastAsia="Arial" w:hAnsi="Arial"/>
                <w:sz w:val="14"/>
                <w:szCs w:val="14"/>
                <w:color w:val="auto"/>
              </w:rPr>
              <w:t>4,200</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Exercise of stock options</w:t>
            </w:r>
          </w:p>
        </w:tc>
        <w:tc>
          <w:tcPr>
            <w:tcW w:w="9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and stock appreciation</w:t>
            </w: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rights - net of shares</w:t>
            </w: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4"/>
                <w:szCs w:val="14"/>
                <w:color w:val="auto"/>
              </w:rPr>
              <w:t>tendered for exercise price</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7,363</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00" w:type="dxa"/>
            <w:vAlign w:val="bottom"/>
          </w:tcPr>
          <w:p>
            <w:pPr>
              <w:spacing w:after="0" w:line="130" w:lineRule="exact"/>
              <w:rPr>
                <w:sz w:val="20"/>
                <w:szCs w:val="20"/>
                <w:color w:val="auto"/>
              </w:rPr>
            </w:pPr>
            <w:r>
              <w:rPr>
                <w:rFonts w:ascii="Arial" w:cs="Arial" w:eastAsia="Arial" w:hAnsi="Arial"/>
                <w:sz w:val="14"/>
                <w:szCs w:val="14"/>
                <w:color w:val="auto"/>
              </w:rPr>
              <w:t>Other comprehensive</w:t>
            </w: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320" w:type="dxa"/>
            <w:vAlign w:val="bottom"/>
            <w:gridSpan w:val="2"/>
          </w:tcPr>
          <w:p>
            <w:pPr>
              <w:spacing w:after="0"/>
              <w:rPr>
                <w:sz w:val="20"/>
                <w:szCs w:val="20"/>
                <w:color w:val="auto"/>
              </w:rPr>
            </w:pPr>
            <w:r>
              <w:rPr>
                <w:rFonts w:ascii="Arial" w:cs="Arial" w:eastAsia="Arial" w:hAnsi="Arial"/>
                <w:sz w:val="14"/>
                <w:szCs w:val="14"/>
                <w:color w:val="auto"/>
              </w:rPr>
              <w:t>loss, net of tax</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(800)</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320" w:type="dxa"/>
            <w:vAlign w:val="bottom"/>
            <w:gridSpan w:val="2"/>
          </w:tcPr>
          <w:p>
            <w:pPr>
              <w:spacing w:after="0" w:line="142" w:lineRule="exact"/>
              <w:rPr>
                <w:sz w:val="20"/>
                <w:szCs w:val="20"/>
                <w:color w:val="auto"/>
              </w:rPr>
            </w:pPr>
            <w:r>
              <w:rPr>
                <w:rFonts w:ascii="Arial" w:cs="Arial" w:eastAsia="Arial" w:hAnsi="Arial"/>
                <w:sz w:val="14"/>
                <w:szCs w:val="14"/>
                <w:color w:val="auto"/>
              </w:rPr>
              <w:t>Balance at January 31, 2021</w:t>
            </w:r>
          </w:p>
        </w:tc>
        <w:tc>
          <w:tcPr>
            <w:tcW w:w="900" w:type="dxa"/>
            <w:vAlign w:val="bottom"/>
          </w:tcPr>
          <w:p>
            <w:pPr>
              <w:jc w:val="right"/>
              <w:spacing w:after="0" w:line="129" w:lineRule="exact"/>
              <w:rPr>
                <w:sz w:val="20"/>
                <w:szCs w:val="20"/>
                <w:color w:val="auto"/>
              </w:rPr>
            </w:pPr>
            <w:r>
              <w:rPr>
                <w:rFonts w:ascii="Arial" w:cs="Arial" w:eastAsia="Arial" w:hAnsi="Arial"/>
                <w:sz w:val="14"/>
                <w:szCs w:val="14"/>
                <w:color w:val="auto"/>
              </w:rPr>
              <w:t>9,193,769</w:t>
            </w:r>
          </w:p>
        </w:tc>
        <w:tc>
          <w:tcPr>
            <w:tcW w:w="240" w:type="dxa"/>
            <w:vAlign w:val="bottom"/>
          </w:tcPr>
          <w:p>
            <w:pPr>
              <w:spacing w:after="0"/>
              <w:rPr>
                <w:sz w:val="12"/>
                <w:szCs w:val="12"/>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line="129" w:lineRule="exact"/>
              <w:rPr>
                <w:sz w:val="20"/>
                <w:szCs w:val="20"/>
                <w:color w:val="auto"/>
              </w:rPr>
            </w:pPr>
            <w:r>
              <w:rPr>
                <w:rFonts w:ascii="Arial" w:cs="Arial" w:eastAsia="Arial" w:hAnsi="Arial"/>
                <w:sz w:val="14"/>
                <w:szCs w:val="14"/>
                <w:color w:val="auto"/>
              </w:rPr>
              <w:t>9,194</w:t>
            </w:r>
          </w:p>
        </w:tc>
        <w:tc>
          <w:tcPr>
            <w:tcW w:w="22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line="129" w:lineRule="exact"/>
              <w:rPr>
                <w:sz w:val="20"/>
                <w:szCs w:val="20"/>
                <w:color w:val="auto"/>
              </w:rPr>
            </w:pPr>
            <w:r>
              <w:rPr>
                <w:rFonts w:ascii="Arial" w:cs="Arial" w:eastAsia="Arial" w:hAnsi="Arial"/>
                <w:sz w:val="14"/>
                <w:szCs w:val="14"/>
                <w:color w:val="auto"/>
              </w:rPr>
              <w:t>57,192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jc w:val="right"/>
              <w:ind w:right="18"/>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line="129" w:lineRule="exact"/>
              <w:rPr>
                <w:sz w:val="20"/>
                <w:szCs w:val="20"/>
                <w:color w:val="auto"/>
              </w:rPr>
            </w:pPr>
            <w:r>
              <w:rPr>
                <w:rFonts w:ascii="Arial" w:cs="Arial" w:eastAsia="Arial" w:hAnsi="Arial"/>
                <w:sz w:val="14"/>
                <w:szCs w:val="14"/>
                <w:color w:val="auto"/>
              </w:rPr>
              <w:t>(12,870)</w:t>
            </w:r>
          </w:p>
        </w:tc>
        <w:tc>
          <w:tcPr>
            <w:tcW w:w="220" w:type="dxa"/>
            <w:vAlign w:val="bottom"/>
          </w:tcPr>
          <w:p>
            <w:pPr>
              <w:spacing w:after="0"/>
              <w:rPr>
                <w:sz w:val="12"/>
                <w:szCs w:val="12"/>
                <w:color w:val="auto"/>
              </w:rPr>
            </w:pPr>
          </w:p>
        </w:tc>
        <w:tc>
          <w:tcPr>
            <w:tcW w:w="860" w:type="dxa"/>
            <w:vAlign w:val="bottom"/>
          </w:tcPr>
          <w:p>
            <w:pPr>
              <w:jc w:val="right"/>
              <w:spacing w:after="0" w:line="129" w:lineRule="exact"/>
              <w:rPr>
                <w:sz w:val="20"/>
                <w:szCs w:val="20"/>
                <w:color w:val="auto"/>
              </w:rPr>
            </w:pPr>
            <w:r>
              <w:rPr>
                <w:rFonts w:ascii="Arial" w:cs="Arial" w:eastAsia="Arial" w:hAnsi="Arial"/>
                <w:sz w:val="14"/>
                <w:szCs w:val="14"/>
                <w:color w:val="auto"/>
              </w:rPr>
              <w:t>1,376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80"/>
              <w:spacing w:after="0" w:line="129" w:lineRule="exact"/>
              <w:rPr>
                <w:sz w:val="20"/>
                <w:szCs w:val="20"/>
                <w:color w:val="auto"/>
              </w:rPr>
            </w:pPr>
            <w:r>
              <w:rPr>
                <w:rFonts w:ascii="Arial" w:cs="Arial" w:eastAsia="Arial" w:hAnsi="Arial"/>
                <w:sz w:val="14"/>
                <w:szCs w:val="14"/>
                <w:color w:val="auto"/>
              </w:rPr>
              <w:t>(6)</w:t>
            </w:r>
          </w:p>
        </w:tc>
        <w:tc>
          <w:tcPr>
            <w:tcW w:w="100" w:type="dxa"/>
            <w:vAlign w:val="bottom"/>
          </w:tcPr>
          <w:p>
            <w:pPr>
              <w:spacing w:after="0"/>
              <w:rPr>
                <w:sz w:val="12"/>
                <w:szCs w:val="12"/>
                <w:color w:val="auto"/>
              </w:rPr>
            </w:pPr>
          </w:p>
        </w:tc>
        <w:tc>
          <w:tcPr>
            <w:tcW w:w="160" w:type="dxa"/>
            <w:vAlign w:val="bottom"/>
          </w:tcPr>
          <w:p>
            <w:pPr>
              <w:jc w:val="right"/>
              <w:ind w:right="35"/>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line="129" w:lineRule="exact"/>
              <w:rPr>
                <w:sz w:val="20"/>
                <w:szCs w:val="20"/>
                <w:color w:val="auto"/>
              </w:rPr>
            </w:pPr>
            <w:r>
              <w:rPr>
                <w:rFonts w:ascii="Arial" w:cs="Arial" w:eastAsia="Arial" w:hAnsi="Arial"/>
                <w:sz w:val="14"/>
                <w:szCs w:val="14"/>
                <w:color w:val="auto"/>
              </w:rPr>
              <w:t>451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line="129" w:lineRule="exact"/>
              <w:rPr>
                <w:sz w:val="20"/>
                <w:szCs w:val="20"/>
                <w:color w:val="auto"/>
              </w:rPr>
            </w:pPr>
            <w:r>
              <w:rPr>
                <w:rFonts w:ascii="Arial" w:cs="Arial" w:eastAsia="Arial" w:hAnsi="Arial"/>
                <w:sz w:val="14"/>
                <w:szCs w:val="14"/>
                <w:color w:val="auto"/>
              </w:rPr>
              <w:t>53,961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5" w:right="47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A – CONDENSED CONSOLIDATED FINANCIAL STATEMENTS</w:t>
      </w:r>
    </w:p>
    <w:p>
      <w:pPr>
        <w:spacing w:after="0" w:line="225"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17"/>
          <w:szCs w:val="17"/>
          <w:color w:val="auto"/>
        </w:rPr>
        <w:t>In the opinion of management of Frequency Electronics, Inc. (the “Company”), the accompanying unaudited condensed consolidated interim financial statements reflect all adjustments (which include only normal recurring adjustments) necessary to present fairly, in all material respects, the consolidated financial position of the Company as of January 31, 2022 and the results of its operations, changes in stockholders’ equity for the three and nine months ended January 31, 2022 and 2021, and cash flows for the nine months ended January 31, 2022 and 2021. The April 30, 2021 condensed consolidated balance sheet was derived from audited financial statements. These financial statements are prepared in conformity with accounting principles generally accepted in the United States of America (“U.S. GAAP’). Certain information and footnote disclosures normally included in financial statements prepared in accordance with U.S. GAAP have been condensed or omitted. These condensed consolidated financial statements should be read in conjunction with the annual consolidated financial statements included in the Company’s Annual Report on Form 10-K for the fiscal year ended April 30, 2021, filed on June 30, 2021 with the Securities and Exchange Commission. The results of operations for such interim periods are not necessarily indicative of the operating results for the full fiscal year.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w:t>
      </w:r>
    </w:p>
    <w:p>
      <w:pPr>
        <w:spacing w:after="0" w:line="229" w:lineRule="exact"/>
        <w:rPr>
          <w:sz w:val="20"/>
          <w:szCs w:val="20"/>
          <w:color w:val="auto"/>
        </w:rPr>
      </w:pPr>
    </w:p>
    <w:p>
      <w:pPr>
        <w:jc w:val="both"/>
        <w:ind w:right="20" w:firstLine="648"/>
        <w:spacing w:after="0" w:line="290" w:lineRule="auto"/>
        <w:rPr>
          <w:sz w:val="20"/>
          <w:szCs w:val="20"/>
          <w:color w:val="auto"/>
        </w:rPr>
      </w:pPr>
      <w:r>
        <w:rPr>
          <w:rFonts w:ascii="Arial" w:cs="Arial" w:eastAsia="Arial" w:hAnsi="Arial"/>
          <w:sz w:val="16"/>
          <w:szCs w:val="16"/>
          <w:color w:val="auto"/>
        </w:rPr>
        <w:t>The full impact of the COVID-19 pandemic continues to evolve as of the date of this report. The current resurgence of COVID-19 variants may have additional, unforeseen, impacts. As such, it is uncertain as to the full magnitude that the pandemic may have on the Company’s financial condition, liquidity, and future results of operations. For the nine months ended January 31, 2022, the Company was impacted by employee absenteeism related to direct or indirect effects of the COVID-19 pandemic, supply chain delays and shortages due to COVID-19 impacts to various vendors, and delays in the receipt of anticipated new contracts from customers due to COVID-19 related administrative delays. Management has taken steps to minimize COVID-19 related impacts to our workforce. Given the changing dynamics of the pandemic, it is not possible for the Company to estimate potential future adverse effects on its operations, financial condition, or liquidity for fiscal year 2022. As of July 31, 2021, the Company had returned to normal operations. The Company continues to follow CDC and state guidelines with an emphasis on employee safety.</w:t>
      </w:r>
    </w:p>
    <w:p>
      <w:pPr>
        <w:spacing w:after="0" w:line="16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 Company faces various future COVID-19 related risks, including the possibility of impact from possible future variants. The Company is dependent on its workforce to design and manufacture its products. If significant portions of the Company’s workforce are unable to work effectively, or if the U.S. Government, state and/or other customers or supplier operations are curtailed due to illness, quarantines, government actions, facility closures, or other restrictions, the Company’s operations may be impacted. If so, the Company may be unable to perform fully on its contracts and costs may increase. These cost increases may not be fully recoverable or adequately covered by insurance. Through the third quarter of fiscal year 2022, the Company experienced some disruption due to the need to vacate certain areas of its facilities for cleaning and disinfecting as a result of employees potentially being exposed to COVID-19 or following positive COVID-19 test results, as well as employee absenteeism related to COVID-19 exposure or illness. Also, certain of the Company’s vendors have been unable to deliver materials on time due to COVID-19 related impacts to their workforces or their supply chains. These delays impacted the Company’s production costs and schedules. Vendor delivery performance is being closely monitored and alternate sources of supply are generally available and, in some cases, are being established.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NOTE B – EARNINGS (LOSS) PER SHARE</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Reconciliation of the weighted average shares outstanding for basic and diluted earnings (loss) per share for the three- and nine-months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January 31, 2022 and 2021, respectively, were as follows:</w:t>
      </w:r>
    </w:p>
    <w:p>
      <w:pPr>
        <w:sectPr>
          <w:pgSz w:w="11900" w:h="16838" w:orient="portrait"/>
          <w:cols w:equalWidth="0" w:num="1">
            <w:col w:w="10980"/>
          </w:cols>
          <w:pgMar w:left="460" w:top="125"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Weighted average shares outstanding:</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6"/>
          <w:szCs w:val="16"/>
          <w:color w:val="auto"/>
        </w:rPr>
        <w:t>Basic EPS Shares outstanding (weighted average)</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Effect of Dilutive Securities</w:t>
      </w:r>
    </w:p>
    <w:p>
      <w:pPr>
        <w:spacing w:after="0" w:line="4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Diluted EPS Shares outstanding</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Periods ended January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400" w:type="dxa"/>
            <w:vAlign w:val="bottom"/>
            <w:tcBorders>
              <w:top w:val="single" w:sz="8" w:color="auto"/>
              <w:bottom w:val="single" w:sz="8" w:color="auto"/>
            </w:tcBorders>
            <w:gridSpan w:val="3"/>
          </w:tcPr>
          <w:p>
            <w:pPr>
              <w:jc w:val="right"/>
              <w:ind w:right="590"/>
              <w:spacing w:after="0"/>
              <w:rPr>
                <w:sz w:val="20"/>
                <w:szCs w:val="20"/>
                <w:color w:val="auto"/>
              </w:rPr>
            </w:pPr>
            <w:r>
              <w:rPr>
                <w:rFonts w:ascii="Arial" w:cs="Arial" w:eastAsia="Arial" w:hAnsi="Arial"/>
                <w:sz w:val="18"/>
                <w:szCs w:val="18"/>
                <w:b w:val="1"/>
                <w:bCs w:val="1"/>
                <w:color w:val="auto"/>
              </w:rPr>
              <w:t>Three months</w:t>
            </w:r>
          </w:p>
        </w:tc>
        <w:tc>
          <w:tcPr>
            <w:tcW w:w="220" w:type="dxa"/>
            <w:vAlign w:val="bottom"/>
            <w:tcBorders>
              <w:top w:val="single" w:sz="8" w:color="auto"/>
            </w:tcBorders>
          </w:tcPr>
          <w:p>
            <w:pPr>
              <w:spacing w:after="0"/>
              <w:rPr>
                <w:sz w:val="18"/>
                <w:szCs w:val="18"/>
                <w:color w:val="auto"/>
              </w:rPr>
            </w:pPr>
          </w:p>
        </w:tc>
        <w:tc>
          <w:tcPr>
            <w:tcW w:w="2400" w:type="dxa"/>
            <w:vAlign w:val="bottom"/>
            <w:tcBorders>
              <w:top w:val="single" w:sz="8" w:color="auto"/>
              <w:bottom w:val="single" w:sz="8" w:color="auto"/>
            </w:tcBorders>
            <w:gridSpan w:val="3"/>
          </w:tcPr>
          <w:p>
            <w:pPr>
              <w:jc w:val="right"/>
              <w:ind w:right="630"/>
              <w:spacing w:after="0"/>
              <w:rPr>
                <w:sz w:val="20"/>
                <w:szCs w:val="20"/>
                <w:color w:val="auto"/>
              </w:rPr>
            </w:pPr>
            <w:r>
              <w:rPr>
                <w:rFonts w:ascii="Arial" w:cs="Arial" w:eastAsia="Arial" w:hAnsi="Arial"/>
                <w:sz w:val="18"/>
                <w:szCs w:val="18"/>
                <w:b w:val="1"/>
                <w:bCs w:val="1"/>
                <w:color w:val="auto"/>
              </w:rPr>
              <w:t>Nine months</w:t>
            </w:r>
          </w:p>
        </w:tc>
      </w:tr>
      <w:tr>
        <w:trPr>
          <w:trHeight w:val="209"/>
        </w:trPr>
        <w:tc>
          <w:tcPr>
            <w:tcW w:w="10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10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r>
      <w:tr>
        <w:trPr>
          <w:trHeight w:val="411"/>
        </w:trPr>
        <w:tc>
          <w:tcPr>
            <w:tcW w:w="1080" w:type="dxa"/>
            <w:vAlign w:val="bottom"/>
          </w:tcPr>
          <w:p>
            <w:pPr>
              <w:jc w:val="right"/>
              <w:spacing w:after="0"/>
              <w:rPr>
                <w:sz w:val="20"/>
                <w:szCs w:val="20"/>
                <w:color w:val="auto"/>
              </w:rPr>
            </w:pPr>
            <w:r>
              <w:rPr>
                <w:rFonts w:ascii="Arial" w:cs="Arial" w:eastAsia="Arial" w:hAnsi="Arial"/>
                <w:sz w:val="18"/>
                <w:szCs w:val="18"/>
                <w:color w:val="auto"/>
              </w:rPr>
              <w:t>9,278,840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9,185,235</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9,257,107</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9,164,714</w:t>
            </w:r>
          </w:p>
        </w:tc>
      </w:tr>
      <w:tr>
        <w:trPr>
          <w:trHeight w:val="230"/>
        </w:trPr>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9,278,840</w:t>
            </w:r>
          </w:p>
        </w:tc>
        <w:tc>
          <w:tcPr>
            <w:tcW w:w="22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9,185,235</w:t>
            </w:r>
          </w:p>
        </w:tc>
        <w:tc>
          <w:tcPr>
            <w:tcW w:w="22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9,257,107</w:t>
            </w:r>
          </w:p>
        </w:tc>
        <w:tc>
          <w:tcPr>
            <w:tcW w:w="22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9,164,714</w:t>
            </w:r>
          </w:p>
        </w:tc>
      </w:tr>
      <w:tr>
        <w:trPr>
          <w:trHeight w:val="20"/>
        </w:trPr>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-3705860</wp:posOffset>
            </wp:positionH>
            <wp:positionV relativeFrom="paragraph">
              <wp:posOffset>-445135</wp:posOffset>
            </wp:positionV>
            <wp:extent cx="696087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60870" cy="137160"/>
                    </a:xfrm>
                    <a:prstGeom prst="rect">
                      <a:avLst/>
                    </a:prstGeom>
                    <a:noFill/>
                  </pic:spPr>
                </pic:pic>
              </a:graphicData>
            </a:graphic>
          </wp:anchor>
        </w:drawing>
        <w:drawing>
          <wp:anchor simplePos="0" relativeHeight="251657728" behindDoc="1" locked="0" layoutInCell="0" allowOverlap="1">
            <wp:simplePos x="0" y="0"/>
            <wp:positionH relativeFrom="column">
              <wp:posOffset>-3705860</wp:posOffset>
            </wp:positionH>
            <wp:positionV relativeFrom="paragraph">
              <wp:posOffset>-162560</wp:posOffset>
            </wp:positionV>
            <wp:extent cx="6960870"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6087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20" w:space="720"/>
            <w:col w:w="5140"/>
          </w:cols>
          <w:pgMar w:left="460" w:top="125" w:right="459" w:bottom="1440" w:gutter="0" w:footer="0" w:header="0"/>
          <w:type w:val="continuous"/>
        </w:sectPr>
      </w:pPr>
    </w:p>
    <w:p>
      <w:pPr>
        <w:spacing w:after="0" w:line="2" w:lineRule="exact"/>
        <w:rPr>
          <w:sz w:val="20"/>
          <w:szCs w:val="20"/>
          <w:color w:val="auto"/>
        </w:rPr>
      </w:pPr>
    </w:p>
    <w:p>
      <w:pPr>
        <w:jc w:val="both"/>
        <w:ind w:right="20" w:firstLine="646"/>
        <w:spacing w:after="0" w:line="259" w:lineRule="auto"/>
        <w:tabs>
          <w:tab w:leader="none" w:pos="877" w:val="left"/>
        </w:tabs>
        <w:numPr>
          <w:ilvl w:val="0"/>
          <w:numId w:val="1"/>
        </w:numPr>
        <w:rPr>
          <w:rFonts w:ascii="Arial" w:cs="Arial" w:eastAsia="Arial" w:hAnsi="Arial"/>
          <w:sz w:val="18"/>
          <w:szCs w:val="18"/>
          <w:color w:val="auto"/>
        </w:rPr>
      </w:pPr>
      <w:r>
        <w:rPr>
          <w:rFonts w:ascii="Arial" w:cs="Arial" w:eastAsia="Arial" w:hAnsi="Arial"/>
          <w:sz w:val="18"/>
          <w:szCs w:val="18"/>
          <w:color w:val="auto"/>
        </w:rPr>
        <w:t>For the three and nine-months ended January 31, 2022 and 2021, dilutive securities are excluded from the calculation of earnings per share since the inclusion of such shares would be antidilutive due to the net loss for those periods. The exercisable shares excluded for the three- and nine-months ended January 31, 2022 was 223,000 options. The exercisable shares excluded for the three- and nine-months ended January 31, 2021 was 229,000 and 331,000 options, respectively.</w:t>
      </w:r>
    </w:p>
    <w:p>
      <w:pPr>
        <w:spacing w:after="0" w:line="1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5" w:right="459" w:bottom="144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C – COSTS AND ESTIMATED EARNINGS IN EXCESS OF BILLINGS, NET</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At January 31, 2022 and April 30, 2021, costs and estimated earnings in excess of billings and billings in excess of costs and estimated earnings, net, respectively, consisted of the following:</w:t>
      </w:r>
    </w:p>
    <w:p>
      <w:pPr>
        <w:spacing w:after="0" w:line="166" w:lineRule="exact"/>
        <w:rPr>
          <w:sz w:val="20"/>
          <w:szCs w:val="20"/>
          <w:color w:val="auto"/>
        </w:rPr>
      </w:pPr>
    </w:p>
    <w:tbl>
      <w:tblPr>
        <w:tblLayout w:type="fixed"/>
        <w:tblInd w:w="1100" w:type="dxa"/>
        <w:tblCellMar>
          <w:top w:w="0" w:type="dxa"/>
          <w:left w:w="0" w:type="dxa"/>
          <w:bottom w:w="0" w:type="dxa"/>
          <w:right w:w="0" w:type="dxa"/>
        </w:tblCellMar>
      </w:tblPr>
      <w:tr>
        <w:trPr>
          <w:trHeight w:val="234"/>
        </w:trPr>
        <w:tc>
          <w:tcPr>
            <w:tcW w:w="4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January 31, 2022</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6"/>
              </w:rPr>
              <w:t>April 30, 2021</w:t>
            </w:r>
          </w:p>
        </w:tc>
        <w:tc>
          <w:tcPr>
            <w:tcW w:w="80" w:type="dxa"/>
            <w:vAlign w:val="bottom"/>
          </w:tcPr>
          <w:p>
            <w:pPr>
              <w:spacing w:after="0"/>
              <w:rPr>
                <w:sz w:val="20"/>
                <w:szCs w:val="20"/>
                <w:color w:val="auto"/>
              </w:rPr>
            </w:pPr>
          </w:p>
        </w:tc>
      </w:tr>
      <w:tr>
        <w:trPr>
          <w:trHeight w:val="209"/>
        </w:trPr>
        <w:tc>
          <w:tcPr>
            <w:tcW w:w="4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(In</w:t>
            </w:r>
          </w:p>
        </w:tc>
        <w:tc>
          <w:tcPr>
            <w:tcW w:w="1680" w:type="dxa"/>
            <w:vAlign w:val="bottom"/>
            <w:gridSpan w:val="3"/>
          </w:tcPr>
          <w:p>
            <w:pPr>
              <w:jc w:val="right"/>
              <w:ind w:right="990"/>
              <w:spacing w:after="0"/>
              <w:rPr>
                <w:sz w:val="20"/>
                <w:szCs w:val="20"/>
                <w:color w:val="auto"/>
              </w:rPr>
            </w:pPr>
            <w:r>
              <w:rPr>
                <w:rFonts w:ascii="Arial" w:cs="Arial" w:eastAsia="Arial" w:hAnsi="Arial"/>
                <w:sz w:val="16"/>
                <w:szCs w:val="16"/>
                <w:color w:val="auto"/>
                <w:w w:val="73"/>
              </w:rPr>
              <w:t>thousands)</w:t>
            </w:r>
          </w:p>
        </w:tc>
        <w:tc>
          <w:tcPr>
            <w:tcW w:w="80" w:type="dxa"/>
            <w:vAlign w:val="bottom"/>
          </w:tcPr>
          <w:p>
            <w:pPr>
              <w:spacing w:after="0"/>
              <w:rPr>
                <w:sz w:val="18"/>
                <w:szCs w:val="18"/>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Costs and estimated earnings in excess of billings</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9,600</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12,640</w:t>
            </w:r>
          </w:p>
        </w:tc>
        <w:tc>
          <w:tcPr>
            <w:tcW w:w="80" w:type="dxa"/>
            <w:vAlign w:val="bottom"/>
            <w:shd w:val="clear" w:color="auto" w:fill="CCEEFF"/>
          </w:tcPr>
          <w:p>
            <w:pPr>
              <w:spacing w:after="0"/>
              <w:rPr>
                <w:sz w:val="18"/>
                <w:szCs w:val="18"/>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Billings in excess of costs and estimated earnings</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gridSpan w:val="2"/>
          </w:tcPr>
          <w:p>
            <w:pPr>
              <w:jc w:val="right"/>
              <w:ind w:right="41"/>
              <w:spacing w:after="0"/>
              <w:rPr>
                <w:sz w:val="20"/>
                <w:szCs w:val="20"/>
                <w:color w:val="auto"/>
              </w:rPr>
            </w:pPr>
            <w:r>
              <w:rPr>
                <w:rFonts w:ascii="Arial" w:cs="Arial" w:eastAsia="Arial" w:hAnsi="Arial"/>
                <w:sz w:val="18"/>
                <w:szCs w:val="18"/>
                <w:color w:val="auto"/>
              </w:rPr>
              <w:t>(12,715)</w:t>
            </w:r>
          </w:p>
        </w:tc>
        <w:tc>
          <w:tcPr>
            <w:tcW w:w="1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(10,692)</w:t>
            </w:r>
          </w:p>
        </w:tc>
      </w:tr>
      <w:tr>
        <w:trPr>
          <w:trHeight w:val="20"/>
        </w:trPr>
        <w:tc>
          <w:tcPr>
            <w:tcW w:w="4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Net (liability) asset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right w:val="single" w:sz="8" w:color="CCEEFF"/>
            </w:tcBorders>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(3,115)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1,948</w:t>
            </w:r>
          </w:p>
        </w:tc>
        <w:tc>
          <w:tcPr>
            <w:tcW w:w="80" w:type="dxa"/>
            <w:vAlign w:val="bottom"/>
            <w:shd w:val="clear" w:color="auto" w:fill="CCEEFF"/>
          </w:tcPr>
          <w:p>
            <w:pPr>
              <w:spacing w:after="0"/>
              <w:rPr>
                <w:sz w:val="19"/>
                <w:szCs w:val="19"/>
                <w:color w:val="auto"/>
              </w:rPr>
            </w:pPr>
          </w:p>
        </w:tc>
      </w:tr>
      <w:tr>
        <w:trPr>
          <w:trHeight w:val="20"/>
        </w:trPr>
        <w:tc>
          <w:tcPr>
            <w:tcW w:w="45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Such amounts represent revenue recognized on long-term contracts that had not been billed at the balance sheet dates or represent a liability for amounts billed in excess of the revenue earned. Amounts are billed to customers pursuant to contract terms. In general, the recorded amounts will be billed and collected and revenue recognized within twelve months of the balance sheet date. Revenue on these long-term contracts is accounted for on the percentage of completion (“POC”) basis. During the three and nine months ended January 31, 2022, revenue recognized under POC contracts was approximately $11.8 million and $36.4 million, respectively. During the three and nine months ended January 31, 2021, revenue recognized under POC contracts was approximately $10.8 million and $35.6 million, respectively. Anticipated contract losses, if any, are accrued for in the period such determination is made. Contract losses of approximately $171,000 and $218,000 were recorded for the three and nine months ended January 31, 2022, respectively. Contract losses of approximately $144,000 and $876,000 were recorded for the three and nine months ended January 31, 2021,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NOTE D –STOCK TRANSACTIONS</w:t>
      </w:r>
    </w:p>
    <w:p>
      <w:pPr>
        <w:spacing w:after="0" w:line="22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During the three and nine-month periods ended January 31, 2022, the Company made contributions of 7,045 and 31,075 shares of its common stock, respectively, to the Company’s profit-sharing plan and trust under Section 401(k) of the Internal Revenue Code. Such contributions are in accordance with the Company’s discretionary match of employee voluntary contributions to this plan.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NOTE E – INVENTORIES, NET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Inventories, which is reported at the lower of cost and net realizable value, consisted of the following:</w:t>
      </w:r>
    </w:p>
    <w:p>
      <w:pPr>
        <w:spacing w:after="0" w:line="221" w:lineRule="exact"/>
        <w:rPr>
          <w:sz w:val="20"/>
          <w:szCs w:val="20"/>
          <w:color w:val="auto"/>
        </w:rPr>
      </w:pPr>
    </w:p>
    <w:tbl>
      <w:tblPr>
        <w:tblLayout w:type="fixed"/>
        <w:tblInd w:w="1100"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January 31, 2022</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6"/>
              </w:rPr>
              <w:t>April 30, 2021</w:t>
            </w:r>
          </w:p>
        </w:tc>
        <w:tc>
          <w:tcPr>
            <w:tcW w:w="80" w:type="dxa"/>
            <w:vAlign w:val="bottom"/>
          </w:tcPr>
          <w:p>
            <w:pPr>
              <w:spacing w:after="0"/>
              <w:rPr>
                <w:sz w:val="20"/>
                <w:szCs w:val="20"/>
                <w:color w:val="auto"/>
              </w:rPr>
            </w:pPr>
          </w:p>
        </w:tc>
      </w:tr>
      <w:tr>
        <w:trPr>
          <w:trHeight w:val="210"/>
        </w:trPr>
        <w:tc>
          <w:tcPr>
            <w:tcW w:w="5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(In</w:t>
            </w:r>
          </w:p>
        </w:tc>
        <w:tc>
          <w:tcPr>
            <w:tcW w:w="1680" w:type="dxa"/>
            <w:vAlign w:val="bottom"/>
            <w:gridSpan w:val="3"/>
          </w:tcPr>
          <w:p>
            <w:pPr>
              <w:jc w:val="right"/>
              <w:ind w:right="990"/>
              <w:spacing w:after="0"/>
              <w:rPr>
                <w:sz w:val="20"/>
                <w:szCs w:val="20"/>
                <w:color w:val="auto"/>
              </w:rPr>
            </w:pPr>
            <w:r>
              <w:rPr>
                <w:rFonts w:ascii="Arial" w:cs="Arial" w:eastAsia="Arial" w:hAnsi="Arial"/>
                <w:sz w:val="16"/>
                <w:szCs w:val="16"/>
                <w:color w:val="auto"/>
                <w:w w:val="73"/>
              </w:rPr>
              <w:t>thousands)</w:t>
            </w:r>
          </w:p>
        </w:tc>
        <w:tc>
          <w:tcPr>
            <w:tcW w:w="8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and component parts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12,262</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12,386</w:t>
            </w:r>
          </w:p>
        </w:tc>
        <w:tc>
          <w:tcPr>
            <w:tcW w:w="8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Work in progress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6,939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6,259</w:t>
            </w:r>
          </w:p>
        </w:tc>
        <w:tc>
          <w:tcPr>
            <w:tcW w:w="80" w:type="dxa"/>
            <w:vAlign w:val="bottom"/>
          </w:tcPr>
          <w:p>
            <w:pPr>
              <w:spacing w:after="0"/>
              <w:rPr>
                <w:sz w:val="18"/>
                <w:szCs w:val="18"/>
                <w:color w:val="auto"/>
              </w:rPr>
            </w:pPr>
          </w:p>
        </w:tc>
      </w:tr>
      <w:tr>
        <w:trPr>
          <w:trHeight w:val="216"/>
        </w:trPr>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9"/>
        </w:trPr>
        <w:tc>
          <w:tcPr>
            <w:tcW w:w="552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19,710</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19,661</w:t>
            </w:r>
          </w:p>
        </w:tc>
        <w:tc>
          <w:tcPr>
            <w:tcW w:w="80" w:type="dxa"/>
            <w:vAlign w:val="bottom"/>
          </w:tcPr>
          <w:p>
            <w:pPr>
              <w:spacing w:after="0"/>
              <w:rPr>
                <w:sz w:val="18"/>
                <w:szCs w:val="18"/>
                <w:color w:val="auto"/>
              </w:rPr>
            </w:pPr>
          </w:p>
        </w:tc>
      </w:tr>
      <w:tr>
        <w:trPr>
          <w:trHeight w:val="20"/>
        </w:trPr>
        <w:tc>
          <w:tcPr>
            <w:tcW w:w="55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amounts above are net of reserves of $7.0 million and $7.3 million as of January 31, 2022 and April 30, 2021,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NOTE F – RIGHT-OF-USE ASSETS AND LEASE LIABILITIES</w:t>
      </w:r>
    </w:p>
    <w:p>
      <w:pPr>
        <w:spacing w:after="0" w:line="225" w:lineRule="exact"/>
        <w:rPr>
          <w:sz w:val="20"/>
          <w:szCs w:val="20"/>
          <w:color w:val="auto"/>
        </w:rPr>
      </w:pPr>
    </w:p>
    <w:p>
      <w:pPr>
        <w:jc w:val="both"/>
        <w:ind w:right="20" w:firstLine="648"/>
        <w:spacing w:after="0" w:line="293" w:lineRule="auto"/>
        <w:rPr>
          <w:sz w:val="20"/>
          <w:szCs w:val="20"/>
          <w:color w:val="auto"/>
        </w:rPr>
      </w:pPr>
      <w:r>
        <w:rPr>
          <w:rFonts w:ascii="Arial" w:cs="Arial" w:eastAsia="Arial" w:hAnsi="Arial"/>
          <w:sz w:val="16"/>
          <w:szCs w:val="16"/>
          <w:color w:val="auto"/>
        </w:rPr>
        <w:t>The Company’s leases primarily represent offices, warehouses, vehicles, and manufacturing and research and development facilities, which expire at various times through 2029 and are operating leases. Contractual arrangements are evaluated at inception to determine if the agreement contains a lease. Certain lease agreements contain renewal options, rent abatement, and escalation clauses that are factored into our determination of lease payments when appropriate. Right-of-use (“ROU”) assets and lease liabilities are recorded based on the present value of future lease payments which factor in certain qualifying initial direct costs incurred as well as any lease incentives that may have been received. Lease expenses for operating lease payments are recognized on a straight-line basis over the lease term. Lease terms may factor in options to extend or terminate the lease.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5" w:right="45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 elected the practical expedient for short-term leases, which allows leases with terms of twelve months or less to be recorded on a straight-line basis over the lease term without being recognized on the balance sheet.</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table below presents ROU assets and liabilities recorded on the respective consolidated balance sheets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60" w:type="dxa"/>
            <w:vAlign w:val="bottom"/>
          </w:tcPr>
          <w:p>
            <w:pPr>
              <w:ind w:left="1000"/>
              <w:spacing w:after="0"/>
              <w:rPr>
                <w:sz w:val="20"/>
                <w:szCs w:val="20"/>
                <w:color w:val="auto"/>
              </w:rPr>
            </w:pPr>
            <w:r>
              <w:rPr>
                <w:rFonts w:ascii="Arial" w:cs="Arial" w:eastAsia="Arial" w:hAnsi="Arial"/>
                <w:sz w:val="18"/>
                <w:szCs w:val="18"/>
                <w:b w:val="1"/>
                <w:bCs w:val="1"/>
                <w:color w:val="auto"/>
              </w:rPr>
              <w:t>Classification</w:t>
            </w:r>
          </w:p>
        </w:tc>
        <w:tc>
          <w:tcPr>
            <w:tcW w:w="120" w:type="dxa"/>
            <w:vAlign w:val="bottom"/>
          </w:tcPr>
          <w:p>
            <w:pPr>
              <w:spacing w:after="0"/>
              <w:rPr>
                <w:sz w:val="20"/>
                <w:szCs w:val="20"/>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January 31, 2022</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April 30, 2021</w:t>
            </w:r>
          </w:p>
        </w:tc>
        <w:tc>
          <w:tcPr>
            <w:tcW w:w="0" w:type="dxa"/>
            <w:vAlign w:val="bottom"/>
          </w:tcPr>
          <w:p>
            <w:pPr>
              <w:spacing w:after="0"/>
              <w:rPr>
                <w:sz w:val="1"/>
                <w:szCs w:val="1"/>
                <w:color w:val="auto"/>
              </w:rPr>
            </w:pPr>
          </w:p>
        </w:tc>
      </w:tr>
      <w:tr>
        <w:trPr>
          <w:trHeight w:val="228"/>
        </w:trPr>
        <w:tc>
          <w:tcPr>
            <w:tcW w:w="3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840" w:type="dxa"/>
            <w:vAlign w:val="bottom"/>
          </w:tcPr>
          <w:p>
            <w:pPr>
              <w:spacing w:after="0"/>
              <w:rPr>
                <w:sz w:val="19"/>
                <w:szCs w:val="19"/>
                <w:color w:val="auto"/>
              </w:rPr>
            </w:pPr>
          </w:p>
        </w:tc>
        <w:tc>
          <w:tcPr>
            <w:tcW w:w="30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7"/>
              </w:rPr>
              <w:t>(unaudited)</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780" w:type="dxa"/>
            <w:vAlign w:val="bottom"/>
            <w:gridSpan w:val="2"/>
            <w:vMerge w:val="continue"/>
          </w:tcPr>
          <w:p>
            <w:pPr>
              <w:spacing w:after="0"/>
              <w:rPr>
                <w:sz w:val="17"/>
                <w:szCs w:val="17"/>
                <w:color w:val="auto"/>
              </w:rPr>
            </w:pPr>
          </w:p>
        </w:tc>
        <w:tc>
          <w:tcPr>
            <w:tcW w:w="84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lease ROU assets</w:t>
            </w:r>
          </w:p>
        </w:tc>
        <w:tc>
          <w:tcPr>
            <w:tcW w:w="39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Right-of-Use assets leases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9,149</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84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160"/>
              <w:spacing w:after="0"/>
              <w:rPr>
                <w:sz w:val="20"/>
                <w:szCs w:val="20"/>
                <w:color w:val="auto"/>
              </w:rPr>
            </w:pPr>
            <w:r>
              <w:rPr>
                <w:rFonts w:ascii="Arial" w:cs="Arial" w:eastAsia="Arial" w:hAnsi="Arial"/>
                <w:sz w:val="18"/>
                <w:szCs w:val="18"/>
                <w:color w:val="auto"/>
              </w:rPr>
              <w:t>Operating lease liabilities (short-term)</w:t>
            </w:r>
          </w:p>
        </w:tc>
        <w:tc>
          <w:tcPr>
            <w:tcW w:w="3900" w:type="dxa"/>
            <w:vAlign w:val="bottom"/>
            <w:gridSpan w:val="2"/>
          </w:tcPr>
          <w:p>
            <w:pPr>
              <w:ind w:left="840"/>
              <w:spacing w:after="0"/>
              <w:rPr>
                <w:sz w:val="20"/>
                <w:szCs w:val="20"/>
                <w:color w:val="auto"/>
              </w:rPr>
            </w:pPr>
            <w:r>
              <w:rPr>
                <w:rFonts w:ascii="Arial" w:cs="Arial" w:eastAsia="Arial" w:hAnsi="Arial"/>
                <w:sz w:val="18"/>
                <w:szCs w:val="18"/>
                <w:color w:val="auto"/>
              </w:rPr>
              <w:t>Lease liability, current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1,739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Operating lease liabilities (long-term)</w:t>
            </w:r>
          </w:p>
        </w:tc>
        <w:tc>
          <w:tcPr>
            <w:tcW w:w="390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Lease liability, non-current</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7,708</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tcPr>
          <w:p>
            <w:pPr>
              <w:ind w:left="340"/>
              <w:spacing w:after="0"/>
              <w:rPr>
                <w:sz w:val="20"/>
                <w:szCs w:val="20"/>
                <w:color w:val="auto"/>
              </w:rPr>
            </w:pPr>
            <w:r>
              <w:rPr>
                <w:rFonts w:ascii="Arial" w:cs="Arial" w:eastAsia="Arial" w:hAnsi="Arial"/>
                <w:sz w:val="18"/>
                <w:szCs w:val="18"/>
                <w:color w:val="auto"/>
              </w:rPr>
              <w:t>Total lease liabilities</w:t>
            </w:r>
          </w:p>
        </w:tc>
        <w:tc>
          <w:tcPr>
            <w:tcW w:w="8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9,447</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10,081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18"/>
          <w:szCs w:val="18"/>
          <w:color w:val="auto"/>
        </w:rPr>
        <w:t>Total operating lease expense was $500,000 and $1.5 million for the three and nine-months ended January 31, 2022, respectively, the majority of which is included in cost of revenues and the remaining amount in selling and administrative expenses in the condensed consolidated statements of operations. Total operating lease expense was $500,000 and $1.5 million for the three and nine-months ended January 31, 2021, respectively, the majority of which is included in cost of revenues and the remaining amount in selling and administrative expenses in the condensed consolidated statements of operations.</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table below reconciles the undiscounted cash flows for each of the first four fiscal years and total of the remaining fiscal years to the operating lease liabilities recorded on the unaudited condensed consolidated balance sheet as of January 31, 2022:</w:t>
      </w:r>
    </w:p>
    <w:p>
      <w:pPr>
        <w:spacing w:after="0" w:line="166" w:lineRule="exact"/>
        <w:rPr>
          <w:sz w:val="20"/>
          <w:szCs w:val="20"/>
          <w:color w:val="auto"/>
        </w:rPr>
      </w:pPr>
    </w:p>
    <w:tbl>
      <w:tblPr>
        <w:tblLayout w:type="fixed"/>
        <w:tblInd w:w="27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40" w:type="dxa"/>
            <w:vAlign w:val="bottom"/>
          </w:tcPr>
          <w:p>
            <w:pPr>
              <w:jc w:val="center"/>
              <w:ind w:left="1450"/>
              <w:spacing w:after="0"/>
              <w:rPr>
                <w:sz w:val="20"/>
                <w:szCs w:val="20"/>
                <w:color w:val="auto"/>
              </w:rPr>
            </w:pPr>
            <w:r>
              <w:rPr>
                <w:rFonts w:ascii="Arial" w:cs="Arial" w:eastAsia="Arial" w:hAnsi="Arial"/>
                <w:sz w:val="18"/>
                <w:szCs w:val="18"/>
                <w:b w:val="1"/>
                <w:bCs w:val="1"/>
                <w:color w:val="auto"/>
                <w:w w:val="91"/>
              </w:rPr>
              <w:t>Fiscal Year Ending April 30,</w:t>
            </w: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3840" w:type="dxa"/>
            <w:vAlign w:val="bottom"/>
            <w:tcBorders>
              <w:bottom w:val="single" w:sz="8" w:color="auto"/>
            </w:tcBorders>
          </w:tcPr>
          <w:p>
            <w:pPr>
              <w:jc w:val="center"/>
              <w:ind w:left="1450"/>
              <w:spacing w:after="0"/>
              <w:rPr>
                <w:sz w:val="20"/>
                <w:szCs w:val="20"/>
                <w:color w:val="auto"/>
              </w:rPr>
            </w:pPr>
            <w:r>
              <w:rPr>
                <w:rFonts w:ascii="Arial" w:cs="Arial" w:eastAsia="Arial" w:hAnsi="Arial"/>
                <w:sz w:val="18"/>
                <w:szCs w:val="18"/>
                <w:b w:val="1"/>
                <w:bCs w:val="1"/>
                <w:color w:val="auto"/>
                <w:w w:val="89"/>
              </w:rPr>
              <w:t>(</w:t>
            </w:r>
            <w:r>
              <w:rPr>
                <w:rFonts w:ascii="Arial" w:cs="Arial" w:eastAsia="Arial" w:hAnsi="Arial"/>
                <w:sz w:val="18"/>
                <w:szCs w:val="18"/>
                <w:color w:val="auto"/>
                <w:w w:val="89"/>
              </w:rPr>
              <w:t>in thousands</w:t>
            </w:r>
            <w:r>
              <w:rPr>
                <w:rFonts w:ascii="Arial" w:cs="Arial" w:eastAsia="Arial" w:hAnsi="Arial"/>
                <w:sz w:val="18"/>
                <w:szCs w:val="18"/>
                <w:b w:val="1"/>
                <w:bCs w:val="1"/>
                <w:color w:val="auto"/>
                <w:w w:val="89"/>
              </w:rPr>
              <w:t>)</w:t>
            </w:r>
          </w:p>
        </w:tc>
        <w:tc>
          <w:tcPr>
            <w:tcW w:w="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2022</w:t>
            </w:r>
          </w:p>
        </w:tc>
        <w:tc>
          <w:tcPr>
            <w:tcW w:w="60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2023</w:t>
            </w: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1,981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1,993</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2025</w:t>
            </w: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1,832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Thereafter</w:t>
            </w:r>
          </w:p>
        </w:tc>
        <w:tc>
          <w:tcPr>
            <w:tcW w:w="4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4,176</w:t>
            </w:r>
          </w:p>
        </w:tc>
        <w:tc>
          <w:tcPr>
            <w:tcW w:w="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11,608</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Less imputed interest</w:t>
            </w: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(2,161)</w:t>
            </w:r>
          </w:p>
        </w:tc>
      </w:tr>
      <w:tr>
        <w:trPr>
          <w:trHeight w:val="210"/>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future lease payments</w:t>
            </w:r>
          </w:p>
        </w:tc>
        <w:tc>
          <w:tcPr>
            <w:tcW w:w="4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Less current obligations under leases</w:t>
            </w: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(1,739)</w:t>
            </w:r>
          </w:p>
        </w:tc>
      </w:tr>
      <w:tr>
        <w:trPr>
          <w:trHeight w:val="250"/>
        </w:trPr>
        <w:tc>
          <w:tcPr>
            <w:tcW w:w="20" w:type="dxa"/>
            <w:vAlign w:val="bottom"/>
          </w:tcPr>
          <w:p>
            <w:pPr>
              <w:spacing w:after="0"/>
              <w:rPr>
                <w:sz w:val="21"/>
                <w:szCs w:val="21"/>
                <w:color w:val="auto"/>
              </w:rPr>
            </w:pPr>
          </w:p>
        </w:tc>
        <w:tc>
          <w:tcPr>
            <w:tcW w:w="3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lease obligations</w:t>
            </w:r>
          </w:p>
        </w:tc>
        <w:tc>
          <w:tcPr>
            <w:tcW w:w="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7,708</w:t>
            </w:r>
          </w:p>
        </w:tc>
        <w:tc>
          <w:tcPr>
            <w:tcW w:w="6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As of January 31, 2022, the weighted-average remaining lease term for all operating leases was 6.5 years. The Company does not generally have access to the rate implicit in the leases and therefore utilized the Company’s borrowing rate as the discount rate. The weighted average discount rate for operating leases as of January 31, 2022 was 6.15%.</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5" w:right="4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G – SEGMENT INFORMATION</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 operates under two reportable segments based on the geographic locations of its subsidiaries:</w:t>
      </w:r>
    </w:p>
    <w:p>
      <w:pPr>
        <w:spacing w:after="0" w:line="225" w:lineRule="exact"/>
        <w:rPr>
          <w:sz w:val="20"/>
          <w:szCs w:val="20"/>
          <w:color w:val="auto"/>
        </w:rPr>
      </w:pPr>
    </w:p>
    <w:p>
      <w:pPr>
        <w:jc w:val="both"/>
        <w:ind w:left="1140" w:hanging="692"/>
        <w:spacing w:after="0" w:line="255" w:lineRule="auto"/>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FEI-NY – operates out of New York and its operations consist principally of precision time and frequency control products used in three principal markets: satellites (both commercial and U.S. Government-funded); terrestrial cellular telephone or other ground-based telecommunication stations; and other components and systems for the U.S. military.</w:t>
      </w:r>
    </w:p>
    <w:p>
      <w:pPr>
        <w:spacing w:after="0" w:line="2" w:lineRule="exact"/>
        <w:rPr>
          <w:rFonts w:ascii="Arial" w:cs="Arial" w:eastAsia="Arial" w:hAnsi="Arial"/>
          <w:sz w:val="18"/>
          <w:szCs w:val="18"/>
          <w:color w:val="auto"/>
        </w:rPr>
      </w:pPr>
    </w:p>
    <w:p>
      <w:pPr>
        <w:ind w:left="1140"/>
        <w:spacing w:after="0" w:line="260" w:lineRule="auto"/>
        <w:rPr>
          <w:rFonts w:ascii="Arial" w:cs="Arial" w:eastAsia="Arial" w:hAnsi="Arial"/>
          <w:sz w:val="18"/>
          <w:szCs w:val="18"/>
          <w:color w:val="auto"/>
        </w:rPr>
      </w:pPr>
      <w:r>
        <w:rPr>
          <w:rFonts w:ascii="Arial" w:cs="Arial" w:eastAsia="Arial" w:hAnsi="Arial"/>
          <w:sz w:val="18"/>
          <w:szCs w:val="18"/>
          <w:color w:val="auto"/>
        </w:rPr>
        <w:t>The FEI-NY segment also includes the operations of the Company’s wholly owned subsidiary, FEI-Elcom. FEI-Elcom, in addition to its own product line, provides design and technical support for the FEI-NY segment’s satellite business.</w:t>
      </w:r>
    </w:p>
    <w:p>
      <w:pPr>
        <w:spacing w:after="0" w:line="185" w:lineRule="exact"/>
        <w:rPr>
          <w:rFonts w:ascii="Arial" w:cs="Arial" w:eastAsia="Arial" w:hAnsi="Arial"/>
          <w:sz w:val="18"/>
          <w:szCs w:val="18"/>
          <w:color w:val="auto"/>
        </w:rPr>
      </w:pPr>
    </w:p>
    <w:p>
      <w:pPr>
        <w:jc w:val="both"/>
        <w:ind w:left="1140" w:hanging="692"/>
        <w:spacing w:after="0" w:line="296" w:lineRule="auto"/>
        <w:tabs>
          <w:tab w:leader="none" w:pos="1140" w:val="left"/>
        </w:tabs>
        <w:numPr>
          <w:ilvl w:val="0"/>
          <w:numId w:val="2"/>
        </w:numPr>
        <w:rPr>
          <w:rFonts w:ascii="Arial" w:cs="Arial" w:eastAsia="Arial" w:hAnsi="Arial"/>
          <w:sz w:val="16"/>
          <w:szCs w:val="16"/>
          <w:color w:val="auto"/>
        </w:rPr>
      </w:pPr>
      <w:r>
        <w:rPr>
          <w:rFonts w:ascii="Arial" w:cs="Arial" w:eastAsia="Arial" w:hAnsi="Arial"/>
          <w:sz w:val="16"/>
          <w:szCs w:val="16"/>
          <w:color w:val="auto"/>
        </w:rPr>
        <w:t>FEI-Zyfer – operates out of California and its products incorporate Global Positioning System (GPS) technologies into systems and subsystems for secure communications, both government and commercial, and other locator applications. FEI-Zyfer’s products also incorporate precision time references for terrestrial secure communications and command and control, and frequency products that incorporate GPS. FEI-Zyfer’s GPS capability complements the Company’s existing technologies and permits the combined entities to provide a broader range of embedded systems for a variety of timing functions and anti-spoofing (“SAASM”) applications.</w:t>
      </w:r>
    </w:p>
    <w:p>
      <w:pPr>
        <w:spacing w:after="0" w:line="16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measures segment performance based on total revenues and profits generated by each geographic location rather than on the specific types of customers or end-users. Consequently, the Company determined that the segments indicated above most appropriately reflect the way the Company’s management views the business.</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accounting policies of the two segments are the same as those described in the “Summary of Significant Accounting Policies” in the fiscal year-end financial statements included in the Company’s Annual Report on Form 10-K for the fiscal year ended April 30, 2021, filed on June 30, 2021 with the Securities and Exchange Commission. The Company evaluates the performance of its segments and allocates resources to them based on operating profit, which is defined as income before investment income, interest expense and taxes. All acquired assets, including intangible assets, are included in the assets of both reporting segments.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5" w:right="47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tables below present information about reported segments with reconciliation of segment amounts to consolidated amounts as reported in the condensed consolidated statements of operations or the condensed consolidated balance sheets for each of the periods (in thousands):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6"/>
          </w:tcPr>
          <w:p>
            <w:pPr>
              <w:jc w:val="right"/>
              <w:ind w:right="320"/>
              <w:spacing w:after="0"/>
              <w:rPr>
                <w:sz w:val="20"/>
                <w:szCs w:val="20"/>
                <w:color w:val="auto"/>
              </w:rPr>
            </w:pPr>
            <w:r>
              <w:rPr>
                <w:rFonts w:ascii="Arial" w:cs="Arial" w:eastAsia="Arial" w:hAnsi="Arial"/>
                <w:sz w:val="18"/>
                <w:szCs w:val="18"/>
                <w:b w:val="1"/>
                <w:bCs w:val="1"/>
                <w:color w:val="auto"/>
                <w:w w:val="90"/>
              </w:rPr>
              <w:t>Periods ended January 31,</w:t>
            </w: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20" w:type="dxa"/>
            <w:vAlign w:val="bottom"/>
            <w:gridSpan w:val="6"/>
          </w:tcPr>
          <w:p>
            <w:pPr>
              <w:jc w:val="right"/>
              <w:ind w:right="820"/>
              <w:spacing w:after="0"/>
              <w:rPr>
                <w:sz w:val="20"/>
                <w:szCs w:val="20"/>
                <w:color w:val="auto"/>
              </w:rPr>
            </w:pPr>
            <w:r>
              <w:rPr>
                <w:rFonts w:ascii="Arial" w:cs="Arial" w:eastAsia="Arial" w:hAnsi="Arial"/>
                <w:sz w:val="18"/>
                <w:szCs w:val="18"/>
                <w:b w:val="1"/>
                <w:bCs w:val="1"/>
                <w:color w:val="auto"/>
              </w:rPr>
              <w:t>Three months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gridSpan w:val="5"/>
          </w:tcPr>
          <w:p>
            <w:pPr>
              <w:jc w:val="right"/>
              <w:ind w:right="630"/>
              <w:spacing w:after="0"/>
              <w:rPr>
                <w:sz w:val="20"/>
                <w:szCs w:val="20"/>
                <w:color w:val="auto"/>
              </w:rPr>
            </w:pPr>
            <w:r>
              <w:rPr>
                <w:rFonts w:ascii="Arial" w:cs="Arial" w:eastAsia="Arial" w:hAnsi="Arial"/>
                <w:sz w:val="18"/>
                <w:szCs w:val="18"/>
                <w:b w:val="1"/>
                <w:bCs w:val="1"/>
                <w:color w:val="auto"/>
              </w:rPr>
              <w:t>Nine months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60" w:type="dxa"/>
            <w:vAlign w:val="bottom"/>
            <w:vMerge w:val="restart"/>
          </w:tcPr>
          <w:p>
            <w:pPr>
              <w:spacing w:after="0"/>
              <w:rPr>
                <w:sz w:val="20"/>
                <w:szCs w:val="20"/>
                <w:color w:val="auto"/>
              </w:rPr>
            </w:pPr>
            <w:r>
              <w:rPr>
                <w:rFonts w:ascii="Arial" w:cs="Arial" w:eastAsia="Arial" w:hAnsi="Arial"/>
                <w:sz w:val="18"/>
                <w:szCs w:val="18"/>
                <w:color w:val="auto"/>
              </w:rPr>
              <w:t>Revenues:</w:t>
            </w:r>
          </w:p>
        </w:tc>
        <w:tc>
          <w:tcPr>
            <w:tcW w:w="15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60" w:type="dxa"/>
            <w:vAlign w:val="bottom"/>
            <w:vMerge w:val="continue"/>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FEI-NY</w:t>
            </w:r>
          </w:p>
        </w:tc>
        <w:tc>
          <w:tcPr>
            <w:tcW w:w="1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10,855</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9,411</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31,399</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FEI-Zyfer</w:t>
            </w: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1,558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2,481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7,341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9,833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less intersegment revenues</w:t>
            </w: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(1,627)</w:t>
            </w:r>
          </w:p>
        </w:tc>
        <w:tc>
          <w:tcPr>
            <w:tcW w:w="0" w:type="dxa"/>
            <w:vAlign w:val="bottom"/>
          </w:tcPr>
          <w:p>
            <w:pPr>
              <w:spacing w:after="0"/>
              <w:rPr>
                <w:sz w:val="1"/>
                <w:szCs w:val="1"/>
                <w:color w:val="auto"/>
              </w:rPr>
            </w:pPr>
          </w:p>
        </w:tc>
      </w:tr>
      <w:tr>
        <w:trPr>
          <w:trHeight w:val="20"/>
        </w:trPr>
        <w:tc>
          <w:tcPr>
            <w:tcW w:w="4260" w:type="dxa"/>
            <w:vAlign w:val="bottom"/>
            <w:shd w:val="clear" w:color="auto" w:fill="CCEEFF"/>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60" w:type="dxa"/>
            <w:vAlign w:val="bottom"/>
          </w:tcPr>
          <w:p>
            <w:pPr>
              <w:spacing w:after="0"/>
              <w:rPr>
                <w:sz w:val="20"/>
                <w:szCs w:val="20"/>
                <w:color w:val="auto"/>
              </w:rPr>
            </w:pPr>
            <w:r>
              <w:rPr>
                <w:rFonts w:ascii="Arial" w:cs="Arial" w:eastAsia="Arial" w:hAnsi="Arial"/>
                <w:sz w:val="18"/>
                <w:szCs w:val="18"/>
                <w:color w:val="auto"/>
              </w:rPr>
              <w:t>Consolidated revenues</w:t>
            </w:r>
          </w:p>
        </w:tc>
        <w:tc>
          <w:tcPr>
            <w:tcW w:w="1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12,245</w:t>
            </w:r>
          </w:p>
        </w:tc>
        <w:tc>
          <w:tcPr>
            <w:tcW w:w="14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11,672</w:t>
            </w:r>
          </w:p>
        </w:tc>
        <w:tc>
          <w:tcPr>
            <w:tcW w:w="14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38,136</w:t>
            </w:r>
          </w:p>
        </w:tc>
        <w:tc>
          <w:tcPr>
            <w:tcW w:w="14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38,612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60" w:type="dxa"/>
            <w:vAlign w:val="bottom"/>
            <w:vMerge w:val="restart"/>
          </w:tcPr>
          <w:p>
            <w:pPr>
              <w:spacing w:after="0"/>
              <w:rPr>
                <w:sz w:val="20"/>
                <w:szCs w:val="20"/>
                <w:color w:val="auto"/>
              </w:rPr>
            </w:pPr>
            <w:r>
              <w:rPr>
                <w:rFonts w:ascii="Arial" w:cs="Arial" w:eastAsia="Arial" w:hAnsi="Arial"/>
                <w:sz w:val="18"/>
                <w:szCs w:val="18"/>
                <w:color w:val="auto"/>
              </w:rPr>
              <w:t>Operating loss:</w:t>
            </w:r>
          </w:p>
        </w:tc>
        <w:tc>
          <w:tcPr>
            <w:tcW w:w="1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260" w:type="dxa"/>
            <w:vAlign w:val="bottom"/>
            <w:vMerge w:val="continue"/>
          </w:tcPr>
          <w:p>
            <w:pPr>
              <w:spacing w:after="0"/>
              <w:rPr>
                <w:sz w:val="24"/>
                <w:szCs w:val="24"/>
                <w:color w:val="auto"/>
              </w:rPr>
            </w:pP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FEI-NY</w:t>
            </w:r>
          </w:p>
        </w:tc>
        <w:tc>
          <w:tcPr>
            <w:tcW w:w="1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(413)</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(1,051)</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FEI-Zyfer</w:t>
            </w: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(674)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(456)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(773)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less intersegment revenues</w:t>
            </w: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Corporate</w:t>
            </w: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(71)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(262)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Consolidated operating income (loss)</w:t>
            </w:r>
          </w:p>
        </w:tc>
        <w:tc>
          <w:tcPr>
            <w:tcW w:w="1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(721)</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(939)</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(2,106)</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(1,057)</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1100" w:type="dxa"/>
        <w:tblCellMar>
          <w:top w:w="0" w:type="dxa"/>
          <w:left w:w="0" w:type="dxa"/>
          <w:bottom w:w="0" w:type="dxa"/>
          <w:right w:w="0" w:type="dxa"/>
        </w:tblCellMar>
      </w:tblPr>
      <w:tr>
        <w:trPr>
          <w:trHeight w:val="234"/>
        </w:trPr>
        <w:tc>
          <w:tcPr>
            <w:tcW w:w="5520" w:type="dxa"/>
            <w:vAlign w:val="bottom"/>
            <w:vMerge w:val="restart"/>
          </w:tcPr>
          <w:p>
            <w:pPr>
              <w:spacing w:after="0"/>
              <w:rPr>
                <w:sz w:val="20"/>
                <w:szCs w:val="20"/>
                <w:color w:val="auto"/>
              </w:rPr>
            </w:pPr>
            <w:r>
              <w:rPr>
                <w:rFonts w:ascii="Arial" w:cs="Arial" w:eastAsia="Arial" w:hAnsi="Arial"/>
                <w:sz w:val="18"/>
                <w:szCs w:val="18"/>
                <w:color w:val="auto"/>
              </w:rPr>
              <w:t>Identifiable assets: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w w:val="90"/>
              </w:rPr>
              <w:t>January 31, 2022</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ind w:left="60"/>
              <w:spacing w:after="0"/>
              <w:rPr>
                <w:sz w:val="20"/>
                <w:szCs w:val="20"/>
                <w:color w:val="auto"/>
              </w:rPr>
            </w:pPr>
            <w:r>
              <w:rPr>
                <w:rFonts w:ascii="Arial" w:cs="Arial" w:eastAsia="Arial" w:hAnsi="Arial"/>
                <w:sz w:val="18"/>
                <w:szCs w:val="18"/>
                <w:b w:val="1"/>
                <w:bCs w:val="1"/>
                <w:color w:val="auto"/>
              </w:rPr>
              <w:t>April 30, 2021</w:t>
            </w:r>
          </w:p>
        </w:tc>
        <w:tc>
          <w:tcPr>
            <w:tcW w:w="0" w:type="dxa"/>
            <w:vAlign w:val="bottom"/>
          </w:tcPr>
          <w:p>
            <w:pPr>
              <w:spacing w:after="0"/>
              <w:rPr>
                <w:sz w:val="1"/>
                <w:szCs w:val="1"/>
                <w:color w:val="auto"/>
              </w:rPr>
            </w:pPr>
          </w:p>
        </w:tc>
      </w:tr>
      <w:tr>
        <w:trPr>
          <w:trHeight w:val="210"/>
        </w:trPr>
        <w:tc>
          <w:tcPr>
            <w:tcW w:w="55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FEI-NY</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35,245</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FEI-Zyfer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10,714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12,888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Corporate</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35,257</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38,259</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tcPr>
          <w:p>
            <w:pPr>
              <w:spacing w:after="0"/>
              <w:rPr>
                <w:sz w:val="20"/>
                <w:szCs w:val="20"/>
                <w:color w:val="auto"/>
              </w:rPr>
            </w:pPr>
            <w:r>
              <w:rPr>
                <w:rFonts w:ascii="Arial" w:cs="Arial" w:eastAsia="Arial" w:hAnsi="Arial"/>
                <w:sz w:val="18"/>
                <w:szCs w:val="18"/>
                <w:color w:val="auto"/>
              </w:rPr>
              <w:t>Consolidated identifiable assets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81,216</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86,016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Total revenue recognized over time as POC and Passage of Title (“POT”) were approximately $11.8 million and $0.5 million, respectively, of the $12.2 million reported for the three months ended January 31, 2022. Total revenue recognized over time, as POC and POT were approximately $36.4 million and $1.7 million, respectively, of the $38.1 million reported for the nine months ended January 31, 2022. Total revenue recognized over time as POC and POT were approximately $10.8 million and $0.9 million, respectively, of the $11.7 million reported for the three months ended January 31, 2021. Total revenue recognized over time, as POC and POT were approximately $35.6 million and $3.0 million, respectively, for the nine months ended January 31, 2021. The amounts by segment and product line were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b w:val="1"/>
                <w:bCs w:val="1"/>
                <w:color w:val="auto"/>
                <w:w w:val="93"/>
              </w:rPr>
              <w:t>Three Months Ended January 31,</w:t>
            </w: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2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2022</w:t>
            </w: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2021</w:t>
            </w: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1"/>
        </w:trPr>
        <w:tc>
          <w:tcPr>
            <w:tcW w:w="2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3"/>
          </w:tcPr>
          <w:p>
            <w:pPr>
              <w:jc w:val="center"/>
              <w:ind w:right="160"/>
              <w:spacing w:after="0" w:line="191" w:lineRule="exact"/>
              <w:rPr>
                <w:sz w:val="20"/>
                <w:szCs w:val="20"/>
                <w:color w:val="auto"/>
              </w:rPr>
            </w:pPr>
            <w:r>
              <w:rPr>
                <w:rFonts w:ascii="Arial" w:cs="Arial" w:eastAsia="Arial" w:hAnsi="Arial"/>
                <w:sz w:val="18"/>
                <w:szCs w:val="18"/>
                <w:color w:val="auto"/>
                <w:w w:val="88"/>
              </w:rPr>
              <w:t>(In thousands)</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3"/>
          </w:tcPr>
          <w:p>
            <w:pPr>
              <w:jc w:val="center"/>
              <w:ind w:right="140"/>
              <w:spacing w:after="0" w:line="191" w:lineRule="exact"/>
              <w:rPr>
                <w:sz w:val="20"/>
                <w:szCs w:val="20"/>
                <w:color w:val="auto"/>
              </w:rPr>
            </w:pPr>
            <w:r>
              <w:rPr>
                <w:rFonts w:ascii="Arial" w:cs="Arial" w:eastAsia="Arial" w:hAnsi="Arial"/>
                <w:sz w:val="18"/>
                <w:szCs w:val="18"/>
                <w:color w:val="auto"/>
                <w:w w:val="90"/>
              </w:rPr>
              <w:t>(In thousands)</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POC</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7"/>
              </w:rPr>
              <w:t>POT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ind w:right="330"/>
              <w:spacing w:after="0"/>
              <w:rPr>
                <w:sz w:val="20"/>
                <w:szCs w:val="20"/>
                <w:color w:val="auto"/>
              </w:rPr>
            </w:pPr>
            <w:r>
              <w:rPr>
                <w:rFonts w:ascii="Arial" w:cs="Arial" w:eastAsia="Arial" w:hAnsi="Arial"/>
                <w:sz w:val="18"/>
                <w:szCs w:val="18"/>
                <w:b w:val="1"/>
                <w:bCs w:val="1"/>
                <w:color w:val="auto"/>
              </w:rPr>
              <w:t>POC</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rPr>
              <w:t>POT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Total</w:t>
            </w:r>
          </w:p>
        </w:tc>
      </w:tr>
      <w:tr>
        <w:trPr>
          <w:trHeight w:val="234"/>
        </w:trPr>
        <w:tc>
          <w:tcPr>
            <w:tcW w:w="2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8"/>
              </w:rPr>
              <w:t>Revenue</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7"/>
              </w:rPr>
              <w:t>Revenue</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0"/>
              </w:rPr>
              <w:t>Revenue</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5"/>
              </w:rPr>
              <w:t>Revenue</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7"/>
              </w:rPr>
              <w:t>Revenue</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5"/>
              </w:rPr>
              <w:t>Revenue</w:t>
            </w:r>
          </w:p>
        </w:tc>
        <w:tc>
          <w:tcPr>
            <w:tcW w:w="100" w:type="dxa"/>
            <w:vAlign w:val="bottom"/>
          </w:tcPr>
          <w:p>
            <w:pPr>
              <w:spacing w:after="0"/>
              <w:rPr>
                <w:sz w:val="20"/>
                <w:szCs w:val="20"/>
                <w:color w:val="auto"/>
              </w:rPr>
            </w:pPr>
          </w:p>
        </w:tc>
      </w:tr>
      <w:tr>
        <w:trPr>
          <w:trHeight w:val="210"/>
        </w:trPr>
        <w:tc>
          <w:tcPr>
            <w:tcW w:w="2100" w:type="dxa"/>
            <w:vAlign w:val="bottom"/>
            <w:shd w:val="clear" w:color="auto" w:fill="CCEEFF"/>
          </w:tcPr>
          <w:p>
            <w:pPr>
              <w:jc w:val="center"/>
              <w:ind w:left="230"/>
              <w:spacing w:after="0"/>
              <w:rPr>
                <w:sz w:val="20"/>
                <w:szCs w:val="20"/>
                <w:color w:val="auto"/>
              </w:rPr>
            </w:pPr>
            <w:r>
              <w:rPr>
                <w:rFonts w:ascii="Arial" w:cs="Arial" w:eastAsia="Arial" w:hAnsi="Arial"/>
                <w:sz w:val="18"/>
                <w:szCs w:val="18"/>
                <w:color w:val="auto"/>
                <w:w w:val="98"/>
              </w:rPr>
              <w:t>FEI-NY</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10,462</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10,855</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8,990</w:t>
            </w:r>
          </w:p>
        </w:tc>
        <w:tc>
          <w:tcPr>
            <w:tcW w:w="4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9,411</w:t>
            </w:r>
          </w:p>
        </w:tc>
        <w:tc>
          <w:tcPr>
            <w:tcW w:w="100" w:type="dxa"/>
            <w:vAlign w:val="bottom"/>
            <w:shd w:val="clear" w:color="auto" w:fill="CCEEFF"/>
          </w:tcPr>
          <w:p>
            <w:pPr>
              <w:spacing w:after="0"/>
              <w:rPr>
                <w:sz w:val="18"/>
                <w:szCs w:val="18"/>
                <w:color w:val="auto"/>
              </w:rPr>
            </w:pPr>
          </w:p>
        </w:tc>
      </w:tr>
      <w:tr>
        <w:trPr>
          <w:trHeight w:val="216"/>
        </w:trPr>
        <w:tc>
          <w:tcPr>
            <w:tcW w:w="2100" w:type="dxa"/>
            <w:vAlign w:val="bottom"/>
          </w:tcPr>
          <w:p>
            <w:pPr>
              <w:jc w:val="center"/>
              <w:ind w:left="230"/>
              <w:spacing w:after="0"/>
              <w:rPr>
                <w:sz w:val="20"/>
                <w:szCs w:val="20"/>
                <w:color w:val="auto"/>
              </w:rPr>
            </w:pPr>
            <w:r>
              <w:rPr>
                <w:rFonts w:ascii="Arial" w:cs="Arial" w:eastAsia="Arial" w:hAnsi="Arial"/>
                <w:sz w:val="18"/>
                <w:szCs w:val="18"/>
                <w:color w:val="auto"/>
                <w:w w:val="98"/>
              </w:rPr>
              <w:t>FEI-Zyfer</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1,316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1,558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1,825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2,481</w:t>
            </w:r>
          </w:p>
        </w:tc>
        <w:tc>
          <w:tcPr>
            <w:tcW w:w="100" w:type="dxa"/>
            <w:vAlign w:val="bottom"/>
          </w:tcPr>
          <w:p>
            <w:pPr>
              <w:spacing w:after="0"/>
              <w:rPr>
                <w:sz w:val="18"/>
                <w:szCs w:val="18"/>
                <w:color w:val="auto"/>
              </w:rPr>
            </w:pPr>
          </w:p>
        </w:tc>
      </w:tr>
      <w:tr>
        <w:trPr>
          <w:trHeight w:val="216"/>
        </w:trPr>
        <w:tc>
          <w:tcPr>
            <w:tcW w:w="2100" w:type="dxa"/>
            <w:vAlign w:val="bottom"/>
            <w:shd w:val="clear" w:color="auto" w:fill="CCEEFF"/>
          </w:tcPr>
          <w:p>
            <w:pPr>
              <w:jc w:val="center"/>
              <w:ind w:left="230"/>
              <w:spacing w:after="0"/>
              <w:rPr>
                <w:sz w:val="20"/>
                <w:szCs w:val="20"/>
                <w:color w:val="auto"/>
              </w:rPr>
            </w:pPr>
            <w:r>
              <w:rPr>
                <w:rFonts w:ascii="Arial" w:cs="Arial" w:eastAsia="Arial" w:hAnsi="Arial"/>
                <w:sz w:val="18"/>
                <w:szCs w:val="18"/>
                <w:color w:val="auto"/>
                <w:w w:val="89"/>
              </w:rPr>
              <w:t>Intersegment</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(220)</w:t>
            </w:r>
          </w:p>
        </w:tc>
      </w:tr>
      <w:tr>
        <w:trPr>
          <w:trHeight w:val="20"/>
        </w:trPr>
        <w:tc>
          <w:tcPr>
            <w:tcW w:w="210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2100" w:type="dxa"/>
            <w:vAlign w:val="bottom"/>
          </w:tcPr>
          <w:p>
            <w:pPr>
              <w:jc w:val="center"/>
              <w:ind w:left="230"/>
              <w:spacing w:after="0"/>
              <w:rPr>
                <w:sz w:val="20"/>
                <w:szCs w:val="20"/>
                <w:color w:val="auto"/>
              </w:rPr>
            </w:pPr>
            <w:r>
              <w:rPr>
                <w:rFonts w:ascii="Arial" w:cs="Arial" w:eastAsia="Arial" w:hAnsi="Arial"/>
                <w:sz w:val="18"/>
                <w:szCs w:val="18"/>
                <w:color w:val="auto"/>
                <w:w w:val="85"/>
              </w:rPr>
              <w:t>Revenue</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11,777</w:t>
            </w:r>
          </w:p>
        </w:tc>
        <w:tc>
          <w:tcPr>
            <w:tcW w:w="1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468</w:t>
            </w:r>
          </w:p>
        </w:tc>
        <w:tc>
          <w:tcPr>
            <w:tcW w:w="140" w:type="dxa"/>
            <w:vAlign w:val="bottom"/>
          </w:tcPr>
          <w:p>
            <w:pPr>
              <w:spacing w:after="0"/>
              <w:rPr>
                <w:sz w:val="18"/>
                <w:szCs w:val="18"/>
                <w:color w:val="auto"/>
              </w:rPr>
            </w:pPr>
          </w:p>
        </w:tc>
        <w:tc>
          <w:tcPr>
            <w:tcW w:w="3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12,245</w:t>
            </w:r>
          </w:p>
        </w:tc>
        <w:tc>
          <w:tcPr>
            <w:tcW w:w="140" w:type="dxa"/>
            <w:vAlign w:val="bottom"/>
          </w:tcPr>
          <w:p>
            <w:pPr>
              <w:spacing w:after="0"/>
              <w:rPr>
                <w:sz w:val="18"/>
                <w:szCs w:val="18"/>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10,815</w:t>
            </w: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857</w:t>
            </w:r>
          </w:p>
        </w:tc>
        <w:tc>
          <w:tcPr>
            <w:tcW w:w="140" w:type="dxa"/>
            <w:vAlign w:val="bottom"/>
          </w:tcPr>
          <w:p>
            <w:pPr>
              <w:spacing w:after="0"/>
              <w:rPr>
                <w:sz w:val="18"/>
                <w:szCs w:val="18"/>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11,672</w:t>
            </w:r>
          </w:p>
        </w:tc>
        <w:tc>
          <w:tcPr>
            <w:tcW w:w="100" w:type="dxa"/>
            <w:vAlign w:val="bottom"/>
          </w:tcPr>
          <w:p>
            <w:pPr>
              <w:spacing w:after="0"/>
              <w:rPr>
                <w:sz w:val="18"/>
                <w:szCs w:val="18"/>
                <w:color w:val="auto"/>
              </w:rPr>
            </w:pPr>
          </w:p>
        </w:tc>
      </w:tr>
      <w:tr>
        <w:trPr>
          <w:trHeight w:val="20"/>
        </w:trPr>
        <w:tc>
          <w:tcPr>
            <w:tcW w:w="2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2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gridSpan w:val="2"/>
          </w:tcPr>
          <w:p>
            <w:pPr>
              <w:ind w:left="80"/>
              <w:spacing w:after="0"/>
              <w:rPr>
                <w:sz w:val="20"/>
                <w:szCs w:val="20"/>
                <w:color w:val="auto"/>
              </w:rPr>
            </w:pPr>
            <w:r>
              <w:rPr>
                <w:rFonts w:ascii="Arial" w:cs="Arial" w:eastAsia="Arial" w:hAnsi="Arial"/>
                <w:sz w:val="18"/>
                <w:szCs w:val="18"/>
                <w:color w:val="auto"/>
                <w:w w:val="99"/>
              </w:rPr>
              <w:t>12</w:t>
            </w: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2"/>
        </w:trPr>
        <w:tc>
          <w:tcPr>
            <w:tcW w:w="2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r>
    </w:tbl>
    <w:p>
      <w:pPr>
        <w:sectPr>
          <w:pgSz w:w="11900" w:h="16838" w:orient="portrait"/>
          <w:cols w:equalWidth="0" w:num="1">
            <w:col w:w="10980"/>
          </w:cols>
          <w:pgMar w:left="460" w:top="125" w:right="45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4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8"/>
        </w:trPr>
        <w:tc>
          <w:tcPr>
            <w:tcW w:w="1280" w:type="dxa"/>
            <w:vAlign w:val="bottom"/>
            <w:tcBorders>
              <w:top w:val="single" w:sz="8" w:color="0000EE"/>
            </w:tcBorders>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520" w:type="dxa"/>
            <w:vAlign w:val="bottom"/>
            <w:gridSpan w:val="17"/>
          </w:tcPr>
          <w:p>
            <w:pPr>
              <w:jc w:val="right"/>
              <w:ind w:right="460"/>
              <w:spacing w:after="0"/>
              <w:rPr>
                <w:sz w:val="20"/>
                <w:szCs w:val="20"/>
                <w:color w:val="auto"/>
              </w:rPr>
            </w:pPr>
            <w:r>
              <w:rPr>
                <w:rFonts w:ascii="Arial" w:cs="Arial" w:eastAsia="Arial" w:hAnsi="Arial"/>
                <w:sz w:val="18"/>
                <w:szCs w:val="18"/>
                <w:b w:val="1"/>
                <w:bCs w:val="1"/>
                <w:color w:val="auto"/>
              </w:rPr>
              <w:t>FREQUENCY ELECTRONICS, INC. and SUBSIDIARIES</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520" w:type="dxa"/>
            <w:vAlign w:val="bottom"/>
            <w:gridSpan w:val="17"/>
          </w:tcPr>
          <w:p>
            <w:pPr>
              <w:jc w:val="right"/>
              <w:ind w:right="760"/>
              <w:spacing w:after="0"/>
              <w:rPr>
                <w:sz w:val="20"/>
                <w:szCs w:val="20"/>
                <w:color w:val="auto"/>
              </w:rPr>
            </w:pPr>
            <w:r>
              <w:rPr>
                <w:rFonts w:ascii="Arial" w:cs="Arial" w:eastAsia="Arial" w:hAnsi="Arial"/>
                <w:sz w:val="18"/>
                <w:szCs w:val="18"/>
                <w:color w:val="auto"/>
              </w:rPr>
              <w:t>Notes to Condensed Consolidated Financial Statements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gridSpan w:val="6"/>
          </w:tcPr>
          <w:p>
            <w:pPr>
              <w:jc w:val="right"/>
              <w:ind w:right="100"/>
              <w:spacing w:after="0"/>
              <w:rPr>
                <w:sz w:val="20"/>
                <w:szCs w:val="20"/>
                <w:color w:val="auto"/>
              </w:rPr>
            </w:pPr>
            <w:r>
              <w:rPr>
                <w:rFonts w:ascii="Arial" w:cs="Arial" w:eastAsia="Arial" w:hAnsi="Arial"/>
                <w:sz w:val="18"/>
                <w:szCs w:val="18"/>
                <w:color w:val="auto"/>
              </w:rPr>
              <w:t>(Unaudited)</w:t>
            </w: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10"/>
          </w:tcPr>
          <w:p>
            <w:pPr>
              <w:jc w:val="right"/>
              <w:ind w:right="300"/>
              <w:spacing w:after="0"/>
              <w:rPr>
                <w:sz w:val="20"/>
                <w:szCs w:val="20"/>
                <w:color w:val="auto"/>
              </w:rPr>
            </w:pPr>
            <w:r>
              <w:rPr>
                <w:rFonts w:ascii="Arial" w:cs="Arial" w:eastAsia="Arial" w:hAnsi="Arial"/>
                <w:sz w:val="18"/>
                <w:szCs w:val="18"/>
                <w:b w:val="1"/>
                <w:bCs w:val="1"/>
                <w:color w:val="auto"/>
                <w:w w:val="92"/>
              </w:rPr>
              <w:t>Nine Months Ended January 31,</w:t>
            </w: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2022</w:t>
            </w: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3"/>
          </w:tcPr>
          <w:p>
            <w:pPr>
              <w:jc w:val="center"/>
              <w:ind w:right="160"/>
              <w:spacing w:after="0" w:line="191" w:lineRule="exact"/>
              <w:rPr>
                <w:sz w:val="20"/>
                <w:szCs w:val="20"/>
                <w:color w:val="auto"/>
              </w:rPr>
            </w:pPr>
            <w:r>
              <w:rPr>
                <w:rFonts w:ascii="Arial" w:cs="Arial" w:eastAsia="Arial" w:hAnsi="Arial"/>
                <w:sz w:val="18"/>
                <w:szCs w:val="18"/>
                <w:color w:val="auto"/>
                <w:w w:val="88"/>
              </w:rPr>
              <w:t>(In thousands)</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4"/>
          </w:tcPr>
          <w:p>
            <w:pPr>
              <w:jc w:val="center"/>
              <w:ind w:right="100"/>
              <w:spacing w:after="0" w:line="191" w:lineRule="exact"/>
              <w:rPr>
                <w:sz w:val="20"/>
                <w:szCs w:val="20"/>
                <w:color w:val="auto"/>
              </w:rPr>
            </w:pPr>
            <w:r>
              <w:rPr>
                <w:rFonts w:ascii="Arial" w:cs="Arial" w:eastAsia="Arial" w:hAnsi="Arial"/>
                <w:sz w:val="18"/>
                <w:szCs w:val="18"/>
                <w:color w:val="auto"/>
                <w:w w:val="90"/>
              </w:rPr>
              <w:t>(In thousands)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POC</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7"/>
              </w:rPr>
              <w:t>POT</w:t>
            </w:r>
          </w:p>
        </w:tc>
        <w:tc>
          <w:tcPr>
            <w:tcW w:w="80" w:type="dxa"/>
            <w:vAlign w:val="bottom"/>
          </w:tcPr>
          <w:p>
            <w:pPr>
              <w:spacing w:after="0"/>
              <w:rPr>
                <w:sz w:val="18"/>
                <w:szCs w:val="18"/>
                <w:color w:val="auto"/>
              </w:rPr>
            </w:pPr>
          </w:p>
        </w:tc>
        <w:tc>
          <w:tcPr>
            <w:tcW w:w="120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3"/>
          </w:tcPr>
          <w:p>
            <w:pPr>
              <w:jc w:val="right"/>
              <w:ind w:right="640"/>
              <w:spacing w:after="0"/>
              <w:rPr>
                <w:sz w:val="20"/>
                <w:szCs w:val="20"/>
                <w:color w:val="auto"/>
              </w:rPr>
            </w:pPr>
            <w:r>
              <w:rPr>
                <w:rFonts w:ascii="Arial" w:cs="Arial" w:eastAsia="Arial" w:hAnsi="Arial"/>
                <w:sz w:val="18"/>
                <w:szCs w:val="18"/>
                <w:b w:val="1"/>
                <w:bCs w:val="1"/>
                <w:color w:val="auto"/>
              </w:rPr>
              <w:t>POC</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rPr>
              <w:t>POT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8"/>
              </w:rPr>
              <w:t>Revenue</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7"/>
              </w:rPr>
              <w:t>Revenue</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Borders>
              <w:bottom w:val="single" w:sz="8" w:color="auto"/>
            </w:tcBorders>
            <w:gridSpan w:val="4"/>
          </w:tcPr>
          <w:p>
            <w:pPr>
              <w:jc w:val="right"/>
              <w:ind w:right="190"/>
              <w:spacing w:after="0"/>
              <w:rPr>
                <w:sz w:val="20"/>
                <w:szCs w:val="20"/>
                <w:color w:val="auto"/>
              </w:rPr>
            </w:pPr>
            <w:r>
              <w:rPr>
                <w:rFonts w:ascii="Arial" w:cs="Arial" w:eastAsia="Arial" w:hAnsi="Arial"/>
                <w:sz w:val="18"/>
                <w:szCs w:val="18"/>
                <w:b w:val="1"/>
                <w:bCs w:val="1"/>
                <w:color w:val="auto"/>
              </w:rPr>
              <w:t>Revenue</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8"/>
                <w:szCs w:val="18"/>
                <w:b w:val="1"/>
                <w:bCs w:val="1"/>
                <w:color w:val="auto"/>
              </w:rPr>
              <w:t>Revenue</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center"/>
              <w:ind w:right="150"/>
              <w:spacing w:after="0"/>
              <w:rPr>
                <w:sz w:val="20"/>
                <w:szCs w:val="20"/>
                <w:color w:val="auto"/>
              </w:rPr>
            </w:pPr>
            <w:r>
              <w:rPr>
                <w:rFonts w:ascii="Arial" w:cs="Arial" w:eastAsia="Arial" w:hAnsi="Arial"/>
                <w:sz w:val="18"/>
                <w:szCs w:val="18"/>
                <w:b w:val="1"/>
                <w:bCs w:val="1"/>
                <w:color w:val="auto"/>
                <w:w w:val="87"/>
              </w:rPr>
              <w:t>Revenue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0"/>
              </w:rPr>
              <w:t>Revenue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540" w:type="dxa"/>
            <w:vAlign w:val="bottom"/>
            <w:tcBorders>
              <w:right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8"/>
              </w:rPr>
              <w:t>FEI-NY</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29,991</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w:t>
            </w: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31,399</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27,997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7"/>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2,409</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FEI-Zyfer</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6,416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925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7,341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7,569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2,264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9,833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Borders>
              <w:right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Intersegment</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(603)</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(604)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(1,617)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(1,627)</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12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54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Revenue</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36,406</w:t>
            </w:r>
          </w:p>
        </w:tc>
        <w:tc>
          <w:tcPr>
            <w:tcW w:w="1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1,730</w:t>
            </w:r>
          </w:p>
        </w:tc>
        <w:tc>
          <w:tcPr>
            <w:tcW w:w="140" w:type="dxa"/>
            <w:vAlign w:val="bottom"/>
          </w:tcPr>
          <w:p>
            <w:pPr>
              <w:spacing w:after="0"/>
              <w:rPr>
                <w:sz w:val="18"/>
                <w:szCs w:val="18"/>
                <w:color w:val="auto"/>
              </w:rPr>
            </w:pPr>
          </w:p>
        </w:tc>
        <w:tc>
          <w:tcPr>
            <w:tcW w:w="5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38,136</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35,556</w:t>
            </w:r>
          </w:p>
        </w:tc>
        <w:tc>
          <w:tcPr>
            <w:tcW w:w="220" w:type="dxa"/>
            <w:vAlign w:val="bottom"/>
          </w:tcPr>
          <w:p>
            <w:pPr>
              <w:spacing w:after="0"/>
              <w:rPr>
                <w:sz w:val="18"/>
                <w:szCs w:val="18"/>
                <w:color w:val="auto"/>
              </w:rPr>
            </w:pPr>
          </w:p>
        </w:tc>
        <w:tc>
          <w:tcPr>
            <w:tcW w:w="220" w:type="dxa"/>
            <w:vAlign w:val="bottom"/>
          </w:tcPr>
          <w:p>
            <w:pPr>
              <w:jc w:val="right"/>
              <w:ind w:right="57"/>
              <w:spacing w:after="0"/>
              <w:rPr>
                <w:sz w:val="20"/>
                <w:szCs w:val="20"/>
                <w:color w:val="auto"/>
              </w:rPr>
            </w:pPr>
            <w:r>
              <w:rPr>
                <w:rFonts w:ascii="Arial" w:cs="Arial" w:eastAsia="Arial" w:hAnsi="Arial"/>
                <w:sz w:val="15"/>
                <w:szCs w:val="15"/>
                <w:color w:val="auto"/>
                <w:w w:val="71"/>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3,056</w:t>
            </w:r>
          </w:p>
        </w:tc>
        <w:tc>
          <w:tcPr>
            <w:tcW w:w="10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38,612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6"/>
          </w:tcPr>
          <w:p>
            <w:pPr>
              <w:jc w:val="right"/>
              <w:ind w:right="180"/>
              <w:spacing w:after="0"/>
              <w:rPr>
                <w:sz w:val="20"/>
                <w:szCs w:val="20"/>
                <w:color w:val="auto"/>
              </w:rPr>
            </w:pPr>
            <w:r>
              <w:rPr>
                <w:rFonts w:ascii="Arial" w:cs="Arial" w:eastAsia="Arial" w:hAnsi="Arial"/>
                <w:sz w:val="18"/>
                <w:szCs w:val="18"/>
                <w:b w:val="1"/>
                <w:bCs w:val="1"/>
                <w:color w:val="auto"/>
                <w:w w:val="90"/>
              </w:rPr>
              <w:t>Periods ended January 31,</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60" w:type="dxa"/>
            <w:vAlign w:val="bottom"/>
            <w:gridSpan w:val="6"/>
          </w:tcPr>
          <w:p>
            <w:pPr>
              <w:jc w:val="right"/>
              <w:ind w:right="680"/>
              <w:spacing w:after="0" w:line="191" w:lineRule="exact"/>
              <w:rPr>
                <w:sz w:val="20"/>
                <w:szCs w:val="20"/>
                <w:color w:val="auto"/>
              </w:rPr>
            </w:pPr>
            <w:r>
              <w:rPr>
                <w:rFonts w:ascii="Arial" w:cs="Arial" w:eastAsia="Arial" w:hAnsi="Arial"/>
                <w:sz w:val="18"/>
                <w:szCs w:val="18"/>
                <w:color w:val="auto"/>
              </w:rPr>
              <w:t>(in thousands)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20" w:type="dxa"/>
            <w:vAlign w:val="bottom"/>
            <w:gridSpan w:val="7"/>
          </w:tcPr>
          <w:p>
            <w:pPr>
              <w:jc w:val="right"/>
              <w:ind w:right="680"/>
              <w:spacing w:after="0"/>
              <w:rPr>
                <w:sz w:val="20"/>
                <w:szCs w:val="20"/>
                <w:color w:val="auto"/>
              </w:rPr>
            </w:pPr>
            <w:r>
              <w:rPr>
                <w:rFonts w:ascii="Arial" w:cs="Arial" w:eastAsia="Arial" w:hAnsi="Arial"/>
                <w:sz w:val="18"/>
                <w:szCs w:val="18"/>
                <w:b w:val="1"/>
                <w:bCs w:val="1"/>
                <w:color w:val="auto"/>
              </w:rPr>
              <w:t>Three months</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60" w:type="dxa"/>
            <w:vAlign w:val="bottom"/>
            <w:gridSpan w:val="7"/>
          </w:tcPr>
          <w:p>
            <w:pPr>
              <w:jc w:val="right"/>
              <w:ind w:right="820"/>
              <w:spacing w:after="0"/>
              <w:rPr>
                <w:sz w:val="20"/>
                <w:szCs w:val="20"/>
                <w:color w:val="auto"/>
              </w:rPr>
            </w:pPr>
            <w:r>
              <w:rPr>
                <w:rFonts w:ascii="Arial" w:cs="Arial" w:eastAsia="Arial" w:hAnsi="Arial"/>
                <w:sz w:val="18"/>
                <w:szCs w:val="18"/>
                <w:b w:val="1"/>
                <w:bCs w:val="1"/>
                <w:color w:val="auto"/>
              </w:rPr>
              <w:t>Nine months</w:t>
            </w:r>
          </w:p>
        </w:tc>
        <w:tc>
          <w:tcPr>
            <w:tcW w:w="0" w:type="dxa"/>
            <w:vAlign w:val="bottom"/>
          </w:tcPr>
          <w:p>
            <w:pPr>
              <w:spacing w:after="0"/>
              <w:rPr>
                <w:sz w:val="1"/>
                <w:szCs w:val="1"/>
                <w:color w:val="auto"/>
              </w:rPr>
            </w:pPr>
          </w:p>
        </w:tc>
      </w:tr>
      <w:tr>
        <w:trPr>
          <w:trHeight w:val="210"/>
        </w:trPr>
        <w:tc>
          <w:tcPr>
            <w:tcW w:w="2540" w:type="dxa"/>
            <w:vAlign w:val="bottom"/>
            <w:gridSpan w:val="2"/>
            <w:vMerge w:val="restart"/>
          </w:tcPr>
          <w:p>
            <w:pPr>
              <w:spacing w:after="0"/>
              <w:rPr>
                <w:sz w:val="20"/>
                <w:szCs w:val="20"/>
                <w:color w:val="auto"/>
              </w:rPr>
            </w:pPr>
            <w:r>
              <w:rPr>
                <w:rFonts w:ascii="Arial" w:cs="Arial" w:eastAsia="Arial" w:hAnsi="Arial"/>
                <w:sz w:val="18"/>
                <w:szCs w:val="18"/>
                <w:color w:val="auto"/>
              </w:rPr>
              <w:t>Revenues by Product Line:</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Satellite Revenue</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7,525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5,822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20,868</w:t>
            </w:r>
          </w:p>
        </w:tc>
        <w:tc>
          <w:tcPr>
            <w:tcW w:w="3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2"/>
          </w:tcPr>
          <w:p>
            <w:pPr>
              <w:spacing w:after="0"/>
              <w:rPr>
                <w:sz w:val="20"/>
                <w:szCs w:val="20"/>
                <w:color w:val="auto"/>
              </w:rPr>
            </w:pPr>
            <w:r>
              <w:rPr>
                <w:rFonts w:ascii="Arial" w:cs="Arial" w:eastAsia="Arial" w:hAnsi="Arial"/>
                <w:sz w:val="18"/>
                <w:szCs w:val="18"/>
                <w:color w:val="auto"/>
                <w:w w:val="92"/>
              </w:rPr>
              <w:t>Government Non-Space Revenue</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4,315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5,469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14,905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16,324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Other Commercial &amp; Industrial Revenue</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405</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2,363</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40" w:type="dxa"/>
            <w:vAlign w:val="bottom"/>
            <w:gridSpan w:val="2"/>
          </w:tcPr>
          <w:p>
            <w:pPr>
              <w:spacing w:after="0"/>
              <w:rPr>
                <w:sz w:val="20"/>
                <w:szCs w:val="20"/>
                <w:color w:val="auto"/>
              </w:rPr>
            </w:pPr>
            <w:r>
              <w:rPr>
                <w:rFonts w:ascii="Arial" w:cs="Arial" w:eastAsia="Arial" w:hAnsi="Arial"/>
                <w:sz w:val="18"/>
                <w:szCs w:val="18"/>
                <w:color w:val="auto"/>
              </w:rPr>
              <w:t>Consolidated revenues</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12,245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11,672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38,136</w:t>
            </w:r>
          </w:p>
        </w:tc>
        <w:tc>
          <w:tcPr>
            <w:tcW w:w="3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38,612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H – INVESTMENT IN MORION, INC.</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has an investment in Morion, Inc. (“Morion”), a privately held Russian company, which manufactures high precision quartz resonators and crystal oscillators. The Company has also licensed certain technology to Morion.</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Company’s investment consists of 4.6% of Morion’s outstanding shares, accordingly, the Company accounts for its investment in Morion on the cost basis. This investment of approximately $800,000 is included in other assets in the accompanying consolidated balance sheets. During the three and nine months ended January 31, 2022, the Company acquired product from Morion in the aggregate amount of approximately $95,000 and $215,000, respectively. During the three and nine months ended January 31, 2021, the Company acquired product from Morion in the aggregate amount of approximately $199,000 and $467,000, respectively. During the nine months ended January 31, 2022 and 2021, the Company received dividends from Morion in the amount of approximately $123,000 and $105,000, respectively, which is included in other income, net in the consolidated statements of operations as part of the FEI-NY segment.</w:t>
      </w:r>
    </w:p>
    <w:p>
      <w:pPr>
        <w:spacing w:after="0" w:line="17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Morion is a less than wholly owned subsidiary of Gazprombank, a state-owned Russian bank. The U.S. Ukraine-related sanctions regime has since 2014 included a list of sectoral sanctions identifications (“SSI”) pursuant to Executive Order 13662, which prohibits certain transactions, including certain extensions of credit, with an entity designated as an SSI or certain affiliates of an entity designated as an SSI. On July 16, 2014, after the Company’s investment in Morion, Gazprombank was designated as an SSI. As of February 24, 2022, Gazprombank is also subject to Directive 3 under Executive Order 14024, which contains similar restrictions on new extensions of credit.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08" w:right="47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I – FAIR VALUE OF FINANCIAL INSTRUMENTS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cost, gross unrealized gains, gross unrealized losses, and fair market value of available-for-sale securities at January 31, 2022 and April 30, 2021, respectively, were as follows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3"/>
          </w:tcPr>
          <w:p>
            <w:pPr>
              <w:jc w:val="right"/>
              <w:ind w:right="390"/>
              <w:spacing w:after="0"/>
              <w:rPr>
                <w:sz w:val="20"/>
                <w:szCs w:val="20"/>
                <w:color w:val="auto"/>
              </w:rPr>
            </w:pPr>
            <w:r>
              <w:rPr>
                <w:rFonts w:ascii="Arial" w:cs="Arial" w:eastAsia="Arial" w:hAnsi="Arial"/>
                <w:sz w:val="18"/>
                <w:szCs w:val="18"/>
                <w:b w:val="1"/>
                <w:bCs w:val="1"/>
                <w:color w:val="auto"/>
              </w:rPr>
              <w:t>January 31, 2022</w:t>
            </w:r>
          </w:p>
        </w:tc>
        <w:tc>
          <w:tcPr>
            <w:tcW w:w="4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3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89"/>
              </w:rPr>
              <w:t>Gross Unrealized</w:t>
            </w:r>
          </w:p>
        </w:tc>
        <w:tc>
          <w:tcPr>
            <w:tcW w:w="220" w:type="dxa"/>
            <w:vAlign w:val="bottom"/>
          </w:tcPr>
          <w:p>
            <w:pPr>
              <w:spacing w:after="0"/>
              <w:rPr>
                <w:sz w:val="16"/>
                <w:szCs w:val="16"/>
                <w:color w:val="auto"/>
              </w:rPr>
            </w:pPr>
          </w:p>
        </w:tc>
        <w:tc>
          <w:tcPr>
            <w:tcW w:w="1560" w:type="dxa"/>
            <w:vAlign w:val="bottom"/>
            <w:gridSpan w:val="3"/>
          </w:tcPr>
          <w:p>
            <w:pPr>
              <w:jc w:val="center"/>
              <w:ind w:right="140"/>
              <w:spacing w:after="0" w:line="191" w:lineRule="exact"/>
              <w:rPr>
                <w:sz w:val="20"/>
                <w:szCs w:val="20"/>
                <w:color w:val="auto"/>
              </w:rPr>
            </w:pPr>
            <w:r>
              <w:rPr>
                <w:rFonts w:ascii="Arial" w:cs="Arial" w:eastAsia="Arial" w:hAnsi="Arial"/>
                <w:sz w:val="18"/>
                <w:szCs w:val="18"/>
                <w:b w:val="1"/>
                <w:bCs w:val="1"/>
                <w:color w:val="auto"/>
                <w:w w:val="90"/>
              </w:rPr>
              <w:t>Gross Unrealized</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center"/>
              <w:ind w:right="90"/>
              <w:spacing w:after="0" w:line="191" w:lineRule="exact"/>
              <w:rPr>
                <w:sz w:val="20"/>
                <w:szCs w:val="20"/>
                <w:color w:val="auto"/>
              </w:rPr>
            </w:pPr>
            <w:r>
              <w:rPr>
                <w:rFonts w:ascii="Arial" w:cs="Arial" w:eastAsia="Arial" w:hAnsi="Arial"/>
                <w:sz w:val="18"/>
                <w:szCs w:val="18"/>
                <w:b w:val="1"/>
                <w:bCs w:val="1"/>
                <w:color w:val="auto"/>
                <w:w w:val="99"/>
              </w:rPr>
              <w:t>Fair Market</w:t>
            </w:r>
          </w:p>
        </w:tc>
        <w:tc>
          <w:tcPr>
            <w:tcW w:w="100" w:type="dxa"/>
            <w:vAlign w:val="bottom"/>
          </w:tcPr>
          <w:p>
            <w:pPr>
              <w:spacing w:after="0"/>
              <w:rPr>
                <w:sz w:val="16"/>
                <w:szCs w:val="16"/>
                <w:color w:val="auto"/>
              </w:rPr>
            </w:pPr>
          </w:p>
        </w:tc>
      </w:tr>
      <w:tr>
        <w:trPr>
          <w:trHeight w:val="234"/>
        </w:trPr>
        <w:tc>
          <w:tcPr>
            <w:tcW w:w="3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Cost</w:t>
            </w:r>
          </w:p>
        </w:tc>
        <w:tc>
          <w:tcPr>
            <w:tcW w:w="5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87"/>
              </w:rPr>
              <w:t>Gains</w:t>
            </w:r>
          </w:p>
        </w:tc>
        <w:tc>
          <w:tcPr>
            <w:tcW w:w="220" w:type="dxa"/>
            <w:vAlign w:val="bottom"/>
          </w:tcPr>
          <w:p>
            <w:pPr>
              <w:spacing w:after="0"/>
              <w:rPr>
                <w:sz w:val="20"/>
                <w:szCs w:val="20"/>
                <w:color w:val="auto"/>
              </w:rPr>
            </w:pPr>
          </w:p>
        </w:tc>
        <w:tc>
          <w:tcPr>
            <w:tcW w:w="1020" w:type="dxa"/>
            <w:vAlign w:val="bottom"/>
            <w:tcBorders>
              <w:bottom w:val="single" w:sz="8" w:color="auto"/>
            </w:tcBorders>
          </w:tcPr>
          <w:p>
            <w:pPr>
              <w:jc w:val="center"/>
              <w:ind w:left="310"/>
              <w:spacing w:after="0"/>
              <w:rPr>
                <w:sz w:val="20"/>
                <w:szCs w:val="20"/>
                <w:color w:val="auto"/>
              </w:rPr>
            </w:pPr>
            <w:r>
              <w:rPr>
                <w:rFonts w:ascii="Arial" w:cs="Arial" w:eastAsia="Arial" w:hAnsi="Arial"/>
                <w:sz w:val="18"/>
                <w:szCs w:val="18"/>
                <w:b w:val="1"/>
                <w:bCs w:val="1"/>
                <w:color w:val="auto"/>
                <w:w w:val="80"/>
              </w:rPr>
              <w:t>Losses</w:t>
            </w:r>
          </w:p>
        </w:tc>
        <w:tc>
          <w:tcPr>
            <w:tcW w:w="4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r>
      <w:tr>
        <w:trPr>
          <w:trHeight w:val="230"/>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2340" w:type="dxa"/>
            <w:vAlign w:val="bottom"/>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10,102</w:t>
            </w:r>
          </w:p>
        </w:tc>
        <w:tc>
          <w:tcPr>
            <w:tcW w:w="5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24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(191)</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10,107</w:t>
            </w:r>
          </w:p>
        </w:tc>
        <w:tc>
          <w:tcPr>
            <w:tcW w:w="100" w:type="dxa"/>
            <w:vAlign w:val="bottom"/>
            <w:shd w:val="clear" w:color="auto" w:fill="CCEEFF"/>
          </w:tcPr>
          <w:p>
            <w:pPr>
              <w:spacing w:after="0"/>
              <w:rPr>
                <w:sz w:val="19"/>
                <w:szCs w:val="19"/>
                <w:color w:val="auto"/>
              </w:rPr>
            </w:pPr>
          </w:p>
        </w:tc>
      </w:tr>
      <w:tr>
        <w:trPr>
          <w:trHeight w:val="20"/>
        </w:trPr>
        <w:tc>
          <w:tcPr>
            <w:tcW w:w="310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13"/>
        </w:trPr>
        <w:tc>
          <w:tcPr>
            <w:tcW w:w="3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3"/>
          </w:tcPr>
          <w:p>
            <w:pPr>
              <w:jc w:val="right"/>
              <w:ind w:right="510"/>
              <w:spacing w:after="0"/>
              <w:rPr>
                <w:sz w:val="20"/>
                <w:szCs w:val="20"/>
                <w:color w:val="auto"/>
              </w:rPr>
            </w:pPr>
            <w:r>
              <w:rPr>
                <w:rFonts w:ascii="Arial" w:cs="Arial" w:eastAsia="Arial" w:hAnsi="Arial"/>
                <w:sz w:val="18"/>
                <w:szCs w:val="18"/>
                <w:b w:val="1"/>
                <w:bCs w:val="1"/>
                <w:color w:val="auto"/>
              </w:rPr>
              <w:t>April 30, 2021</w:t>
            </w:r>
          </w:p>
        </w:tc>
        <w:tc>
          <w:tcPr>
            <w:tcW w:w="4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3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89"/>
              </w:rPr>
              <w:t>Gross Unrealized</w:t>
            </w:r>
          </w:p>
        </w:tc>
        <w:tc>
          <w:tcPr>
            <w:tcW w:w="220" w:type="dxa"/>
            <w:vAlign w:val="bottom"/>
          </w:tcPr>
          <w:p>
            <w:pPr>
              <w:spacing w:after="0"/>
              <w:rPr>
                <w:sz w:val="16"/>
                <w:szCs w:val="16"/>
                <w:color w:val="auto"/>
              </w:rPr>
            </w:pPr>
          </w:p>
        </w:tc>
        <w:tc>
          <w:tcPr>
            <w:tcW w:w="1560" w:type="dxa"/>
            <w:vAlign w:val="bottom"/>
            <w:gridSpan w:val="3"/>
          </w:tcPr>
          <w:p>
            <w:pPr>
              <w:jc w:val="center"/>
              <w:ind w:right="140"/>
              <w:spacing w:after="0" w:line="191" w:lineRule="exact"/>
              <w:rPr>
                <w:sz w:val="20"/>
                <w:szCs w:val="20"/>
                <w:color w:val="auto"/>
              </w:rPr>
            </w:pPr>
            <w:r>
              <w:rPr>
                <w:rFonts w:ascii="Arial" w:cs="Arial" w:eastAsia="Arial" w:hAnsi="Arial"/>
                <w:sz w:val="18"/>
                <w:szCs w:val="18"/>
                <w:b w:val="1"/>
                <w:bCs w:val="1"/>
                <w:color w:val="auto"/>
                <w:w w:val="90"/>
              </w:rPr>
              <w:t>Gross Unrealized</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center"/>
              <w:ind w:right="90"/>
              <w:spacing w:after="0" w:line="191" w:lineRule="exact"/>
              <w:rPr>
                <w:sz w:val="20"/>
                <w:szCs w:val="20"/>
                <w:color w:val="auto"/>
              </w:rPr>
            </w:pPr>
            <w:r>
              <w:rPr>
                <w:rFonts w:ascii="Arial" w:cs="Arial" w:eastAsia="Arial" w:hAnsi="Arial"/>
                <w:sz w:val="18"/>
                <w:szCs w:val="18"/>
                <w:b w:val="1"/>
                <w:bCs w:val="1"/>
                <w:color w:val="auto"/>
                <w:w w:val="99"/>
              </w:rPr>
              <w:t>Fair Market</w:t>
            </w:r>
          </w:p>
        </w:tc>
        <w:tc>
          <w:tcPr>
            <w:tcW w:w="100" w:type="dxa"/>
            <w:vAlign w:val="bottom"/>
          </w:tcPr>
          <w:p>
            <w:pPr>
              <w:spacing w:after="0"/>
              <w:rPr>
                <w:sz w:val="16"/>
                <w:szCs w:val="16"/>
                <w:color w:val="auto"/>
              </w:rPr>
            </w:pPr>
          </w:p>
        </w:tc>
      </w:tr>
      <w:tr>
        <w:trPr>
          <w:trHeight w:val="234"/>
        </w:trPr>
        <w:tc>
          <w:tcPr>
            <w:tcW w:w="3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Cost</w:t>
            </w:r>
          </w:p>
        </w:tc>
        <w:tc>
          <w:tcPr>
            <w:tcW w:w="5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87"/>
              </w:rPr>
              <w:t>Gains</w:t>
            </w:r>
          </w:p>
        </w:tc>
        <w:tc>
          <w:tcPr>
            <w:tcW w:w="220" w:type="dxa"/>
            <w:vAlign w:val="bottom"/>
          </w:tcPr>
          <w:p>
            <w:pPr>
              <w:spacing w:after="0"/>
              <w:rPr>
                <w:sz w:val="20"/>
                <w:szCs w:val="20"/>
                <w:color w:val="auto"/>
              </w:rPr>
            </w:pPr>
          </w:p>
        </w:tc>
        <w:tc>
          <w:tcPr>
            <w:tcW w:w="1020" w:type="dxa"/>
            <w:vAlign w:val="bottom"/>
            <w:tcBorders>
              <w:bottom w:val="single" w:sz="8" w:color="auto"/>
            </w:tcBorders>
          </w:tcPr>
          <w:p>
            <w:pPr>
              <w:jc w:val="center"/>
              <w:ind w:left="310"/>
              <w:spacing w:after="0"/>
              <w:rPr>
                <w:sz w:val="20"/>
                <w:szCs w:val="20"/>
                <w:color w:val="auto"/>
              </w:rPr>
            </w:pPr>
            <w:r>
              <w:rPr>
                <w:rFonts w:ascii="Arial" w:cs="Arial" w:eastAsia="Arial" w:hAnsi="Arial"/>
                <w:sz w:val="18"/>
                <w:szCs w:val="18"/>
                <w:b w:val="1"/>
                <w:bCs w:val="1"/>
                <w:color w:val="auto"/>
                <w:w w:val="80"/>
              </w:rPr>
              <w:t>Losses</w:t>
            </w:r>
          </w:p>
        </w:tc>
        <w:tc>
          <w:tcPr>
            <w:tcW w:w="4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r>
      <w:tr>
        <w:trPr>
          <w:trHeight w:val="229"/>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2340" w:type="dxa"/>
            <w:vAlign w:val="bottom"/>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10,022</w:t>
            </w:r>
          </w:p>
        </w:tc>
        <w:tc>
          <w:tcPr>
            <w:tcW w:w="5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24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10,313</w:t>
            </w:r>
          </w:p>
        </w:tc>
        <w:tc>
          <w:tcPr>
            <w:tcW w:w="100" w:type="dxa"/>
            <w:vAlign w:val="bottom"/>
            <w:shd w:val="clear" w:color="auto" w:fill="CCEEFF"/>
          </w:tcPr>
          <w:p>
            <w:pPr>
              <w:spacing w:after="0"/>
              <w:rPr>
                <w:sz w:val="19"/>
                <w:szCs w:val="19"/>
                <w:color w:val="auto"/>
              </w:rPr>
            </w:pPr>
          </w:p>
        </w:tc>
      </w:tr>
      <w:tr>
        <w:trPr>
          <w:trHeight w:val="20"/>
        </w:trPr>
        <w:tc>
          <w:tcPr>
            <w:tcW w:w="310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the fair value and unrealized losses, aggregated by investment type and length of time that individual securities have been in a continuous unrealized loss position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4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w w:val="98"/>
              </w:rPr>
              <w:t>Less than 12 months</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4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12 Months or more</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Total</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290"/>
              <w:spacing w:after="0" w:line="191" w:lineRule="exact"/>
              <w:rPr>
                <w:sz w:val="20"/>
                <w:szCs w:val="20"/>
                <w:color w:val="auto"/>
              </w:rPr>
            </w:pPr>
            <w:r>
              <w:rPr>
                <w:rFonts w:ascii="Arial" w:cs="Arial" w:eastAsia="Arial" w:hAnsi="Arial"/>
                <w:sz w:val="18"/>
                <w:szCs w:val="18"/>
                <w:b w:val="1"/>
                <w:bCs w:val="1"/>
                <w:color w:val="auto"/>
              </w:rPr>
              <w:t>Fair</w:t>
            </w: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70"/>
              <w:spacing w:after="0" w:line="191" w:lineRule="exact"/>
              <w:rPr>
                <w:sz w:val="20"/>
                <w:szCs w:val="20"/>
                <w:color w:val="auto"/>
              </w:rPr>
            </w:pPr>
            <w:r>
              <w:rPr>
                <w:rFonts w:ascii="Arial" w:cs="Arial" w:eastAsia="Arial" w:hAnsi="Arial"/>
                <w:sz w:val="18"/>
                <w:szCs w:val="18"/>
                <w:b w:val="1"/>
                <w:bCs w:val="1"/>
                <w:color w:val="auto"/>
                <w:w w:val="90"/>
              </w:rPr>
              <w:t>Unrealized</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290"/>
              <w:spacing w:after="0" w:line="191" w:lineRule="exact"/>
              <w:rPr>
                <w:sz w:val="20"/>
                <w:szCs w:val="20"/>
                <w:color w:val="auto"/>
              </w:rPr>
            </w:pPr>
            <w:r>
              <w:rPr>
                <w:rFonts w:ascii="Arial" w:cs="Arial" w:eastAsia="Arial" w:hAnsi="Arial"/>
                <w:sz w:val="18"/>
                <w:szCs w:val="18"/>
                <w:b w:val="1"/>
                <w:bCs w:val="1"/>
                <w:color w:val="auto"/>
              </w:rPr>
              <w:t>Fair</w:t>
            </w: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70"/>
              <w:spacing w:after="0" w:line="191" w:lineRule="exact"/>
              <w:rPr>
                <w:sz w:val="20"/>
                <w:szCs w:val="20"/>
                <w:color w:val="auto"/>
              </w:rPr>
            </w:pPr>
            <w:r>
              <w:rPr>
                <w:rFonts w:ascii="Arial" w:cs="Arial" w:eastAsia="Arial" w:hAnsi="Arial"/>
                <w:sz w:val="18"/>
                <w:szCs w:val="18"/>
                <w:b w:val="1"/>
                <w:bCs w:val="1"/>
                <w:color w:val="auto"/>
                <w:w w:val="90"/>
              </w:rPr>
              <w:t>Unrealized</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290"/>
              <w:spacing w:after="0" w:line="191" w:lineRule="exact"/>
              <w:rPr>
                <w:sz w:val="20"/>
                <w:szCs w:val="20"/>
                <w:color w:val="auto"/>
              </w:rPr>
            </w:pPr>
            <w:r>
              <w:rPr>
                <w:rFonts w:ascii="Arial" w:cs="Arial" w:eastAsia="Arial" w:hAnsi="Arial"/>
                <w:sz w:val="18"/>
                <w:szCs w:val="18"/>
                <w:b w:val="1"/>
                <w:bCs w:val="1"/>
                <w:color w:val="auto"/>
              </w:rPr>
              <w:t>Fair</w:t>
            </w: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70"/>
              <w:spacing w:after="0" w:line="191" w:lineRule="exact"/>
              <w:rPr>
                <w:sz w:val="20"/>
                <w:szCs w:val="20"/>
                <w:color w:val="auto"/>
              </w:rPr>
            </w:pPr>
            <w:r>
              <w:rPr>
                <w:rFonts w:ascii="Arial" w:cs="Arial" w:eastAsia="Arial" w:hAnsi="Arial"/>
                <w:sz w:val="18"/>
                <w:szCs w:val="18"/>
                <w:b w:val="1"/>
                <w:bCs w:val="1"/>
                <w:color w:val="auto"/>
                <w:w w:val="90"/>
              </w:rPr>
              <w:t>Unrealized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080" w:type="dxa"/>
            <w:vAlign w:val="bottom"/>
            <w:vMerge w:val="restart"/>
          </w:tcPr>
          <w:p>
            <w:pPr>
              <w:jc w:val="center"/>
              <w:spacing w:after="0"/>
              <w:rPr>
                <w:sz w:val="20"/>
                <w:szCs w:val="20"/>
                <w:color w:val="auto"/>
              </w:rPr>
            </w:pPr>
            <w:r>
              <w:rPr>
                <w:rFonts w:ascii="Arial" w:cs="Arial" w:eastAsia="Arial" w:hAnsi="Arial"/>
                <w:sz w:val="18"/>
                <w:szCs w:val="18"/>
                <w:color w:val="auto"/>
                <w:w w:val="89"/>
              </w:rPr>
              <w:t>January 31, 2022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250"/>
              <w:spacing w:after="0"/>
              <w:rPr>
                <w:sz w:val="20"/>
                <w:szCs w:val="20"/>
                <w:color w:val="auto"/>
              </w:rPr>
            </w:pPr>
            <w:r>
              <w:rPr>
                <w:rFonts w:ascii="Arial" w:cs="Arial" w:eastAsia="Arial" w:hAnsi="Arial"/>
                <w:sz w:val="18"/>
                <w:szCs w:val="18"/>
                <w:b w:val="1"/>
                <w:bCs w:val="1"/>
                <w:color w:val="auto"/>
              </w:rPr>
              <w:t>Value</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Losses</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ind w:right="230"/>
              <w:spacing w:after="0"/>
              <w:rPr>
                <w:sz w:val="20"/>
                <w:szCs w:val="20"/>
                <w:color w:val="auto"/>
              </w:rPr>
            </w:pPr>
            <w:r>
              <w:rPr>
                <w:rFonts w:ascii="Arial" w:cs="Arial" w:eastAsia="Arial" w:hAnsi="Arial"/>
                <w:sz w:val="18"/>
                <w:szCs w:val="18"/>
                <w:b w:val="1"/>
                <w:bCs w:val="1"/>
                <w:color w:val="auto"/>
              </w:rPr>
              <w:t>Value</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Losses</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ind w:right="230"/>
              <w:spacing w:after="0"/>
              <w:rPr>
                <w:sz w:val="20"/>
                <w:szCs w:val="20"/>
                <w:color w:val="auto"/>
              </w:rPr>
            </w:pPr>
            <w:r>
              <w:rPr>
                <w:rFonts w:ascii="Arial" w:cs="Arial" w:eastAsia="Arial" w:hAnsi="Arial"/>
                <w:sz w:val="18"/>
                <w:szCs w:val="18"/>
                <w:b w:val="1"/>
                <w:bCs w:val="1"/>
                <w:color w:val="auto"/>
              </w:rPr>
              <w:t>Value</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Losses</w:t>
            </w:r>
          </w:p>
        </w:tc>
        <w:tc>
          <w:tcPr>
            <w:tcW w:w="0" w:type="dxa"/>
            <w:vAlign w:val="bottom"/>
          </w:tcPr>
          <w:p>
            <w:pPr>
              <w:spacing w:after="0"/>
              <w:rPr>
                <w:sz w:val="1"/>
                <w:szCs w:val="1"/>
                <w:color w:val="auto"/>
              </w:rPr>
            </w:pPr>
          </w:p>
        </w:tc>
      </w:tr>
      <w:tr>
        <w:trPr>
          <w:trHeight w:val="209"/>
        </w:trPr>
        <w:tc>
          <w:tcPr>
            <w:tcW w:w="30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2,222</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(141)</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4,341</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413"/>
        </w:trPr>
        <w:tc>
          <w:tcPr>
            <w:tcW w:w="3080" w:type="dxa"/>
            <w:vAlign w:val="bottom"/>
            <w:tcBorders>
              <w:top w:val="single" w:sz="8" w:color="CCEEFF"/>
              <w:bottom w:val="single" w:sz="8" w:color="auto"/>
            </w:tcBorders>
          </w:tcPr>
          <w:p>
            <w:pPr>
              <w:jc w:val="center"/>
              <w:spacing w:after="0"/>
              <w:rPr>
                <w:sz w:val="20"/>
                <w:szCs w:val="20"/>
                <w:color w:val="auto"/>
              </w:rPr>
            </w:pPr>
            <w:r>
              <w:rPr>
                <w:rFonts w:ascii="Arial" w:cs="Arial" w:eastAsia="Arial" w:hAnsi="Arial"/>
                <w:sz w:val="18"/>
                <w:szCs w:val="18"/>
                <w:color w:val="auto"/>
                <w:w w:val="95"/>
              </w:rPr>
              <w:t>April 30, 2021</w:t>
            </w:r>
          </w:p>
        </w:tc>
        <w:tc>
          <w:tcPr>
            <w:tcW w:w="120" w:type="dxa"/>
            <w:vAlign w:val="bottom"/>
            <w:tcBorders>
              <w:top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2,407</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regularly reviews its investment portfolio to identify and evaluate investments that have indications of possible impairment. The Company does not believe that its investments in marketable securities with unrealized losses at January 31, 2022 were other-than-temporary due to market volatility of the security’s fair value, analysts’ expectations and the Company’s ability to hold the securities for a period of time sufficient to allow for any anticipated recoveries in market value.</w:t>
      </w:r>
    </w:p>
    <w:p>
      <w:pPr>
        <w:spacing w:after="0" w:line="18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During the three and nine months ended January 31, 2022, the Company sold or redeemed available-for-sale securities of approximately $312,000 and $1.7 million, respectively, realizing gains of approximately $5,000 for the nine months ended January 31, 2022.</w:t>
      </w:r>
    </w:p>
    <w:p>
      <w:pPr>
        <w:spacing w:after="0" w:line="14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Maturities of fixed income securities classified as available-for-sale at January 31, 2022 were as follows, at cost (in thousands):</w:t>
      </w:r>
    </w:p>
    <w:p>
      <w:pPr>
        <w:spacing w:after="0" w:line="239" w:lineRule="exact"/>
        <w:rPr>
          <w:sz w:val="20"/>
          <w:szCs w:val="20"/>
          <w:color w:val="auto"/>
        </w:rPr>
      </w:pPr>
    </w:p>
    <w:tbl>
      <w:tblPr>
        <w:tblLayout w:type="fixed"/>
        <w:tblInd w:w="2740" w:type="dxa"/>
        <w:tblCellMar>
          <w:top w:w="0" w:type="dxa"/>
          <w:left w:w="0" w:type="dxa"/>
          <w:bottom w:w="0" w:type="dxa"/>
          <w:right w:w="0" w:type="dxa"/>
        </w:tblCellMar>
      </w:tblP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540" w:type="dxa"/>
            <w:vAlign w:val="bottom"/>
            <w:shd w:val="clear" w:color="auto" w:fill="CCEEFF"/>
          </w:tcPr>
          <w:p>
            <w:pPr>
              <w:jc w:val="right"/>
              <w:ind w:right="38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3,378</w:t>
            </w:r>
          </w:p>
        </w:tc>
        <w:tc>
          <w:tcPr>
            <w:tcW w:w="40" w:type="dxa"/>
            <w:vAlign w:val="bottom"/>
            <w:shd w:val="clear" w:color="auto" w:fill="CCEEFF"/>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Due after one year through five years</w:t>
            </w:r>
          </w:p>
        </w:tc>
        <w:tc>
          <w:tcPr>
            <w:tcW w:w="5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4,918</w:t>
            </w:r>
          </w:p>
        </w:tc>
        <w:tc>
          <w:tcPr>
            <w:tcW w:w="40" w:type="dxa"/>
            <w:vAlign w:val="bottom"/>
          </w:tcPr>
          <w:p>
            <w:pPr>
              <w:spacing w:after="0"/>
              <w:rPr>
                <w:sz w:val="18"/>
                <w:szCs w:val="18"/>
                <w:color w:val="auto"/>
              </w:rPr>
            </w:pPr>
          </w:p>
        </w:tc>
      </w:tr>
      <w:tr>
        <w:trPr>
          <w:trHeight w:val="216"/>
        </w:trPr>
        <w:tc>
          <w:tcPr>
            <w:tcW w:w="3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Due after five years</w:t>
            </w:r>
          </w:p>
        </w:tc>
        <w:tc>
          <w:tcPr>
            <w:tcW w:w="5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1,806</w:t>
            </w:r>
          </w:p>
        </w:tc>
        <w:tc>
          <w:tcPr>
            <w:tcW w:w="40" w:type="dxa"/>
            <w:vAlign w:val="bottom"/>
            <w:tcBorders>
              <w:bottom w:val="single" w:sz="8" w:color="CCEEFF"/>
            </w:tcBorders>
            <w:shd w:val="clear" w:color="auto" w:fill="CCEEFF"/>
          </w:tcPr>
          <w:p>
            <w:pPr>
              <w:spacing w:after="0"/>
              <w:rPr>
                <w:sz w:val="18"/>
                <w:szCs w:val="18"/>
                <w:color w:val="auto"/>
              </w:rPr>
            </w:pPr>
          </w:p>
        </w:tc>
      </w:tr>
      <w:tr>
        <w:trPr>
          <w:trHeight w:val="210"/>
        </w:trPr>
        <w:tc>
          <w:tcPr>
            <w:tcW w:w="3920" w:type="dxa"/>
            <w:vAlign w:val="bottom"/>
          </w:tcPr>
          <w:p>
            <w:pPr>
              <w:spacing w:after="0"/>
              <w:rPr>
                <w:sz w:val="18"/>
                <w:szCs w:val="18"/>
                <w:color w:val="auto"/>
              </w:rPr>
            </w:pPr>
          </w:p>
        </w:tc>
        <w:tc>
          <w:tcPr>
            <w:tcW w:w="540" w:type="dxa"/>
            <w:vAlign w:val="bottom"/>
            <w:tcBorders>
              <w:bottom w:val="single" w:sz="8" w:color="auto"/>
            </w:tcBorders>
          </w:tcPr>
          <w:p>
            <w:pPr>
              <w:jc w:val="right"/>
              <w:ind w:right="38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10,102</w:t>
            </w:r>
          </w:p>
        </w:tc>
        <w:tc>
          <w:tcPr>
            <w:tcW w:w="40" w:type="dxa"/>
            <w:vAlign w:val="bottom"/>
          </w:tcPr>
          <w:p>
            <w:pPr>
              <w:spacing w:after="0"/>
              <w:rPr>
                <w:sz w:val="18"/>
                <w:szCs w:val="18"/>
                <w:color w:val="auto"/>
              </w:rPr>
            </w:pPr>
          </w:p>
        </w:tc>
      </w:tr>
      <w:tr>
        <w:trPr>
          <w:trHeight w:val="20"/>
        </w:trPr>
        <w:tc>
          <w:tcPr>
            <w:tcW w:w="39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fair value accounting framework provides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5" w:right="47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levels of the fair value hierarchy are described below:</w:t>
      </w:r>
    </w:p>
    <w:p>
      <w:pPr>
        <w:spacing w:after="0" w:line="225" w:lineRule="exact"/>
        <w:rPr>
          <w:sz w:val="20"/>
          <w:szCs w:val="20"/>
          <w:color w:val="auto"/>
        </w:rPr>
      </w:pPr>
    </w:p>
    <w:p>
      <w:pPr>
        <w:ind w:left="1160" w:right="20" w:hanging="958"/>
        <w:spacing w:after="0" w:line="277" w:lineRule="auto"/>
        <w:tabs>
          <w:tab w:leader="none" w:pos="114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Inputs to the valuation methodology are unadjusted quoted prices for identical assets or liabilities in active markets that the Company has the ability to access.</w:t>
      </w:r>
    </w:p>
    <w:p>
      <w:pPr>
        <w:spacing w:after="0" w:line="170" w:lineRule="exact"/>
        <w:rPr>
          <w:sz w:val="20"/>
          <w:szCs w:val="20"/>
          <w:color w:val="auto"/>
        </w:rPr>
      </w:pPr>
    </w:p>
    <w:p>
      <w:pPr>
        <w:ind w:left="200"/>
        <w:spacing w:after="0"/>
        <w:tabs>
          <w:tab w:leader="none" w:pos="114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Inputs to the valuation methodology include:</w:t>
      </w:r>
    </w:p>
    <w:p>
      <w:pPr>
        <w:spacing w:after="0" w:line="2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-Quoted prices for similar assets or liabilities in active markets;</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-Quoted prices for identical or similar assets or liabilities in inactive markets;</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-Inputs other than quoted prices that are observable for the asset or liability; and</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-Inputs that are derived principally from or corroborated by observable market data by correlation or other means.</w:t>
      </w:r>
    </w:p>
    <w:p>
      <w:pPr>
        <w:spacing w:after="0" w:line="211" w:lineRule="exact"/>
        <w:rPr>
          <w:sz w:val="20"/>
          <w:szCs w:val="20"/>
          <w:color w:val="auto"/>
        </w:rPr>
      </w:pPr>
    </w:p>
    <w:p>
      <w:pPr>
        <w:ind w:left="200"/>
        <w:spacing w:after="0"/>
        <w:tabs>
          <w:tab w:leader="none" w:pos="114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Inputs to the valuation methodology are unobservable and significant to the fair value measurement.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asset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 The Company’s money market, business account, and U.S. securities are valued on a Level 1 basis. The Company’s fixed income corporate debt securities and certificates of deposit are valued on a Level 2 basis.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NOTE J – RECENT ACCOUNTING PRONOUNCEMENTS</w:t>
      </w:r>
    </w:p>
    <w:p>
      <w:pPr>
        <w:spacing w:after="0" w:line="225" w:lineRule="exact"/>
        <w:rPr>
          <w:sz w:val="20"/>
          <w:szCs w:val="20"/>
          <w:color w:val="auto"/>
        </w:rPr>
      </w:pPr>
    </w:p>
    <w:p>
      <w:pPr>
        <w:jc w:val="both"/>
        <w:ind w:right="20" w:firstLine="648"/>
        <w:spacing w:after="0" w:line="272" w:lineRule="auto"/>
        <w:rPr>
          <w:sz w:val="20"/>
          <w:szCs w:val="20"/>
          <w:color w:val="auto"/>
        </w:rPr>
      </w:pPr>
      <w:r>
        <w:rPr>
          <w:rFonts w:ascii="Arial" w:cs="Arial" w:eastAsia="Arial" w:hAnsi="Arial"/>
          <w:sz w:val="17"/>
          <w:szCs w:val="17"/>
          <w:color w:val="auto"/>
        </w:rPr>
        <w:t xml:space="preserve">In January 2017, the Financial Accounting Standards Board (“FASB”) issued ASU No. 2017-04, </w:t>
      </w:r>
      <w:r>
        <w:rPr>
          <w:rFonts w:ascii="Arial" w:cs="Arial" w:eastAsia="Arial" w:hAnsi="Arial"/>
          <w:sz w:val="17"/>
          <w:szCs w:val="17"/>
          <w:i w:val="1"/>
          <w:iCs w:val="1"/>
          <w:color w:val="auto"/>
        </w:rPr>
        <w:t>Intangibles</w:t>
      </w:r>
      <w:r>
        <w:rPr>
          <w:rFonts w:ascii="Arial" w:cs="Arial" w:eastAsia="Arial" w:hAnsi="Arial"/>
          <w:sz w:val="17"/>
          <w:szCs w:val="17"/>
          <w:color w:val="auto"/>
        </w:rPr>
        <w:t xml:space="preserve"> – </w:t>
      </w:r>
      <w:r>
        <w:rPr>
          <w:rFonts w:ascii="Arial" w:cs="Arial" w:eastAsia="Arial" w:hAnsi="Arial"/>
          <w:sz w:val="17"/>
          <w:szCs w:val="17"/>
          <w:i w:val="1"/>
          <w:iCs w:val="1"/>
          <w:color w:val="auto"/>
        </w:rPr>
        <w:t>Goodwill and Other (Topic</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350): Simplifying the Test for Goodwill Impairment </w:t>
      </w:r>
      <w:r>
        <w:rPr>
          <w:rFonts w:ascii="Arial" w:cs="Arial" w:eastAsia="Arial" w:hAnsi="Arial"/>
          <w:sz w:val="17"/>
          <w:szCs w:val="17"/>
          <w:color w:val="auto"/>
        </w:rPr>
        <w:t>(“ASU 2017-04”), which simplifies how an entity is required to test goodwill for impairment by</w:t>
      </w:r>
      <w:r>
        <w:rPr>
          <w:rFonts w:ascii="Arial" w:cs="Arial" w:eastAsia="Arial" w:hAnsi="Arial"/>
          <w:sz w:val="17"/>
          <w:szCs w:val="17"/>
          <w:i w:val="1"/>
          <w:iCs w:val="1"/>
          <w:color w:val="auto"/>
        </w:rPr>
        <w:t xml:space="preserve"> </w:t>
      </w:r>
      <w:r>
        <w:rPr>
          <w:rFonts w:ascii="Arial" w:cs="Arial" w:eastAsia="Arial" w:hAnsi="Arial"/>
          <w:sz w:val="17"/>
          <w:szCs w:val="17"/>
          <w:color w:val="auto"/>
        </w:rPr>
        <w:t>eliminating Step 2 from the goodwill impairment test. Under ASU 2017-04, goodwill impairment will be tested by comparing the fair value of a reporting unit with its carrying amount, and recognizing an impairment charge for the amount by which the carrying amount exceeds the reporting unit’s fair value. The new guidance must be applied on a prospective basis and is effective for periods beginning after December 15, 2022, with early adoption permitted. The Company will not be adopting ASU 2017-04 early, and is in the process of determining the effect that ASU 2017-04 may have. However, the Company expects the new standard to have an immaterial effect on its consolidated financial statements.</w:t>
      </w:r>
    </w:p>
    <w:p>
      <w:pPr>
        <w:spacing w:after="0" w:line="17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 </w:t>
      </w:r>
      <w:r>
        <w:rPr>
          <w:rFonts w:ascii="Arial" w:cs="Arial" w:eastAsia="Arial" w:hAnsi="Arial"/>
          <w:sz w:val="18"/>
          <w:szCs w:val="18"/>
          <w:i w:val="1"/>
          <w:iCs w:val="1"/>
          <w:color w:val="auto"/>
        </w:rPr>
        <w:t>Credit Losses (Topic 326): Measurement of Credit Losses 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Instruments </w:t>
      </w:r>
      <w:r>
        <w:rPr>
          <w:rFonts w:ascii="Arial" w:cs="Arial" w:eastAsia="Arial" w:hAnsi="Arial"/>
          <w:sz w:val="18"/>
          <w:szCs w:val="18"/>
          <w:color w:val="auto"/>
        </w:rPr>
        <w:t>(“ASU 2016-13”), which replaces the incurred loss impairment methodology in current U.S. GAAP with a methodology that</w:t>
      </w:r>
      <w:r>
        <w:rPr>
          <w:rFonts w:ascii="Arial" w:cs="Arial" w:eastAsia="Arial" w:hAnsi="Arial"/>
          <w:sz w:val="18"/>
          <w:szCs w:val="18"/>
          <w:i w:val="1"/>
          <w:iCs w:val="1"/>
          <w:color w:val="auto"/>
        </w:rPr>
        <w:t xml:space="preserve"> </w:t>
      </w:r>
      <w:r>
        <w:rPr>
          <w:rFonts w:ascii="Arial" w:cs="Arial" w:eastAsia="Arial" w:hAnsi="Arial"/>
          <w:sz w:val="18"/>
          <w:szCs w:val="18"/>
          <w:color w:val="auto"/>
        </w:rPr>
        <w:t>reflects expected credit losses and requires consideration of a broader range of reasonable and supportable information to inform credit loss estimates. The new guidance is effective for fiscal years beginning after December 15, 2022. The Company is evaluating the effect, if any, the update will have on its consolidated financial statements when adopted in fiscal year 2023.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NOTE K – CREDIT FACILITY</w:t>
      </w:r>
    </w:p>
    <w:p>
      <w:pPr>
        <w:spacing w:after="0" w:line="225" w:lineRule="exact"/>
        <w:rPr>
          <w:sz w:val="20"/>
          <w:szCs w:val="20"/>
          <w:color w:val="auto"/>
        </w:rPr>
      </w:pPr>
    </w:p>
    <w:p>
      <w:pPr>
        <w:jc w:val="both"/>
        <w:ind w:right="20" w:firstLine="648"/>
        <w:spacing w:after="0" w:line="279" w:lineRule="auto"/>
        <w:rPr>
          <w:sz w:val="20"/>
          <w:szCs w:val="20"/>
          <w:color w:val="auto"/>
        </w:rPr>
      </w:pPr>
      <w:r>
        <w:rPr>
          <w:rFonts w:ascii="Arial" w:cs="Arial" w:eastAsia="Arial" w:hAnsi="Arial"/>
          <w:sz w:val="17"/>
          <w:szCs w:val="17"/>
          <w:color w:val="auto"/>
        </w:rPr>
        <w:t>As of January 31, 2022, the Company had available credit with UBS Bank USA at variable terms based on its securities holdings under an advisory arrangement. On April 12, 2020, the Company received proceeds from a loan under the Paycheck Protection Program (the “PPP Loan”) in the amount of $4,964,810 from JPMorgan Chase Bank, N.A. as the Lender, pursuant to the Small Business Administration Paycheck Protection Program under the Coronavirus Aid Relief, and Economic Security (“CARES”) Act. The PPP Loan was repaid in full on May 6, 2020.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NOTE L – VALUATION ALLOWANCE ON DEFERRED TAX ASSETS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Deferred income taxes arise from temporary differences between the tax basis of assets and liabilities and their reported amounts in the financial statements, which will result in taxable or deductible amounts in the future.</w:t>
      </w:r>
    </w:p>
    <w:p>
      <w:pPr>
        <w:spacing w:after="0" w:line="170" w:lineRule="exact"/>
        <w:rPr>
          <w:sz w:val="20"/>
          <w:szCs w:val="20"/>
          <w:color w:val="auto"/>
        </w:rPr>
      </w:pPr>
    </w:p>
    <w:p>
      <w:pPr>
        <w:jc w:val="both"/>
        <w:ind w:right="20" w:firstLine="648"/>
        <w:spacing w:after="0" w:line="291" w:lineRule="auto"/>
        <w:rPr>
          <w:sz w:val="20"/>
          <w:szCs w:val="20"/>
          <w:color w:val="auto"/>
        </w:rPr>
      </w:pPr>
      <w:r>
        <w:rPr>
          <w:rFonts w:ascii="Arial" w:cs="Arial" w:eastAsia="Arial" w:hAnsi="Arial"/>
          <w:sz w:val="16"/>
          <w:szCs w:val="16"/>
          <w:color w:val="auto"/>
        </w:rPr>
        <w:t>As required by the authoritative guidance on accounting for income taxes, we evaluate the realization of deferred tax assets on a jurisdictional basis at each reporting date. We consider all positive and negative evidence, including the reversal of deferred tax liabilities, projected future taxable income, tax planning strategies, and results of recent operations. Accounting for income taxes requires that a valuation allowance be established when it is more likely than not that all or a portion of the deferred tax assets will not be realized. In circumstances where there is sufficient negative evidence indicating that the deferred tax assets will not be realizable, we establish a valuation allowance. As of January 31, 2022, and April 30, 2021, the Company maintained a full valuation allowance against its deferred tax assets. If these estimates and assumptions change in the future, the Company may be required to adjust its existing valuation allowance resulting in changes to deferred income tax expense.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5" w:right="4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M – COMMITMENTS AND CONTINGENCIES</w:t>
      </w:r>
    </w:p>
    <w:p>
      <w:pPr>
        <w:spacing w:after="0" w:line="225" w:lineRule="exact"/>
        <w:rPr>
          <w:sz w:val="20"/>
          <w:szCs w:val="20"/>
          <w:color w:val="auto"/>
        </w:rPr>
      </w:pPr>
    </w:p>
    <w:p>
      <w:pPr>
        <w:jc w:val="both"/>
        <w:ind w:right="20" w:firstLine="648"/>
        <w:spacing w:after="0" w:line="293" w:lineRule="auto"/>
        <w:rPr>
          <w:sz w:val="20"/>
          <w:szCs w:val="20"/>
          <w:color w:val="auto"/>
        </w:rPr>
      </w:pPr>
      <w:r>
        <w:rPr>
          <w:rFonts w:ascii="Arial" w:cs="Arial" w:eastAsia="Arial" w:hAnsi="Arial"/>
          <w:sz w:val="16"/>
          <w:szCs w:val="16"/>
          <w:color w:val="auto"/>
        </w:rPr>
        <w:t>On January 28, 2020, Martin B. Bloch, the former Chief Scientist of the Company and a former member of the Company’s Board of Directors (the “Board”), filed a complaint against the Company and Jonathan Brolin, Lance W. Lord, Russell M. Sarachek, Richard Schwartz and Stanton D. Sloane, each in their capacity as members of the Board (collectively, the “Director Defendants”), in the Supreme Court of the State of New York, County of Nassau (</w:t>
      </w:r>
      <w:r>
        <w:rPr>
          <w:rFonts w:ascii="Arial" w:cs="Arial" w:eastAsia="Arial" w:hAnsi="Arial"/>
          <w:sz w:val="16"/>
          <w:szCs w:val="16"/>
          <w:i w:val="1"/>
          <w:iCs w:val="1"/>
          <w:color w:val="auto"/>
        </w:rPr>
        <w:t>Bloch v. Frequency Electronics, Inc., et al</w:t>
      </w:r>
      <w:r>
        <w:rPr>
          <w:rFonts w:ascii="Arial" w:cs="Arial" w:eastAsia="Arial" w:hAnsi="Arial"/>
          <w:sz w:val="16"/>
          <w:szCs w:val="16"/>
          <w:color w:val="auto"/>
        </w:rPr>
        <w:t>., Index No. 601369/2020 (N.Y. Sup. Ct. filed Jan. 28, 2020)). Mr. Bloch sought compensatory damages and costs and attorney’s fees, among other things, based on allegations that he was wrongfully terminated “for cause” pursuant to his employment agreement, dated March 17, 2008, and that the Company and the Director Defendants discriminated against him based on his age.</w:t>
      </w:r>
    </w:p>
    <w:p>
      <w:pPr>
        <w:spacing w:after="0" w:line="164"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18"/>
          <w:szCs w:val="18"/>
          <w:color w:val="auto"/>
        </w:rPr>
        <w:t>On August 25, 2021, the Company settled the aforementioned disputes with Mr. Bloch. Under the Agreement on Material Terms of Settlement (the “Settlement Terms”), dated August 25, 2021, between and among the Company, the Director Defendants, and the Compensation Committee, in its capacity as administrator under the deferred compensation agreements, and Mr. Bloch and certain members of Mr. Bloch’s family, in full and complete settlement of all claims asserted and all sums sought by Mr. Bloch in the litigation and arbitration proceedings, the Company agreed to pay Mr. Bloch $6 million on or before September 24, 2021.</w:t>
      </w:r>
    </w:p>
    <w:p>
      <w:pPr>
        <w:spacing w:after="0" w:line="18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Consistent with the Settlement Terms, on September 21, 2021, the Company, the Director of Defendants, the Company’s Compensation Committee and Mr. Bloch and certain members of Mr. Bloch’s family entered into a formal written settlement agreement, providing for the Company’s payment of $6 million in full and complete settlement of all claims asserted and all sums sought by Mr. Bloch in the litigation and arbitration proceedings. This settlement agreement concluded all previously disclosed disputes between Mr. Bloch and the Company, the Director Defendants and the Company’s Compensation Committee. Prior to the termination of Mr. Bloch’s employment and commencement of the litigation and arbitration proceedings, the Company had been regularly accruing amounts pertaining to Mr. Bloch’s post-employment deferred compensation retirement benefits. As of July 31, 2021, the Company had accrued $6 million for deferred compensation and contingent liability in connection with the settlement with Mr. Bloch. The settlement resulted in a net expense of $650,000 to the Company and eliminated further legal expenses with respect to the dispute between Mr. Bloch and the Company. This net expense for financial statement purposes was recognized in selling and administrative expenses on the condensed consolidated statements of operations during the three months ended July 31, 2021.</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5" w:right="4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Management</w:t>
      </w:r>
      <w:r>
        <w:rPr>
          <w:rFonts w:ascii="Arial" w:cs="Arial" w:eastAsia="Arial" w:hAnsi="Arial"/>
          <w:sz w:val="18"/>
          <w:szCs w:val="18"/>
          <w:color w:val="auto"/>
        </w:rPr>
        <w:t>’</w:t>
      </w:r>
      <w:r>
        <w:rPr>
          <w:rFonts w:ascii="Arial" w:cs="Arial" w:eastAsia="Arial" w:hAnsi="Arial"/>
          <w:sz w:val="18"/>
          <w:szCs w:val="18"/>
          <w:b w:val="1"/>
          <w:bCs w:val="1"/>
          <w:u w:val="single" w:color="auto"/>
          <w:color w:val="auto"/>
        </w:rPr>
        <w: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“Safe Harbor</w:t>
      </w:r>
      <w:r>
        <w:rPr>
          <w:rFonts w:ascii="Arial" w:cs="Arial" w:eastAsia="Arial" w:hAnsi="Arial"/>
          <w:sz w:val="18"/>
          <w:szCs w:val="18"/>
          <w:color w:val="auto"/>
        </w:rPr>
        <w:t>”</w:t>
      </w:r>
      <w:r>
        <w:rPr>
          <w:rFonts w:ascii="Arial" w:cs="Arial" w:eastAsia="Arial" w:hAnsi="Arial"/>
          <w:sz w:val="18"/>
          <w:szCs w:val="18"/>
          <w:i w:val="1"/>
          <w:iCs w:val="1"/>
          <w:color w:val="auto"/>
        </w:rPr>
        <w:t xml:space="preserve"> Statement under the Private Securities Litigation Reform Act of 1995</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The statements in this quarterly report on Form 10-Q regarding future earnings and operations and other statements relating to the future constitute “forward-looking” statements pursuant to the safe harbor provisions of the Private Securities Litigation Reform Act of 1995. Forward-looking statements inherently involve risks and uncertainties that could cause actual results to differ materially from the forward-looking statements. Factors that would cause or contribute to such differences include but are not limited to, the risks associated with health epidemics and pandemics, including the COVID-19 pandemic and similar outbreaks, such as their impact on our financial condition and results of operations and on our ability to continue manufacturing and distributing our products, and the impact of health epidemics and pandemics on general economic conditions, including any resulting recession, our inability to integrate operations and personnel, actions by significant customers or competitors, general domestic and international economic conditions, reliance on key customers, continued acceptance of the Company’s products in the marketplace, competitive factors, new products and technological changes, product prices and raw material costs, dependence upon third-party vendors, competitive developments, changes in manufacturing and transportation costs, the availability of capital, and the outcome of any litigation and arbitration proceedings. The factors listed above are not exhaustive. Other sections of this Form 10-Q and in the Company’s Annual Report on Form 10-K for the fiscal year ended April 30, 2021, filed on June 30, 2021 with the Securities and Exchange Commission include additional factors that could materially and adversely impact the Company’s business, financial condition and results of operations. Moreover, the Company operates in a very competitive and rapidly changing environment. New factors emerge from time to time and it is not possible for management to predict the impact of all these factors on the Company’s business, financial condition or results of operations or the extent to which any factor, or combination of factors, may cause actual results to differ materially from those contained in any forward-looking statements. Given these risks and uncertainties, investors should not rely on forward-looking statements as a prediction of actual results. Any or all of the forward-looking statements contained in this Form 10-Q and any other public statement made by the Company or its management may turn out to be incorrect. The Company expressly disclaims any obligation to update or revise any forward-looking statements, whether as a result of new information, future events or otherwise, except as required by law.</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right="20" w:firstLine="648"/>
        <w:spacing w:after="0" w:line="254" w:lineRule="auto"/>
        <w:rPr>
          <w:sz w:val="20"/>
          <w:szCs w:val="20"/>
          <w:color w:val="auto"/>
        </w:rPr>
      </w:pPr>
      <w:r>
        <w:rPr>
          <w:rFonts w:ascii="Arial" w:cs="Arial" w:eastAsia="Arial" w:hAnsi="Arial"/>
          <w:sz w:val="18"/>
          <w:szCs w:val="18"/>
          <w:color w:val="auto"/>
        </w:rPr>
        <w:t>The Company’s significant accounting policies are described in Note 1 to the consolidated financial statements included in the Company’s Annual Report on Form 10-K for the fiscal year ended April 30, 2021, filed on June 30, 2021 with the Securities and Exchange Commission. The Company believes its most critical accounting policies to be the recognition of revenue and costs on production contracts, income taxes, and the valuation of inventory. Each of these areas requires the Company to make use of reasonable estimates including estimating the cost to complete a contract, the realizable value of its inventory and the market value of its products. Changes in estimates can have a material impact on the Company’s financial position and results of operations. The Company’s significant accounting policies did not change during the three and nine months ended January 31, 2022.</w:t>
      </w:r>
    </w:p>
    <w:p>
      <w:pPr>
        <w:spacing w:after="0" w:line="195"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Revenue Recognition</w:t>
      </w:r>
    </w:p>
    <w:p>
      <w:pPr>
        <w:spacing w:after="0" w:line="225"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6"/>
          <w:szCs w:val="16"/>
          <w:color w:val="auto"/>
        </w:rPr>
        <w:t>Revenue is recognized when a performance obligation is satisfied, which is when the expected goods or services are transferred to the customer in an amount that reflects the consideration to which the Company expects to receive. A performance obligation is a distinct product or service that is transferred to the customer based on the contract. The transaction price is allocated to each performance obligation and is recognized as revenue upon satisfaction of that performance obligation. The Company derives revenue from contracts with customers by units sold with specific specifications and frequencies that are used by a specific customer and contracts where the end user is the government. The Company’s contracts typically include one performance obligation which is satisfied by shipped projects and completed services/reports required in the contract. Control over these performance obligations passes to the customer over time and therefore these revenues are reported in operating results over time using the cost-to-cost method. Under this method, revenue is recorded based upon the ratio that incurred costs bear to total estimated contract costs with related cost of revenues recorded as the costs are incurred. Each month management reviews estimated contract costs through a process of aggregating actual costs incurred and estimating additional costs to completion based upon the current available information and status of the contract. The effect of any change in the estimated gross margin rate (“GM Rate”) for a contract is reflected in revenues in the period in which the change is known. Provisions for the full amount of anticipated losses on contracts are made in the period in which they become determinable.</w:t>
      </w:r>
    </w:p>
    <w:p>
      <w:pPr>
        <w:spacing w:after="0" w:line="168"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For smaller contracts or orders, sales of products and services to customers are reported in operating results based upon (i) shipment of the product or (ii) performance of the services pursuant to terms of the customer order. When payment is contingent upon customer acceptance of the installed system, revenue is deferred until such acceptance is received and installation completed. The Company’s products generally carry a one-year warranty, but may vary based on the contract terms.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5" w:right="4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Significant judgment is used in evaluating the financial information for certain contracts to determine an appropriate budget and estimated cost. The Company evaluates this information continuously and bases its judgments on historical experience, design specifications, and expected costs for material and labor. The Company evaluates the amount of development risk associated with new contracts which entail the development of new or significantly modified products and incorporates additional costs to cover these risks. These are estimates based on the Company’s best judgement, but because this entails estimations based on products not heretofore developed, there is risk that the estimates may ultimately prove to be incorrect and that costs are impacted.</w:t>
      </w:r>
    </w:p>
    <w:p>
      <w:pPr>
        <w:spacing w:after="0" w:line="19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Contract costs include all direct material, direct labor costs, manufacturing overhead and other direct costs related to contract performance.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Selling, general and administrative costs are charged to expense as incurred.</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Inventory</w:t>
      </w:r>
    </w:p>
    <w:p>
      <w:pPr>
        <w:spacing w:after="0" w:line="225" w:lineRule="exact"/>
        <w:rPr>
          <w:sz w:val="20"/>
          <w:szCs w:val="20"/>
          <w:color w:val="auto"/>
        </w:rPr>
      </w:pPr>
    </w:p>
    <w:p>
      <w:pPr>
        <w:jc w:val="both"/>
        <w:ind w:right="20" w:firstLine="648"/>
        <w:spacing w:after="0" w:line="275" w:lineRule="auto"/>
        <w:rPr>
          <w:sz w:val="20"/>
          <w:szCs w:val="20"/>
          <w:color w:val="auto"/>
        </w:rPr>
      </w:pPr>
      <w:r>
        <w:rPr>
          <w:rFonts w:ascii="Arial" w:cs="Arial" w:eastAsia="Arial" w:hAnsi="Arial"/>
          <w:sz w:val="17"/>
          <w:szCs w:val="17"/>
          <w:color w:val="auto"/>
        </w:rPr>
        <w:t>In accordance with industry practice, inventoried costs contain amounts relating to contracts and programs with long production cycles, a portion of which will not be realized within one year. Inventory write downs are established for slow-moving materials based on percentage of usage over a ten-year period, obsolete items on a gradual basis over five years with no usage and costs incurred on programs for which production-level orders cannot be determined as probable. Such write-downs are based upon management’s experience and expectations for future business. Any changes arising from revised expectations are reflected in cost of revenues in the period the revision is made.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 Update and CARES Act</w:t>
      </w:r>
    </w:p>
    <w:p>
      <w:pPr>
        <w:spacing w:after="0" w:line="229" w:lineRule="exact"/>
        <w:rPr>
          <w:sz w:val="20"/>
          <w:szCs w:val="20"/>
          <w:color w:val="auto"/>
        </w:rPr>
      </w:pPr>
    </w:p>
    <w:p>
      <w:pPr>
        <w:jc w:val="both"/>
        <w:ind w:right="20" w:firstLine="648"/>
        <w:spacing w:after="0" w:line="272" w:lineRule="auto"/>
        <w:rPr>
          <w:sz w:val="20"/>
          <w:szCs w:val="20"/>
          <w:color w:val="auto"/>
        </w:rPr>
      </w:pPr>
      <w:r>
        <w:rPr>
          <w:rFonts w:ascii="Arial" w:cs="Arial" w:eastAsia="Arial" w:hAnsi="Arial"/>
          <w:sz w:val="17"/>
          <w:szCs w:val="17"/>
          <w:color w:val="auto"/>
        </w:rPr>
        <w:t>The Company’s priority during the COVID-19 pandemic has been to protect the health and safety of its employees while remaining operational. Within the limitations imposed by governmental health and safety procedures, the Company has continued to manufacture its full range of products at its facilities. The Company has educated employees about COVID-19 symptoms and hygiene best practices. The Company’s policies also include taking an employee’s temperature before entering facilities; mandating handwashing and use of hand sanitizer; requiring social distancing and face coverings; encouraging, and in some cases, requiring remote work for those employees who can work from home; and disinfecting facilities. In addition, unvaccinated employees are required to be tested weekly and show negative results in order to work in the facility. Visitors, contractors, customers and other personnel are required to show proof of vaccination in order to be admitted.</w:t>
      </w:r>
    </w:p>
    <w:p>
      <w:pPr>
        <w:spacing w:after="0" w:line="177" w:lineRule="exact"/>
        <w:rPr>
          <w:sz w:val="20"/>
          <w:szCs w:val="20"/>
          <w:color w:val="auto"/>
        </w:rPr>
      </w:pPr>
    </w:p>
    <w:p>
      <w:pPr>
        <w:jc w:val="both"/>
        <w:ind w:right="20" w:firstLine="648"/>
        <w:spacing w:after="0" w:line="270" w:lineRule="auto"/>
        <w:rPr>
          <w:sz w:val="20"/>
          <w:szCs w:val="20"/>
          <w:color w:val="auto"/>
        </w:rPr>
      </w:pPr>
      <w:r>
        <w:rPr>
          <w:rFonts w:ascii="Arial" w:cs="Arial" w:eastAsia="Arial" w:hAnsi="Arial"/>
          <w:sz w:val="17"/>
          <w:szCs w:val="17"/>
          <w:color w:val="auto"/>
        </w:rPr>
        <w:t>As of January 31, 2022, the Company was aware of sixty employees that have had confirmed cases of COVID-19 since the pandemic began, with one fatality. Additional employees have been absent or self-quarantined due to possible COVID-19 exposure, although not necessarily having tested positive. Since the COVID-19 pandemic began, facilities have remained open except for needing to temporarily vacate certain areas for cleaning and disinfecting following either employees testing positive for COVID-19 or because they had been exposed or possibly exposed to third parties who were positive. Certain Company vendors have been unable to deliver materials on time due to COVID-19 related impacts to their workforces or their supply chains. These delays have impacted the Company’s production schedules and increased costs associated with procurement of materials and services. The Company continues to monitor these and other vendors and seek alternative sources of supply, which, in some cases, are being established. The Company also believes the pandemic has impacted customers, resulting in delays with respect to anticipated new orders due to COVID-19 related administrative delays.</w:t>
      </w:r>
    </w:p>
    <w:p>
      <w:pPr>
        <w:spacing w:after="0" w:line="181" w:lineRule="exact"/>
        <w:rPr>
          <w:sz w:val="20"/>
          <w:szCs w:val="20"/>
          <w:color w:val="auto"/>
        </w:rPr>
      </w:pPr>
    </w:p>
    <w:p>
      <w:pPr>
        <w:jc w:val="both"/>
        <w:ind w:right="20" w:firstLine="648"/>
        <w:spacing w:after="0" w:line="279" w:lineRule="auto"/>
        <w:rPr>
          <w:sz w:val="20"/>
          <w:szCs w:val="20"/>
          <w:color w:val="auto"/>
        </w:rPr>
      </w:pPr>
      <w:r>
        <w:rPr>
          <w:rFonts w:ascii="Arial" w:cs="Arial" w:eastAsia="Arial" w:hAnsi="Arial"/>
          <w:sz w:val="17"/>
          <w:szCs w:val="17"/>
          <w:color w:val="auto"/>
        </w:rPr>
        <w:t>The full impact of the COVID-19 pandemic continues to evolve as of the date of this report. As such, it is uncertain as to the full magnitude that the pandemic may have on the Company’s financial condition, liquidity, and future results of operations. Management is actively monitoring the impact of the global situation on its financial condition, liquidity, operations, suppliers, industry, and workforce. Given the changing dynamics of the pandemic, it is not possible for the Company to estimate potential future effects on its operations, financial condition, or liquidity.</w:t>
      </w:r>
    </w:p>
    <w:p>
      <w:pPr>
        <w:spacing w:after="0" w:line="171" w:lineRule="exact"/>
        <w:rPr>
          <w:sz w:val="20"/>
          <w:szCs w:val="20"/>
          <w:color w:val="auto"/>
        </w:rPr>
      </w:pPr>
    </w:p>
    <w:p>
      <w:pPr>
        <w:jc w:val="both"/>
        <w:ind w:right="20" w:firstLine="648"/>
        <w:spacing w:after="0" w:line="271" w:lineRule="auto"/>
        <w:rPr>
          <w:sz w:val="20"/>
          <w:szCs w:val="20"/>
          <w:color w:val="auto"/>
        </w:rPr>
      </w:pPr>
      <w:r>
        <w:rPr>
          <w:rFonts w:ascii="Arial" w:cs="Arial" w:eastAsia="Arial" w:hAnsi="Arial"/>
          <w:sz w:val="17"/>
          <w:szCs w:val="17"/>
          <w:color w:val="auto"/>
        </w:rPr>
        <w:t>On March 27, 2020, President Trump signed into law the “Coronavirus Aid, Relief, and Economic Security (CARES) Act.” The CARES Act, among other things, includes provisions relating to refundable payroll tax credits, deferment of employer side social security payments, net operating loss carryback periods, alternative minimum tax credit refunds, modifications to the net interest deduction limitations, increased limitations on qualified charitable contributions, and technical corrections to tax depreciation methods for qualified improvement property. The CARES Act also appropriated funds for the Small Business Administration (SBA) Paycheck Protection Program loans that are forgivable in certain situations to promote continued employment, as well as Economic Injury Disaster Loans to provide liquidity to small businesses harmed by the COVID-19 pandemic. The Company received a PPP Loan in April 2020, which it repaid in full in May 2020. For more detail regarding the Company’s PPP Loan, see Note 8 in Part II, Item 8 of the Annual Report on Form 10-K for the fiscal year ended April 30, 2021.</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5" w:right="4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 table below sets forth for the three and nine months ended January 31, 2022 and 2021, respectively, the percentage of consolidated revenues represented by certain items in the Company’s condensed consolidated statements of operations or notes to the condensed consolidated financial statements: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00" w:type="dxa"/>
            <w:vAlign w:val="bottom"/>
            <w:tcBorders>
              <w:bottom w:val="single" w:sz="8" w:color="auto"/>
            </w:tcBorders>
            <w:gridSpan w:val="6"/>
          </w:tcPr>
          <w:p>
            <w:pPr>
              <w:jc w:val="right"/>
              <w:ind w:right="360"/>
              <w:spacing w:after="0"/>
              <w:rPr>
                <w:sz w:val="20"/>
                <w:szCs w:val="20"/>
                <w:color w:val="auto"/>
              </w:rPr>
            </w:pPr>
            <w:r>
              <w:rPr>
                <w:rFonts w:ascii="Arial" w:cs="Arial" w:eastAsia="Arial" w:hAnsi="Arial"/>
                <w:sz w:val="18"/>
                <w:szCs w:val="18"/>
                <w:b w:val="1"/>
                <w:bCs w:val="1"/>
                <w:color w:val="auto"/>
              </w:rPr>
              <w:t>Three months</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b w:val="1"/>
                <w:bCs w:val="1"/>
                <w:color w:val="auto"/>
                <w:w w:val="89"/>
              </w:rPr>
              <w:t>Nine months</w:t>
            </w:r>
          </w:p>
        </w:tc>
        <w:tc>
          <w:tcPr>
            <w:tcW w:w="7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13"/>
          </w:tcPr>
          <w:p>
            <w:pPr>
              <w:ind w:left="200"/>
              <w:spacing w:after="0"/>
              <w:rPr>
                <w:sz w:val="20"/>
                <w:szCs w:val="20"/>
                <w:color w:val="auto"/>
              </w:rPr>
            </w:pPr>
            <w:r>
              <w:rPr>
                <w:rFonts w:ascii="Arial" w:cs="Arial" w:eastAsia="Arial" w:hAnsi="Arial"/>
                <w:sz w:val="18"/>
                <w:szCs w:val="18"/>
                <w:b w:val="1"/>
                <w:bCs w:val="1"/>
                <w:color w:val="auto"/>
              </w:rPr>
              <w:t>Periods ended January 31,</w:t>
            </w:r>
          </w:p>
        </w:tc>
        <w:tc>
          <w:tcPr>
            <w:tcW w:w="7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160" w:type="dxa"/>
            <w:vAlign w:val="bottom"/>
            <w:gridSpan w:val="3"/>
            <w:vMerge w:val="restart"/>
          </w:tcPr>
          <w:p>
            <w:pPr>
              <w:spacing w:after="0"/>
              <w:rPr>
                <w:sz w:val="20"/>
                <w:szCs w:val="20"/>
                <w:color w:val="auto"/>
              </w:rPr>
            </w:pPr>
            <w:r>
              <w:rPr>
                <w:rFonts w:ascii="Arial" w:cs="Arial" w:eastAsia="Arial" w:hAnsi="Arial"/>
                <w:sz w:val="18"/>
                <w:szCs w:val="18"/>
                <w:color w:val="auto"/>
              </w:rPr>
              <w:t>Revenues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3"/>
          </w:tcPr>
          <w:p>
            <w:pPr>
              <w:jc w:val="right"/>
              <w:ind w:right="270"/>
              <w:spacing w:after="0"/>
              <w:rPr>
                <w:sz w:val="20"/>
                <w:szCs w:val="20"/>
                <w:color w:val="auto"/>
              </w:rPr>
            </w:pPr>
            <w:r>
              <w:rPr>
                <w:rFonts w:ascii="Arial" w:cs="Arial" w:eastAsia="Arial" w:hAnsi="Arial"/>
                <w:sz w:val="18"/>
                <w:szCs w:val="18"/>
                <w:b w:val="1"/>
                <w:bCs w:val="1"/>
                <w:color w:val="auto"/>
                <w:w w:val="99"/>
              </w:rPr>
              <w:t>2022</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ind w:right="25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16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FEI-NY</w:t>
            </w: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4"/>
            <w:shd w:val="clear" w:color="auto" w:fill="CCEEFF"/>
          </w:tcPr>
          <w:p>
            <w:pPr>
              <w:jc w:val="right"/>
              <w:ind w:right="47"/>
              <w:spacing w:after="0"/>
              <w:rPr>
                <w:sz w:val="20"/>
                <w:szCs w:val="20"/>
                <w:color w:val="auto"/>
              </w:rPr>
            </w:pPr>
            <w:r>
              <w:rPr>
                <w:rFonts w:ascii="Arial" w:cs="Arial" w:eastAsia="Arial" w:hAnsi="Arial"/>
                <w:sz w:val="18"/>
                <w:szCs w:val="18"/>
                <w:color w:val="auto"/>
              </w:rPr>
              <w:t>88.6%</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90"/>
              <w:spacing w:after="0"/>
              <w:rPr>
                <w:sz w:val="20"/>
                <w:szCs w:val="20"/>
                <w:color w:val="auto"/>
              </w:rPr>
            </w:pPr>
            <w:r>
              <w:rPr>
                <w:rFonts w:ascii="Arial" w:cs="Arial" w:eastAsia="Arial" w:hAnsi="Arial"/>
                <w:sz w:val="18"/>
                <w:szCs w:val="18"/>
                <w:color w:val="auto"/>
                <w:w w:val="93"/>
              </w:rPr>
              <w:t>80.6%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82.3%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gridSpan w:val="2"/>
          </w:tcPr>
          <w:p>
            <w:pPr>
              <w:spacing w:after="0"/>
              <w:rPr>
                <w:sz w:val="20"/>
                <w:szCs w:val="20"/>
                <w:color w:val="auto"/>
              </w:rPr>
            </w:pPr>
            <w:r>
              <w:rPr>
                <w:rFonts w:ascii="Arial" w:cs="Arial" w:eastAsia="Arial" w:hAnsi="Arial"/>
                <w:sz w:val="18"/>
                <w:szCs w:val="18"/>
                <w:color w:val="auto"/>
              </w:rPr>
              <w:t>FEI-Zyfer</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12.7</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w w:val="91"/>
              </w:rPr>
              <w:t>21.3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19.2</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Less intersegment revenues</w:t>
            </w: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6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100.0</w:t>
            </w:r>
          </w:p>
        </w:tc>
        <w:tc>
          <w:tcPr>
            <w:tcW w:w="3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73.5</w:t>
            </w:r>
          </w:p>
        </w:tc>
        <w:tc>
          <w:tcPr>
            <w:tcW w:w="2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1"/>
              </w:rPr>
              <w:t>76.0</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320" w:type="dxa"/>
            <w:vAlign w:val="bottom"/>
            <w:tcBorders>
              <w:bottom w:val="single" w:sz="8" w:color="CCEEFF"/>
              <w:right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2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40" w:type="dxa"/>
            <w:vAlign w:val="bottom"/>
            <w:gridSpan w:val="2"/>
          </w:tcPr>
          <w:p>
            <w:pPr>
              <w:spacing w:after="0"/>
              <w:rPr>
                <w:sz w:val="20"/>
                <w:szCs w:val="20"/>
                <w:color w:val="auto"/>
              </w:rPr>
            </w:pPr>
            <w:r>
              <w:rPr>
                <w:rFonts w:ascii="Arial" w:cs="Arial" w:eastAsia="Arial" w:hAnsi="Arial"/>
                <w:sz w:val="18"/>
                <w:szCs w:val="18"/>
                <w:color w:val="auto"/>
              </w:rPr>
              <w:t>Gross margin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26.5</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w w:val="91"/>
              </w:rPr>
              <w:t>24.0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29.9</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Selling and administrative expenses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23.2</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21.0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3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6"/>
          </w:tcPr>
          <w:p>
            <w:pPr>
              <w:spacing w:after="0"/>
              <w:rPr>
                <w:sz w:val="20"/>
                <w:szCs w:val="20"/>
                <w:color w:val="auto"/>
              </w:rPr>
            </w:pPr>
            <w:r>
              <w:rPr>
                <w:rFonts w:ascii="Arial" w:cs="Arial" w:eastAsia="Arial" w:hAnsi="Arial"/>
                <w:sz w:val="18"/>
                <w:szCs w:val="18"/>
                <w:color w:val="auto"/>
              </w:rPr>
              <w:t>Research and development expenses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9.2</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1"/>
              </w:rPr>
              <w:t>11.0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3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(8.0)</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(5.5)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gridSpan w:val="2"/>
          </w:tcPr>
          <w:p>
            <w:pPr>
              <w:spacing w:after="0"/>
              <w:rPr>
                <w:sz w:val="20"/>
                <w:szCs w:val="20"/>
                <w:color w:val="auto"/>
              </w:rPr>
            </w:pPr>
            <w:r>
              <w:rPr>
                <w:rFonts w:ascii="Arial" w:cs="Arial" w:eastAsia="Arial" w:hAnsi="Arial"/>
                <w:sz w:val="18"/>
                <w:szCs w:val="18"/>
                <w:color w:val="auto"/>
              </w:rPr>
              <w:t>Other income (loss), net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0.7</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2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right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160" w:type="dxa"/>
            <w:vAlign w:val="bottom"/>
            <w:gridSpan w:val="3"/>
          </w:tcPr>
          <w:p>
            <w:pPr>
              <w:spacing w:after="0"/>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4"/>
          </w:tcPr>
          <w:p>
            <w:pPr>
              <w:jc w:val="right"/>
              <w:spacing w:after="0"/>
              <w:rPr>
                <w:sz w:val="20"/>
                <w:szCs w:val="20"/>
                <w:color w:val="auto"/>
              </w:rPr>
            </w:pPr>
            <w:r>
              <w:rPr>
                <w:rFonts w:ascii="Arial" w:cs="Arial" w:eastAsia="Arial" w:hAnsi="Arial"/>
                <w:sz w:val="18"/>
                <w:szCs w:val="18"/>
                <w:color w:val="auto"/>
              </w:rPr>
              <w:t>(6.0)%</w:t>
            </w: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4"/>
          </w:tcPr>
          <w:p>
            <w:pPr>
              <w:jc w:val="right"/>
              <w:ind w:right="30"/>
              <w:spacing w:after="0"/>
              <w:rPr>
                <w:sz w:val="20"/>
                <w:szCs w:val="20"/>
                <w:color w:val="auto"/>
              </w:rPr>
            </w:pPr>
            <w:r>
              <w:rPr>
                <w:rFonts w:ascii="Arial" w:cs="Arial" w:eastAsia="Arial" w:hAnsi="Arial"/>
                <w:sz w:val="18"/>
                <w:szCs w:val="18"/>
                <w:color w:val="auto"/>
              </w:rPr>
              <w:t>(6.8)%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30"/>
              <w:spacing w:after="0"/>
              <w:rPr>
                <w:sz w:val="20"/>
                <w:szCs w:val="20"/>
                <w:color w:val="auto"/>
              </w:rPr>
            </w:pPr>
            <w:r>
              <w:rPr>
                <w:rFonts w:ascii="Arial" w:cs="Arial" w:eastAsia="Arial" w:hAnsi="Arial"/>
                <w:sz w:val="18"/>
                <w:szCs w:val="18"/>
                <w:color w:val="auto"/>
              </w:rPr>
              <w:t>(4.8)%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21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Revenues</w:t>
            </w: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16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w:t>
            </w:r>
          </w:p>
        </w:tc>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8"/>
          </w:tcPr>
          <w:p>
            <w:pPr>
              <w:ind w:left="140"/>
              <w:spacing w:after="0"/>
              <w:rPr>
                <w:sz w:val="20"/>
                <w:szCs w:val="20"/>
                <w:color w:val="auto"/>
              </w:rPr>
            </w:pPr>
            <w:r>
              <w:rPr>
                <w:rFonts w:ascii="Arial" w:cs="Arial" w:eastAsia="Arial" w:hAnsi="Arial"/>
                <w:sz w:val="18"/>
                <w:szCs w:val="18"/>
                <w:b w:val="1"/>
                <w:bCs w:val="1"/>
                <w:color w:val="auto"/>
              </w:rPr>
              <w:t>Nine months</w:t>
            </w:r>
          </w:p>
        </w:tc>
        <w:tc>
          <w:tcPr>
            <w:tcW w:w="7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0" w:type="dxa"/>
            <w:vAlign w:val="bottom"/>
            <w:gridSpan w:val="7"/>
          </w:tcPr>
          <w:p>
            <w:pPr>
              <w:jc w:val="right"/>
              <w:ind w:right="100"/>
              <w:spacing w:after="0" w:line="191" w:lineRule="exact"/>
              <w:rPr>
                <w:sz w:val="20"/>
                <w:szCs w:val="20"/>
                <w:color w:val="auto"/>
              </w:rPr>
            </w:pPr>
            <w:r>
              <w:rPr>
                <w:rFonts w:ascii="Arial" w:cs="Arial" w:eastAsia="Arial" w:hAnsi="Arial"/>
                <w:sz w:val="18"/>
                <w:szCs w:val="18"/>
                <w:b w:val="1"/>
                <w:bCs w:val="1"/>
                <w:color w:val="auto"/>
                <w:w w:val="91"/>
              </w:rPr>
              <w:t>Periods ended January 31,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1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Segment</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6"/>
          </w:tcPr>
          <w:p>
            <w:pPr>
              <w:jc w:val="right"/>
              <w:ind w:right="56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16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ind w:right="17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80" w:type="dxa"/>
            <w:vAlign w:val="bottom"/>
            <w:gridSpan w:val="5"/>
          </w:tcPr>
          <w:p>
            <w:pPr>
              <w:jc w:val="right"/>
              <w:ind w:right="940"/>
              <w:spacing w:after="0"/>
              <w:rPr>
                <w:sz w:val="20"/>
                <w:szCs w:val="20"/>
                <w:color w:val="auto"/>
              </w:rPr>
            </w:pPr>
            <w:r>
              <w:rPr>
                <w:rFonts w:ascii="Arial" w:cs="Arial" w:eastAsia="Arial" w:hAnsi="Arial"/>
                <w:sz w:val="18"/>
                <w:szCs w:val="18"/>
                <w:b w:val="1"/>
                <w:bCs w:val="1"/>
                <w:color w:val="auto"/>
              </w:rPr>
              <w:t>Change</w:t>
            </w:r>
          </w:p>
        </w:tc>
        <w:tc>
          <w:tcPr>
            <w:tcW w:w="200" w:type="dxa"/>
            <w:vAlign w:val="bottom"/>
          </w:tcPr>
          <w:p>
            <w:pPr>
              <w:spacing w:after="0"/>
              <w:rPr>
                <w:sz w:val="18"/>
                <w:szCs w:val="18"/>
                <w:color w:val="auto"/>
              </w:rPr>
            </w:pPr>
          </w:p>
        </w:tc>
        <w:tc>
          <w:tcPr>
            <w:tcW w:w="66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w w:val="99"/>
              </w:rPr>
              <w:t>2022</w:t>
            </w:r>
          </w:p>
        </w:tc>
        <w:tc>
          <w:tcPr>
            <w:tcW w:w="120" w:type="dxa"/>
            <w:vAlign w:val="bottom"/>
          </w:tcPr>
          <w:p>
            <w:pPr>
              <w:spacing w:after="0"/>
              <w:rPr>
                <w:sz w:val="18"/>
                <w:szCs w:val="18"/>
                <w:color w:val="auto"/>
              </w:rPr>
            </w:pPr>
          </w:p>
        </w:tc>
        <w:tc>
          <w:tcPr>
            <w:tcW w:w="960" w:type="dxa"/>
            <w:vAlign w:val="bottom"/>
            <w:gridSpan w:val="5"/>
          </w:tcPr>
          <w:p>
            <w:pPr>
              <w:jc w:val="right"/>
              <w:ind w:right="24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8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Change</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FEI-NY</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10,855</w:t>
            </w: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9,411</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1,444</w:t>
            </w:r>
          </w:p>
        </w:tc>
        <w:tc>
          <w:tcPr>
            <w:tcW w:w="12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15.3%</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31,399</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30,406</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gridSpan w:val="2"/>
          </w:tcPr>
          <w:p>
            <w:pPr>
              <w:spacing w:after="0"/>
              <w:rPr>
                <w:sz w:val="20"/>
                <w:szCs w:val="20"/>
                <w:color w:val="auto"/>
              </w:rPr>
            </w:pPr>
            <w:r>
              <w:rPr>
                <w:rFonts w:ascii="Arial" w:cs="Arial" w:eastAsia="Arial" w:hAnsi="Arial"/>
                <w:sz w:val="18"/>
                <w:szCs w:val="18"/>
                <w:color w:val="auto"/>
              </w:rPr>
              <w:t>FEI-Zyfer</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1,558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2,481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(923)</w:t>
            </w: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(37.2)</w:t>
            </w:r>
          </w:p>
        </w:tc>
        <w:tc>
          <w:tcPr>
            <w:tcW w:w="2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7,341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9,833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(2,492)</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Intersegment revenues</w:t>
            </w: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(23.6)</w:t>
            </w:r>
          </w:p>
        </w:tc>
        <w:tc>
          <w:tcPr>
            <w:tcW w:w="2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(604)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w w:val="98"/>
              </w:rPr>
              <w:t>(1,627)</w:t>
            </w:r>
          </w:p>
        </w:tc>
        <w:tc>
          <w:tcPr>
            <w:tcW w:w="12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1,023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12,245</w:t>
            </w:r>
          </w:p>
        </w:tc>
        <w:tc>
          <w:tcPr>
            <w:tcW w:w="12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11,672</w:t>
            </w:r>
          </w:p>
        </w:tc>
        <w:tc>
          <w:tcPr>
            <w:tcW w:w="120" w:type="dxa"/>
            <w:vAlign w:val="bottom"/>
          </w:tcPr>
          <w:p>
            <w:pPr>
              <w:spacing w:after="0"/>
              <w:rPr>
                <w:sz w:val="18"/>
                <w:szCs w:val="18"/>
                <w:color w:val="auto"/>
              </w:rPr>
            </w:pPr>
          </w:p>
        </w:tc>
        <w:tc>
          <w:tcPr>
            <w:tcW w:w="5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573</w:t>
            </w:r>
          </w:p>
        </w:tc>
        <w:tc>
          <w:tcPr>
            <w:tcW w:w="120" w:type="dxa"/>
            <w:vAlign w:val="bottom"/>
          </w:tcPr>
          <w:p>
            <w:pPr>
              <w:spacing w:after="0"/>
              <w:rPr>
                <w:sz w:val="18"/>
                <w:szCs w:val="18"/>
                <w:color w:val="auto"/>
              </w:rPr>
            </w:pPr>
          </w:p>
        </w:tc>
        <w:tc>
          <w:tcPr>
            <w:tcW w:w="1220" w:type="dxa"/>
            <w:vAlign w:val="bottom"/>
            <w:gridSpan w:val="3"/>
          </w:tcPr>
          <w:p>
            <w:pPr>
              <w:jc w:val="right"/>
              <w:ind w:right="120"/>
              <w:spacing w:after="0"/>
              <w:rPr>
                <w:sz w:val="20"/>
                <w:szCs w:val="20"/>
                <w:color w:val="auto"/>
              </w:rPr>
            </w:pPr>
            <w:r>
              <w:rPr>
                <w:rFonts w:ascii="Arial" w:cs="Arial" w:eastAsia="Arial" w:hAnsi="Arial"/>
                <w:sz w:val="18"/>
                <w:szCs w:val="18"/>
                <w:color w:val="auto"/>
              </w:rPr>
              <w:t>4.9%</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38,136</w:t>
            </w:r>
          </w:p>
        </w:tc>
        <w:tc>
          <w:tcPr>
            <w:tcW w:w="12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0"/>
              </w:rPr>
              <w:t>38,612</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(476)</w:t>
            </w:r>
          </w:p>
        </w:tc>
        <w:tc>
          <w:tcPr>
            <w:tcW w:w="1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For the three months ended January 31, 2022 revenues from commercial and U.S. Government satellite programs accounted for approximately 62% of consolidated revenues compared to approximately 50% of consolidated revenues during this same period in fiscal year 2021. Revenues are recognized primarily under the POC method. Revenues from the satellite market are recorded in the FEI-NY segment. Revenues from non-space U.S. Government/Department of Defense (“DOD”) customers, which are recorded in both the FEI-NY and FEI-Zyfer segments, accounted for approximately 35% of consolidated revenues compared to approximately 47% of consolidated revenue during the same period in fiscal year 2021. Other commercial and industrial revenues accounted for approximately 3% of consolidated revenue for both the three months ended January 31, 2022 and 2021.</w:t>
      </w:r>
    </w:p>
    <w:p>
      <w:pPr>
        <w:spacing w:after="0" w:line="195" w:lineRule="exact"/>
        <w:rPr>
          <w:sz w:val="20"/>
          <w:szCs w:val="20"/>
          <w:color w:val="auto"/>
        </w:rPr>
      </w:pPr>
    </w:p>
    <w:p>
      <w:pPr>
        <w:jc w:val="both"/>
        <w:ind w:right="20" w:firstLine="648"/>
        <w:spacing w:after="0" w:line="291" w:lineRule="auto"/>
        <w:rPr>
          <w:sz w:val="20"/>
          <w:szCs w:val="20"/>
          <w:color w:val="auto"/>
        </w:rPr>
      </w:pPr>
      <w:r>
        <w:rPr>
          <w:rFonts w:ascii="Arial" w:cs="Arial" w:eastAsia="Arial" w:hAnsi="Arial"/>
          <w:sz w:val="16"/>
          <w:szCs w:val="16"/>
          <w:color w:val="auto"/>
        </w:rPr>
        <w:t>For the nine months ended January 31, 2022 revenues from commercial and U.S. Government satellite programs accounted for approximately 55% of consolidated revenues compared to approximately 52% of consolidated revenues during this same period in fiscal year 2021. Differences in composition, as well as overall revenue decreases for the quarter resulted from a decline in revenue at FEI-Zyfer. Revenues are recognized primarily under the POC method. Revenues from the satellite market are recorded in the FEI-NY segment. Revenues from non-space U.S. Government/DOD customers, which are recorded in both the FEI-NY and FEI-Zyfer segments accounted for approximately 39% of consolidated revenues for the nine months ended January 31, 2022 compared to approximately 42% of consolidated revenue during the same period of fiscal year 2021. Other commercial and industrial revenues for the nine months ended January 31, 2022 and 2021 accounted approximately 6% of consolidated revenues.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5" w:right="45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07"/>
        </w:trPr>
        <w:tc>
          <w:tcPr>
            <w:tcW w:w="2320" w:type="dxa"/>
            <w:vAlign w:val="bottom"/>
            <w:gridSpan w:val="4"/>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438"/>
        </w:trPr>
        <w:tc>
          <w:tcPr>
            <w:tcW w:w="10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700" w:type="dxa"/>
            <w:vAlign w:val="bottom"/>
            <w:gridSpan w:val="13"/>
          </w:tcPr>
          <w:p>
            <w:pPr>
              <w:jc w:val="right"/>
              <w:ind w:right="80"/>
              <w:spacing w:after="0"/>
              <w:rPr>
                <w:sz w:val="20"/>
                <w:szCs w:val="20"/>
                <w:color w:val="auto"/>
              </w:rPr>
            </w:pPr>
            <w:r>
              <w:rPr>
                <w:rFonts w:ascii="Arial" w:cs="Arial" w:eastAsia="Arial" w:hAnsi="Arial"/>
                <w:sz w:val="18"/>
                <w:szCs w:val="18"/>
                <w:b w:val="1"/>
                <w:bCs w:val="1"/>
                <w:color w:val="auto"/>
                <w:w w:val="99"/>
              </w:rPr>
              <w:t>FREQUENCY ELECTRONICS, INC. and SUBSIDIARIES</w:t>
            </w: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30"/>
        </w:trPr>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780" w:type="dxa"/>
            <w:vAlign w:val="bottom"/>
            <w:gridSpan w:val="5"/>
          </w:tcPr>
          <w:p>
            <w:pPr>
              <w:ind w:left="180"/>
              <w:spacing w:after="0"/>
              <w:rPr>
                <w:sz w:val="20"/>
                <w:szCs w:val="20"/>
                <w:color w:val="auto"/>
              </w:rPr>
            </w:pPr>
            <w:r>
              <w:rPr>
                <w:rFonts w:ascii="Arial" w:cs="Arial" w:eastAsia="Arial" w:hAnsi="Arial"/>
                <w:sz w:val="18"/>
                <w:szCs w:val="18"/>
                <w:color w:val="auto"/>
              </w:rPr>
              <w:t>(Continued)</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391"/>
        </w:trPr>
        <w:tc>
          <w:tcPr>
            <w:tcW w:w="2320" w:type="dxa"/>
            <w:vAlign w:val="bottom"/>
            <w:gridSpan w:val="4"/>
          </w:tcPr>
          <w:p>
            <w:pPr>
              <w:spacing w:after="0"/>
              <w:rPr>
                <w:sz w:val="20"/>
                <w:szCs w:val="20"/>
                <w:color w:val="auto"/>
              </w:rPr>
            </w:pPr>
            <w:r>
              <w:rPr>
                <w:rFonts w:ascii="Arial" w:cs="Arial" w:eastAsia="Arial" w:hAnsi="Arial"/>
                <w:sz w:val="18"/>
                <w:szCs w:val="18"/>
                <w:b w:val="1"/>
                <w:bCs w:val="1"/>
                <w:color w:val="auto"/>
              </w:rPr>
              <w:t>Gross Margin</w:t>
            </w: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53"/>
        </w:trPr>
        <w:tc>
          <w:tcPr>
            <w:tcW w:w="10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Three months</w:t>
            </w:r>
          </w:p>
        </w:tc>
        <w:tc>
          <w:tcPr>
            <w:tcW w:w="9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Nine months</w:t>
            </w:r>
          </w:p>
        </w:tc>
        <w:tc>
          <w:tcPr>
            <w:tcW w:w="10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209"/>
        </w:trPr>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5"/>
          </w:tcPr>
          <w:p>
            <w:pPr>
              <w:jc w:val="center"/>
              <w:ind w:left="290"/>
              <w:spacing w:after="0"/>
              <w:rPr>
                <w:sz w:val="20"/>
                <w:szCs w:val="20"/>
                <w:color w:val="auto"/>
              </w:rPr>
            </w:pPr>
            <w:r>
              <w:rPr>
                <w:rFonts w:ascii="Arial" w:cs="Arial" w:eastAsia="Arial" w:hAnsi="Arial"/>
                <w:sz w:val="18"/>
                <w:szCs w:val="18"/>
                <w:b w:val="1"/>
                <w:bCs w:val="1"/>
                <w:color w:val="auto"/>
                <w:w w:val="89"/>
              </w:rPr>
              <w:t>Periods ended January 31,</w:t>
            </w: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0"/>
        </w:trPr>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4"/>
          </w:tcPr>
          <w:p>
            <w:pPr>
              <w:jc w:val="center"/>
              <w:ind w:right="500"/>
              <w:spacing w:after="0"/>
              <w:rPr>
                <w:sz w:val="20"/>
                <w:szCs w:val="20"/>
                <w:color w:val="auto"/>
              </w:rPr>
            </w:pPr>
            <w:r>
              <w:rPr>
                <w:rFonts w:ascii="Arial" w:cs="Arial" w:eastAsia="Arial" w:hAnsi="Arial"/>
                <w:sz w:val="18"/>
                <w:szCs w:val="18"/>
                <w:b w:val="1"/>
                <w:bCs w:val="1"/>
                <w:color w:val="auto"/>
                <w:w w:val="88"/>
              </w:rPr>
              <w:t>(in thousands)</w:t>
            </w: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09"/>
        </w:trPr>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2022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2021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Change</w:t>
            </w:r>
          </w:p>
        </w:tc>
        <w:tc>
          <w:tcPr>
            <w:tcW w:w="54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Change</w:t>
            </w:r>
          </w:p>
        </w:tc>
        <w:tc>
          <w:tcPr>
            <w:tcW w:w="4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0"/>
        </w:trPr>
        <w:tc>
          <w:tcPr>
            <w:tcW w:w="23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3,240</w:t>
            </w: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2,804</w:t>
            </w: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436</w:t>
            </w:r>
          </w:p>
        </w:tc>
        <w:tc>
          <w:tcPr>
            <w:tcW w:w="1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15.5%  $   11,392</w:t>
            </w:r>
          </w:p>
        </w:tc>
        <w:tc>
          <w:tcPr>
            <w:tcW w:w="2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12,214</w:t>
            </w:r>
          </w:p>
        </w:tc>
        <w:tc>
          <w:tcPr>
            <w:tcW w:w="2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(822)</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30"/>
        </w:trPr>
        <w:tc>
          <w:tcPr>
            <w:tcW w:w="2320" w:type="dxa"/>
            <w:vAlign w:val="bottom"/>
            <w:gridSpan w:val="4"/>
          </w:tcPr>
          <w:p>
            <w:pPr>
              <w:spacing w:after="0"/>
              <w:rPr>
                <w:sz w:val="20"/>
                <w:szCs w:val="20"/>
                <w:color w:val="auto"/>
              </w:rPr>
            </w:pPr>
            <w:r>
              <w:rPr>
                <w:rFonts w:ascii="Arial" w:cs="Arial" w:eastAsia="Arial" w:hAnsi="Arial"/>
                <w:sz w:val="18"/>
                <w:szCs w:val="18"/>
                <w:color w:val="auto"/>
              </w:rPr>
              <w:t>GM Rate</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24.0%</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80" w:type="dxa"/>
            <w:vAlign w:val="bottom"/>
            <w:gridSpan w:val="4"/>
          </w:tcPr>
          <w:p>
            <w:pPr>
              <w:jc w:val="right"/>
              <w:ind w:right="60"/>
              <w:spacing w:after="0"/>
              <w:rPr>
                <w:sz w:val="20"/>
                <w:szCs w:val="20"/>
                <w:color w:val="auto"/>
              </w:rPr>
            </w:pPr>
            <w:r>
              <w:rPr>
                <w:rFonts w:ascii="Arial" w:cs="Arial" w:eastAsia="Arial" w:hAnsi="Arial"/>
                <w:sz w:val="18"/>
                <w:szCs w:val="18"/>
                <w:color w:val="auto"/>
              </w:rPr>
              <w:t>29.9%</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31.6%</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r>
    </w:tbl>
    <w:p>
      <w:pPr>
        <w:spacing w:after="0" w:line="18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For the three-month period ended January 31, 2022, gross margin and GM Rate increased compared to the same period in fiscal year 2021. The increase in gross margin and GM Rate was affected by variations in engineering costs associated with programs in their development vs production phase in the prior year. For the nine-month period ended January 31, 2022, gross margin and GM Rate decreased as compared to the same period in fiscal year 2021. The decrease in gross margin and GM Rate was due to increased engineering costs on development phase programs that experienced particularly complex technical challenges, as well as cost impacts on several programs resulting from supply chain problems. Lack of availability of parts and materials and/or quality problems with traditional vendors resulted in the need to redesign certain electronic units to replace unavailable parts with different parts that were available in order to maintain contract delivery schedules. In several cases, re-procurement of circuit boards and mechanical parts was necessitated by quality issues in the supply chain, further contributing to increased costs.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Selling and Administrative Expenses</w:t>
      </w:r>
    </w:p>
    <w:p>
      <w:pPr>
        <w:spacing w:after="0" w:line="225" w:lineRule="exact"/>
        <w:rPr>
          <w:sz w:val="20"/>
          <w:szCs w:val="20"/>
          <w:color w:val="auto"/>
        </w:rPr>
      </w:pPr>
    </w:p>
    <w:tbl>
      <w:tblPr>
        <w:tblLayout w:type="fixed"/>
        <w:tblInd w:w="110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94"/>
              </w:rPr>
              <w:t>Three months</w:t>
            </w:r>
          </w:p>
        </w:tc>
        <w:tc>
          <w:tcPr>
            <w:tcW w:w="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Nine months</w:t>
            </w:r>
          </w:p>
        </w:tc>
        <w:tc>
          <w:tcPr>
            <w:tcW w:w="1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10"/>
        </w:trPr>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89"/>
              </w:rPr>
              <w:t>Periods ended January 31,</w:t>
            </w:r>
          </w:p>
        </w:tc>
        <w:tc>
          <w:tcPr>
            <w:tcW w:w="1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09"/>
        </w:trPr>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4"/>
          </w:tcPr>
          <w:p>
            <w:pPr>
              <w:jc w:val="center"/>
              <w:ind w:right="490"/>
              <w:spacing w:after="0"/>
              <w:rPr>
                <w:sz w:val="20"/>
                <w:szCs w:val="20"/>
                <w:color w:val="auto"/>
              </w:rPr>
            </w:pPr>
            <w:r>
              <w:rPr>
                <w:rFonts w:ascii="Arial" w:cs="Arial" w:eastAsia="Arial" w:hAnsi="Arial"/>
                <w:sz w:val="18"/>
                <w:szCs w:val="18"/>
                <w:b w:val="1"/>
                <w:bCs w:val="1"/>
                <w:color w:val="auto"/>
                <w:w w:val="88"/>
              </w:rPr>
              <w:t>(in thousands)</w:t>
            </w:r>
          </w:p>
        </w:tc>
        <w:tc>
          <w:tcPr>
            <w:tcW w:w="1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09"/>
        </w:trPr>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rPr>
              <w:t>Change</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Change</w:t>
            </w:r>
          </w:p>
        </w:tc>
        <w:tc>
          <w:tcPr>
            <w:tcW w:w="3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0"/>
        </w:trPr>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2,832</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2,454</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378</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15.4% $</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9,637</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9,805</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(168)</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(1.7)%</w:t>
            </w:r>
          </w:p>
        </w:tc>
      </w:tr>
    </w:tbl>
    <w:p>
      <w:pPr>
        <w:spacing w:after="0" w:line="202" w:lineRule="exact"/>
        <w:rPr>
          <w:sz w:val="20"/>
          <w:szCs w:val="20"/>
          <w:color w:val="auto"/>
        </w:rPr>
      </w:pPr>
    </w:p>
    <w:p>
      <w:pPr>
        <w:jc w:val="both"/>
        <w:ind w:right="20" w:firstLine="648"/>
        <w:spacing w:after="0" w:line="275" w:lineRule="auto"/>
        <w:rPr>
          <w:sz w:val="20"/>
          <w:szCs w:val="20"/>
          <w:color w:val="auto"/>
        </w:rPr>
      </w:pPr>
      <w:r>
        <w:rPr>
          <w:rFonts w:ascii="Arial" w:cs="Arial" w:eastAsia="Arial" w:hAnsi="Arial"/>
          <w:sz w:val="17"/>
          <w:szCs w:val="17"/>
          <w:color w:val="auto"/>
        </w:rPr>
        <w:t>For the three months ended January 31, 2022 and 2021, selling, and administrative (“SG&amp;A”) expenses were approximately 23% and 21%, respectively, of consolidated revenues. Increases reflect the impact of rising costs for various services. For the nine months ended January 31, 2022 and 2021, SG&amp;A expenses were approximately 25%, of consolidated revenues. The decrease in SG&amp;A expenses for the nine months ended January 31, 2022 as compared to the prior year period is mainly due to the decrease in professional fees. With the previously announced settlement of litigation with the Company’s former Chief Scientist we expect this trend to continue as expenses normalize.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Research and Development Expenses</w:t>
      </w:r>
    </w:p>
    <w:p>
      <w:pPr>
        <w:spacing w:after="0" w:line="225" w:lineRule="exact"/>
        <w:rPr>
          <w:sz w:val="20"/>
          <w:szCs w:val="20"/>
          <w:color w:val="auto"/>
        </w:rPr>
      </w:pPr>
    </w:p>
    <w:tbl>
      <w:tblPr>
        <w:tblLayout w:type="fixed"/>
        <w:tblInd w:w="110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94"/>
              </w:rPr>
              <w:t>Three months</w:t>
            </w:r>
          </w:p>
        </w:tc>
        <w:tc>
          <w:tcPr>
            <w:tcW w:w="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Nine months</w:t>
            </w:r>
          </w:p>
        </w:tc>
        <w:tc>
          <w:tcPr>
            <w:tcW w:w="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10"/>
        </w:trPr>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5"/>
          </w:tcPr>
          <w:p>
            <w:pPr>
              <w:jc w:val="right"/>
              <w:ind w:right="230"/>
              <w:spacing w:after="0"/>
              <w:rPr>
                <w:sz w:val="20"/>
                <w:szCs w:val="20"/>
                <w:color w:val="auto"/>
              </w:rPr>
            </w:pPr>
            <w:r>
              <w:rPr>
                <w:rFonts w:ascii="Arial" w:cs="Arial" w:eastAsia="Arial" w:hAnsi="Arial"/>
                <w:sz w:val="18"/>
                <w:szCs w:val="18"/>
                <w:b w:val="1"/>
                <w:bCs w:val="1"/>
                <w:color w:val="auto"/>
              </w:rPr>
              <w:t>Periods ended January 31,</w:t>
            </w: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209"/>
        </w:trPr>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87"/>
              </w:rPr>
              <w:t>(in thousands)</w:t>
            </w:r>
          </w:p>
        </w:tc>
        <w:tc>
          <w:tcPr>
            <w:tcW w:w="8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210"/>
        </w:trPr>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Change</w:t>
            </w:r>
          </w:p>
        </w:tc>
        <w:tc>
          <w:tcPr>
            <w:tcW w:w="38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89"/>
              </w:rPr>
              <w:t>2022</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Change</w:t>
            </w:r>
          </w:p>
        </w:tc>
        <w:tc>
          <w:tcPr>
            <w:tcW w:w="3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210"/>
        </w:trPr>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(160)</w:t>
            </w:r>
          </w:p>
        </w:tc>
        <w:tc>
          <w:tcPr>
            <w:tcW w:w="11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(12.4)% $</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3,861</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3,466</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395</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11.4%</w:t>
            </w:r>
          </w:p>
        </w:tc>
      </w:tr>
    </w:tbl>
    <w:p>
      <w:pPr>
        <w:spacing w:after="0" w:line="202" w:lineRule="exact"/>
        <w:rPr>
          <w:sz w:val="20"/>
          <w:szCs w:val="20"/>
          <w:color w:val="auto"/>
        </w:rPr>
      </w:pPr>
    </w:p>
    <w:p>
      <w:pPr>
        <w:jc w:val="both"/>
        <w:ind w:right="20" w:firstLine="648"/>
        <w:spacing w:after="0" w:line="271" w:lineRule="auto"/>
        <w:rPr>
          <w:sz w:val="20"/>
          <w:szCs w:val="20"/>
          <w:color w:val="auto"/>
        </w:rPr>
      </w:pPr>
      <w:r>
        <w:rPr>
          <w:rFonts w:ascii="Arial" w:cs="Arial" w:eastAsia="Arial" w:hAnsi="Arial"/>
          <w:sz w:val="17"/>
          <w:szCs w:val="17"/>
          <w:color w:val="auto"/>
        </w:rPr>
        <w:t>Research and development (“R&amp;D”) expenditures represent investments intended to keep the Company’s products at the leading edge of time and frequency technology and enhance future competitiveness. The R&amp;D rate for the three-month period ended January 31, 2022 was 9% of sales compared to 11% of sales for the same period of the previous fiscal year. R&amp;D decreases for the third quarter of fiscal year 2022 are related to a focus on projects currently in the production phase. The R&amp;D rate for the nine-month period ended January 31, 2022 was 10% of sales compared to 9% of sales for the same period of the previous fiscal year. R&amp;D increases in the nine months ended January 31, 2022 were due to higher than usual level of internal R&amp;D associated with investments the Company is making in new technology developments related to atomic clocks and low-noise oscillators that are intended to produce long-term increases in revenue and position the Company to compete in the market place with next generation products. The Company plans to continue to invest in R&amp;D to keep its products at the state of the art.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08" w:right="45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07"/>
        </w:trPr>
        <w:tc>
          <w:tcPr>
            <w:tcW w:w="1420" w:type="dxa"/>
            <w:vAlign w:val="bottom"/>
            <w:gridSpan w:val="5"/>
          </w:tcPr>
          <w:p>
            <w:pPr>
              <w:spacing w:after="0"/>
              <w:rPr>
                <w:rFonts w:ascii="Arial" w:cs="Arial" w:eastAsia="Arial" w:hAnsi="Arial"/>
                <w:sz w:val="18"/>
                <w:szCs w:val="18"/>
                <w:color w:val="0000EE"/>
                <w:w w:val="98"/>
              </w:rPr>
            </w:pPr>
            <w:hyperlink w:anchor="page2">
              <w:r>
                <w:rPr>
                  <w:rFonts w:ascii="Arial" w:cs="Arial" w:eastAsia="Arial" w:hAnsi="Arial"/>
                  <w:sz w:val="18"/>
                  <w:szCs w:val="18"/>
                  <w:color w:val="0000EE"/>
                  <w:w w:val="98"/>
                </w:rPr>
                <w:t>Table of Contents</w:t>
              </w:r>
            </w:hyperlink>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8"/>
        </w:trPr>
        <w:tc>
          <w:tcPr>
            <w:tcW w:w="1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20" w:type="dxa"/>
            <w:vAlign w:val="bottom"/>
            <w:gridSpan w:val="14"/>
          </w:tcPr>
          <w:p>
            <w:pPr>
              <w:jc w:val="center"/>
              <w:spacing w:after="0"/>
              <w:rPr>
                <w:sz w:val="20"/>
                <w:szCs w:val="20"/>
                <w:color w:val="auto"/>
              </w:rPr>
            </w:pPr>
            <w:r>
              <w:rPr>
                <w:rFonts w:ascii="Arial" w:cs="Arial" w:eastAsia="Arial" w:hAnsi="Arial"/>
                <w:sz w:val="18"/>
                <w:szCs w:val="18"/>
                <w:b w:val="1"/>
                <w:bCs w:val="1"/>
                <w:color w:val="auto"/>
                <w:w w:val="99"/>
              </w:rPr>
              <w:t>FREQUENCY ELECTRONICS, INC. and SUBSIDIARIES</w:t>
            </w: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42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Operating Loss</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gridSpan w:val="3"/>
          </w:tcPr>
          <w:p>
            <w:pPr>
              <w:jc w:val="center"/>
              <w:ind w:left="10"/>
              <w:spacing w:after="0"/>
              <w:rPr>
                <w:sz w:val="20"/>
                <w:szCs w:val="20"/>
                <w:color w:val="auto"/>
              </w:rPr>
            </w:pPr>
            <w:r>
              <w:rPr>
                <w:rFonts w:ascii="Arial" w:cs="Arial" w:eastAsia="Arial" w:hAnsi="Arial"/>
                <w:sz w:val="18"/>
                <w:szCs w:val="18"/>
                <w:color w:val="auto"/>
                <w:w w:val="93"/>
              </w:rPr>
              <w:t>(Continued)</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1420" w:type="dxa"/>
            <w:vAlign w:val="bottom"/>
            <w:gridSpan w:val="5"/>
            <w:vMerge w:val="continue"/>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3"/>
        </w:trPr>
        <w:tc>
          <w:tcPr>
            <w:tcW w:w="11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w w:val="92"/>
              </w:rPr>
              <w:t>Three months</w:t>
            </w: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b w:val="1"/>
                <w:bCs w:val="1"/>
                <w:color w:val="auto"/>
                <w:w w:val="93"/>
              </w:rPr>
              <w:t>Nine months</w:t>
            </w:r>
          </w:p>
        </w:tc>
        <w:tc>
          <w:tcPr>
            <w:tcW w:w="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6"/>
          </w:tcPr>
          <w:p>
            <w:pPr>
              <w:jc w:val="right"/>
              <w:ind w:right="420"/>
              <w:spacing w:after="0"/>
              <w:rPr>
                <w:sz w:val="20"/>
                <w:szCs w:val="20"/>
                <w:color w:val="auto"/>
              </w:rPr>
            </w:pPr>
            <w:r>
              <w:rPr>
                <w:rFonts w:ascii="Arial" w:cs="Arial" w:eastAsia="Arial" w:hAnsi="Arial"/>
                <w:sz w:val="18"/>
                <w:szCs w:val="18"/>
                <w:b w:val="1"/>
                <w:bCs w:val="1"/>
                <w:color w:val="auto"/>
              </w:rPr>
              <w:t>Periods ended January 31,</w:t>
            </w: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87"/>
              </w:rPr>
              <w:t>(in thousands)</w:t>
            </w: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Change</w:t>
            </w:r>
          </w:p>
        </w:tc>
        <w:tc>
          <w:tcPr>
            <w:tcW w:w="38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Change</w:t>
            </w:r>
          </w:p>
        </w:tc>
        <w:tc>
          <w:tcPr>
            <w:tcW w:w="3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00" w:type="dxa"/>
            <w:vAlign w:val="bottom"/>
          </w:tcPr>
          <w:p>
            <w:pPr>
              <w:spacing w:after="0"/>
              <w:rPr>
                <w:sz w:val="18"/>
                <w:szCs w:val="18"/>
                <w:color w:val="auto"/>
              </w:rPr>
            </w:pPr>
          </w:p>
        </w:tc>
        <w:tc>
          <w:tcPr>
            <w:tcW w:w="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(721)</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(939)</w:t>
            </w: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218</w:t>
            </w:r>
          </w:p>
        </w:tc>
        <w:tc>
          <w:tcPr>
            <w:tcW w:w="11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(23.2)% $</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(2,106)</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(1,057)</w:t>
            </w:r>
          </w:p>
        </w:tc>
        <w:tc>
          <w:tcPr>
            <w:tcW w:w="110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w w:val="99"/>
              </w:rPr>
              <w:t>$ (1,049)</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99.2%</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During the three-month period ended January 31, 2022, operating losses resulted largely in FEI-Zyfer, reflecting the impact of reduced revenue, as compared with the same period in fiscal year 2021. Operating losses for the nine-month period ended January 31, 2022 resulted from lower revenues and lower gross margins. During both periods the Company experienced increased supply chain and other costs.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00" w:type="dxa"/>
            <w:vAlign w:val="bottom"/>
            <w:gridSpan w:val="2"/>
          </w:tcPr>
          <w:p>
            <w:pPr>
              <w:spacing w:after="0"/>
              <w:rPr>
                <w:sz w:val="20"/>
                <w:szCs w:val="20"/>
                <w:color w:val="auto"/>
              </w:rPr>
            </w:pPr>
            <w:r>
              <w:rPr>
                <w:rFonts w:ascii="Arial" w:cs="Arial" w:eastAsia="Arial" w:hAnsi="Arial"/>
                <w:sz w:val="18"/>
                <w:szCs w:val="18"/>
                <w:b w:val="1"/>
                <w:bCs w:val="1"/>
                <w:color w:val="auto"/>
              </w:rPr>
              <w:t>Other Income (Expense), net</w:t>
            </w: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453"/>
        </w:trPr>
        <w:tc>
          <w:tcPr>
            <w:tcW w:w="220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w w:val="94"/>
              </w:rPr>
              <w:t>Three months</w:t>
            </w:r>
          </w:p>
        </w:tc>
        <w:tc>
          <w:tcPr>
            <w:tcW w:w="4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8"/>
                <w:szCs w:val="18"/>
                <w:b w:val="1"/>
                <w:bCs w:val="1"/>
                <w:color w:val="auto"/>
                <w:w w:val="95"/>
              </w:rPr>
              <w:t>Nine months</w:t>
            </w:r>
          </w:p>
        </w:tc>
        <w:tc>
          <w:tcPr>
            <w:tcW w:w="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209"/>
        </w:trPr>
        <w:tc>
          <w:tcPr>
            <w:tcW w:w="2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6"/>
          </w:tcPr>
          <w:p>
            <w:pPr>
              <w:jc w:val="right"/>
              <w:ind w:right="240"/>
              <w:spacing w:after="0"/>
              <w:rPr>
                <w:sz w:val="20"/>
                <w:szCs w:val="20"/>
                <w:color w:val="auto"/>
              </w:rPr>
            </w:pPr>
            <w:r>
              <w:rPr>
                <w:rFonts w:ascii="Arial" w:cs="Arial" w:eastAsia="Arial" w:hAnsi="Arial"/>
                <w:sz w:val="18"/>
                <w:szCs w:val="18"/>
                <w:b w:val="1"/>
                <w:bCs w:val="1"/>
                <w:color w:val="auto"/>
                <w:w w:val="88"/>
              </w:rPr>
              <w:t>Periods ended January 31,</w:t>
            </w: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0"/>
        </w:trPr>
        <w:tc>
          <w:tcPr>
            <w:tcW w:w="2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5"/>
          </w:tcPr>
          <w:p>
            <w:pPr>
              <w:jc w:val="right"/>
              <w:ind w:right="700"/>
              <w:spacing w:after="0"/>
              <w:rPr>
                <w:sz w:val="20"/>
                <w:szCs w:val="20"/>
                <w:color w:val="auto"/>
              </w:rPr>
            </w:pPr>
            <w:r>
              <w:rPr>
                <w:rFonts w:ascii="Arial" w:cs="Arial" w:eastAsia="Arial" w:hAnsi="Arial"/>
                <w:sz w:val="18"/>
                <w:szCs w:val="18"/>
                <w:b w:val="1"/>
                <w:bCs w:val="1"/>
                <w:color w:val="auto"/>
              </w:rPr>
              <w:t>(in thousands)</w:t>
            </w: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09"/>
        </w:trPr>
        <w:tc>
          <w:tcPr>
            <w:tcW w:w="2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2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ind w:left="240"/>
              <w:spacing w:after="0"/>
              <w:rPr>
                <w:sz w:val="20"/>
                <w:szCs w:val="20"/>
                <w:color w:val="auto"/>
              </w:rPr>
            </w:pPr>
            <w:r>
              <w:rPr>
                <w:rFonts w:ascii="Arial" w:cs="Arial" w:eastAsia="Arial" w:hAnsi="Arial"/>
                <w:sz w:val="18"/>
                <w:szCs w:val="18"/>
                <w:b w:val="1"/>
                <w:bCs w:val="1"/>
                <w:color w:val="auto"/>
              </w:rPr>
              <w:t>Change</w:t>
            </w:r>
          </w:p>
        </w:tc>
        <w:tc>
          <w:tcPr>
            <w:tcW w:w="3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3"/>
          </w:tcPr>
          <w:p>
            <w:pPr>
              <w:ind w:left="260"/>
              <w:spacing w:after="0"/>
              <w:rPr>
                <w:sz w:val="20"/>
                <w:szCs w:val="20"/>
                <w:color w:val="auto"/>
              </w:rPr>
            </w:pPr>
            <w:r>
              <w:rPr>
                <w:rFonts w:ascii="Arial" w:cs="Arial" w:eastAsia="Arial" w:hAnsi="Arial"/>
                <w:sz w:val="18"/>
                <w:szCs w:val="18"/>
                <w:b w:val="1"/>
                <w:bCs w:val="1"/>
                <w:color w:val="auto"/>
                <w:w w:val="90"/>
              </w:rPr>
              <w:t>Change</w:t>
            </w:r>
          </w:p>
        </w:tc>
        <w:tc>
          <w:tcPr>
            <w:tcW w:w="4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09"/>
        </w:trPr>
        <w:tc>
          <w:tcPr>
            <w:tcW w:w="27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660" w:type="dxa"/>
            <w:vAlign w:val="bottom"/>
            <w:shd w:val="clear" w:color="auto" w:fill="CCEEFF"/>
          </w:tcPr>
          <w:p>
            <w:pPr>
              <w:jc w:val="right"/>
              <w:ind w:right="536"/>
              <w:spacing w:after="0"/>
              <w:rPr>
                <w:sz w:val="20"/>
                <w:szCs w:val="20"/>
                <w:color w:val="auto"/>
              </w:rPr>
            </w:pPr>
            <w:r>
              <w:rPr>
                <w:rFonts w:ascii="Arial" w:cs="Arial" w:eastAsia="Arial" w:hAnsi="Arial"/>
                <w:sz w:val="10"/>
                <w:szCs w:val="10"/>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(156)</w:t>
            </w:r>
          </w:p>
        </w:tc>
        <w:tc>
          <w:tcPr>
            <w:tcW w:w="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(97.5)%</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(121)</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(38.3)%</w:t>
            </w: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660" w:type="dxa"/>
            <w:vAlign w:val="bottom"/>
          </w:tcPr>
          <w:p>
            <w:pPr>
              <w:spacing w:after="0"/>
              <w:rPr>
                <w:sz w:val="18"/>
                <w:szCs w:val="18"/>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ind w:right="70"/>
              <w:spacing w:after="0"/>
              <w:rPr>
                <w:sz w:val="20"/>
                <w:szCs w:val="20"/>
                <w:color w:val="auto"/>
              </w:rPr>
            </w:pPr>
            <w:r>
              <w:rPr>
                <w:rFonts w:ascii="Arial" w:cs="Arial" w:eastAsia="Arial" w:hAnsi="Arial"/>
                <w:sz w:val="18"/>
                <w:szCs w:val="18"/>
                <w:color w:val="auto"/>
              </w:rPr>
              <w:t>(10)</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111.1%</w:t>
            </w:r>
          </w:p>
        </w:tc>
        <w:tc>
          <w:tcPr>
            <w:tcW w:w="2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(59)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(84)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8"/>
              </w:rPr>
              <w:t>(29.8)%</w:t>
            </w:r>
          </w:p>
        </w:tc>
      </w:tr>
      <w:tr>
        <w:trPr>
          <w:trHeight w:val="216"/>
        </w:trPr>
        <w:tc>
          <w:tcPr>
            <w:tcW w:w="27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24.0%</w:t>
            </w:r>
          </w:p>
        </w:tc>
      </w:tr>
      <w:tr>
        <w:trPr>
          <w:trHeight w:val="20"/>
        </w:trPr>
        <w:tc>
          <w:tcPr>
            <w:tcW w:w="2200" w:type="dxa"/>
            <w:vAlign w:val="bottom"/>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09"/>
        </w:trPr>
        <w:tc>
          <w:tcPr>
            <w:tcW w:w="2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jc w:val="right"/>
              <w:ind w:right="536"/>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(13)</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151</w:t>
            </w:r>
          </w:p>
        </w:tc>
        <w:tc>
          <w:tcPr>
            <w:tcW w:w="14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70"/>
              <w:spacing w:after="0"/>
              <w:rPr>
                <w:sz w:val="20"/>
                <w:szCs w:val="20"/>
                <w:color w:val="auto"/>
              </w:rPr>
            </w:pPr>
            <w:r>
              <w:rPr>
                <w:rFonts w:ascii="Arial" w:cs="Arial" w:eastAsia="Arial" w:hAnsi="Arial"/>
                <w:sz w:val="18"/>
                <w:szCs w:val="18"/>
                <w:color w:val="auto"/>
              </w:rPr>
              <w:t>(164)</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(108.6)%</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296</w:t>
            </w:r>
          </w:p>
        </w:tc>
        <w:tc>
          <w:tcPr>
            <w:tcW w:w="12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361</w:t>
            </w:r>
          </w:p>
        </w:tc>
        <w:tc>
          <w:tcPr>
            <w:tcW w:w="140" w:type="dxa"/>
            <w:vAlign w:val="bottom"/>
          </w:tcPr>
          <w:p>
            <w:pPr>
              <w:spacing w:after="0"/>
              <w:rPr>
                <w:sz w:val="18"/>
                <w:szCs w:val="18"/>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(65)</w:t>
            </w:r>
          </w:p>
        </w:tc>
        <w:tc>
          <w:tcPr>
            <w:tcW w:w="2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8"/>
              </w:rPr>
              <w:t>(18.0)%</w:t>
            </w:r>
          </w:p>
        </w:tc>
      </w:tr>
      <w:tr>
        <w:trPr>
          <w:trHeight w:val="20"/>
        </w:trPr>
        <w:tc>
          <w:tcPr>
            <w:tcW w:w="2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Investment income is derived primarily from the Company’s holdings of marketable securities. Earnings on securities may vary based on fluctuating interest rates, dividend payout levels, and the timing of purchases, sales, redemptions or maturities of securities. For the nine-month period ended January 31, 2022 investment income included a $123,000 dividend from Morion, compared to a $105,000 dividend from Morion in the same period in fiscal 2021.</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00" w:type="dxa"/>
            <w:vAlign w:val="bottom"/>
            <w:gridSpan w:val="4"/>
          </w:tcPr>
          <w:p>
            <w:pPr>
              <w:spacing w:after="0"/>
              <w:rPr>
                <w:sz w:val="20"/>
                <w:szCs w:val="20"/>
                <w:color w:val="auto"/>
              </w:rPr>
            </w:pPr>
            <w:r>
              <w:rPr>
                <w:rFonts w:ascii="Arial" w:cs="Arial" w:eastAsia="Arial" w:hAnsi="Arial"/>
                <w:sz w:val="18"/>
                <w:szCs w:val="18"/>
                <w:b w:val="1"/>
                <w:bCs w:val="1"/>
                <w:color w:val="auto"/>
              </w:rPr>
              <w:t>Income Tax Provision</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453"/>
        </w:trPr>
        <w:tc>
          <w:tcPr>
            <w:tcW w:w="11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500" w:type="dxa"/>
            <w:vAlign w:val="bottom"/>
            <w:tcBorders>
              <w:top w:val="single" w:sz="8" w:color="auto"/>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4"/>
              </w:rPr>
              <w:t>Three months</w:t>
            </w: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b w:val="1"/>
                <w:bCs w:val="1"/>
                <w:color w:val="auto"/>
              </w:rPr>
              <w:t>Nine months</w:t>
            </w: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10"/>
        </w:trPr>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8"/>
          </w:tcPr>
          <w:p>
            <w:pPr>
              <w:ind w:left="280"/>
              <w:spacing w:after="0"/>
              <w:rPr>
                <w:sz w:val="20"/>
                <w:szCs w:val="20"/>
                <w:color w:val="auto"/>
              </w:rPr>
            </w:pPr>
            <w:r>
              <w:rPr>
                <w:rFonts w:ascii="Arial" w:cs="Arial" w:eastAsia="Arial" w:hAnsi="Arial"/>
                <w:sz w:val="18"/>
                <w:szCs w:val="18"/>
                <w:b w:val="1"/>
                <w:bCs w:val="1"/>
                <w:color w:val="auto"/>
              </w:rPr>
              <w:t>Periods ended January 31,</w:t>
            </w: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09"/>
        </w:trPr>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7"/>
          </w:tcPr>
          <w:p>
            <w:pPr>
              <w:spacing w:after="0"/>
              <w:rPr>
                <w:sz w:val="20"/>
                <w:szCs w:val="20"/>
                <w:color w:val="auto"/>
              </w:rPr>
            </w:pPr>
            <w:r>
              <w:rPr>
                <w:rFonts w:ascii="Arial" w:cs="Arial" w:eastAsia="Arial" w:hAnsi="Arial"/>
                <w:sz w:val="18"/>
                <w:szCs w:val="18"/>
                <w:b w:val="1"/>
                <w:bCs w:val="1"/>
                <w:color w:val="auto"/>
              </w:rPr>
              <w:t>(in thousands)</w:t>
            </w: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0"/>
        </w:trPr>
        <w:tc>
          <w:tcPr>
            <w:tcW w:w="1160" w:type="dxa"/>
            <w:vAlign w:val="bottom"/>
            <w:gridSpan w:val="2"/>
          </w:tcPr>
          <w:p>
            <w:pPr>
              <w:spacing w:after="0"/>
              <w:rPr>
                <w:sz w:val="18"/>
                <w:szCs w:val="18"/>
                <w:color w:val="auto"/>
              </w:rPr>
            </w:pPr>
          </w:p>
        </w:tc>
        <w:tc>
          <w:tcPr>
            <w:tcW w:w="9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w w:val="87"/>
              </w:rPr>
              <w:t>Change</w:t>
            </w:r>
          </w:p>
        </w:tc>
        <w:tc>
          <w:tcPr>
            <w:tcW w:w="38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2022</w:t>
            </w:r>
          </w:p>
        </w:tc>
        <w:tc>
          <w:tcPr>
            <w:tcW w:w="1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b w:val="1"/>
                <w:bCs w:val="1"/>
                <w:color w:val="auto"/>
              </w:rPr>
              <w:t>Change</w:t>
            </w:r>
          </w:p>
        </w:tc>
        <w:tc>
          <w:tcPr>
            <w:tcW w:w="20" w:type="dxa"/>
            <w:vAlign w:val="bottom"/>
          </w:tcPr>
          <w:p>
            <w:pPr>
              <w:spacing w:after="0"/>
              <w:rPr>
                <w:sz w:val="18"/>
                <w:szCs w:val="18"/>
                <w:color w:val="auto"/>
              </w:rPr>
            </w:pPr>
          </w:p>
        </w:tc>
        <w:tc>
          <w:tcPr>
            <w:tcW w:w="340" w:type="dxa"/>
            <w:vAlign w:val="bottom"/>
            <w:gridSpan w:val="2"/>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0"/>
        </w:trPr>
        <w:tc>
          <w:tcPr>
            <w:tcW w:w="1100" w:type="dxa"/>
            <w:vAlign w:val="bottom"/>
          </w:tcPr>
          <w:p>
            <w:pPr>
              <w:spacing w:after="0"/>
              <w:rPr>
                <w:sz w:val="18"/>
                <w:szCs w:val="18"/>
                <w:color w:val="auto"/>
              </w:rPr>
            </w:pPr>
          </w:p>
        </w:tc>
        <w:tc>
          <w:tcPr>
            <w:tcW w:w="56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(11)</w:t>
            </w:r>
          </w:p>
        </w:tc>
        <w:tc>
          <w:tcPr>
            <w:tcW w:w="8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(91.7)% $</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(34)</w:t>
            </w:r>
          </w:p>
        </w:tc>
        <w:tc>
          <w:tcPr>
            <w:tcW w:w="8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(91.9)%</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648"/>
        </w:trPr>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6"/>
          </w:tcPr>
          <w:p>
            <w:pPr>
              <w:jc w:val="right"/>
              <w:ind w:right="610"/>
              <w:spacing w:after="0"/>
              <w:rPr>
                <w:sz w:val="20"/>
                <w:szCs w:val="20"/>
                <w:color w:val="auto"/>
              </w:rPr>
            </w:pPr>
            <w:r>
              <w:rPr>
                <w:rFonts w:ascii="Arial" w:cs="Arial" w:eastAsia="Arial" w:hAnsi="Arial"/>
                <w:sz w:val="18"/>
                <w:szCs w:val="18"/>
                <w:b w:val="1"/>
                <w:bCs w:val="1"/>
                <w:color w:val="auto"/>
              </w:rPr>
              <w:t>Three months</w:t>
            </w:r>
          </w:p>
        </w:tc>
        <w:tc>
          <w:tcPr>
            <w:tcW w:w="26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w w:val="89"/>
              </w:rPr>
              <w:t>Nine months</w:t>
            </w:r>
          </w:p>
        </w:tc>
        <w:tc>
          <w:tcPr>
            <w:tcW w:w="7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210"/>
        </w:trPr>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12"/>
          </w:tcPr>
          <w:p>
            <w:pPr>
              <w:ind w:left="60"/>
              <w:spacing w:after="0"/>
              <w:rPr>
                <w:sz w:val="20"/>
                <w:szCs w:val="20"/>
                <w:color w:val="auto"/>
              </w:rPr>
            </w:pPr>
            <w:r>
              <w:rPr>
                <w:rFonts w:ascii="Arial" w:cs="Arial" w:eastAsia="Arial" w:hAnsi="Arial"/>
                <w:sz w:val="18"/>
                <w:szCs w:val="18"/>
                <w:b w:val="1"/>
                <w:bCs w:val="1"/>
                <w:color w:val="auto"/>
              </w:rPr>
              <w:t>Periods ended January 31,</w:t>
            </w:r>
          </w:p>
        </w:tc>
        <w:tc>
          <w:tcPr>
            <w:tcW w:w="7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09"/>
        </w:trPr>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w w:val="89"/>
              </w:rPr>
              <w:t>2022</w:t>
            </w:r>
          </w:p>
        </w:tc>
        <w:tc>
          <w:tcPr>
            <w:tcW w:w="34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18"/>
                <w:szCs w:val="18"/>
                <w:color w:val="auto"/>
              </w:rPr>
            </w:pPr>
          </w:p>
        </w:tc>
      </w:tr>
      <w:tr>
        <w:trPr>
          <w:trHeight w:val="210"/>
        </w:trPr>
        <w:tc>
          <w:tcPr>
            <w:tcW w:w="380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Effective tax rate on pre-tax book loss:</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(0.2)%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r>
    </w:tbl>
    <w:p>
      <w:pPr>
        <w:spacing w:after="0" w:line="202" w:lineRule="exact"/>
        <w:rPr>
          <w:sz w:val="20"/>
          <w:szCs w:val="20"/>
          <w:color w:val="auto"/>
        </w:rPr>
      </w:pPr>
    </w:p>
    <w:p>
      <w:pPr>
        <w:ind w:right="80" w:firstLine="402"/>
        <w:spacing w:after="0" w:line="263" w:lineRule="auto"/>
        <w:rPr>
          <w:sz w:val="20"/>
          <w:szCs w:val="20"/>
          <w:color w:val="auto"/>
        </w:rPr>
      </w:pPr>
      <w:r>
        <w:rPr>
          <w:rFonts w:ascii="Arial" w:cs="Arial" w:eastAsia="Arial" w:hAnsi="Arial"/>
          <w:sz w:val="18"/>
          <w:szCs w:val="18"/>
          <w:color w:val="auto"/>
        </w:rPr>
        <w:t>The estimated annual effective tax rate for the fiscal year ending April 30, 2022 is 0%. This calculation reflects estimated income tax expense based on our current year annual pretax income forecast which is offset by the estimated change in the current year valuation allowance. The Company maintains a full valuation allowance against its deferred tax assets.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08" w:right="47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the three months ended January 31, 2022, the Company recorded an income tax provision of $894. For the three months ended January 31, 2021, the Company recorded an income tax provision of $12,000, consisting of a discrete income tax provision of $12,000 primarily related to an accrual of interest for unrecognized tax benefits.</w:t>
      </w:r>
    </w:p>
    <w:p>
      <w:pPr>
        <w:spacing w:after="0" w:line="184"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For the nine months ended January 31, 2022, the Company recorded an income tax provision of $3,144. For the nine months ended January 31, 2021, the Company recorded a discrete income tax provision of $37,000, primarily related to an accrual of interest for unrecognized tax benefits.</w:t>
      </w:r>
    </w:p>
    <w:p>
      <w:pPr>
        <w:spacing w:after="0" w:line="124"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The effective tax rate for the three months ended January 31, 2022 was an income tax provision of (0.1)% on pretax loss of $734,000 compared to an income tax provision of (1.5)% on pretax loss of $788,000 in the comparable prior fiscal year period. The effective tax rate for the three months ended January 31, 2022 differs from the U.S. statutory rate of 21% primarily due to state taxes and domestic losses for which the Company is not recognizing an income tax benefit.</w:t>
      </w:r>
    </w:p>
    <w:p>
      <w:pPr>
        <w:spacing w:after="0" w:line="187"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The effective tax rate for the nine months ended January 31, 2022 was an income tax provision of (0.2)% on a pretax loss of $1.8 million compared to an income tax provision of (5.4)% on pretax loss of $696,000 in the comparable prior fiscal year period. The effective tax rate for the nine months ended January 31, 2022 differs from the U.S. statutory rate of 21% primarily due to state taxes and domestic losses for which the Company is not recognizing an income tax benefit.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The Company’s consolidated balance sheet continues to reflect a strong working capital position of approximately $40.0 million at January 31, 2022 and $40.6 million at April 30, 2021. Included in working capital at January 31, 2022 and April 30, 2021 was $22.2 million and $20.1 million, respectively, consisting of cash, cash equivalents, and marketable securities. The Company’s current ratio at January 31, 2022 was 4.8 to 1 compared to 6.0 to 1 as of April 30, 2021.</w:t>
      </w:r>
    </w:p>
    <w:p>
      <w:pPr>
        <w:spacing w:after="0" w:line="187" w:lineRule="exact"/>
        <w:rPr>
          <w:sz w:val="20"/>
          <w:szCs w:val="20"/>
          <w:color w:val="auto"/>
        </w:rPr>
      </w:pPr>
    </w:p>
    <w:p>
      <w:pPr>
        <w:jc w:val="both"/>
        <w:ind w:right="20" w:firstLine="648"/>
        <w:spacing w:after="0" w:line="291" w:lineRule="auto"/>
        <w:rPr>
          <w:sz w:val="20"/>
          <w:szCs w:val="20"/>
          <w:color w:val="auto"/>
        </w:rPr>
      </w:pPr>
      <w:r>
        <w:rPr>
          <w:rFonts w:ascii="Arial" w:cs="Arial" w:eastAsia="Arial" w:hAnsi="Arial"/>
          <w:sz w:val="16"/>
          <w:szCs w:val="16"/>
          <w:color w:val="auto"/>
        </w:rPr>
        <w:t>Net cash provided by operating activities for the nine-month periods ended January 31, 2022 and 2021 was approximately $4.0 million and $9.3 million, respectively. The decrease in cash flow in the fiscal 2022 period resulted mainly due to an increase in net loss offset by a decrease in non-cash adjustments, receivables and other assets. For the nine-month periods ended January 31, 2022 and 2021, the Company incurred approximately $2.9 million and $3.4 million, respectively, of non-cash operating expenses including ROU assets and liabilities for leases, loss provision accrual, depreciation and amortization, inventory reserve adjustments, deferred compensation, and accruals for employee benefit programs. During the current fiscal year the Company billed milestones on certain newer contracts that require longer lead times to procure materials and parts required to complete the projects. It has not been determined if this will occur going forward on new contracts or if it is specifically related to the current projects.</w:t>
      </w:r>
    </w:p>
    <w:p>
      <w:pPr>
        <w:spacing w:after="0" w:line="166" w:lineRule="exact"/>
        <w:rPr>
          <w:sz w:val="20"/>
          <w:szCs w:val="20"/>
          <w:color w:val="auto"/>
        </w:rPr>
      </w:pPr>
    </w:p>
    <w:p>
      <w:pPr>
        <w:jc w:val="both"/>
        <w:ind w:right="20" w:firstLine="648"/>
        <w:spacing w:after="0" w:line="273" w:lineRule="auto"/>
        <w:rPr>
          <w:sz w:val="20"/>
          <w:szCs w:val="20"/>
          <w:color w:val="auto"/>
        </w:rPr>
      </w:pPr>
      <w:r>
        <w:rPr>
          <w:rFonts w:ascii="Arial" w:cs="Arial" w:eastAsia="Arial" w:hAnsi="Arial"/>
          <w:sz w:val="17"/>
          <w:szCs w:val="17"/>
          <w:color w:val="auto"/>
        </w:rPr>
        <w:t>Net cash used in investing activities for the nine-month periods ended January 31, 2022 and 2021 was approximately $1.6 million and $921,000, respectively. During the nine months ended January 31, 2022 marketable securities were sold or redeemed in the amount of $1.7 million compared to $2.0 million for the same period of fiscal year 2021. During the nine months ended January 31, 2022 approximately $1.9 million of marketable securities were purchased compared to $1.9 million for the same period of fiscal year 2021. The Company acquired property, plant and equipment in the amount of approximately $1.5 million and $971,000 for the nine-month periods ended January 31, 2022 and 2021, respectively. The Company may continue to invest in cash equivalents as dictated by its investment strategy.</w:t>
      </w:r>
    </w:p>
    <w:p>
      <w:pPr>
        <w:spacing w:after="0" w:line="17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There was no cash used in financing activities for the nine months ended January 31, 2022 compared to approximately $5.0 million of net cash used in financing activities related to the repayment of the PPP Loan for the nine months ended January 31, 2021.</w:t>
      </w:r>
    </w:p>
    <w:p>
      <w:pPr>
        <w:spacing w:after="0" w:line="17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 Company has been authorized by its Board to repurchase up to $5 million worth of shares of its common stock when appropriate opportunities arise. As of January 31, 2022, the Company has repurchased approximately $4 million of its common stock out of the $5 million authorization. For the three and nine months ended January 31, 2022 and 2021 there were no repurchases of shares.</w:t>
      </w:r>
    </w:p>
    <w:p>
      <w:pPr>
        <w:spacing w:after="0" w:line="184" w:lineRule="exact"/>
        <w:rPr>
          <w:sz w:val="20"/>
          <w:szCs w:val="20"/>
          <w:color w:val="auto"/>
        </w:rPr>
      </w:pPr>
    </w:p>
    <w:p>
      <w:pPr>
        <w:jc w:val="both"/>
        <w:ind w:right="20" w:firstLine="648"/>
        <w:spacing w:after="0" w:line="275" w:lineRule="auto"/>
        <w:rPr>
          <w:sz w:val="20"/>
          <w:szCs w:val="20"/>
          <w:color w:val="auto"/>
        </w:rPr>
      </w:pPr>
      <w:r>
        <w:rPr>
          <w:rFonts w:ascii="Arial" w:cs="Arial" w:eastAsia="Arial" w:hAnsi="Arial"/>
          <w:sz w:val="17"/>
          <w:szCs w:val="17"/>
          <w:color w:val="auto"/>
        </w:rPr>
        <w:t>The Company will continue to expend resources to develop, improve and acquire products for space applications, guidance and targeting systems, and communication systems which management believes will result in future growth and profitability. The Company anticipates securing additional customer funding for a portion of its R&amp;D activities and will allocate internal funds depending on market conditions and identification of new opportunities. The Company expects internally generated cash will be adequate to fund these R&amp;D efforts. The Company may also pursue acquisitions to expand its range of products and may use internally generated cash and external funding in connection with such acquisitions.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5" w:right="4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1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As of January 31, 2022, the Company’s consolidated funded backlog was approximately $42 million compared to $40 million at April 30, 2021, the end of fiscal year 2021. Approximately 82% of this backlog is expected to be realized in the next twelve months. As of January 31, 2022, there were no amounts included in backlog under cost-plus fixed-fee contracts that have not been funded. The Company excludes from backlog any contracts or awards for which it has not received authorization to proceed. On fixed price contracts, the Company excludes any unfunded portion. Over time, as partially funded contracts become fully funded, the Company will add the additional funding to its backlog. The backlog is subject to change for various reasons, including possible cancellation of orders, change orders, terms of the contracts and other factors beyond the Company’s control. Accordingly, the backlog is not necessarily indicative of the revenues or profits (losses) which may be realized when the results of such contracts are reported.</w:t>
      </w:r>
    </w:p>
    <w:p>
      <w:pPr>
        <w:spacing w:after="0" w:line="19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 believes that its liquidity is adequate to meet its operating and investment needs through at least March 17, 2023 and the foreseeable future.</w:t>
      </w:r>
    </w:p>
    <w:p>
      <w:pPr>
        <w:spacing w:after="0" w:line="17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 Company does not have any off-balance sheet arrangements that have or are reasonably likely to have a current or future effect on the Company’s financial condition, revenues or expenses, results of operations, liquidity, capital expenditures or capital resources that is material to investors.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5" w:right="4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u w:val="single" w:color="auto"/>
          <w:color w:val="auto"/>
        </w:rPr>
        <w:t>Quantitative and Qualitative Disclosures about Market Risk</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 to smaller reporting companies.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u w:val="single" w:color="auto"/>
          <w:color w:val="auto"/>
        </w:rPr>
        <w:t>Controls and Procedures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Evaluation of Disclosure Controls and Procedures</w:t>
      </w:r>
    </w:p>
    <w:p>
      <w:pPr>
        <w:spacing w:after="0" w:line="225"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18"/>
          <w:szCs w:val="18"/>
          <w:color w:val="auto"/>
        </w:rPr>
        <w:t>The Company’s management, with the participation of the Company’s chief executive officer and chief financial officer, has evaluated the effectiveness of the Company’s disclosure controls and procedures (as such term is defined in Rules 13a-15(e) and 15d-15(e) under the Securities Exchange Act of 1934, as amended (the “Exchange Act”)) as of the end of the period covered by this report. Based on their evaluation, the Company’s chief executive officer and chief financial officer have concluded that, as of January 31, 2022, the Company’s disclosure controls and procedures were effective at a reasonable assurance level.</w:t>
      </w:r>
    </w:p>
    <w:p>
      <w:pPr>
        <w:spacing w:after="0" w:line="188"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Changes in Internal Control over Financial Reporting</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There were no changes in the Company’s internal control over financial reporting (as such term is defined in Rules 13a-15(f) and 15d-15(f) under the Exchange Act) during the three months ended January 31, 2022 to which this report relates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5" w:right="45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gridSpan w:val="3"/>
          </w:tcPr>
          <w:p>
            <w:pPr>
              <w:spacing w:after="0"/>
              <w:rPr>
                <w:rFonts w:ascii="Arial" w:cs="Arial" w:eastAsia="Arial" w:hAnsi="Arial"/>
                <w:sz w:val="18"/>
                <w:szCs w:val="18"/>
                <w:color w:val="0000EE"/>
                <w:w w:val="88"/>
              </w:rPr>
            </w:pPr>
            <w:hyperlink w:anchor="page2">
              <w:r>
                <w:rPr>
                  <w:rFonts w:ascii="Arial" w:cs="Arial" w:eastAsia="Arial" w:hAnsi="Arial"/>
                  <w:sz w:val="18"/>
                  <w:szCs w:val="18"/>
                  <w:color w:val="0000EE"/>
                  <w:w w:val="88"/>
                </w:rPr>
                <w:t>Table of Contents</w:t>
              </w:r>
            </w:hyperlink>
          </w:p>
        </w:tc>
        <w:tc>
          <w:tcPr>
            <w:tcW w:w="36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164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Item 6. Exhibits</w:t>
            </w:r>
          </w:p>
        </w:tc>
        <w:tc>
          <w:tcPr>
            <w:tcW w:w="9320" w:type="dxa"/>
            <w:vAlign w:val="bottom"/>
            <w:gridSpan w:val="3"/>
          </w:tcPr>
          <w:p>
            <w:pPr>
              <w:ind w:left="2460"/>
              <w:spacing w:after="0"/>
              <w:rPr>
                <w:sz w:val="20"/>
                <w:szCs w:val="20"/>
                <w:color w:val="auto"/>
              </w:rPr>
            </w:pPr>
            <w:r>
              <w:rPr>
                <w:rFonts w:ascii="Arial" w:cs="Arial" w:eastAsia="Arial" w:hAnsi="Arial"/>
                <w:sz w:val="18"/>
                <w:szCs w:val="18"/>
                <w:b w:val="1"/>
                <w:bCs w:val="1"/>
                <w:color w:val="auto"/>
              </w:rPr>
              <w:t>PART II. OTHER INFORMATION</w:t>
            </w:r>
          </w:p>
        </w:tc>
        <w:tc>
          <w:tcPr>
            <w:tcW w:w="0" w:type="dxa"/>
            <w:vAlign w:val="bottom"/>
          </w:tcPr>
          <w:p>
            <w:pPr>
              <w:spacing w:after="0"/>
              <w:rPr>
                <w:sz w:val="1"/>
                <w:szCs w:val="1"/>
                <w:color w:val="auto"/>
              </w:rPr>
            </w:pPr>
          </w:p>
        </w:tc>
      </w:tr>
      <w:tr>
        <w:trPr>
          <w:trHeight w:val="175"/>
        </w:trPr>
        <w:tc>
          <w:tcPr>
            <w:tcW w:w="1640" w:type="dxa"/>
            <w:vAlign w:val="bottom"/>
            <w:gridSpan w:val="4"/>
            <w:vMerge w:val="continue"/>
          </w:tcPr>
          <w:p>
            <w:pPr>
              <w:spacing w:after="0"/>
              <w:rPr>
                <w:sz w:val="15"/>
                <w:szCs w:val="15"/>
                <w:color w:val="auto"/>
              </w:rPr>
            </w:pPr>
          </w:p>
        </w:tc>
        <w:tc>
          <w:tcPr>
            <w:tcW w:w="4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2"/>
        </w:trPr>
        <w:tc>
          <w:tcPr>
            <w:tcW w:w="580" w:type="dxa"/>
            <w:vAlign w:val="bottom"/>
          </w:tcPr>
          <w:p>
            <w:pPr>
              <w:spacing w:after="0"/>
              <w:rPr>
                <w:sz w:val="24"/>
                <w:szCs w:val="24"/>
                <w:color w:val="auto"/>
              </w:rPr>
            </w:pPr>
          </w:p>
        </w:tc>
        <w:tc>
          <w:tcPr>
            <w:tcW w:w="64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31.1 -</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320" w:type="dxa"/>
            <w:vAlign w:val="bottom"/>
            <w:tcBorders>
              <w:bottom w:val="single" w:sz="8" w:color="0000EE"/>
            </w:tcBorders>
            <w:gridSpan w:val="3"/>
          </w:tcPr>
          <w:p>
            <w:pPr>
              <w:ind w:left="20"/>
              <w:spacing w:after="0"/>
              <w:rPr>
                <w:rFonts w:ascii="Arial" w:cs="Arial" w:eastAsia="Arial" w:hAnsi="Arial"/>
                <w:sz w:val="18"/>
                <w:szCs w:val="18"/>
                <w:color w:val="0000EE"/>
                <w:w w:val="91"/>
              </w:rPr>
            </w:pPr>
            <w:hyperlink w:anchor="page27">
              <w:r>
                <w:rPr>
                  <w:rFonts w:ascii="Arial" w:cs="Arial" w:eastAsia="Arial" w:hAnsi="Arial"/>
                  <w:sz w:val="18"/>
                  <w:szCs w:val="18"/>
                  <w:color w:val="0000EE"/>
                  <w:w w:val="91"/>
                </w:rPr>
                <w:t>Certification by the Chief Executive Officer pursuant to Rule 13a-14(a) or 15d-14(a) under the Securities Exchange Act of 1934,</w:t>
              </w:r>
            </w:hyperlink>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320" w:type="dxa"/>
            <w:vAlign w:val="bottom"/>
            <w:gridSpan w:val="3"/>
          </w:tcPr>
          <w:p>
            <w:pPr>
              <w:ind w:left="20"/>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as adopted pursuant to Section 302 of the Sarbanes-Oxley Act of 2002.</w:t>
              </w:r>
            </w:hyperlink>
          </w:p>
        </w:tc>
        <w:tc>
          <w:tcPr>
            <w:tcW w:w="0" w:type="dxa"/>
            <w:vAlign w:val="bottom"/>
          </w:tcPr>
          <w:p>
            <w:pPr>
              <w:spacing w:after="0"/>
              <w:rPr>
                <w:sz w:val="1"/>
                <w:szCs w:val="1"/>
                <w:color w:val="auto"/>
              </w:rPr>
            </w:pPr>
          </w:p>
        </w:tc>
      </w:tr>
      <w:tr>
        <w:trPr>
          <w:trHeight w:val="20"/>
        </w:trPr>
        <w:tc>
          <w:tcPr>
            <w:tcW w:w="1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3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20" w:type="dxa"/>
            <w:vAlign w:val="bottom"/>
            <w:gridSpan w:val="2"/>
          </w:tcPr>
          <w:p>
            <w:pPr>
              <w:ind w:left="660"/>
              <w:spacing w:after="0"/>
              <w:rPr>
                <w:sz w:val="20"/>
                <w:szCs w:val="20"/>
                <w:color w:val="auto"/>
              </w:rPr>
            </w:pPr>
            <w:r>
              <w:rPr>
                <w:rFonts w:ascii="Arial" w:cs="Arial" w:eastAsia="Arial" w:hAnsi="Arial"/>
                <w:sz w:val="18"/>
                <w:szCs w:val="18"/>
                <w:color w:val="auto"/>
              </w:rPr>
              <w:t>31.2 -</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320" w:type="dxa"/>
            <w:vAlign w:val="bottom"/>
            <w:tcBorders>
              <w:bottom w:val="single" w:sz="8" w:color="0000EE"/>
            </w:tcBorders>
            <w:gridSpan w:val="3"/>
          </w:tcPr>
          <w:p>
            <w:pPr>
              <w:ind w:left="20"/>
              <w:spacing w:after="0"/>
              <w:rPr>
                <w:rFonts w:ascii="Arial" w:cs="Arial" w:eastAsia="Arial" w:hAnsi="Arial"/>
                <w:sz w:val="18"/>
                <w:szCs w:val="18"/>
                <w:color w:val="0000EE"/>
                <w:w w:val="92"/>
              </w:rPr>
            </w:pPr>
            <w:hyperlink w:anchor="page28">
              <w:r>
                <w:rPr>
                  <w:rFonts w:ascii="Arial" w:cs="Arial" w:eastAsia="Arial" w:hAnsi="Arial"/>
                  <w:sz w:val="18"/>
                  <w:szCs w:val="18"/>
                  <w:color w:val="0000EE"/>
                  <w:w w:val="92"/>
                </w:rPr>
                <w:t>Certification by the Chief Financial Officer pursuant to Rule 13a-14(a) or 15d-14(a) under the Securities Exchange Act of 1934,</w:t>
              </w:r>
            </w:hyperlink>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320" w:type="dxa"/>
            <w:vAlign w:val="bottom"/>
            <w:gridSpan w:val="3"/>
          </w:tcPr>
          <w:p>
            <w:pPr>
              <w:ind w:left="20"/>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as adopted pursuant to Section 302 of the Sarbanes-Oxley Act of 2002.</w:t>
              </w:r>
            </w:hyperlink>
          </w:p>
        </w:tc>
        <w:tc>
          <w:tcPr>
            <w:tcW w:w="0" w:type="dxa"/>
            <w:vAlign w:val="bottom"/>
          </w:tcPr>
          <w:p>
            <w:pPr>
              <w:spacing w:after="0"/>
              <w:rPr>
                <w:sz w:val="1"/>
                <w:szCs w:val="1"/>
                <w:color w:val="auto"/>
              </w:rPr>
            </w:pPr>
          </w:p>
        </w:tc>
      </w:tr>
      <w:tr>
        <w:trPr>
          <w:trHeight w:val="20"/>
        </w:trPr>
        <w:tc>
          <w:tcPr>
            <w:tcW w:w="1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3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20" w:type="dxa"/>
            <w:vAlign w:val="bottom"/>
            <w:gridSpan w:val="2"/>
          </w:tcPr>
          <w:p>
            <w:pPr>
              <w:ind w:left="660"/>
              <w:spacing w:after="0"/>
              <w:rPr>
                <w:sz w:val="20"/>
                <w:szCs w:val="20"/>
                <w:color w:val="auto"/>
              </w:rPr>
            </w:pPr>
            <w:r>
              <w:rPr>
                <w:rFonts w:ascii="Arial" w:cs="Arial" w:eastAsia="Arial" w:hAnsi="Arial"/>
                <w:sz w:val="18"/>
                <w:szCs w:val="18"/>
                <w:color w:val="auto"/>
              </w:rPr>
              <w:t>32 -</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320" w:type="dxa"/>
            <w:vAlign w:val="bottom"/>
            <w:tcBorders>
              <w:bottom w:val="single" w:sz="8" w:color="0000EE"/>
            </w:tcBorders>
            <w:gridSpan w:val="3"/>
          </w:tcPr>
          <w:p>
            <w:pPr>
              <w:ind w:left="20"/>
              <w:spacing w:after="0"/>
              <w:rPr>
                <w:rFonts w:ascii="Arial" w:cs="Arial" w:eastAsia="Arial" w:hAnsi="Arial"/>
                <w:sz w:val="18"/>
                <w:szCs w:val="18"/>
                <w:color w:val="0000EE"/>
                <w:w w:val="97"/>
              </w:rPr>
            </w:pPr>
            <w:hyperlink w:anchor="page29">
              <w:r>
                <w:rPr>
                  <w:rFonts w:ascii="Arial" w:cs="Arial" w:eastAsia="Arial" w:hAnsi="Arial"/>
                  <w:sz w:val="18"/>
                  <w:szCs w:val="18"/>
                  <w:color w:val="0000EE"/>
                  <w:w w:val="97"/>
                </w:rPr>
                <w:t>Certifications by the Chief Executive Officer and Chief Financial Officer pursuant to 18 U.S.C. Section 1350, as adopted</w:t>
              </w:r>
            </w:hyperlink>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320" w:type="dxa"/>
            <w:vAlign w:val="bottom"/>
            <w:tcBorders>
              <w:bottom w:val="single" w:sz="8" w:color="0000EE"/>
            </w:tcBorders>
          </w:tcPr>
          <w:p>
            <w:pPr>
              <w:ind w:left="20"/>
              <w:spacing w:after="0" w:line="196" w:lineRule="exact"/>
              <w:rPr>
                <w:rFonts w:ascii="Arial" w:cs="Arial" w:eastAsia="Arial" w:hAnsi="Arial"/>
                <w:sz w:val="18"/>
                <w:szCs w:val="18"/>
                <w:color w:val="0000EE"/>
                <w:w w:val="90"/>
              </w:rPr>
            </w:pPr>
            <w:hyperlink w:anchor="page29">
              <w:r>
                <w:rPr>
                  <w:rFonts w:ascii="Arial" w:cs="Arial" w:eastAsia="Arial" w:hAnsi="Arial"/>
                  <w:sz w:val="18"/>
                  <w:szCs w:val="18"/>
                  <w:color w:val="0000EE"/>
                  <w:w w:val="90"/>
                </w:rPr>
                <w:t>pursuant to Section 906 of the Sarbanes-Oxley Act of 2002.</w:t>
              </w:r>
            </w:hyperlink>
          </w:p>
        </w:tc>
        <w:tc>
          <w:tcPr>
            <w:tcW w:w="50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438"/>
        </w:trPr>
        <w:tc>
          <w:tcPr>
            <w:tcW w:w="1220" w:type="dxa"/>
            <w:vAlign w:val="bottom"/>
            <w:gridSpan w:val="2"/>
          </w:tcPr>
          <w:p>
            <w:pPr>
              <w:ind w:left="660"/>
              <w:spacing w:after="0"/>
              <w:rPr>
                <w:sz w:val="20"/>
                <w:szCs w:val="20"/>
                <w:color w:val="auto"/>
              </w:rPr>
            </w:pPr>
            <w:r>
              <w:rPr>
                <w:rFonts w:ascii="Arial" w:cs="Arial" w:eastAsia="Arial" w:hAnsi="Arial"/>
                <w:sz w:val="18"/>
                <w:szCs w:val="18"/>
                <w:color w:val="auto"/>
              </w:rPr>
              <w:t>101-</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320" w:type="dxa"/>
            <w:vAlign w:val="bottom"/>
            <w:gridSpan w:val="3"/>
          </w:tcPr>
          <w:p>
            <w:pPr>
              <w:ind w:left="20"/>
              <w:spacing w:after="0"/>
              <w:rPr>
                <w:sz w:val="20"/>
                <w:szCs w:val="20"/>
                <w:color w:val="auto"/>
              </w:rPr>
            </w:pPr>
            <w:r>
              <w:rPr>
                <w:rFonts w:ascii="Arial" w:cs="Arial" w:eastAsia="Arial" w:hAnsi="Arial"/>
                <w:sz w:val="18"/>
                <w:szCs w:val="18"/>
                <w:color w:val="auto"/>
                <w:w w:val="92"/>
              </w:rPr>
              <w:t>The following materials from the Frequency Electronics, Inc. Quarterly Report on Form 10-Q for the quarter ended January 31,</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320" w:type="dxa"/>
            <w:vAlign w:val="bottom"/>
            <w:gridSpan w:val="3"/>
          </w:tcPr>
          <w:p>
            <w:pPr>
              <w:ind w:left="20"/>
              <w:spacing w:after="0"/>
              <w:rPr>
                <w:sz w:val="20"/>
                <w:szCs w:val="20"/>
                <w:color w:val="auto"/>
              </w:rPr>
            </w:pPr>
            <w:r>
              <w:rPr>
                <w:rFonts w:ascii="Arial" w:cs="Arial" w:eastAsia="Arial" w:hAnsi="Arial"/>
                <w:sz w:val="18"/>
                <w:szCs w:val="18"/>
                <w:color w:val="auto"/>
                <w:w w:val="95"/>
              </w:rPr>
              <w:t>2022 formatted in eXtensible Business Reporting Language (XBRL): (i) Cover Page, (ii) Condensed Consolidated Balance</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320" w:type="dxa"/>
            <w:vAlign w:val="bottom"/>
            <w:gridSpan w:val="3"/>
          </w:tcPr>
          <w:p>
            <w:pPr>
              <w:ind w:left="20"/>
              <w:spacing w:after="0"/>
              <w:rPr>
                <w:sz w:val="20"/>
                <w:szCs w:val="20"/>
                <w:color w:val="auto"/>
              </w:rPr>
            </w:pPr>
            <w:r>
              <w:rPr>
                <w:rFonts w:ascii="Arial" w:cs="Arial" w:eastAsia="Arial" w:hAnsi="Arial"/>
                <w:sz w:val="18"/>
                <w:szCs w:val="18"/>
                <w:color w:val="auto"/>
                <w:w w:val="96"/>
              </w:rPr>
              <w:t>Sheets, (iii) Condensed Consolidated Statements of Operations and Comprehensive Loss, (iv) Condensed Consolidated</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320" w:type="dxa"/>
            <w:vAlign w:val="bottom"/>
            <w:gridSpan w:val="3"/>
          </w:tcPr>
          <w:p>
            <w:pPr>
              <w:ind w:left="20"/>
              <w:spacing w:after="0"/>
              <w:rPr>
                <w:sz w:val="20"/>
                <w:szCs w:val="20"/>
                <w:color w:val="auto"/>
              </w:rPr>
            </w:pPr>
            <w:r>
              <w:rPr>
                <w:rFonts w:ascii="Arial" w:cs="Arial" w:eastAsia="Arial" w:hAnsi="Arial"/>
                <w:sz w:val="18"/>
                <w:szCs w:val="18"/>
                <w:color w:val="auto"/>
                <w:w w:val="96"/>
              </w:rPr>
              <w:t>Statements of Cash Flows, (v) Condensed Consolidated Statements of Changes in Stockholders’ Equity and (vi) Notes to</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320" w:type="dxa"/>
            <w:vAlign w:val="bottom"/>
            <w:gridSpan w:val="3"/>
          </w:tcPr>
          <w:p>
            <w:pPr>
              <w:ind w:left="20"/>
              <w:spacing w:after="0"/>
              <w:rPr>
                <w:sz w:val="20"/>
                <w:szCs w:val="20"/>
                <w:color w:val="auto"/>
              </w:rPr>
            </w:pPr>
            <w:r>
              <w:rPr>
                <w:rFonts w:ascii="Arial" w:cs="Arial" w:eastAsia="Arial" w:hAnsi="Arial"/>
                <w:sz w:val="18"/>
                <w:szCs w:val="18"/>
                <w:color w:val="auto"/>
                <w:w w:val="91"/>
              </w:rPr>
              <w:t>Condensed Consolidated Financial Statements. The instance document does not appear in the Interactive Data File because its</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320" w:type="dxa"/>
            <w:vAlign w:val="bottom"/>
            <w:gridSpan w:val="3"/>
          </w:tcPr>
          <w:p>
            <w:pPr>
              <w:ind w:left="20"/>
              <w:spacing w:after="0"/>
              <w:rPr>
                <w:sz w:val="20"/>
                <w:szCs w:val="20"/>
                <w:color w:val="auto"/>
              </w:rPr>
            </w:pPr>
            <w:r>
              <w:rPr>
                <w:rFonts w:ascii="Arial" w:cs="Arial" w:eastAsia="Arial" w:hAnsi="Arial"/>
                <w:sz w:val="18"/>
                <w:szCs w:val="18"/>
                <w:color w:val="auto"/>
              </w:rPr>
              <w:t>XBRL tags are embedded within Inline XBRL document.</w:t>
            </w:r>
          </w:p>
        </w:tc>
        <w:tc>
          <w:tcPr>
            <w:tcW w:w="0" w:type="dxa"/>
            <w:vAlign w:val="bottom"/>
          </w:tcPr>
          <w:p>
            <w:pPr>
              <w:spacing w:after="0"/>
              <w:rPr>
                <w:sz w:val="1"/>
                <w:szCs w:val="1"/>
                <w:color w:val="auto"/>
              </w:rPr>
            </w:pPr>
          </w:p>
        </w:tc>
      </w:tr>
      <w:tr>
        <w:trPr>
          <w:trHeight w:val="432"/>
        </w:trPr>
        <w:tc>
          <w:tcPr>
            <w:tcW w:w="1220" w:type="dxa"/>
            <w:vAlign w:val="bottom"/>
            <w:gridSpan w:val="2"/>
          </w:tcPr>
          <w:p>
            <w:pPr>
              <w:ind w:left="660"/>
              <w:spacing w:after="0"/>
              <w:rPr>
                <w:sz w:val="20"/>
                <w:szCs w:val="20"/>
                <w:color w:val="auto"/>
              </w:rPr>
            </w:pPr>
            <w:r>
              <w:rPr>
                <w:rFonts w:ascii="Arial" w:cs="Arial" w:eastAsia="Arial" w:hAnsi="Arial"/>
                <w:sz w:val="18"/>
                <w:szCs w:val="18"/>
                <w:color w:val="auto"/>
              </w:rPr>
              <w:t>104-</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320" w:type="dxa"/>
            <w:vAlign w:val="bottom"/>
            <w:gridSpan w:val="3"/>
          </w:tcPr>
          <w:p>
            <w:pPr>
              <w:ind w:left="20"/>
              <w:spacing w:after="0"/>
              <w:rPr>
                <w:sz w:val="20"/>
                <w:szCs w:val="20"/>
                <w:color w:val="auto"/>
              </w:rPr>
            </w:pPr>
            <w:r>
              <w:rPr>
                <w:rFonts w:ascii="Arial" w:cs="Arial" w:eastAsia="Arial" w:hAnsi="Arial"/>
                <w:sz w:val="18"/>
                <w:szCs w:val="18"/>
                <w:color w:val="auto"/>
              </w:rPr>
              <w:t>Cover Page Interaction Data File (formatted as inline XBRL and contained in Exhibit 101).</w:t>
            </w:r>
          </w:p>
        </w:tc>
        <w:tc>
          <w:tcPr>
            <w:tcW w:w="0" w:type="dxa"/>
            <w:vAlign w:val="bottom"/>
          </w:tcPr>
          <w:p>
            <w:pPr>
              <w:spacing w:after="0"/>
              <w:rPr>
                <w:sz w:val="1"/>
                <w:szCs w:val="1"/>
                <w:color w:val="auto"/>
              </w:rPr>
            </w:pPr>
          </w:p>
        </w:tc>
      </w:tr>
      <w:tr>
        <w:trPr>
          <w:trHeight w:val="648"/>
        </w:trPr>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320" w:type="dxa"/>
            <w:vAlign w:val="bottom"/>
          </w:tcPr>
          <w:p>
            <w:pPr>
              <w:ind w:left="3760"/>
              <w:spacing w:after="0"/>
              <w:rPr>
                <w:sz w:val="20"/>
                <w:szCs w:val="20"/>
                <w:color w:val="auto"/>
              </w:rPr>
            </w:pPr>
            <w:r>
              <w:rPr>
                <w:rFonts w:ascii="Arial" w:cs="Arial" w:eastAsia="Arial" w:hAnsi="Arial"/>
                <w:sz w:val="18"/>
                <w:szCs w:val="18"/>
                <w:color w:val="auto"/>
              </w:rPr>
              <w:t>25</w:t>
            </w:r>
          </w:p>
        </w:tc>
        <w:tc>
          <w:tcPr>
            <w:tcW w:w="80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3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2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60" w:top="108" w:right="47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900" w:type="dxa"/>
            <w:vAlign w:val="bottom"/>
          </w:tcPr>
          <w:p>
            <w:pPr>
              <w:spacing w:after="0"/>
              <w:rPr>
                <w:sz w:val="19"/>
                <w:szCs w:val="19"/>
                <w:color w:val="auto"/>
              </w:rPr>
            </w:pPr>
          </w:p>
        </w:tc>
        <w:tc>
          <w:tcPr>
            <w:tcW w:w="6720" w:type="dxa"/>
            <w:vAlign w:val="bottom"/>
            <w:gridSpan w:val="3"/>
          </w:tcPr>
          <w:p>
            <w:pPr>
              <w:ind w:left="1320"/>
              <w:spacing w:after="0"/>
              <w:rPr>
                <w:sz w:val="20"/>
                <w:szCs w:val="20"/>
                <w:color w:val="auto"/>
              </w:rPr>
            </w:pPr>
            <w:r>
              <w:rPr>
                <w:rFonts w:ascii="Arial" w:cs="Arial" w:eastAsia="Arial" w:hAnsi="Arial"/>
                <w:sz w:val="18"/>
                <w:szCs w:val="18"/>
                <w:b w:val="1"/>
                <w:bCs w:val="1"/>
                <w:color w:val="auto"/>
              </w:rPr>
              <w:t>FREQUENCY ELECTRONICS, INC.</w:t>
            </w:r>
          </w:p>
        </w:tc>
      </w:tr>
      <w:tr>
        <w:trPr>
          <w:trHeight w:val="230"/>
        </w:trPr>
        <w:tc>
          <w:tcPr>
            <w:tcW w:w="2900" w:type="dxa"/>
            <w:vAlign w:val="bottom"/>
          </w:tcPr>
          <w:p>
            <w:pPr>
              <w:spacing w:after="0"/>
              <w:rPr>
                <w:sz w:val="20"/>
                <w:szCs w:val="20"/>
                <w:color w:val="auto"/>
              </w:rPr>
            </w:pPr>
          </w:p>
        </w:tc>
        <w:tc>
          <w:tcPr>
            <w:tcW w:w="6720" w:type="dxa"/>
            <w:vAlign w:val="bottom"/>
            <w:gridSpan w:val="3"/>
          </w:tcPr>
          <w:p>
            <w:pPr>
              <w:ind w:left="1320"/>
              <w:spacing w:after="0"/>
              <w:rPr>
                <w:sz w:val="20"/>
                <w:szCs w:val="20"/>
                <w:color w:val="auto"/>
              </w:rPr>
            </w:pPr>
            <w:r>
              <w:rPr>
                <w:rFonts w:ascii="Arial" w:cs="Arial" w:eastAsia="Arial" w:hAnsi="Arial"/>
                <w:sz w:val="18"/>
                <w:szCs w:val="18"/>
                <w:color w:val="auto"/>
              </w:rPr>
              <w:t>(Registrant)</w:t>
            </w:r>
          </w:p>
        </w:tc>
      </w:tr>
      <w:tr>
        <w:trPr>
          <w:trHeight w:val="391"/>
        </w:trPr>
        <w:tc>
          <w:tcPr>
            <w:tcW w:w="2900" w:type="dxa"/>
            <w:vAlign w:val="bottom"/>
          </w:tcPr>
          <w:p>
            <w:pPr>
              <w:spacing w:after="0"/>
              <w:rPr>
                <w:sz w:val="20"/>
                <w:szCs w:val="20"/>
                <w:color w:val="auto"/>
              </w:rPr>
            </w:pPr>
            <w:r>
              <w:rPr>
                <w:rFonts w:ascii="Arial" w:cs="Arial" w:eastAsia="Arial" w:hAnsi="Arial"/>
                <w:sz w:val="18"/>
                <w:szCs w:val="18"/>
                <w:color w:val="auto"/>
              </w:rPr>
              <w:t>Date: March 15, 2022</w:t>
            </w:r>
          </w:p>
        </w:tc>
        <w:tc>
          <w:tcPr>
            <w:tcW w:w="6720" w:type="dxa"/>
            <w:vAlign w:val="bottom"/>
            <w:gridSpan w:val="3"/>
          </w:tcPr>
          <w:p>
            <w:pPr>
              <w:ind w:left="1380"/>
              <w:spacing w:after="0"/>
              <w:rPr>
                <w:sz w:val="20"/>
                <w:szCs w:val="20"/>
                <w:color w:val="auto"/>
              </w:rPr>
            </w:pPr>
            <w:r>
              <w:rPr>
                <w:rFonts w:ascii="Arial" w:cs="Arial" w:eastAsia="Arial" w:hAnsi="Arial"/>
                <w:sz w:val="18"/>
                <w:szCs w:val="18"/>
                <w:color w:val="auto"/>
              </w:rPr>
              <w:t>By: /s/ Steven L. Bernstein</w:t>
            </w:r>
          </w:p>
        </w:tc>
      </w:tr>
      <w:tr>
        <w:trPr>
          <w:trHeight w:val="222"/>
        </w:trPr>
        <w:tc>
          <w:tcPr>
            <w:tcW w:w="29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44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auto"/>
              </w:rPr>
              <w:t>Steven L. Bernstein</w:t>
            </w:r>
          </w:p>
        </w:tc>
        <w:tc>
          <w:tcPr>
            <w:tcW w:w="1600" w:type="dxa"/>
            <w:vAlign w:val="bottom"/>
          </w:tcPr>
          <w:p>
            <w:pPr>
              <w:spacing w:after="0"/>
              <w:rPr>
                <w:sz w:val="19"/>
                <w:szCs w:val="19"/>
                <w:color w:val="auto"/>
              </w:rPr>
            </w:pPr>
          </w:p>
        </w:tc>
      </w:tr>
      <w:tr>
        <w:trPr>
          <w:trHeight w:val="216"/>
        </w:trPr>
        <w:tc>
          <w:tcPr>
            <w:tcW w:w="29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040" w:type="dxa"/>
            <w:vAlign w:val="bottom"/>
            <w:gridSpan w:val="2"/>
          </w:tcPr>
          <w:p>
            <w:pPr>
              <w:ind w:left="200"/>
              <w:spacing w:after="0"/>
              <w:rPr>
                <w:sz w:val="20"/>
                <w:szCs w:val="20"/>
                <w:color w:val="auto"/>
              </w:rPr>
            </w:pPr>
            <w:r>
              <w:rPr>
                <w:rFonts w:ascii="Arial" w:cs="Arial" w:eastAsia="Arial" w:hAnsi="Arial"/>
                <w:sz w:val="18"/>
                <w:szCs w:val="18"/>
                <w:color w:val="auto"/>
              </w:rPr>
              <w:t>Chief Financial Officer, Secretary and Treasurer</w:t>
            </w:r>
          </w:p>
        </w:tc>
      </w:tr>
      <w:tr>
        <w:trPr>
          <w:trHeight w:val="230"/>
        </w:trPr>
        <w:tc>
          <w:tcPr>
            <w:tcW w:w="29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5040" w:type="dxa"/>
            <w:vAlign w:val="bottom"/>
            <w:gridSpan w:val="2"/>
          </w:tcPr>
          <w:p>
            <w:pPr>
              <w:ind w:left="200"/>
              <w:spacing w:after="0"/>
              <w:rPr>
                <w:sz w:val="20"/>
                <w:szCs w:val="20"/>
                <w:color w:val="auto"/>
              </w:rPr>
            </w:pPr>
            <w:r>
              <w:rPr>
                <w:rFonts w:ascii="Arial" w:cs="Arial" w:eastAsia="Arial" w:hAnsi="Arial"/>
                <w:sz w:val="18"/>
                <w:szCs w:val="18"/>
                <w:color w:val="auto"/>
                <w:w w:val="91"/>
              </w:rPr>
              <w:t>Signing on behalf of the registrant and as principal financial officer</w:t>
            </w:r>
          </w:p>
        </w:tc>
      </w:tr>
      <w:tr>
        <w:trPr>
          <w:trHeight w:val="432"/>
        </w:trPr>
        <w:tc>
          <w:tcPr>
            <w:tcW w:w="2900" w:type="dxa"/>
            <w:vAlign w:val="bottom"/>
          </w:tcPr>
          <w:p>
            <w:pPr>
              <w:spacing w:after="0"/>
              <w:rPr>
                <w:sz w:val="24"/>
                <w:szCs w:val="24"/>
                <w:color w:val="auto"/>
              </w:rPr>
            </w:pPr>
          </w:p>
        </w:tc>
        <w:tc>
          <w:tcPr>
            <w:tcW w:w="5120" w:type="dxa"/>
            <w:vAlign w:val="bottom"/>
            <w:gridSpan w:val="2"/>
          </w:tcPr>
          <w:p>
            <w:pPr>
              <w:jc w:val="right"/>
              <w:ind w:right="2350"/>
              <w:spacing w:after="0"/>
              <w:rPr>
                <w:sz w:val="20"/>
                <w:szCs w:val="20"/>
                <w:color w:val="auto"/>
              </w:rPr>
            </w:pPr>
            <w:r>
              <w:rPr>
                <w:rFonts w:ascii="Arial" w:cs="Arial" w:eastAsia="Arial" w:hAnsi="Arial"/>
                <w:sz w:val="18"/>
                <w:szCs w:val="18"/>
                <w:color w:val="auto"/>
              </w:rPr>
              <w:t>26</w:t>
            </w:r>
          </w:p>
        </w:tc>
        <w:tc>
          <w:tcPr>
            <w:tcW w:w="1600" w:type="dxa"/>
            <w:vAlign w:val="bottom"/>
          </w:tcPr>
          <w:p>
            <w:pPr>
              <w:spacing w:after="0"/>
              <w:rPr>
                <w:sz w:val="24"/>
                <w:szCs w:val="24"/>
                <w:color w:val="auto"/>
              </w:rPr>
            </w:pPr>
          </w:p>
        </w:tc>
      </w:tr>
    </w:tbl>
    <w:p>
      <w:pPr>
        <w:sectPr>
          <w:pgSz w:w="11900" w:h="16838" w:orient="portrait"/>
          <w:cols w:equalWidth="0" w:num="1">
            <w:col w:w="10960"/>
          </w:cols>
          <w:pgMar w:left="460" w:top="125" w:right="47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Stanton Sloane, certify that:</w:t>
      </w:r>
    </w:p>
    <w:p>
      <w:pPr>
        <w:spacing w:after="0" w:line="225" w:lineRule="exact"/>
        <w:rPr>
          <w:sz w:val="20"/>
          <w:szCs w:val="20"/>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Frequency Electronics, Inc.;</w:t>
      </w:r>
    </w:p>
    <w:p>
      <w:pPr>
        <w:spacing w:after="0" w:line="225" w:lineRule="exact"/>
        <w:rPr>
          <w:rFonts w:ascii="Arial" w:cs="Arial" w:eastAsia="Arial" w:hAnsi="Arial"/>
          <w:sz w:val="18"/>
          <w:szCs w:val="18"/>
          <w:color w:val="auto"/>
        </w:rPr>
      </w:pPr>
    </w:p>
    <w:p>
      <w:pPr>
        <w:ind w:firstLine="8"/>
        <w:spacing w:after="0" w:line="342" w:lineRule="auto"/>
        <w:tabs>
          <w:tab w:leader="none" w:pos="201" w:val="left"/>
        </w:tabs>
        <w:numPr>
          <w:ilvl w:val="0"/>
          <w:numId w:val="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204"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3" w:lineRule="auto"/>
        <w:tabs>
          <w:tab w:leader="none" w:pos="181"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jc w:val="both"/>
        <w:ind w:firstLine="8"/>
        <w:spacing w:after="0" w:line="263" w:lineRule="auto"/>
        <w:tabs>
          <w:tab w:leader="none" w:pos="257" w:val="left"/>
        </w:tabs>
        <w:numPr>
          <w:ilvl w:val="0"/>
          <w:numId w:val="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firstLine="8"/>
        <w:spacing w:after="0" w:line="263" w:lineRule="auto"/>
        <w:tabs>
          <w:tab w:leader="none" w:pos="257" w:val="left"/>
        </w:tabs>
        <w:numPr>
          <w:ilvl w:val="0"/>
          <w:numId w:val="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firstLine="8"/>
        <w:spacing w:after="0" w:line="277" w:lineRule="auto"/>
        <w:tabs>
          <w:tab w:leader="none" w:pos="250" w:val="left"/>
        </w:tabs>
        <w:numPr>
          <w:ilvl w:val="0"/>
          <w:numId w:val="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firstLine="8"/>
        <w:spacing w:after="0" w:line="263" w:lineRule="auto"/>
        <w:tabs>
          <w:tab w:leader="none" w:pos="27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firstLine="8"/>
        <w:spacing w:after="0" w:line="308" w:lineRule="auto"/>
        <w:tabs>
          <w:tab w:leader="none" w:pos="2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firstLine="8"/>
        <w:spacing w:after="0" w:line="277" w:lineRule="auto"/>
        <w:tabs>
          <w:tab w:leader="none" w:pos="247"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8"/>
        <w:spacing w:after="0" w:line="277" w:lineRule="auto"/>
        <w:tabs>
          <w:tab w:leader="none" w:pos="266"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Stanton Sloane</w:t>
            </w:r>
          </w:p>
        </w:tc>
        <w:tc>
          <w:tcPr>
            <w:tcW w:w="3700" w:type="dxa"/>
            <w:vAlign w:val="bottom"/>
          </w:tcPr>
          <w:p>
            <w:pPr>
              <w:ind w:left="2560"/>
              <w:spacing w:after="0"/>
              <w:rPr>
                <w:sz w:val="20"/>
                <w:szCs w:val="20"/>
                <w:color w:val="auto"/>
              </w:rPr>
            </w:pPr>
            <w:r>
              <w:rPr>
                <w:rFonts w:ascii="Arial" w:cs="Arial" w:eastAsia="Arial" w:hAnsi="Arial"/>
                <w:sz w:val="18"/>
                <w:szCs w:val="18"/>
                <w:color w:val="auto"/>
                <w:w w:val="89"/>
              </w:rPr>
              <w:t>March 15, 2022</w:t>
            </w:r>
          </w:p>
        </w:tc>
      </w:tr>
      <w:tr>
        <w:trPr>
          <w:trHeight w:val="222"/>
        </w:trPr>
        <w:tc>
          <w:tcPr>
            <w:tcW w:w="2840" w:type="dxa"/>
            <w:vAlign w:val="bottom"/>
          </w:tcPr>
          <w:p>
            <w:pPr>
              <w:spacing w:after="0"/>
              <w:rPr>
                <w:sz w:val="20"/>
                <w:szCs w:val="20"/>
                <w:color w:val="auto"/>
              </w:rPr>
            </w:pPr>
            <w:r>
              <w:rPr>
                <w:rFonts w:ascii="Arial" w:cs="Arial" w:eastAsia="Arial" w:hAnsi="Arial"/>
                <w:sz w:val="18"/>
                <w:szCs w:val="18"/>
                <w:color w:val="auto"/>
              </w:rPr>
              <w:t>Stanton Sloane</w:t>
            </w:r>
          </w:p>
        </w:tc>
        <w:tc>
          <w:tcPr>
            <w:tcW w:w="3700" w:type="dxa"/>
            <w:vAlign w:val="bottom"/>
          </w:tcPr>
          <w:p>
            <w:pPr>
              <w:spacing w:after="0"/>
              <w:rPr>
                <w:sz w:val="19"/>
                <w:szCs w:val="19"/>
                <w:color w:val="auto"/>
              </w:rPr>
            </w:pPr>
          </w:p>
        </w:tc>
      </w:tr>
      <w:tr>
        <w:trPr>
          <w:trHeight w:val="230"/>
        </w:trPr>
        <w:tc>
          <w:tcPr>
            <w:tcW w:w="2840" w:type="dxa"/>
            <w:vAlign w:val="bottom"/>
          </w:tcPr>
          <w:p>
            <w:pPr>
              <w:spacing w:after="0"/>
              <w:rPr>
                <w:sz w:val="20"/>
                <w:szCs w:val="20"/>
                <w:color w:val="auto"/>
              </w:rPr>
            </w:pPr>
            <w:r>
              <w:rPr>
                <w:rFonts w:ascii="Arial" w:cs="Arial" w:eastAsia="Arial" w:hAnsi="Arial"/>
                <w:sz w:val="18"/>
                <w:szCs w:val="18"/>
                <w:color w:val="auto"/>
                <w:w w:val="94"/>
              </w:rPr>
              <w:t>President and Chief Executive Officer</w:t>
            </w:r>
          </w:p>
        </w:tc>
        <w:tc>
          <w:tcPr>
            <w:tcW w:w="3700" w:type="dxa"/>
            <w:vAlign w:val="bottom"/>
          </w:tcPr>
          <w:p>
            <w:pPr>
              <w:spacing w:after="0"/>
              <w:rPr>
                <w:sz w:val="20"/>
                <w:szCs w:val="20"/>
                <w:color w:val="auto"/>
              </w:rPr>
            </w:pPr>
          </w:p>
        </w:tc>
      </w:tr>
    </w:tbl>
    <w:p>
      <w:pPr>
        <w:sectPr>
          <w:pgSz w:w="11900" w:h="16838" w:orient="portrait"/>
          <w:cols w:equalWidth="0" w:num="1">
            <w:col w:w="11240"/>
          </w:cols>
          <w:pgMar w:left="320" w:top="337" w:right="3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Steven L. Bernstein, certify that</w:t>
      </w:r>
    </w:p>
    <w:p>
      <w:pPr>
        <w:spacing w:after="0" w:line="225" w:lineRule="exact"/>
        <w:rPr>
          <w:sz w:val="20"/>
          <w:szCs w:val="20"/>
          <w:color w:val="auto"/>
        </w:rPr>
      </w:pPr>
    </w:p>
    <w:p>
      <w:pPr>
        <w:ind w:left="180" w:hanging="172"/>
        <w:spacing w:after="0"/>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Frequency Electronics, Inc.;</w:t>
      </w:r>
    </w:p>
    <w:p>
      <w:pPr>
        <w:spacing w:after="0" w:line="225" w:lineRule="exact"/>
        <w:rPr>
          <w:rFonts w:ascii="Arial" w:cs="Arial" w:eastAsia="Arial" w:hAnsi="Arial"/>
          <w:sz w:val="18"/>
          <w:szCs w:val="18"/>
          <w:color w:val="auto"/>
        </w:rPr>
      </w:pPr>
    </w:p>
    <w:p>
      <w:pPr>
        <w:ind w:firstLine="8"/>
        <w:spacing w:after="0" w:line="342" w:lineRule="auto"/>
        <w:tabs>
          <w:tab w:leader="none" w:pos="201"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204"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3" w:lineRule="auto"/>
        <w:tabs>
          <w:tab w:leader="none" w:pos="181"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jc w:val="both"/>
        <w:ind w:firstLine="8"/>
        <w:spacing w:after="0" w:line="263" w:lineRule="auto"/>
        <w:tabs>
          <w:tab w:leader="none" w:pos="257" w:val="left"/>
        </w:tabs>
        <w:numPr>
          <w:ilvl w:val="0"/>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firstLine="8"/>
        <w:spacing w:after="0" w:line="263" w:lineRule="auto"/>
        <w:tabs>
          <w:tab w:leader="none" w:pos="257" w:val="left"/>
        </w:tabs>
        <w:numPr>
          <w:ilvl w:val="0"/>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firstLine="8"/>
        <w:spacing w:after="0" w:line="277" w:lineRule="auto"/>
        <w:tabs>
          <w:tab w:leader="none" w:pos="250" w:val="left"/>
        </w:tabs>
        <w:numPr>
          <w:ilvl w:val="0"/>
          <w:numId w:val="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firstLine="8"/>
        <w:spacing w:after="0" w:line="263" w:lineRule="auto"/>
        <w:tabs>
          <w:tab w:leader="none" w:pos="27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firstLine="8"/>
        <w:spacing w:after="0" w:line="308" w:lineRule="auto"/>
        <w:tabs>
          <w:tab w:leader="none" w:pos="2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firstLine="8"/>
        <w:spacing w:after="0" w:line="277" w:lineRule="auto"/>
        <w:tabs>
          <w:tab w:leader="none" w:pos="247"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8"/>
        <w:spacing w:after="0" w:line="277" w:lineRule="auto"/>
        <w:tabs>
          <w:tab w:leader="none" w:pos="266"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L. Bernstein</w:t>
            </w:r>
          </w:p>
        </w:tc>
        <w:tc>
          <w:tcPr>
            <w:tcW w:w="1560" w:type="dxa"/>
            <w:vAlign w:val="bottom"/>
          </w:tcPr>
          <w:p>
            <w:pPr>
              <w:spacing w:after="0"/>
              <w:rPr>
                <w:sz w:val="18"/>
                <w:szCs w:val="18"/>
                <w:color w:val="auto"/>
              </w:rPr>
            </w:pPr>
          </w:p>
        </w:tc>
        <w:tc>
          <w:tcPr>
            <w:tcW w:w="2280" w:type="dxa"/>
            <w:vAlign w:val="bottom"/>
          </w:tcPr>
          <w:p>
            <w:pPr>
              <w:ind w:left="1140"/>
              <w:spacing w:after="0"/>
              <w:rPr>
                <w:sz w:val="20"/>
                <w:szCs w:val="20"/>
                <w:color w:val="auto"/>
              </w:rPr>
            </w:pPr>
            <w:r>
              <w:rPr>
                <w:rFonts w:ascii="Arial" w:cs="Arial" w:eastAsia="Arial" w:hAnsi="Arial"/>
                <w:sz w:val="18"/>
                <w:szCs w:val="18"/>
                <w:color w:val="auto"/>
                <w:w w:val="89"/>
              </w:rPr>
              <w:t>March 15, 2022</w:t>
            </w:r>
          </w:p>
        </w:tc>
      </w:tr>
      <w:tr>
        <w:trPr>
          <w:trHeight w:val="222"/>
        </w:trPr>
        <w:tc>
          <w:tcPr>
            <w:tcW w:w="4600" w:type="dxa"/>
            <w:vAlign w:val="bottom"/>
            <w:gridSpan w:val="2"/>
          </w:tcPr>
          <w:p>
            <w:pPr>
              <w:spacing w:after="0"/>
              <w:rPr>
                <w:sz w:val="20"/>
                <w:szCs w:val="20"/>
                <w:color w:val="auto"/>
              </w:rPr>
            </w:pPr>
            <w:r>
              <w:rPr>
                <w:rFonts w:ascii="Arial" w:cs="Arial" w:eastAsia="Arial" w:hAnsi="Arial"/>
                <w:sz w:val="18"/>
                <w:szCs w:val="18"/>
                <w:color w:val="auto"/>
              </w:rPr>
              <w:t>Steven L. Bernstein</w:t>
            </w:r>
          </w:p>
        </w:tc>
        <w:tc>
          <w:tcPr>
            <w:tcW w:w="2280" w:type="dxa"/>
            <w:vAlign w:val="bottom"/>
          </w:tcPr>
          <w:p>
            <w:pPr>
              <w:spacing w:after="0"/>
              <w:rPr>
                <w:sz w:val="19"/>
                <w:szCs w:val="19"/>
                <w:color w:val="auto"/>
              </w:rPr>
            </w:pPr>
          </w:p>
        </w:tc>
      </w:tr>
      <w:tr>
        <w:trPr>
          <w:trHeight w:val="230"/>
        </w:trPr>
        <w:tc>
          <w:tcPr>
            <w:tcW w:w="4600" w:type="dxa"/>
            <w:vAlign w:val="bottom"/>
            <w:gridSpan w:val="2"/>
          </w:tcPr>
          <w:p>
            <w:pPr>
              <w:spacing w:after="0"/>
              <w:rPr>
                <w:sz w:val="20"/>
                <w:szCs w:val="20"/>
                <w:color w:val="auto"/>
              </w:rPr>
            </w:pPr>
            <w:r>
              <w:rPr>
                <w:rFonts w:ascii="Arial" w:cs="Arial" w:eastAsia="Arial" w:hAnsi="Arial"/>
                <w:sz w:val="18"/>
                <w:szCs w:val="18"/>
                <w:color w:val="auto"/>
              </w:rPr>
              <w:t>Chief Financial Officer, Secretary and Treasurer</w:t>
            </w:r>
          </w:p>
        </w:tc>
        <w:tc>
          <w:tcPr>
            <w:tcW w:w="2280" w:type="dxa"/>
            <w:vAlign w:val="bottom"/>
          </w:tcPr>
          <w:p>
            <w:pPr>
              <w:spacing w:after="0"/>
              <w:rPr>
                <w:sz w:val="20"/>
                <w:szCs w:val="20"/>
                <w:color w:val="auto"/>
              </w:rPr>
            </w:pPr>
          </w:p>
        </w:tc>
      </w:tr>
    </w:tbl>
    <w:p>
      <w:pPr>
        <w:sectPr>
          <w:pgSz w:w="11900" w:h="16838" w:orient="portrait"/>
          <w:cols w:equalWidth="0" w:num="1">
            <w:col w:w="11240"/>
          </w:cols>
          <w:pgMar w:left="320" w:top="337" w:right="3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 of CEO</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Frequency Electronics, Inc. (the “Company”) on Form 10-Q for the period ended January 31, 2022 as filed with the Securities and Exchange Commission on the date hereof (the “Report”), I, Stanton Sloane, President and Chief Executive Officer of the Company, certify, pursuant to 18 U.S.C. Section 1350, as adopted pursuant to Section 906 of the Sarbanes-Oxley Act of 2002, that to my knowledge:</w:t>
      </w:r>
    </w:p>
    <w:p>
      <w:pPr>
        <w:spacing w:after="0" w:line="165" w:lineRule="exact"/>
        <w:rPr>
          <w:sz w:val="20"/>
          <w:szCs w:val="20"/>
          <w:color w:val="auto"/>
        </w:rPr>
      </w:pPr>
    </w:p>
    <w:p>
      <w:pPr>
        <w:ind w:left="960" w:hanging="304"/>
        <w:spacing w:after="0"/>
        <w:tabs>
          <w:tab w:leader="none" w:pos="9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000" w:hanging="344"/>
        <w:spacing w:after="0"/>
        <w:tabs>
          <w:tab w:leader="none" w:pos="10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 w:type="dxa"/>
            <w:vAlign w:val="bottom"/>
          </w:tcPr>
          <w:p>
            <w:pPr>
              <w:spacing w:after="0"/>
              <w:rPr>
                <w:sz w:val="17"/>
                <w:szCs w:val="17"/>
                <w:color w:val="auto"/>
              </w:rPr>
            </w:pPr>
          </w:p>
        </w:tc>
        <w:tc>
          <w:tcPr>
            <w:tcW w:w="3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Stanton Sloane</w:t>
            </w:r>
          </w:p>
        </w:tc>
        <w:tc>
          <w:tcPr>
            <w:tcW w:w="3520" w:type="dxa"/>
            <w:vAlign w:val="bottom"/>
          </w:tcPr>
          <w:p>
            <w:pPr>
              <w:jc w:val="right"/>
              <w:spacing w:after="0"/>
              <w:rPr>
                <w:sz w:val="20"/>
                <w:szCs w:val="20"/>
                <w:color w:val="auto"/>
              </w:rPr>
            </w:pPr>
            <w:r>
              <w:rPr>
                <w:rFonts w:ascii="Arial" w:cs="Arial" w:eastAsia="Arial" w:hAnsi="Arial"/>
                <w:sz w:val="18"/>
                <w:szCs w:val="18"/>
                <w:color w:val="auto"/>
              </w:rPr>
              <w:t>March 15, 2022</w:t>
            </w:r>
          </w:p>
        </w:tc>
        <w:tc>
          <w:tcPr>
            <w:tcW w:w="0" w:type="dxa"/>
            <w:vAlign w:val="bottom"/>
          </w:tcPr>
          <w:p>
            <w:pPr>
              <w:spacing w:after="0"/>
              <w:rPr>
                <w:sz w:val="1"/>
                <w:szCs w:val="1"/>
                <w:color w:val="auto"/>
              </w:rPr>
            </w:pPr>
          </w:p>
        </w:tc>
      </w:tr>
      <w:tr>
        <w:trPr>
          <w:trHeight w:val="222"/>
        </w:trPr>
        <w:tc>
          <w:tcPr>
            <w:tcW w:w="3920" w:type="dxa"/>
            <w:vAlign w:val="bottom"/>
            <w:gridSpan w:val="3"/>
          </w:tcPr>
          <w:p>
            <w:pPr>
              <w:ind w:left="660"/>
              <w:spacing w:after="0"/>
              <w:rPr>
                <w:sz w:val="20"/>
                <w:szCs w:val="20"/>
                <w:color w:val="auto"/>
              </w:rPr>
            </w:pPr>
            <w:r>
              <w:rPr>
                <w:rFonts w:ascii="Arial" w:cs="Arial" w:eastAsia="Arial" w:hAnsi="Arial"/>
                <w:sz w:val="18"/>
                <w:szCs w:val="18"/>
                <w:color w:val="auto"/>
              </w:rPr>
              <w:t>Stanton Sloane</w:t>
            </w:r>
          </w:p>
        </w:tc>
        <w:tc>
          <w:tcPr>
            <w:tcW w:w="3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gridSpan w:val="3"/>
          </w:tcPr>
          <w:p>
            <w:pPr>
              <w:ind w:left="660"/>
              <w:spacing w:after="0"/>
              <w:rPr>
                <w:sz w:val="20"/>
                <w:szCs w:val="20"/>
                <w:color w:val="auto"/>
              </w:rPr>
            </w:pPr>
            <w:r>
              <w:rPr>
                <w:rFonts w:ascii="Arial" w:cs="Arial" w:eastAsia="Arial" w:hAnsi="Arial"/>
                <w:sz w:val="18"/>
                <w:szCs w:val="18"/>
                <w:color w:val="auto"/>
              </w:rPr>
              <w:t>President and Chief Executive Officer</w:t>
            </w:r>
          </w:p>
        </w:tc>
        <w:tc>
          <w:tcPr>
            <w:tcW w:w="3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9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Certification of CFO</w:t>
            </w:r>
          </w:p>
        </w:tc>
        <w:tc>
          <w:tcPr>
            <w:tcW w:w="3520" w:type="dxa"/>
            <w:vAlign w:val="bottom"/>
          </w:tcPr>
          <w:p>
            <w:pPr>
              <w:jc w:val="right"/>
              <w:ind w:right="9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76"/>
        </w:trPr>
        <w:tc>
          <w:tcPr>
            <w:tcW w:w="3920" w:type="dxa"/>
            <w:vAlign w:val="bottom"/>
            <w:gridSpan w:val="3"/>
            <w:vMerge w:val="continue"/>
          </w:tcPr>
          <w:p>
            <w:pPr>
              <w:spacing w:after="0"/>
              <w:rPr>
                <w:sz w:val="15"/>
                <w:szCs w:val="15"/>
                <w:color w:val="auto"/>
              </w:rPr>
            </w:pPr>
          </w:p>
        </w:tc>
        <w:tc>
          <w:tcPr>
            <w:tcW w:w="3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connection with the Quarterly Report of Frequency Electronics, Inc. (the “Company”) on Form 10-Q for the period ended January 31, 2022 as filed with the Securities and Exchange Commission on the date hereof (the “Report”), I, Steven L. Bernstein, Chief Financial Officer, Secretary and Treasurer of the Company, certify, pursuant to 18 U.S.C. Section 1350, as adopted pursuant to Section 906 of the Sarbanes-Oxley Act of 2002, that to my knowledge:</w:t>
      </w:r>
    </w:p>
    <w:p>
      <w:pPr>
        <w:spacing w:after="0" w:line="149" w:lineRule="exact"/>
        <w:rPr>
          <w:sz w:val="20"/>
          <w:szCs w:val="20"/>
          <w:color w:val="auto"/>
        </w:rPr>
      </w:pPr>
    </w:p>
    <w:p>
      <w:pPr>
        <w:ind w:left="960" w:hanging="304"/>
        <w:spacing w:after="0"/>
        <w:tabs>
          <w:tab w:leader="none" w:pos="9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000" w:hanging="344"/>
        <w:spacing w:after="0"/>
        <w:tabs>
          <w:tab w:leader="none" w:pos="10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00" w:lineRule="exact"/>
        <w:rPr>
          <w:sz w:val="20"/>
          <w:szCs w:val="20"/>
          <w:color w:val="auto"/>
        </w:rPr>
      </w:pPr>
    </w:p>
    <w:p>
      <w:pPr>
        <w:spacing w:after="0" w:line="210"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3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L. Bernstein</w:t>
            </w:r>
          </w:p>
        </w:tc>
        <w:tc>
          <w:tcPr>
            <w:tcW w:w="1240" w:type="dxa"/>
            <w:vAlign w:val="bottom"/>
          </w:tcPr>
          <w:p>
            <w:pPr>
              <w:spacing w:after="0"/>
              <w:rPr>
                <w:sz w:val="18"/>
                <w:szCs w:val="18"/>
                <w:color w:val="auto"/>
              </w:rPr>
            </w:pPr>
          </w:p>
        </w:tc>
        <w:tc>
          <w:tcPr>
            <w:tcW w:w="2200" w:type="dxa"/>
            <w:vAlign w:val="bottom"/>
          </w:tcPr>
          <w:p>
            <w:pPr>
              <w:ind w:left="1060"/>
              <w:spacing w:after="0"/>
              <w:rPr>
                <w:sz w:val="20"/>
                <w:szCs w:val="20"/>
                <w:color w:val="auto"/>
              </w:rPr>
            </w:pPr>
            <w:r>
              <w:rPr>
                <w:rFonts w:ascii="Arial" w:cs="Arial" w:eastAsia="Arial" w:hAnsi="Arial"/>
                <w:sz w:val="18"/>
                <w:szCs w:val="18"/>
                <w:color w:val="auto"/>
                <w:w w:val="89"/>
              </w:rPr>
              <w:t>March 15, 2022</w:t>
            </w:r>
          </w:p>
        </w:tc>
      </w:tr>
      <w:tr>
        <w:trPr>
          <w:trHeight w:val="222"/>
        </w:trPr>
        <w:tc>
          <w:tcPr>
            <w:tcW w:w="4520" w:type="dxa"/>
            <w:vAlign w:val="bottom"/>
            <w:gridSpan w:val="3"/>
          </w:tcPr>
          <w:p>
            <w:pPr>
              <w:spacing w:after="0"/>
              <w:rPr>
                <w:sz w:val="20"/>
                <w:szCs w:val="20"/>
                <w:color w:val="auto"/>
              </w:rPr>
            </w:pPr>
            <w:r>
              <w:rPr>
                <w:rFonts w:ascii="Arial" w:cs="Arial" w:eastAsia="Arial" w:hAnsi="Arial"/>
                <w:sz w:val="18"/>
                <w:szCs w:val="18"/>
                <w:color w:val="auto"/>
              </w:rPr>
              <w:t>Steven L. Bernstein</w:t>
            </w:r>
          </w:p>
        </w:tc>
        <w:tc>
          <w:tcPr>
            <w:tcW w:w="2200" w:type="dxa"/>
            <w:vAlign w:val="bottom"/>
          </w:tcPr>
          <w:p>
            <w:pPr>
              <w:spacing w:after="0"/>
              <w:rPr>
                <w:sz w:val="19"/>
                <w:szCs w:val="19"/>
                <w:color w:val="auto"/>
              </w:rPr>
            </w:pPr>
          </w:p>
        </w:tc>
      </w:tr>
      <w:tr>
        <w:trPr>
          <w:trHeight w:val="230"/>
        </w:trPr>
        <w:tc>
          <w:tcPr>
            <w:tcW w:w="4520" w:type="dxa"/>
            <w:vAlign w:val="bottom"/>
            <w:gridSpan w:val="3"/>
          </w:tcPr>
          <w:p>
            <w:pPr>
              <w:spacing w:after="0"/>
              <w:rPr>
                <w:sz w:val="20"/>
                <w:szCs w:val="20"/>
                <w:color w:val="auto"/>
              </w:rPr>
            </w:pPr>
            <w:r>
              <w:rPr>
                <w:rFonts w:ascii="Arial" w:cs="Arial" w:eastAsia="Arial" w:hAnsi="Arial"/>
                <w:sz w:val="18"/>
                <w:szCs w:val="18"/>
                <w:color w:val="auto"/>
              </w:rPr>
              <w:t>Chief Financial Officer, Secretary and Treasurer</w:t>
            </w:r>
          </w:p>
        </w:tc>
        <w:tc>
          <w:tcPr>
            <w:tcW w:w="2200" w:type="dxa"/>
            <w:vAlign w:val="bottom"/>
          </w:tcPr>
          <w:p>
            <w:pPr>
              <w:spacing w:after="0"/>
              <w:rPr>
                <w:sz w:val="20"/>
                <w:szCs w:val="20"/>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r>
        <w:rPr>
          <w:rFonts w:ascii="Arial" w:cs="Arial" w:eastAsia="Arial" w:hAnsi="Arial"/>
          <w:sz w:val="18"/>
          <w:szCs w:val="18"/>
          <w:b w:val="1"/>
          <w:bCs w:val="1"/>
          <w:color w:val="auto"/>
        </w:rPr>
        <w:t>.</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certification accompanies this Report on Form 10-Q pursuant to Section 906 of the Sarbanes-Oxley Act of 2002 and shall not, except to the extent required by such Act,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decimal"/>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1)"/>
      <w:numFmt w:val="lowerLetter"/>
      <w:start w:val="1"/>
    </w:lvl>
  </w:abstractNum>
  <w:abstractNum w:abstractNumId="4">
    <w:nsid w:val="515F007C"/>
    <w:multiLevelType w:val="hybridMultilevel"/>
    <w:lvl w:ilvl="0">
      <w:lvlJc w:val="left"/>
      <w:lvlText w:val="%1."/>
      <w:numFmt w:val="decimal"/>
      <w:start w:val="5"/>
    </w:lvl>
  </w:abstractNum>
  <w:abstractNum w:abstractNumId="5">
    <w:nsid w:val="5BD062C2"/>
    <w:multiLevelType w:val="hybridMultilevel"/>
    <w:lvl w:ilvl="0">
      <w:lvlJc w:val="left"/>
      <w:lvlText w:val="(%1)"/>
      <w:numFmt w:val="lowerLetter"/>
      <w:start w:val="1"/>
    </w:lvl>
  </w:abstractNum>
  <w:abstractNum w:abstractNumId="6">
    <w:nsid w:val="12200854"/>
    <w:multiLevelType w:val="hybridMultilevel"/>
    <w:lvl w:ilvl="0">
      <w:lvlJc w:val="left"/>
      <w:lvlText w:val="%1."/>
      <w:numFmt w:val="decimal"/>
      <w:start w:val="1"/>
    </w:lvl>
  </w:abstractNum>
  <w:abstractNum w:abstractNumId="7">
    <w:nsid w:val="4DB127F8"/>
    <w:multiLevelType w:val="hybridMultilevel"/>
    <w:lvl w:ilvl="0">
      <w:lvlJc w:val="left"/>
      <w:lvlText w:val="(%1)"/>
      <w:numFmt w:val="lowerLetter"/>
      <w:start w:val="1"/>
    </w:lvl>
  </w:abstractNum>
  <w:abstractNum w:abstractNumId="8">
    <w:nsid w:val="216231B"/>
    <w:multiLevelType w:val="hybridMultilevel"/>
    <w:lvl w:ilvl="0">
      <w:lvlJc w:val="left"/>
      <w:lvlText w:val="%1."/>
      <w:numFmt w:val="decimal"/>
      <w:start w:val="5"/>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2022-03-15T12:29:53Z</dcterms:created>
  <dcterms:modified xsi:type="dcterms:W3CDTF">2022-03-15T12:29:53Z</dcterms:modified>
</cp:coreProperties>
</file>