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3940" w:right="1820" w:hanging="3284"/>
        <w:spacing w:after="0" w:line="498" w:lineRule="auto"/>
        <w:tabs>
          <w:tab w:leader="none" w:pos="97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October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1800" w:hanging="2944"/>
        <w:spacing w:after="0" w:line="495" w:lineRule="auto"/>
        <w:tabs>
          <w:tab w:leader="none" w:pos="97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FREQUENCY ELECTRONICS,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34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660" w:type="dxa"/>
            <w:vAlign w:val="bottom"/>
          </w:tcPr>
          <w:p>
            <w:pPr>
              <w:jc w:val="center"/>
              <w:ind w:left="9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340" w:type="dxa"/>
            <w:vAlign w:val="bottom"/>
          </w:tcPr>
          <w:p>
            <w:pPr>
              <w:jc w:val="center"/>
              <w:ind w:right="750"/>
              <w:spacing w:after="0"/>
              <w:rPr>
                <w:sz w:val="20"/>
                <w:szCs w:val="20"/>
                <w:color w:val="auto"/>
              </w:rPr>
            </w:pPr>
            <w:r>
              <w:rPr>
                <w:rFonts w:ascii="Arial" w:cs="Arial" w:eastAsia="Arial" w:hAnsi="Arial"/>
                <w:sz w:val="18"/>
                <w:szCs w:val="18"/>
                <w:color w:val="auto"/>
                <w:w w:val="93"/>
              </w:rPr>
              <w:t>incorporation or organization)</w:t>
            </w:r>
          </w:p>
        </w:tc>
        <w:tc>
          <w:tcPr>
            <w:tcW w:w="3660" w:type="dxa"/>
            <w:vAlign w:val="bottom"/>
          </w:tcPr>
          <w:p>
            <w:pPr>
              <w:spacing w:after="0"/>
              <w:rPr>
                <w:sz w:val="20"/>
                <w:szCs w:val="20"/>
                <w:color w:val="auto"/>
              </w:rPr>
            </w:pPr>
          </w:p>
        </w:tc>
      </w:tr>
      <w:tr>
        <w:trPr>
          <w:trHeight w:val="418"/>
        </w:trPr>
        <w:tc>
          <w:tcPr>
            <w:tcW w:w="6340" w:type="dxa"/>
            <w:vAlign w:val="bottom"/>
          </w:tcPr>
          <w:p>
            <w:pPr>
              <w:jc w:val="center"/>
              <w:ind w:right="410"/>
              <w:spacing w:after="0"/>
              <w:rPr>
                <w:sz w:val="20"/>
                <w:szCs w:val="20"/>
                <w:color w:val="auto"/>
              </w:rPr>
            </w:pPr>
            <w:r>
              <w:rPr>
                <w:rFonts w:ascii="Arial" w:cs="Arial" w:eastAsia="Arial" w:hAnsi="Arial"/>
                <w:sz w:val="18"/>
                <w:szCs w:val="18"/>
                <w:b w:val="1"/>
                <w:bCs w:val="1"/>
                <w:color w:val="auto"/>
              </w:rPr>
              <w:t>55 CHARLES LINDBERGH BLVD., MITCHEL FIELD, N.Y.</w:t>
            </w:r>
          </w:p>
        </w:tc>
        <w:tc>
          <w:tcPr>
            <w:tcW w:w="3660" w:type="dxa"/>
            <w:vAlign w:val="bottom"/>
          </w:tcPr>
          <w:p>
            <w:pPr>
              <w:jc w:val="right"/>
              <w:ind w:right="950"/>
              <w:spacing w:after="0"/>
              <w:rPr>
                <w:sz w:val="20"/>
                <w:szCs w:val="20"/>
                <w:color w:val="auto"/>
              </w:rPr>
            </w:pPr>
            <w:r>
              <w:rPr>
                <w:rFonts w:ascii="Arial" w:cs="Arial" w:eastAsia="Arial" w:hAnsi="Arial"/>
                <w:sz w:val="18"/>
                <w:szCs w:val="18"/>
                <w:b w:val="1"/>
                <w:bCs w:val="1"/>
                <w:color w:val="auto"/>
              </w:rPr>
              <w:t>11553</w:t>
            </w:r>
          </w:p>
        </w:tc>
      </w:tr>
      <w:tr>
        <w:trPr>
          <w:trHeight w:val="230"/>
        </w:trPr>
        <w:tc>
          <w:tcPr>
            <w:tcW w:w="6340" w:type="dxa"/>
            <w:vAlign w:val="bottom"/>
          </w:tcPr>
          <w:p>
            <w:pPr>
              <w:jc w:val="center"/>
              <w:ind w:right="41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66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p>
      <w:pPr>
        <w:ind w:left="2880" w:right="1480" w:hanging="4147"/>
        <w:spacing w:after="0" w:line="239" w:lineRule="exact"/>
        <w:tabs>
          <w:tab w:leader="none" w:pos="2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340"/>
        <w:spacing w:after="0" w:line="207" w:lineRule="exact"/>
        <w:tabs>
          <w:tab w:leader="none" w:pos="10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December 10, 2012 – 8,406,953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60" w:type="dxa"/>
            <w:vAlign w:val="bottom"/>
          </w:tcPr>
          <w:p>
            <w:pPr>
              <w:jc w:val="center"/>
              <w:ind w:left="450"/>
              <w:spacing w:after="0"/>
              <w:rPr>
                <w:sz w:val="20"/>
                <w:szCs w:val="20"/>
                <w:color w:val="auto"/>
              </w:rPr>
            </w:pPr>
            <w:r>
              <w:rPr>
                <w:rFonts w:ascii="Arial" w:cs="Arial" w:eastAsia="Arial" w:hAnsi="Arial"/>
                <w:sz w:val="18"/>
                <w:szCs w:val="18"/>
                <w:color w:val="auto"/>
                <w:w w:val="95"/>
              </w:rPr>
              <w:t>FREQUENCY ELECTRONICS, INC. and SUBSIDIARIES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60" w:type="dxa"/>
            <w:vAlign w:val="bottom"/>
          </w:tcPr>
          <w:p>
            <w:pPr>
              <w:jc w:val="center"/>
              <w:ind w:left="450"/>
              <w:spacing w:after="0"/>
              <w:rPr>
                <w:sz w:val="20"/>
                <w:szCs w:val="20"/>
                <w:color w:val="auto"/>
              </w:rPr>
            </w:pPr>
            <w:r>
              <w:rPr>
                <w:rFonts w:ascii="Arial" w:cs="Arial" w:eastAsia="Arial" w:hAnsi="Arial"/>
                <w:sz w:val="18"/>
                <w:szCs w:val="18"/>
                <w:color w:val="auto"/>
              </w:rPr>
              <w:t>INDEX</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340" w:type="dxa"/>
            <w:vAlign w:val="bottom"/>
          </w:tcPr>
          <w:p>
            <w:pPr>
              <w:ind w:left="3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13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1</w:t>
            </w:r>
          </w:p>
        </w:tc>
        <w:tc>
          <w:tcPr>
            <w:tcW w:w="9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 Financial Statements:</w:t>
            </w:r>
          </w:p>
        </w:tc>
        <w:tc>
          <w:tcPr>
            <w:tcW w:w="13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Balance Sheets - October 31, 2012 and April 30, 2012</w:t>
            </w:r>
          </w:p>
        </w:tc>
        <w:tc>
          <w:tcPr>
            <w:tcW w:w="13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w w:val="95"/>
              </w:rPr>
              <w:t>Condensed Consolidated Statements of Income and Comprehensive Income Six Months Ended October 31, 2012 and 2011</w:t>
            </w:r>
          </w:p>
        </w:tc>
        <w:tc>
          <w:tcPr>
            <w:tcW w:w="13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w w:val="93"/>
              </w:rPr>
              <w:t>Condensed Consolidated Statements of Income and Comprehensive Income Three Months Ended October 31, 2012 and 2011</w:t>
            </w:r>
          </w:p>
        </w:tc>
        <w:tc>
          <w:tcPr>
            <w:tcW w:w="13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Statements of Cash Flows Six Months Ended October 31, 2012 and 2011</w:t>
            </w:r>
          </w:p>
        </w:tc>
        <w:tc>
          <w:tcPr>
            <w:tcW w:w="13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Notes to Condensed Consolidated Financial Statements</w:t>
            </w:r>
          </w:p>
        </w:tc>
        <w:tc>
          <w:tcPr>
            <w:tcW w:w="13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2</w:t>
            </w:r>
          </w:p>
        </w:tc>
        <w:tc>
          <w:tcPr>
            <w:tcW w:w="9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3</w:t>
            </w:r>
          </w:p>
        </w:tc>
        <w:tc>
          <w:tcPr>
            <w:tcW w:w="9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 Quantitative and Qualitative Disclosures about Market Risk</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Item 4- Controls and Procedures</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3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6</w:t>
            </w:r>
          </w:p>
        </w:tc>
        <w:tc>
          <w:tcPr>
            <w:tcW w:w="9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 Exhibits</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Signatures</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Exhibits</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23-25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2 of 22</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October 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April 30,</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8"/>
              </w:rPr>
              <w:t>(NOTE 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8"/>
                <w:szCs w:val="18"/>
                <w:color w:val="auto"/>
                <w:w w:val="88"/>
              </w:rPr>
              <w:t>(In thousands except share data)</w:t>
            </w:r>
          </w:p>
        </w:tc>
        <w:tc>
          <w:tcPr>
            <w:tcW w:w="0" w:type="dxa"/>
            <w:vAlign w:val="bottom"/>
          </w:tcPr>
          <w:p>
            <w:pPr>
              <w:spacing w:after="0"/>
              <w:rPr>
                <w:sz w:val="1"/>
                <w:szCs w:val="1"/>
                <w:color w:val="auto"/>
              </w:rPr>
            </w:pPr>
          </w:p>
        </w:tc>
      </w:tr>
      <w:tr>
        <w:trPr>
          <w:trHeight w:val="216"/>
        </w:trPr>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20" w:type="dxa"/>
            <w:vAlign w:val="bottom"/>
            <w:shd w:val="clear" w:color="auto" w:fill="CCFFCC"/>
          </w:tcPr>
          <w:p>
            <w:pPr>
              <w:jc w:val="center"/>
              <w:ind w:right="1570"/>
              <w:spacing w:after="0"/>
              <w:rPr>
                <w:sz w:val="20"/>
                <w:szCs w:val="20"/>
                <w:color w:val="auto"/>
              </w:rPr>
            </w:pPr>
            <w:r>
              <w:rPr>
                <w:rFonts w:ascii="Arial" w:cs="Arial" w:eastAsia="Arial" w:hAnsi="Arial"/>
                <w:sz w:val="18"/>
                <w:szCs w:val="18"/>
                <w:b w:val="1"/>
                <w:bCs w:val="1"/>
                <w:color w:val="auto"/>
                <w:w w:val="92"/>
              </w:rPr>
              <w:t>ASSETS:</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6,978</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8480" w:type="dxa"/>
            <w:vAlign w:val="bottom"/>
            <w:gridSpan w:val="3"/>
          </w:tcPr>
          <w:p>
            <w:pPr>
              <w:ind w:left="1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16,931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w w:val="97"/>
              </w:rPr>
              <w:t>Accounts receivable, net of allowance for doubtful accounts of $400 at October 31, 2012 and April 30, 2012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9,918</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16"/>
        </w:trPr>
        <w:tc>
          <w:tcPr>
            <w:tcW w:w="8480" w:type="dxa"/>
            <w:vAlign w:val="bottom"/>
            <w:gridSpan w:val="3"/>
          </w:tcPr>
          <w:p>
            <w:pPr>
              <w:ind w:left="180"/>
              <w:spacing w:after="0"/>
              <w:rPr>
                <w:sz w:val="20"/>
                <w:szCs w:val="20"/>
                <w:color w:val="auto"/>
              </w:rPr>
            </w:pPr>
            <w:r>
              <w:rPr>
                <w:rFonts w:ascii="Arial" w:cs="Arial" w:eastAsia="Arial" w:hAnsi="Arial"/>
                <w:sz w:val="18"/>
                <w:szCs w:val="18"/>
                <w:color w:val="auto"/>
              </w:rPr>
              <w:t>Costs and estimated earnings in excess of billings,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10,587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16"/>
        </w:trPr>
        <w:tc>
          <w:tcPr>
            <w:tcW w:w="1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FFCC"/>
          </w:tcPr>
          <w:p>
            <w:pPr>
              <w:spacing w:after="0"/>
              <w:rPr>
                <w:sz w:val="18"/>
                <w:szCs w:val="18"/>
                <w:color w:val="auto"/>
              </w:rPr>
            </w:pPr>
          </w:p>
        </w:tc>
        <w:tc>
          <w:tcPr>
            <w:tcW w:w="6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35,347</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34,299</w:t>
            </w:r>
          </w:p>
        </w:tc>
        <w:tc>
          <w:tcPr>
            <w:tcW w:w="0" w:type="dxa"/>
            <w:vAlign w:val="bottom"/>
          </w:tcPr>
          <w:p>
            <w:pPr>
              <w:spacing w:after="0"/>
              <w:rPr>
                <w:sz w:val="1"/>
                <w:szCs w:val="1"/>
                <w:color w:val="auto"/>
              </w:rPr>
            </w:pPr>
          </w:p>
        </w:tc>
      </w:tr>
      <w:tr>
        <w:trPr>
          <w:trHeight w:val="216"/>
        </w:trPr>
        <w:tc>
          <w:tcPr>
            <w:tcW w:w="8480" w:type="dxa"/>
            <w:vAlign w:val="bottom"/>
            <w:gridSpan w:val="3"/>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2,818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84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1,322</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0"/>
        </w:trPr>
        <w:tc>
          <w:tcPr>
            <w:tcW w:w="8480" w:type="dxa"/>
            <w:vAlign w:val="bottom"/>
            <w:gridSpan w:val="3"/>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7,893</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w w:val="90"/>
              </w:rPr>
              <w:t>Deferred income taxes</w:t>
            </w: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827</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10,448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2"/>
              </w:rPr>
              <w:t>Investment in affiliates</w:t>
            </w:r>
          </w:p>
        </w:tc>
        <w:tc>
          <w:tcPr>
            <w:tcW w:w="6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807</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1480" w:type="dxa"/>
            <w:vAlign w:val="bottom"/>
            <w:tcBorders>
              <w:top w:val="single" w:sz="8" w:color="CCFFCC"/>
              <w:bottom w:val="single" w:sz="8" w:color="CCFFCC"/>
            </w:tcBorders>
            <w:shd w:val="clear" w:color="auto" w:fill="CCFFCC"/>
          </w:tcPr>
          <w:p>
            <w:pPr>
              <w:ind w:left="3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68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110,718</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106,227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20" w:type="dxa"/>
            <w:vAlign w:val="bottom"/>
            <w:shd w:val="clear" w:color="auto" w:fill="CCFFCC"/>
          </w:tcPr>
          <w:p>
            <w:pPr>
              <w:jc w:val="center"/>
              <w:ind w:right="157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Short-term credit obligations</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8,722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16"/>
        </w:trPr>
        <w:tc>
          <w:tcPr>
            <w:tcW w:w="8480" w:type="dxa"/>
            <w:vAlign w:val="bottom"/>
            <w:gridSpan w:val="3"/>
          </w:tcPr>
          <w:p>
            <w:pPr>
              <w:ind w:left="34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w w:val="93"/>
              </w:rPr>
              <w:t>Accrued liabilities</w:t>
            </w:r>
          </w:p>
        </w:tc>
        <w:tc>
          <w:tcPr>
            <w:tcW w:w="6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6,492</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30"/>
        </w:trPr>
        <w:tc>
          <w:tcPr>
            <w:tcW w:w="8480" w:type="dxa"/>
            <w:vAlign w:val="bottom"/>
            <w:gridSpan w:val="3"/>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8480" w:type="dxa"/>
            <w:vAlign w:val="bottom"/>
            <w:tcBorders>
              <w:top w:val="single" w:sz="8" w:color="CCFFCC"/>
            </w:tcBorders>
            <w:gridSpan w:val="3"/>
            <w:shd w:val="clear" w:color="auto" w:fill="CCFFCC"/>
          </w:tcPr>
          <w:p>
            <w:pPr>
              <w:ind w:left="6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17,417</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16,109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Capital lease obligation- noncurrent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10,310</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Arial" w:cs="Arial" w:eastAsia="Arial" w:hAnsi="Arial"/>
                <w:sz w:val="18"/>
                <w:szCs w:val="18"/>
                <w:color w:val="auto"/>
              </w:rPr>
              <w:t>Deferred rent and other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0"/>
        </w:trPr>
        <w:tc>
          <w:tcPr>
            <w:tcW w:w="8480" w:type="dxa"/>
            <w:vAlign w:val="bottom"/>
            <w:tcBorders>
              <w:top w:val="single" w:sz="8" w:color="CCFFCC"/>
            </w:tcBorders>
            <w:gridSpan w:val="3"/>
            <w:shd w:val="clear" w:color="auto" w:fill="CCFFCC"/>
          </w:tcPr>
          <w:p>
            <w:pPr>
              <w:ind w:left="6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28,590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27,095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9"/>
              </w:rPr>
              <w:t>Stockholders' equity:</w:t>
            </w:r>
          </w:p>
        </w:tc>
        <w:tc>
          <w:tcPr>
            <w:tcW w:w="6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w w:val="91"/>
              </w:rPr>
              <w:t>Preferred stock</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20" w:type="dxa"/>
            <w:vAlign w:val="bottom"/>
          </w:tcPr>
          <w:p>
            <w:pPr>
              <w:spacing w:after="0"/>
              <w:rPr>
                <w:sz w:val="20"/>
                <w:szCs w:val="20"/>
                <w:color w:val="auto"/>
              </w:rPr>
            </w:pPr>
            <w:r>
              <w:rPr>
                <w:rFonts w:ascii="Arial" w:cs="Arial" w:eastAsia="Arial" w:hAnsi="Arial"/>
                <w:sz w:val="18"/>
                <w:szCs w:val="18"/>
                <w:color w:val="auto"/>
              </w:rPr>
              <w:t>$1.00 par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8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3"/>
              </w:rPr>
              <w:t>Common stock</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$1.00 par value, issued 9,163,940 shares</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9,164</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848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51,289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50,797</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w w:val="88"/>
              </w:rPr>
              <w:t>Retained earnings</w:t>
            </w:r>
          </w:p>
        </w:tc>
        <w:tc>
          <w:tcPr>
            <w:tcW w:w="68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20,869</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18,660</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gridSpan w:val="3"/>
            <w:shd w:val="clear" w:color="auto" w:fill="CCFFCC"/>
          </w:tcPr>
          <w:p>
            <w:pPr>
              <w:ind w:left="320"/>
              <w:spacing w:after="0" w:line="201" w:lineRule="exact"/>
              <w:rPr>
                <w:sz w:val="20"/>
                <w:szCs w:val="20"/>
                <w:color w:val="auto"/>
              </w:rPr>
            </w:pPr>
            <w:r>
              <w:rPr>
                <w:rFonts w:ascii="Arial" w:cs="Arial" w:eastAsia="Arial" w:hAnsi="Arial"/>
                <w:sz w:val="18"/>
                <w:szCs w:val="18"/>
                <w:color w:val="auto"/>
                <w:w w:val="89"/>
              </w:rPr>
              <w:t>Common stock reacquired and held in treasury - at cost (756,987 shares at October 31, 2012 and 800,787 shares</w:t>
            </w: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at April 30, 2012)</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(3,454)</w:t>
            </w:r>
          </w:p>
        </w:tc>
        <w:tc>
          <w:tcPr>
            <w:tcW w:w="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30"/>
        </w:trPr>
        <w:tc>
          <w:tcPr>
            <w:tcW w:w="848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0"/>
        </w:trPr>
        <w:tc>
          <w:tcPr>
            <w:tcW w:w="14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68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3"/>
          </w:tcPr>
          <w:p>
            <w:pPr>
              <w:ind w:left="6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82,128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79,132</w:t>
            </w:r>
          </w:p>
        </w:tc>
        <w:tc>
          <w:tcPr>
            <w:tcW w:w="0" w:type="dxa"/>
            <w:vAlign w:val="bottom"/>
          </w:tcPr>
          <w:p>
            <w:pPr>
              <w:spacing w:after="0"/>
              <w:rPr>
                <w:sz w:val="1"/>
                <w:szCs w:val="1"/>
                <w:color w:val="auto"/>
              </w:rPr>
            </w:pPr>
          </w:p>
        </w:tc>
      </w:tr>
      <w:tr>
        <w:trPr>
          <w:trHeight w:val="210"/>
        </w:trPr>
        <w:tc>
          <w:tcPr>
            <w:tcW w:w="14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68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8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110,718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106,227</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vMerge w:val="restart"/>
          </w:tcPr>
          <w:p>
            <w:pPr>
              <w:jc w:val="center"/>
              <w:ind w:left="119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0"/>
              </w:rPr>
              <w:t>3 of 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00" w:type="dxa"/>
            <w:vAlign w:val="bottom"/>
          </w:tcPr>
          <w:p>
            <w:pPr>
              <w:jc w:val="center"/>
              <w:ind w:left="2810"/>
              <w:spacing w:after="0"/>
              <w:rPr>
                <w:sz w:val="20"/>
                <w:szCs w:val="20"/>
                <w:color w:val="auto"/>
              </w:rPr>
            </w:pPr>
            <w:r>
              <w:rPr>
                <w:rFonts w:ascii="Arial" w:cs="Arial" w:eastAsia="Arial" w:hAnsi="Arial"/>
                <w:sz w:val="18"/>
                <w:szCs w:val="18"/>
                <w:color w:val="auto"/>
                <w:w w:val="95"/>
              </w:rPr>
              <w:t>FREQUENCY ELECTRONICS, INC. and SUBSIDIARIES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00" w:type="dxa"/>
            <w:vAlign w:val="bottom"/>
          </w:tcPr>
          <w:p>
            <w:pPr>
              <w:jc w:val="center"/>
              <w:ind w:left="2810"/>
              <w:spacing w:after="0"/>
              <w:rPr>
                <w:sz w:val="20"/>
                <w:szCs w:val="20"/>
                <w:color w:val="auto"/>
              </w:rPr>
            </w:pPr>
            <w:r>
              <w:rPr>
                <w:rFonts w:ascii="Arial" w:cs="Arial" w:eastAsia="Arial" w:hAnsi="Arial"/>
                <w:sz w:val="18"/>
                <w:szCs w:val="18"/>
                <w:color w:val="auto"/>
                <w:w w:val="89"/>
              </w:rPr>
              <w:t>Condensed Consolidated Statements of Income and Comprehensive Income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00" w:type="dxa"/>
            <w:vAlign w:val="bottom"/>
          </w:tcPr>
          <w:p>
            <w:pPr>
              <w:jc w:val="center"/>
              <w:ind w:left="2810"/>
              <w:spacing w:after="0"/>
              <w:rPr>
                <w:sz w:val="20"/>
                <w:szCs w:val="20"/>
                <w:color w:val="auto"/>
              </w:rPr>
            </w:pPr>
            <w:r>
              <w:rPr>
                <w:rFonts w:ascii="Arial" w:cs="Arial" w:eastAsia="Arial" w:hAnsi="Arial"/>
                <w:sz w:val="18"/>
                <w:szCs w:val="18"/>
                <w:color w:val="auto"/>
                <w:w w:val="91"/>
              </w:rPr>
              <w:t>Six Months Ended October 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jc w:val="center"/>
              <w:ind w:left="2790"/>
              <w:spacing w:after="0"/>
              <w:rPr>
                <w:sz w:val="20"/>
                <w:szCs w:val="20"/>
                <w:color w:val="auto"/>
              </w:rPr>
            </w:pPr>
            <w:r>
              <w:rPr>
                <w:rFonts w:ascii="Arial" w:cs="Arial" w:eastAsia="Arial" w:hAnsi="Arial"/>
                <w:sz w:val="18"/>
                <w:szCs w:val="18"/>
                <w:color w:val="auto"/>
                <w:w w:val="91"/>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w w:val="89"/>
              </w:rPr>
              <w:t>(In thousands except per 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34,254</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21,541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12,713</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12,256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6,996</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2,618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Operating profit</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Impairment of investment in and loans receivable from affiliate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Other (expense) income, net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before provision for income taxes</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3,309</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top w:val="single" w:sz="8" w:color="CCFFCC"/>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2,209</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top w:val="single" w:sz="8" w:color="CCFFCC"/>
              <w:bottom w:val="single" w:sz="8" w:color="CCFFCC"/>
            </w:tcBorders>
            <w:shd w:val="clear" w:color="auto" w:fill="CCFFCC"/>
          </w:tcPr>
          <w:p>
            <w:pPr>
              <w:ind w:left="320"/>
              <w:spacing w:after="0" w:line="190" w:lineRule="exact"/>
              <w:rPr>
                <w:sz w:val="20"/>
                <w:szCs w:val="20"/>
                <w:color w:val="auto"/>
              </w:rPr>
            </w:pPr>
            <w:r>
              <w:rPr>
                <w:rFonts w:ascii="Arial" w:cs="Arial" w:eastAsia="Arial" w:hAnsi="Arial"/>
                <w:sz w:val="18"/>
                <w:szCs w:val="18"/>
                <w:color w:val="auto"/>
              </w:rPr>
              <w:t>Diluted</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0.26</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0.25</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8,389,942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8,311,679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top w:val="single" w:sz="8" w:color="CCFFCC"/>
              <w:bottom w:val="single" w:sz="8" w:color="CCFFCC"/>
            </w:tcBorders>
            <w:shd w:val="clear" w:color="auto" w:fill="CCFFCC"/>
          </w:tcPr>
          <w:p>
            <w:pPr>
              <w:ind w:left="320"/>
              <w:spacing w:after="0" w:line="190" w:lineRule="exact"/>
              <w:rPr>
                <w:sz w:val="20"/>
                <w:szCs w:val="20"/>
                <w:color w:val="auto"/>
              </w:rPr>
            </w:pPr>
            <w:r>
              <w:rPr>
                <w:rFonts w:ascii="Arial" w:cs="Arial" w:eastAsia="Arial" w:hAnsi="Arial"/>
                <w:sz w:val="18"/>
                <w:szCs w:val="18"/>
                <w:color w:val="auto"/>
              </w:rPr>
              <w:t>Diluted</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8,573,536</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8,540,065</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 adjustment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 in market value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Deferred tax effect of change in marketable securities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2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4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2,299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881"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condensed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00" w:type="dxa"/>
            <w:vAlign w:val="bottom"/>
          </w:tcPr>
          <w:p>
            <w:pPr>
              <w:jc w:val="center"/>
              <w:ind w:left="2810"/>
              <w:spacing w:after="0"/>
              <w:rPr>
                <w:sz w:val="20"/>
                <w:szCs w:val="20"/>
                <w:color w:val="auto"/>
              </w:rPr>
            </w:pPr>
            <w:r>
              <w:rPr>
                <w:rFonts w:ascii="Arial" w:cs="Arial" w:eastAsia="Arial" w:hAnsi="Arial"/>
                <w:sz w:val="18"/>
                <w:szCs w:val="18"/>
                <w:color w:val="auto"/>
                <w:w w:val="95"/>
              </w:rPr>
              <w:t>FREQUENCY ELECTRONICS, INC. and SUBSIDIARIES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00" w:type="dxa"/>
            <w:vAlign w:val="bottom"/>
          </w:tcPr>
          <w:p>
            <w:pPr>
              <w:jc w:val="center"/>
              <w:ind w:left="2810"/>
              <w:spacing w:after="0"/>
              <w:rPr>
                <w:sz w:val="20"/>
                <w:szCs w:val="20"/>
                <w:color w:val="auto"/>
              </w:rPr>
            </w:pPr>
            <w:r>
              <w:rPr>
                <w:rFonts w:ascii="Arial" w:cs="Arial" w:eastAsia="Arial" w:hAnsi="Arial"/>
                <w:sz w:val="18"/>
                <w:szCs w:val="18"/>
                <w:color w:val="auto"/>
                <w:w w:val="89"/>
              </w:rPr>
              <w:t>Condensed Consolidated Statements of Income and Comprehensive Income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00" w:type="dxa"/>
            <w:vAlign w:val="bottom"/>
          </w:tcPr>
          <w:p>
            <w:pPr>
              <w:jc w:val="center"/>
              <w:ind w:left="2790"/>
              <w:spacing w:after="0"/>
              <w:rPr>
                <w:sz w:val="20"/>
                <w:szCs w:val="20"/>
                <w:color w:val="auto"/>
              </w:rPr>
            </w:pPr>
            <w:r>
              <w:rPr>
                <w:rFonts w:ascii="Arial" w:cs="Arial" w:eastAsia="Arial" w:hAnsi="Arial"/>
                <w:sz w:val="18"/>
                <w:szCs w:val="18"/>
                <w:color w:val="auto"/>
                <w:w w:val="90"/>
              </w:rPr>
              <w:t>Three Months Ended October 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jc w:val="center"/>
              <w:ind w:left="2790"/>
              <w:spacing w:after="0"/>
              <w:rPr>
                <w:sz w:val="20"/>
                <w:szCs w:val="20"/>
                <w:color w:val="auto"/>
              </w:rPr>
            </w:pPr>
            <w:r>
              <w:rPr>
                <w:rFonts w:ascii="Arial" w:cs="Arial" w:eastAsia="Arial" w:hAnsi="Arial"/>
                <w:sz w:val="18"/>
                <w:szCs w:val="18"/>
                <w:color w:val="auto"/>
                <w:w w:val="91"/>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w w:val="89"/>
              </w:rPr>
              <w:t>(In thousands except per 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17,569</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10,837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6,732</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3,511</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1,203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Operating profit</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Impairment of investment in and loans receivable from affiliate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Other (expense) income, net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before provision for income taxes</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top w:val="single" w:sz="8" w:color="CCFFCC"/>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top w:val="single" w:sz="8" w:color="CCFFCC"/>
              <w:bottom w:val="single" w:sz="8" w:color="CCFFCC"/>
            </w:tcBorders>
            <w:shd w:val="clear" w:color="auto" w:fill="CCFFCC"/>
          </w:tcPr>
          <w:p>
            <w:pPr>
              <w:ind w:left="320"/>
              <w:spacing w:after="0" w:line="190" w:lineRule="exact"/>
              <w:rPr>
                <w:sz w:val="20"/>
                <w:szCs w:val="20"/>
                <w:color w:val="auto"/>
              </w:rPr>
            </w:pPr>
            <w:r>
              <w:rPr>
                <w:rFonts w:ascii="Arial" w:cs="Arial" w:eastAsia="Arial" w:hAnsi="Arial"/>
                <w:sz w:val="18"/>
                <w:szCs w:val="18"/>
                <w:color w:val="auto"/>
              </w:rPr>
              <w:t>Diluted</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0.17</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8,401,636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8,318,874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top w:val="single" w:sz="8" w:color="CCFFCC"/>
              <w:bottom w:val="single" w:sz="8" w:color="CCFFCC"/>
            </w:tcBorders>
            <w:shd w:val="clear" w:color="auto" w:fill="CCFFCC"/>
          </w:tcPr>
          <w:p>
            <w:pPr>
              <w:ind w:left="320"/>
              <w:spacing w:after="0" w:line="190" w:lineRule="exact"/>
              <w:rPr>
                <w:sz w:val="20"/>
                <w:szCs w:val="20"/>
                <w:color w:val="auto"/>
              </w:rPr>
            </w:pPr>
            <w:r>
              <w:rPr>
                <w:rFonts w:ascii="Arial" w:cs="Arial" w:eastAsia="Arial" w:hAnsi="Arial"/>
                <w:sz w:val="18"/>
                <w:szCs w:val="18"/>
                <w:color w:val="auto"/>
              </w:rPr>
              <w:t>Diluted</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8,603,021</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8,540,902</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 adjustment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 in market value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Deferred tax effect of change in marketable securities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20"/>
                <w:szCs w:val="20"/>
                <w:color w:val="auto"/>
              </w:rPr>
            </w:pPr>
          </w:p>
        </w:tc>
      </w:tr>
      <w:tr>
        <w:trPr>
          <w:trHeight w:val="411"/>
        </w:trPr>
        <w:tc>
          <w:tcPr>
            <w:tcW w:w="4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4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44"/>
        </w:trPr>
        <w:tc>
          <w:tcPr>
            <w:tcW w:w="4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2">
            <w:col w:w="7860" w:space="720"/>
            <w:col w:w="2840"/>
          </w:cols>
          <w:pgMar w:left="240" w:top="881" w:right="239" w:bottom="1440" w:gutter="0" w:footer="0" w:header="0"/>
          <w:type w:val="continuous"/>
        </w:sectPr>
      </w:pPr>
    </w:p>
    <w:p>
      <w:pPr>
        <w:spacing w:after="0" w:line="2" w:lineRule="exact"/>
        <w:rPr>
          <w:sz w:val="20"/>
          <w:szCs w:val="20"/>
          <w:color w:val="auto"/>
        </w:rPr>
      </w:pPr>
    </w:p>
    <w:p>
      <w:pPr>
        <w:ind w:left="180"/>
        <w:spacing w:after="0"/>
        <w:tabs>
          <w:tab w:leader="none" w:pos="8560" w:val="left"/>
          <w:tab w:leader="none" w:pos="9420" w:val="left"/>
          <w:tab w:leader="none" w:pos="10040" w:val="left"/>
          <w:tab w:leader="none" w:pos="11020" w:val="left"/>
        </w:tabs>
        <w:rPr>
          <w:sz w:val="20"/>
          <w:szCs w:val="20"/>
          <w:color w:val="auto"/>
        </w:rPr>
      </w:pPr>
      <w:r>
        <w:rPr>
          <w:rFonts w:ascii="Arial" w:cs="Arial" w:eastAsia="Arial" w:hAnsi="Arial"/>
          <w:sz w:val="18"/>
          <w:szCs w:val="18"/>
          <w:color w:val="auto"/>
        </w:rPr>
        <w:t>Comprehensive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1,917</w:t>
        <w:tab/>
        <w:t>$</w:t>
      </w:r>
      <w:r>
        <w:rPr>
          <w:sz w:val="20"/>
          <w:szCs w:val="20"/>
          <w:color w:val="auto"/>
        </w:rPr>
        <w:tab/>
      </w: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color w:val="auto"/>
                <w:w w:val="95"/>
              </w:rPr>
              <w:t>FREQUENCY ELECTRONICS, INC. and SUBSIDIARIES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color w:val="auto"/>
                <w:w w:val="89"/>
              </w:rPr>
              <w:t>Condensed Consolidated Statements of Cash Flows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color w:val="auto"/>
                <w:w w:val="91"/>
              </w:rPr>
              <w:t>Six Months Ended October 31,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color w:val="auto"/>
                <w:w w:val="91"/>
              </w:rPr>
              <w:t>(Unaudited)</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2,209</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charges to earnings and non-operating income or loss, net</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2,611</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(5,801)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Proceeds on redemption of marketable securities and sale of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Loan to related party</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fixed assets</w:t>
            </w:r>
          </w:p>
        </w:tc>
        <w:tc>
          <w:tcPr>
            <w:tcW w:w="3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(612)</w:t>
            </w:r>
          </w:p>
        </w:tc>
        <w:tc>
          <w:tcPr>
            <w:tcW w:w="6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Proceeds from credit line borrowings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of short-term credit and lease obligations</w:t>
            </w:r>
          </w:p>
        </w:tc>
        <w:tc>
          <w:tcPr>
            <w:tcW w:w="3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(1,731)</w:t>
            </w:r>
          </w:p>
        </w:tc>
        <w:tc>
          <w:tcPr>
            <w:tcW w:w="6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4,782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6,978</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Borders>
              <w:top w:val="single" w:sz="8" w:color="CCFFCC"/>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420" w:type="dxa"/>
            <w:vAlign w:val="bottom"/>
            <w:tcBorders>
              <w:top w:val="single" w:sz="8" w:color="auto"/>
            </w:tcBorders>
            <w:shd w:val="clear" w:color="auto" w:fill="CCFFCC"/>
          </w:tcPr>
          <w:p>
            <w:pPr>
              <w:spacing w:after="0"/>
              <w:rPr>
                <w:sz w:val="17"/>
                <w:szCs w:val="17"/>
                <w:color w:val="auto"/>
              </w:rPr>
            </w:pPr>
          </w:p>
        </w:tc>
        <w:tc>
          <w:tcPr>
            <w:tcW w:w="8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Interest</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tcBorders>
              <w:top w:val="single" w:sz="8" w:color="CCFFCC"/>
              <w:bottom w:val="single" w:sz="8" w:color="CCFFCC"/>
            </w:tcBorders>
            <w:shd w:val="clear" w:color="auto" w:fill="CCFFCC"/>
          </w:tcPr>
          <w:p>
            <w:pPr>
              <w:ind w:left="320"/>
              <w:spacing w:after="0" w:line="190" w:lineRule="exact"/>
              <w:rPr>
                <w:sz w:val="20"/>
                <w:szCs w:val="20"/>
                <w:color w:val="auto"/>
              </w:rPr>
            </w:pPr>
            <w:r>
              <w:rPr>
                <w:rFonts w:ascii="Arial" w:cs="Arial" w:eastAsia="Arial" w:hAnsi="Arial"/>
                <w:sz w:val="18"/>
                <w:szCs w:val="18"/>
                <w:color w:val="auto"/>
              </w:rPr>
              <w:t>Income Taxes</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1,275</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420" w:type="dxa"/>
            <w:vAlign w:val="bottom"/>
            <w:tcBorders>
              <w:top w:val="single" w:sz="8" w:color="auto"/>
              <w:bottom w:val="single" w:sz="8" w:color="auto"/>
            </w:tcBorders>
            <w:shd w:val="clear" w:color="auto" w:fill="CCFFC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828</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2012 and the results of its operations and cash flows for the six and three months ended October 31, 2012 and 2011. The April 30, 2012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2012 Annual Report to Stockholders on Form 10-K. The results of operations for such interim periods are not necessarily indicative of the operating results for the full fiscal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2540" w:type="dxa"/>
            <w:vAlign w:val="bottom"/>
            <w:gridSpan w:val="4"/>
          </w:tcPr>
          <w:p>
            <w:pPr>
              <w:ind w:left="760"/>
              <w:spacing w:after="0"/>
              <w:rPr>
                <w:sz w:val="20"/>
                <w:szCs w:val="20"/>
                <w:color w:val="auto"/>
              </w:rPr>
            </w:pPr>
            <w:r>
              <w:rPr>
                <w:rFonts w:ascii="Arial" w:cs="Arial" w:eastAsia="Arial" w:hAnsi="Arial"/>
                <w:sz w:val="18"/>
                <w:szCs w:val="18"/>
                <w:color w:val="auto"/>
              </w:rPr>
              <w:t>Six months</w:t>
            </w:r>
          </w:p>
        </w:tc>
        <w:tc>
          <w:tcPr>
            <w:tcW w:w="2400" w:type="dxa"/>
            <w:vAlign w:val="bottom"/>
            <w:gridSpan w:val="4"/>
          </w:tcPr>
          <w:p>
            <w:pPr>
              <w:ind w:left="660"/>
              <w:spacing w:after="0"/>
              <w:rPr>
                <w:sz w:val="20"/>
                <w:szCs w:val="20"/>
                <w:color w:val="auto"/>
              </w:rPr>
            </w:pPr>
            <w:r>
              <w:rPr>
                <w:rFonts w:ascii="Arial" w:cs="Arial" w:eastAsia="Arial" w:hAnsi="Arial"/>
                <w:sz w:val="18"/>
                <w:szCs w:val="18"/>
                <w:color w:val="auto"/>
              </w:rPr>
              <w:t>Three months</w:t>
            </w:r>
          </w:p>
        </w:tc>
      </w:tr>
      <w:tr>
        <w:trPr>
          <w:trHeight w:val="209"/>
        </w:trPr>
        <w:tc>
          <w:tcPr>
            <w:tcW w:w="4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4"/>
          </w:tcPr>
          <w:p>
            <w:pPr>
              <w:ind w:left="160"/>
              <w:spacing w:after="0"/>
              <w:rPr>
                <w:sz w:val="20"/>
                <w:szCs w:val="20"/>
                <w:color w:val="auto"/>
              </w:rPr>
            </w:pPr>
            <w:r>
              <w:rPr>
                <w:rFonts w:ascii="Arial" w:cs="Arial" w:eastAsia="Arial" w:hAnsi="Arial"/>
                <w:sz w:val="18"/>
                <w:szCs w:val="18"/>
                <w:color w:val="auto"/>
              </w:rPr>
              <w:t>Periods ended October 31,</w:t>
            </w: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6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FFCC"/>
            </w:tcBorders>
          </w:tcPr>
          <w:p>
            <w:pPr>
              <w:spacing w:after="0"/>
              <w:rPr>
                <w:sz w:val="20"/>
                <w:szCs w:val="20"/>
                <w:color w:val="auto"/>
              </w:rPr>
            </w:pPr>
          </w:p>
        </w:tc>
      </w:tr>
      <w:tr>
        <w:trPr>
          <w:trHeight w:val="210"/>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760" w:type="dxa"/>
            <w:vAlign w:val="bottom"/>
          </w:tcPr>
          <w:p>
            <w:pPr>
              <w:ind w:left="16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8,389,942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8,311,679</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8,401,636</w:t>
            </w:r>
          </w:p>
        </w:tc>
        <w:tc>
          <w:tcPr>
            <w:tcW w:w="1060" w:type="dxa"/>
            <w:vAlign w:val="bottom"/>
          </w:tcPr>
          <w:p>
            <w:pPr>
              <w:jc w:val="right"/>
              <w:spacing w:after="0"/>
              <w:rPr>
                <w:sz w:val="20"/>
                <w:szCs w:val="20"/>
                <w:color w:val="auto"/>
              </w:rPr>
            </w:pPr>
            <w:r>
              <w:rPr>
                <w:rFonts w:ascii="Arial" w:cs="Arial" w:eastAsia="Arial" w:hAnsi="Arial"/>
                <w:sz w:val="18"/>
                <w:szCs w:val="18"/>
                <w:color w:val="auto"/>
              </w:rPr>
              <w:t>8,318,874</w:t>
            </w:r>
          </w:p>
        </w:tc>
        <w:tc>
          <w:tcPr>
            <w:tcW w:w="100" w:type="dxa"/>
            <w:vAlign w:val="bottom"/>
          </w:tcPr>
          <w:p>
            <w:pPr>
              <w:spacing w:after="0"/>
              <w:rPr>
                <w:sz w:val="18"/>
                <w:szCs w:val="18"/>
                <w:color w:val="auto"/>
              </w:rPr>
            </w:pPr>
          </w:p>
        </w:tc>
      </w:tr>
      <w:tr>
        <w:trPr>
          <w:trHeight w:val="230"/>
        </w:trPr>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Effect of dilutive securities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183,594</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228,386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201,385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222,028</w:t>
            </w:r>
          </w:p>
        </w:tc>
      </w:tr>
      <w:tr>
        <w:trPr>
          <w:trHeight w:val="223"/>
        </w:trPr>
        <w:tc>
          <w:tcPr>
            <w:tcW w:w="4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8,573,536</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8,540,065</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8,603,021</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8,540,902</w:t>
            </w:r>
          </w:p>
        </w:tc>
        <w:tc>
          <w:tcPr>
            <w:tcW w:w="1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16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89"/>
              </w:rPr>
              <w:t>Six months</w:t>
            </w: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w w:val="86"/>
              </w:rPr>
              <w:t>Three months</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color w:val="auto"/>
              </w:rPr>
              <w:t>Periods ended October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6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FFCC"/>
            </w:tcBorders>
          </w:tcPr>
          <w:p>
            <w:pPr>
              <w:spacing w:after="0"/>
              <w:rPr>
                <w:sz w:val="20"/>
                <w:szCs w:val="20"/>
                <w:color w:val="auto"/>
              </w:rPr>
            </w:pPr>
          </w:p>
        </w:tc>
      </w:tr>
      <w:tr>
        <w:trPr>
          <w:trHeight w:val="210"/>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Outstanding options and SARS excluded</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733,375</w:t>
            </w:r>
          </w:p>
        </w:tc>
        <w:tc>
          <w:tcPr>
            <w:tcW w:w="18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382,875</w:t>
            </w:r>
          </w:p>
        </w:tc>
        <w:tc>
          <w:tcPr>
            <w:tcW w:w="180" w:type="dxa"/>
            <w:vAlign w:val="bottom"/>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733,375</w:t>
            </w:r>
          </w:p>
        </w:tc>
        <w:tc>
          <w:tcPr>
            <w:tcW w:w="180" w:type="dxa"/>
            <w:vAlign w:val="bottom"/>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733,375</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October 31, 2012 and April 30, 2012, costs and estimated earnings in excess of billings, net, consist of the following:</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3140" w:type="dxa"/>
            <w:vAlign w:val="bottom"/>
            <w:gridSpan w:val="4"/>
          </w:tcPr>
          <w:p>
            <w:pPr>
              <w:jc w:val="right"/>
              <w:ind w:right="120"/>
              <w:spacing w:after="0"/>
              <w:rPr>
                <w:sz w:val="20"/>
                <w:szCs w:val="20"/>
                <w:color w:val="auto"/>
              </w:rPr>
            </w:pPr>
            <w:r>
              <w:rPr>
                <w:rFonts w:ascii="Arial" w:cs="Arial" w:eastAsia="Arial" w:hAnsi="Arial"/>
                <w:sz w:val="18"/>
                <w:szCs w:val="18"/>
                <w:color w:val="auto"/>
              </w:rPr>
              <w:t>October 31, 2012</w:t>
            </w:r>
          </w:p>
        </w:tc>
        <w:tc>
          <w:tcPr>
            <w:tcW w:w="1220" w:type="dxa"/>
            <w:vAlign w:val="bottom"/>
            <w:gridSpan w:val="4"/>
          </w:tcPr>
          <w:p>
            <w:pPr>
              <w:ind w:left="60"/>
              <w:spacing w:after="0"/>
              <w:rPr>
                <w:sz w:val="20"/>
                <w:szCs w:val="20"/>
                <w:color w:val="auto"/>
              </w:rPr>
            </w:pPr>
            <w:r>
              <w:rPr>
                <w:rFonts w:ascii="Arial" w:cs="Arial" w:eastAsia="Arial" w:hAnsi="Arial"/>
                <w:sz w:val="18"/>
                <w:szCs w:val="18"/>
                <w:color w:val="auto"/>
              </w:rPr>
              <w:t>April 30, 2012</w:t>
            </w:r>
          </w:p>
        </w:tc>
      </w:tr>
      <w:tr>
        <w:trPr>
          <w:trHeight w:val="210"/>
        </w:trPr>
        <w:tc>
          <w:tcPr>
            <w:tcW w:w="5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4"/>
          </w:tcPr>
          <w:p>
            <w:pPr>
              <w:ind w:left="320"/>
              <w:spacing w:after="0"/>
              <w:rPr>
                <w:sz w:val="20"/>
                <w:szCs w:val="20"/>
                <w:color w:val="auto"/>
              </w:rPr>
            </w:pPr>
            <w:r>
              <w:rPr>
                <w:rFonts w:ascii="Arial" w:cs="Arial" w:eastAsia="Arial" w:hAnsi="Arial"/>
                <w:sz w:val="18"/>
                <w:szCs w:val="18"/>
                <w:color w:val="auto"/>
                <w:w w:val="99"/>
              </w:rPr>
              <w:t>(In thousands)</w:t>
            </w: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2180" w:type="dxa"/>
            <w:vAlign w:val="bottom"/>
            <w:gridSpan w:val="2"/>
            <w:shd w:val="clear" w:color="auto" w:fill="CCFFCC"/>
          </w:tcPr>
          <w:p>
            <w:pPr>
              <w:jc w:val="right"/>
              <w:ind w:right="2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12,562</w:t>
            </w:r>
          </w:p>
        </w:tc>
        <w:tc>
          <w:tcPr>
            <w:tcW w:w="5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9,552</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(1,975)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(2,345)</w:t>
            </w:r>
          </w:p>
        </w:tc>
      </w:tr>
      <w:tr>
        <w:trPr>
          <w:trHeight w:val="223"/>
        </w:trPr>
        <w:tc>
          <w:tcPr>
            <w:tcW w:w="53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w:t>
            </w:r>
          </w:p>
        </w:tc>
        <w:tc>
          <w:tcPr>
            <w:tcW w:w="1780" w:type="dxa"/>
            <w:vAlign w:val="bottom"/>
            <w:tcBorders>
              <w:top w:val="single" w:sz="8" w:color="CCFFCC"/>
              <w:bottom w:val="single" w:sz="8" w:color="CCFFCC"/>
            </w:tcBorders>
            <w:shd w:val="clear" w:color="auto" w:fill="CCFFCC"/>
          </w:tcPr>
          <w:p>
            <w:pPr>
              <w:spacing w:after="0"/>
              <w:rPr>
                <w:sz w:val="19"/>
                <w:szCs w:val="19"/>
                <w:color w:val="auto"/>
              </w:rPr>
            </w:pPr>
          </w:p>
        </w:tc>
        <w:tc>
          <w:tcPr>
            <w:tcW w:w="400" w:type="dxa"/>
            <w:vAlign w:val="bottom"/>
            <w:tcBorders>
              <w:top w:val="single" w:sz="8" w:color="auto"/>
              <w:bottom w:val="single" w:sz="8" w:color="auto"/>
            </w:tcBorders>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4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During the six and three months ended October 31, 2012, such revenue was approximately $17.0 million and $8.4 million, respectively. During the six and three months ended October 31, 2011, revenue recognized under percentage of completion contracts was approximately $17.9 million and $9.6 million,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six month period ended October 31, 2012, the Company made a contribution of 28,429 shares of its common stock held in treasury to the Company’s profit sharing plan and trust under section 401(k) of the Internal Revenue Code. Such contribution is in accordance with the Company’s discretionary match of employee voluntary contributions to this plan. During the same period, the Company issued 15,371 shares from treasury upon the exercise of stock options and SARS by certain employees.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NOTE E - INVENTORIES</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100" w:type="dxa"/>
            <w:vAlign w:val="bottom"/>
            <w:gridSpan w:val="2"/>
          </w:tcPr>
          <w:p>
            <w:pPr>
              <w:ind w:left="500"/>
              <w:spacing w:after="0"/>
              <w:rPr>
                <w:sz w:val="20"/>
                <w:szCs w:val="20"/>
                <w:color w:val="auto"/>
              </w:rPr>
            </w:pPr>
            <w:r>
              <w:rPr>
                <w:rFonts w:ascii="Arial" w:cs="Arial" w:eastAsia="Arial" w:hAnsi="Arial"/>
                <w:sz w:val="18"/>
                <w:szCs w:val="18"/>
                <w:color w:val="auto"/>
                <w:w w:val="96"/>
              </w:rPr>
              <w:t>Inventories, which are reported at the lower of cost or market, consist of the following:</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740" w:type="dxa"/>
            <w:vAlign w:val="bottom"/>
            <w:gridSpan w:val="4"/>
          </w:tcPr>
          <w:p>
            <w:pPr>
              <w:ind w:left="340"/>
              <w:spacing w:after="0"/>
              <w:rPr>
                <w:sz w:val="20"/>
                <w:szCs w:val="20"/>
                <w:color w:val="auto"/>
              </w:rPr>
            </w:pPr>
            <w:r>
              <w:rPr>
                <w:rFonts w:ascii="Arial" w:cs="Arial" w:eastAsia="Arial" w:hAnsi="Arial"/>
                <w:sz w:val="18"/>
                <w:szCs w:val="18"/>
                <w:color w:val="auto"/>
                <w:w w:val="99"/>
              </w:rPr>
              <w:t>October 31, 2012</w:t>
            </w:r>
          </w:p>
        </w:tc>
        <w:tc>
          <w:tcPr>
            <w:tcW w:w="1140" w:type="dxa"/>
            <w:vAlign w:val="bottom"/>
            <w:gridSpan w:val="4"/>
          </w:tcPr>
          <w:p>
            <w:pPr>
              <w:spacing w:after="0"/>
              <w:rPr>
                <w:sz w:val="20"/>
                <w:szCs w:val="20"/>
                <w:color w:val="auto"/>
              </w:rPr>
            </w:pPr>
            <w:r>
              <w:rPr>
                <w:rFonts w:ascii="Arial" w:cs="Arial" w:eastAsia="Arial" w:hAnsi="Arial"/>
                <w:sz w:val="18"/>
                <w:szCs w:val="18"/>
                <w:color w:val="auto"/>
              </w:rPr>
              <w:t>April 30, 2012</w:t>
            </w:r>
          </w:p>
        </w:tc>
      </w:tr>
      <w:tr>
        <w:trPr>
          <w:trHeight w:val="210"/>
        </w:trPr>
        <w:tc>
          <w:tcPr>
            <w:tcW w:w="6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(In thousands)</w:t>
            </w: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17,058</w:t>
            </w:r>
          </w:p>
        </w:tc>
        <w:tc>
          <w:tcPr>
            <w:tcW w:w="14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28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15,813</w:t>
            </w:r>
          </w:p>
        </w:tc>
        <w:tc>
          <w:tcPr>
            <w:tcW w:w="80" w:type="dxa"/>
            <w:vAlign w:val="bottom"/>
            <w:shd w:val="clear" w:color="auto" w:fill="CCFFCC"/>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Work in Progress</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15,762</w:t>
            </w:r>
          </w:p>
        </w:tc>
        <w:tc>
          <w:tcPr>
            <w:tcW w:w="80" w:type="dxa"/>
            <w:vAlign w:val="bottom"/>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2,811</w:t>
            </w:r>
          </w:p>
        </w:tc>
        <w:tc>
          <w:tcPr>
            <w:tcW w:w="14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2,724</w:t>
            </w:r>
          </w:p>
        </w:tc>
        <w:tc>
          <w:tcPr>
            <w:tcW w:w="80" w:type="dxa"/>
            <w:vAlign w:val="bottom"/>
            <w:shd w:val="clear" w:color="auto" w:fill="CCFFCC"/>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34,299</w:t>
            </w:r>
          </w:p>
        </w:tc>
        <w:tc>
          <w:tcPr>
            <w:tcW w:w="8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71"/>
        <w:spacing w:after="0" w:line="342" w:lineRule="auto"/>
        <w:rPr>
          <w:sz w:val="20"/>
          <w:szCs w:val="20"/>
          <w:color w:val="auto"/>
        </w:rPr>
      </w:pPr>
      <w:r>
        <w:rPr>
          <w:rFonts w:ascii="Arial" w:cs="Arial" w:eastAsia="Arial" w:hAnsi="Arial"/>
          <w:sz w:val="16"/>
          <w:szCs w:val="16"/>
          <w:color w:val="auto"/>
        </w:rPr>
        <w:t>As of October 31, 2012 and April 30, 2012, approximately $25.0 million and $25.5 million, respectively, of total inventory is located in the United States, approximately $9.6 million and $8.2 million, respectively, is located in Belgium and $0.7 million and $0.6 million, respectively, is located in China.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25" w:lineRule="exact"/>
        <w:rPr>
          <w:sz w:val="20"/>
          <w:szCs w:val="20"/>
          <w:color w:val="auto"/>
        </w:rPr>
      </w:pPr>
    </w:p>
    <w:p>
      <w:pPr>
        <w:jc w:val="both"/>
        <w:ind w:left="1060" w:hanging="485"/>
        <w:spacing w:after="0" w:line="25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060" w:hanging="485"/>
        <w:spacing w:after="0" w:line="250"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060" w:hanging="485"/>
        <w:spacing w:after="0" w:line="30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55"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minimal sales to outside customers. FEI-Elcom, in addition to its own product line, provides design and technical support for the FEI-NY segment’s satellite business.</w:t>
      </w:r>
    </w:p>
    <w:p>
      <w:pPr>
        <w:spacing w:after="0" w:line="181"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table below presents information about reported segments with reconciliation of segment amounts to consolidated amounts as reported in the statements of income or the balance sheet for each of the periods. The October 31, 2011 amounts do not include FEI-Elcom (in thousands):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FEI-NY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Gillam-FEI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FEI-Zyfer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intersegment revenues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(loss):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FEI-NY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Gillam-FEI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FEI-Zyfer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Corporate</w:t>
      </w:r>
    </w:p>
    <w:p>
      <w:pPr>
        <w:spacing w:after="0" w:line="9" w:lineRule="exact"/>
        <w:rPr>
          <w:sz w:val="20"/>
          <w:szCs w:val="20"/>
          <w:color w:val="auto"/>
        </w:rPr>
      </w:pPr>
    </w:p>
    <w:p>
      <w:pPr>
        <w:jc w:val="right"/>
        <w:ind w:right="2140"/>
        <w:spacing w:after="0"/>
        <w:rPr>
          <w:sz w:val="20"/>
          <w:szCs w:val="20"/>
          <w:color w:val="auto"/>
        </w:rPr>
      </w:pPr>
      <w:r>
        <w:rPr>
          <w:rFonts w:ascii="Arial" w:cs="Arial" w:eastAsia="Arial" w:hAnsi="Arial"/>
          <w:sz w:val="18"/>
          <w:szCs w:val="18"/>
          <w:color w:val="auto"/>
        </w:rPr>
        <w:t>Consolidated operating profit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Six months</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5"/>
          </w:tcPr>
          <w:p>
            <w:pPr>
              <w:jc w:val="right"/>
              <w:ind w:right="560"/>
              <w:spacing w:after="0"/>
              <w:rPr>
                <w:sz w:val="20"/>
                <w:szCs w:val="20"/>
                <w:color w:val="auto"/>
              </w:rPr>
            </w:pPr>
            <w:r>
              <w:rPr>
                <w:rFonts w:ascii="Arial" w:cs="Arial" w:eastAsia="Arial" w:hAnsi="Arial"/>
                <w:sz w:val="18"/>
                <w:szCs w:val="18"/>
                <w:color w:val="auto"/>
                <w:w w:val="88"/>
              </w:rPr>
              <w:t>Periods ended October 31,</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2011</w:t>
            </w:r>
          </w:p>
        </w:tc>
        <w:tc>
          <w:tcPr>
            <w:tcW w:w="60" w:type="dxa"/>
            <w:vAlign w:val="bottom"/>
          </w:tcPr>
          <w:p>
            <w:pPr>
              <w:spacing w:after="0"/>
              <w:rPr>
                <w:sz w:val="20"/>
                <w:szCs w:val="20"/>
                <w:color w:val="auto"/>
              </w:rPr>
            </w:pPr>
          </w:p>
        </w:tc>
      </w:tr>
      <w:tr>
        <w:trPr>
          <w:trHeight w:val="411"/>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24,135</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21,975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12,287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11,361</w:t>
            </w:r>
          </w:p>
        </w:tc>
        <w:tc>
          <w:tcPr>
            <w:tcW w:w="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3,669</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2,610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1,680</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6,587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3,331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2,814</w:t>
            </w:r>
          </w:p>
        </w:tc>
        <w:tc>
          <w:tcPr>
            <w:tcW w:w="60" w:type="dxa"/>
            <w:vAlign w:val="bottom"/>
          </w:tcPr>
          <w:p>
            <w:pPr>
              <w:spacing w:after="0"/>
              <w:rPr>
                <w:sz w:val="18"/>
                <w:szCs w:val="18"/>
                <w:color w:val="auto"/>
              </w:rPr>
            </w:pPr>
          </w:p>
        </w:tc>
      </w:tr>
      <w:tr>
        <w:trPr>
          <w:trHeight w:val="244"/>
        </w:trPr>
        <w:tc>
          <w:tcPr>
            <w:tcW w:w="2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(1,237)</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(659)</w:t>
            </w:r>
          </w:p>
        </w:tc>
        <w:tc>
          <w:tcPr>
            <w:tcW w:w="4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23"/>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17,569</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15,055</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2,973</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4,055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1,851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2,165</w:t>
            </w:r>
          </w:p>
        </w:tc>
        <w:tc>
          <w:tcPr>
            <w:tcW w:w="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r>
      <w:tr>
        <w:trPr>
          <w:trHeight w:val="244"/>
        </w:trPr>
        <w:tc>
          <w:tcPr>
            <w:tcW w:w="2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-1894840</wp:posOffset>
            </wp:positionV>
            <wp:extent cx="68776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-1611630</wp:posOffset>
            </wp:positionV>
            <wp:extent cx="68776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-1337310</wp:posOffset>
            </wp:positionV>
            <wp:extent cx="68776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-1028700</wp:posOffset>
            </wp:positionV>
            <wp:extent cx="68776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7685" cy="1543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-736600</wp:posOffset>
            </wp:positionV>
            <wp:extent cx="68776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-462280</wp:posOffset>
            </wp:positionV>
            <wp:extent cx="68776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-179705</wp:posOffset>
            </wp:positionV>
            <wp:extent cx="687768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6100"/>
          </w:cols>
          <w:pgMar w:left="240" w:top="881"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3240" w:type="dxa"/>
            <w:vAlign w:val="bottom"/>
            <w:gridSpan w:val="4"/>
          </w:tcPr>
          <w:p>
            <w:pPr>
              <w:ind w:left="1860"/>
              <w:spacing w:after="0"/>
              <w:rPr>
                <w:sz w:val="20"/>
                <w:szCs w:val="20"/>
                <w:color w:val="auto"/>
              </w:rPr>
            </w:pPr>
            <w:r>
              <w:rPr>
                <w:rFonts w:ascii="Arial" w:cs="Arial" w:eastAsia="Arial" w:hAnsi="Arial"/>
                <w:sz w:val="18"/>
                <w:szCs w:val="18"/>
                <w:color w:val="auto"/>
                <w:w w:val="97"/>
              </w:rPr>
              <w:t>October 31, 2012</w:t>
            </w:r>
          </w:p>
        </w:tc>
        <w:tc>
          <w:tcPr>
            <w:tcW w:w="1200" w:type="dxa"/>
            <w:vAlign w:val="bottom"/>
            <w:gridSpan w:val="4"/>
          </w:tcPr>
          <w:p>
            <w:pPr>
              <w:ind w:left="60"/>
              <w:spacing w:after="0"/>
              <w:rPr>
                <w:sz w:val="20"/>
                <w:szCs w:val="20"/>
                <w:color w:val="auto"/>
              </w:rPr>
            </w:pPr>
            <w:r>
              <w:rPr>
                <w:rFonts w:ascii="Arial" w:cs="Arial" w:eastAsia="Arial" w:hAnsi="Arial"/>
                <w:sz w:val="18"/>
                <w:szCs w:val="18"/>
                <w:color w:val="auto"/>
              </w:rPr>
              <w:t>April 30, 2012</w:t>
            </w:r>
          </w:p>
        </w:tc>
      </w:tr>
      <w:tr>
        <w:trPr>
          <w:trHeight w:val="210"/>
        </w:trPr>
        <w:tc>
          <w:tcPr>
            <w:tcW w:w="52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86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FEI-NY (approximately $3 million in China)</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54,312</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50,234</w:t>
            </w:r>
          </w:p>
        </w:tc>
      </w:tr>
      <w:tr>
        <w:trPr>
          <w:trHeight w:val="216"/>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 (all in Belgium or France)</w:t>
            </w:r>
          </w:p>
        </w:tc>
        <w:tc>
          <w:tcPr>
            <w:tcW w:w="18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19,509</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20,407</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FEI-Zyfer</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9,685</w:t>
            </w:r>
          </w:p>
        </w:tc>
      </w:tr>
      <w:tr>
        <w:trPr>
          <w:trHeight w:val="216"/>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less intersegment balances</w:t>
            </w:r>
          </w:p>
        </w:tc>
        <w:tc>
          <w:tcPr>
            <w:tcW w:w="18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(14,832)</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(16,424)</w:t>
            </w: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44,152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42,325</w:t>
            </w:r>
          </w:p>
        </w:tc>
      </w:tr>
      <w:tr>
        <w:trPr>
          <w:trHeight w:val="223"/>
        </w:trPr>
        <w:tc>
          <w:tcPr>
            <w:tcW w:w="5260" w:type="dxa"/>
            <w:vAlign w:val="bottom"/>
            <w:tcBorders>
              <w:top w:val="single" w:sz="8" w:color="CCFFCC"/>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Consolidated identifiable assets</w:t>
            </w:r>
          </w:p>
        </w:tc>
        <w:tc>
          <w:tcPr>
            <w:tcW w:w="1860" w:type="dxa"/>
            <w:vAlign w:val="bottom"/>
            <w:tcBorders>
              <w:top w:val="single" w:sz="8" w:color="CCFFCC"/>
              <w:bottom w:val="single" w:sz="8" w:color="CCFFCC"/>
            </w:tcBorders>
            <w:shd w:val="clear" w:color="auto" w:fill="CCFFCC"/>
          </w:tcPr>
          <w:p>
            <w:pPr>
              <w:spacing w:after="0"/>
              <w:rPr>
                <w:sz w:val="19"/>
                <w:szCs w:val="19"/>
                <w:color w:val="auto"/>
              </w:rPr>
            </w:pPr>
          </w:p>
        </w:tc>
        <w:tc>
          <w:tcPr>
            <w:tcW w:w="3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110,718</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106,227</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225"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investment in affiliates in the accompanying balance sheets.</w:t>
      </w:r>
    </w:p>
    <w:p>
      <w:pPr>
        <w:spacing w:after="0" w:line="181" w:lineRule="exact"/>
        <w:rPr>
          <w:sz w:val="20"/>
          <w:szCs w:val="20"/>
          <w:color w:val="auto"/>
        </w:rPr>
      </w:pPr>
    </w:p>
    <w:p>
      <w:pPr>
        <w:jc w:val="both"/>
        <w:ind w:right="640" w:firstLine="401"/>
        <w:spacing w:after="0" w:line="255" w:lineRule="auto"/>
        <w:rPr>
          <w:sz w:val="20"/>
          <w:szCs w:val="20"/>
          <w:color w:val="auto"/>
        </w:rPr>
      </w:pPr>
      <w:r>
        <w:rPr>
          <w:rFonts w:ascii="Arial" w:cs="Arial" w:eastAsia="Arial" w:hAnsi="Arial"/>
          <w:sz w:val="18"/>
          <w:szCs w:val="18"/>
          <w:color w:val="auto"/>
        </w:rPr>
        <w:t>During the six months ended October 31, 2012 and 2011, the Company acquired product from Morion in the aggregate amount of approximately $18,000 and $145,000, respectively, and the Company sold product to Morion in the aggregate amount of approximately $96,000 and $1.0 million, respectively. During the three months ended October 31, 2012 and 2011, the Company acquired product from Morion in the aggregate amount of approximately $6,000 and $60,000, respectively, and the Company sold product to Morion in the aggregate amount of approximately $66,000 and $241,000, respectively. At October 31, 2012, $6,000 was payable to Morion and accounts receivable from Morion was $972,000, including $925,000 for the license agreement described below.</w:t>
      </w:r>
    </w:p>
    <w:p>
      <w:pPr>
        <w:spacing w:after="0" w:line="193" w:lineRule="exact"/>
        <w:rPr>
          <w:sz w:val="20"/>
          <w:szCs w:val="20"/>
          <w:color w:val="auto"/>
        </w:rPr>
      </w:pPr>
    </w:p>
    <w:p>
      <w:pPr>
        <w:jc w:val="both"/>
        <w:ind w:right="640" w:firstLine="401"/>
        <w:spacing w:after="0" w:line="253" w:lineRule="auto"/>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requires the Company to sell certain production equipment currently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In November 2012, Morion paid the Company a $925,000 deposit under this agreement. This amount is considered deferred revenue and is included in accrued liabilities on the accompanying condensed consolidated balance sheet. The United States Department of State has approved the technology transfer which is expected to be completed within a year from the date of the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H –ACQUISITION OF ELCOM TECHNOLOGIES, INC.</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February 21, 2012, the Company purchased 74.88% of the capital stock of Elcom Technologies, Inc. (“Elcom” and after the acquisition “FEI-Elcom”). Prior to the acquisition, the Company had a minority ownership interest of 25.12% of the capital stock of Elcom. After the acquisition, the Company owned 100% and changed the subsidiary’s name to FEI-Elcom Tech, Inc. The Company acquired Elcom as, in addition to its own product line, Elcom provides design and technical support for the Company’s satellite business, which accounts for a significant amount of the Company’s consolidated revenue. For the acquisition, the Company paid approximately $4.1 million to the shareholders for their shares of common stock and an additional $910,000 to certain selling shareholders to settle their outstanding debt with Elcom. In addition the Company had notes due from Elcom with a fair value of approximately $1.7 million which was forgiven as an additional investment in Elcom. Based on the amounts paid to the Elcom shareholders, the Company determined that the fair value of Elcom at the date of acquisition was approximately $7.9 million. The Company’s determination of the fair value of Elcom at the date of acquisition included an adjustment for a control premium of 15% based on the total value at the date of acquisition.</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Elcom at the date of the transaction was allocated to $4.6 million of net tangible assets, deferred taxes of $2.6 million, and approximately $700,000 of intangible assets, including goodwill of approximately $400,000. None of the goodwill is expected to be deductible for income tax purposes.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FEI-Elcom transaction was accounted for as a “step acquisition” in accordance with generally accepted accounting principles. Accordingly, the Company remeasured its previously held equity interest in Elcom and adjusted it to fair value. The difference between the fair value of the Company’s ownership in Elcom and the Company’s carrying value of its investment resulted in the recognition of a gain of approximately $730,000 at the date of the acquisition during the fourth quarter of fiscal year 2012.</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Prior to the acquisition of Elcom, the Company recorded its share of Elcom’s income or loss on the equity method. In addition, periodically the Company measured the market value of Elcom based on comparisons to comparable companies as well as Elcom’s forecasts of future financial results. During the six and three months ended October 31, 2011, in addition to its equity share in the income or loss of Elcom during the year, the Company determined that its investment was impaired and the collectibility of the notes receivable may be reduced. Accordingly, the Company recorded an investment impairment charge in the amount $200,000 and an additional $150,000 allowance against the notes receivable.</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six and three months ended October 31, 2011, prior to the acquisition of Elcom, the Company sold product to Elcom in the amount of $4,000 and acquired technical services from Elcom in the aggregate amount of approximately $16,000 and zero, respectively, and recorded interest income on notes to Elcom in the amount of approximately $43,000 and $21,000, respectively.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consolidated statements of income for the six and three months ended October 31, 2012 include the results of operations of FEI-Elcom. The pro forma financial information set forth below is based upon the Company’s historical consolidated statements of income for the six and three months ended October 31, 2011, adjusted to give effect to the acquisition of FEI-Elcom as if it had occurred at the beginning of the fiscal year. The financial information includes the results of operations of FEI-Elcom for the six month period from April 1, 2011 to September 30, 2011 and for the three month period from July 1, 2011 to September 30, 2011.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 forma financial information is presented for informational purposes only and may not be indicative of what actual results of operations would have been had the acquisition occurred on May 1, 2011, nor does it purport to represent the results of operations for future periods. The pro forma results of operations do not include the gain on the Company’s original investment of $730,000 or the impairment of the Company’s investment in Elcom during fiscal year 2012.</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3"/>
          </w:tcPr>
          <w:p>
            <w:pPr>
              <w:jc w:val="center"/>
              <w:ind w:left="990"/>
              <w:spacing w:after="0"/>
              <w:rPr>
                <w:sz w:val="20"/>
                <w:szCs w:val="20"/>
                <w:color w:val="auto"/>
              </w:rPr>
            </w:pPr>
            <w:r>
              <w:rPr>
                <w:rFonts w:ascii="Arial" w:cs="Arial" w:eastAsia="Arial" w:hAnsi="Arial"/>
                <w:sz w:val="18"/>
                <w:szCs w:val="18"/>
                <w:color w:val="auto"/>
                <w:w w:val="91"/>
              </w:rPr>
              <w:t>Pro forma</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(unaudited)</w:t>
            </w: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Six months</w:t>
            </w:r>
          </w:p>
        </w:tc>
        <w:tc>
          <w:tcPr>
            <w:tcW w:w="36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gridSpan w:val="4"/>
          </w:tcPr>
          <w:p>
            <w:pPr>
              <w:jc w:val="center"/>
              <w:ind w:right="170"/>
              <w:spacing w:after="0" w:line="195" w:lineRule="exact"/>
              <w:rPr>
                <w:sz w:val="20"/>
                <w:szCs w:val="20"/>
                <w:color w:val="auto"/>
              </w:rPr>
            </w:pPr>
            <w:r>
              <w:rPr>
                <w:rFonts w:ascii="Arial" w:cs="Arial" w:eastAsia="Arial" w:hAnsi="Arial"/>
                <w:sz w:val="18"/>
                <w:szCs w:val="18"/>
                <w:color w:val="auto"/>
                <w:w w:val="89"/>
              </w:rPr>
              <w:t>Periods ended October 31, 2011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(in thousands except per share data)</w:t>
            </w:r>
          </w:p>
        </w:tc>
        <w:tc>
          <w:tcPr>
            <w:tcW w:w="0" w:type="dxa"/>
            <w:vAlign w:val="bottom"/>
          </w:tcPr>
          <w:p>
            <w:pPr>
              <w:spacing w:after="0"/>
              <w:rPr>
                <w:sz w:val="1"/>
                <w:szCs w:val="1"/>
                <w:color w:val="auto"/>
              </w:rPr>
            </w:pPr>
          </w:p>
        </w:tc>
      </w:tr>
      <w:tr>
        <w:trPr>
          <w:trHeight w:val="230"/>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35,837</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672</w:t>
            </w:r>
          </w:p>
        </w:tc>
        <w:tc>
          <w:tcPr>
            <w:tcW w:w="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Earnings per share- basic</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Borders>
              <w:bottom w:val="single" w:sz="8" w:color="CCFFCC"/>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120" w:type="dxa"/>
            <w:vAlign w:val="bottom"/>
            <w:tcBorders>
              <w:bottom w:val="single" w:sz="8" w:color="CCFFCC"/>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6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Earnings per share- diluted</w:t>
            </w:r>
          </w:p>
        </w:tc>
        <w:tc>
          <w:tcPr>
            <w:tcW w:w="260" w:type="dxa"/>
            <w:vAlign w:val="bottom"/>
            <w:tcBorders>
              <w:bottom w:val="single" w:sz="8" w:color="auto"/>
            </w:tcBorders>
            <w:shd w:val="clear" w:color="auto" w:fill="CCFFC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0.23</w:t>
            </w:r>
          </w:p>
        </w:tc>
        <w:tc>
          <w:tcPr>
            <w:tcW w:w="12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auto"/>
            </w:tcBorders>
            <w:shd w:val="clear" w:color="auto" w:fill="CCFFC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0.08</w:t>
            </w:r>
          </w:p>
        </w:tc>
        <w:tc>
          <w:tcPr>
            <w:tcW w:w="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2012 and April 30, 2012 are as follows (in thousands):</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color w:val="auto"/>
              </w:rPr>
              <w:t>October 31, 2012</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8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6"/>
                <w:szCs w:val="16"/>
                <w:color w:val="auto"/>
              </w:rPr>
            </w:pPr>
          </w:p>
        </w:tc>
      </w:tr>
      <w:tr>
        <w:trPr>
          <w:trHeight w:val="230"/>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r>
      <w:tr>
        <w:trPr>
          <w:trHeight w:val="230"/>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Gains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4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10,187</w:t>
            </w:r>
          </w:p>
        </w:tc>
        <w:tc>
          <w:tcPr>
            <w:tcW w:w="2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10,544</w:t>
            </w: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6,387</w:t>
            </w:r>
          </w:p>
        </w:tc>
      </w:tr>
      <w:tr>
        <w:trPr>
          <w:trHeight w:val="223"/>
        </w:trPr>
        <w:tc>
          <w:tcPr>
            <w:tcW w:w="44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15,888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FFCC"/>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16,931</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color w:val="auto"/>
              </w:rPr>
              <w:t>April 30, 2012</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8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6"/>
                <w:szCs w:val="16"/>
                <w:color w:val="auto"/>
              </w:rPr>
            </w:pPr>
          </w:p>
        </w:tc>
      </w:tr>
      <w:tr>
        <w:trPr>
          <w:trHeight w:val="230"/>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r>
      <w:tr>
        <w:trPr>
          <w:trHeight w:val="230"/>
        </w:trPr>
        <w:tc>
          <w:tcPr>
            <w:tcW w:w="448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Cost</w:t>
            </w:r>
          </w:p>
        </w:tc>
        <w:tc>
          <w:tcPr>
            <w:tcW w:w="2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Gains</w:t>
            </w:r>
          </w:p>
        </w:tc>
        <w:tc>
          <w:tcPr>
            <w:tcW w:w="8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Losses</w:t>
            </w:r>
          </w:p>
        </w:tc>
        <w:tc>
          <w:tcPr>
            <w:tcW w:w="16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80" w:type="dxa"/>
            <w:vAlign w:val="bottom"/>
            <w:tcBorders>
              <w:bottom w:val="single" w:sz="8" w:color="CCFFCC"/>
            </w:tcBorders>
          </w:tcPr>
          <w:p>
            <w:pPr>
              <w:spacing w:after="0"/>
              <w:rPr>
                <w:sz w:val="20"/>
                <w:szCs w:val="20"/>
                <w:color w:val="auto"/>
              </w:rPr>
            </w:pPr>
          </w:p>
        </w:tc>
      </w:tr>
      <w:tr>
        <w:trPr>
          <w:trHeight w:val="210"/>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11,573</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11,864</w:t>
            </w:r>
          </w:p>
        </w:tc>
        <w:tc>
          <w:tcPr>
            <w:tcW w:w="80" w:type="dxa"/>
            <w:vAlign w:val="bottom"/>
            <w:shd w:val="clear" w:color="auto" w:fill="CCFFCC"/>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5,794</w:t>
            </w:r>
          </w:p>
        </w:tc>
      </w:tr>
      <w:tr>
        <w:trPr>
          <w:trHeight w:val="223"/>
        </w:trPr>
        <w:tc>
          <w:tcPr>
            <w:tcW w:w="44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16,984</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849</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FFCC"/>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17,658</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20" w:type="dxa"/>
            <w:vAlign w:val="bottom"/>
            <w:gridSpan w:val="6"/>
          </w:tcPr>
          <w:p>
            <w:pPr>
              <w:jc w:val="right"/>
              <w:ind w:right="630"/>
              <w:spacing w:after="0"/>
              <w:rPr>
                <w:sz w:val="20"/>
                <w:szCs w:val="20"/>
                <w:color w:val="auto"/>
              </w:rPr>
            </w:pPr>
            <w:r>
              <w:rPr>
                <w:rFonts w:ascii="Arial" w:cs="Arial" w:eastAsia="Arial" w:hAnsi="Arial"/>
                <w:sz w:val="18"/>
                <w:szCs w:val="18"/>
                <w:color w:val="auto"/>
              </w:rPr>
              <w:t>Less than 12 months</w:t>
            </w:r>
          </w:p>
        </w:tc>
        <w:tc>
          <w:tcPr>
            <w:tcW w:w="100" w:type="dxa"/>
            <w:vAlign w:val="bottom"/>
          </w:tcPr>
          <w:p>
            <w:pPr>
              <w:spacing w:after="0"/>
              <w:rPr>
                <w:sz w:val="20"/>
                <w:szCs w:val="20"/>
                <w:color w:val="auto"/>
              </w:rPr>
            </w:pPr>
          </w:p>
        </w:tc>
        <w:tc>
          <w:tcPr>
            <w:tcW w:w="2200" w:type="dxa"/>
            <w:vAlign w:val="bottom"/>
            <w:gridSpan w:val="3"/>
          </w:tcPr>
          <w:p>
            <w:pPr>
              <w:jc w:val="right"/>
              <w:ind w:right="290"/>
              <w:spacing w:after="0"/>
              <w:rPr>
                <w:sz w:val="20"/>
                <w:szCs w:val="20"/>
                <w:color w:val="auto"/>
              </w:rPr>
            </w:pPr>
            <w:r>
              <w:rPr>
                <w:rFonts w:ascii="Arial" w:cs="Arial" w:eastAsia="Arial" w:hAnsi="Arial"/>
                <w:sz w:val="18"/>
                <w:szCs w:val="18"/>
                <w:color w:val="auto"/>
              </w:rPr>
              <w:t>12 Months or more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9"/>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Fair</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Fair</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Unrealized</w:t>
            </w: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Fair</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Value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Value</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color w:val="auto"/>
              </w:rPr>
              <w:t>Losses</w:t>
            </w:r>
          </w:p>
        </w:tc>
        <w:tc>
          <w:tcPr>
            <w:tcW w:w="960" w:type="dxa"/>
            <w:vAlign w:val="bottom"/>
          </w:tcPr>
          <w:p>
            <w:pPr>
              <w:spacing w:after="0"/>
              <w:rPr>
                <w:sz w:val="20"/>
                <w:szCs w:val="20"/>
                <w:color w:val="auto"/>
              </w:rPr>
            </w:pPr>
          </w:p>
        </w:tc>
      </w:tr>
      <w:tr>
        <w:trPr>
          <w:trHeight w:val="190"/>
        </w:trPr>
        <w:tc>
          <w:tcPr>
            <w:tcW w:w="200" w:type="dxa"/>
            <w:vAlign w:val="bottom"/>
          </w:tcPr>
          <w:p>
            <w:pPr>
              <w:spacing w:after="0"/>
              <w:rPr>
                <w:sz w:val="16"/>
                <w:szCs w:val="16"/>
                <w:color w:val="auto"/>
              </w:rPr>
            </w:pPr>
          </w:p>
        </w:tc>
        <w:tc>
          <w:tcPr>
            <w:tcW w:w="160" w:type="dxa"/>
            <w:vAlign w:val="bottom"/>
            <w:tcBorders>
              <w:top w:val="single" w:sz="8" w:color="CCFFCC"/>
              <w:bottom w:val="single" w:sz="8" w:color="CCFFCC"/>
            </w:tcBorders>
            <w:shd w:val="clear" w:color="auto" w:fill="CCFFCC"/>
          </w:tcPr>
          <w:p>
            <w:pPr>
              <w:spacing w:after="0"/>
              <w:rPr>
                <w:sz w:val="16"/>
                <w:szCs w:val="16"/>
                <w:color w:val="auto"/>
              </w:rPr>
            </w:pPr>
          </w:p>
        </w:tc>
        <w:tc>
          <w:tcPr>
            <w:tcW w:w="1260" w:type="dxa"/>
            <w:vAlign w:val="bottom"/>
            <w:tcBorders>
              <w:top w:val="single" w:sz="8" w:color="CCFFCC"/>
              <w:bottom w:val="single" w:sz="8" w:color="auto"/>
            </w:tcBorders>
            <w:gridSpan w:val="2"/>
            <w:shd w:val="clear" w:color="auto" w:fill="CCFFCC"/>
          </w:tcPr>
          <w:p>
            <w:pPr>
              <w:spacing w:after="0" w:line="170" w:lineRule="exact"/>
              <w:rPr>
                <w:sz w:val="20"/>
                <w:szCs w:val="20"/>
                <w:color w:val="auto"/>
              </w:rPr>
            </w:pPr>
            <w:r>
              <w:rPr>
                <w:rFonts w:ascii="Arial" w:cs="Arial" w:eastAsia="Arial" w:hAnsi="Arial"/>
                <w:sz w:val="18"/>
                <w:szCs w:val="18"/>
                <w:color w:val="auto"/>
                <w:w w:val="89"/>
              </w:rPr>
              <w:t>October 31, 2012</w:t>
            </w:r>
          </w:p>
        </w:tc>
        <w:tc>
          <w:tcPr>
            <w:tcW w:w="960" w:type="dxa"/>
            <w:vAlign w:val="bottom"/>
            <w:tcBorders>
              <w:top w:val="single" w:sz="8" w:color="CCFFCC"/>
              <w:bottom w:val="single" w:sz="8" w:color="CCFFCC"/>
            </w:tcBorders>
            <w:shd w:val="clear" w:color="auto" w:fill="CCFFCC"/>
          </w:tcPr>
          <w:p>
            <w:pPr>
              <w:spacing w:after="0"/>
              <w:rPr>
                <w:sz w:val="16"/>
                <w:szCs w:val="16"/>
                <w:color w:val="auto"/>
              </w:rPr>
            </w:pPr>
          </w:p>
        </w:tc>
        <w:tc>
          <w:tcPr>
            <w:tcW w:w="820" w:type="dxa"/>
            <w:vAlign w:val="bottom"/>
            <w:tcBorders>
              <w:top w:val="single" w:sz="8" w:color="auto"/>
              <w:bottom w:val="single" w:sz="8" w:color="CCFFCC"/>
            </w:tcBorders>
            <w:shd w:val="clear" w:color="auto" w:fill="CCFFCC"/>
          </w:tcPr>
          <w:p>
            <w:pPr>
              <w:spacing w:after="0"/>
              <w:rPr>
                <w:sz w:val="16"/>
                <w:szCs w:val="16"/>
                <w:color w:val="auto"/>
              </w:rPr>
            </w:pPr>
          </w:p>
        </w:tc>
        <w:tc>
          <w:tcPr>
            <w:tcW w:w="32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100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auto"/>
              <w:bottom w:val="single" w:sz="8" w:color="CCFFCC"/>
            </w:tcBorders>
            <w:shd w:val="clear" w:color="auto" w:fill="CCFFCC"/>
          </w:tcPr>
          <w:p>
            <w:pPr>
              <w:spacing w:after="0"/>
              <w:rPr>
                <w:sz w:val="16"/>
                <w:szCs w:val="16"/>
                <w:color w:val="auto"/>
              </w:rPr>
            </w:pPr>
          </w:p>
        </w:tc>
        <w:tc>
          <w:tcPr>
            <w:tcW w:w="1040" w:type="dxa"/>
            <w:vAlign w:val="bottom"/>
            <w:tcBorders>
              <w:top w:val="single" w:sz="8" w:color="auto"/>
              <w:bottom w:val="single" w:sz="8" w:color="CCFFCC"/>
            </w:tcBorders>
            <w:shd w:val="clear" w:color="auto" w:fill="CCFFCC"/>
          </w:tcPr>
          <w:p>
            <w:pPr>
              <w:spacing w:after="0"/>
              <w:rPr>
                <w:sz w:val="16"/>
                <w:szCs w:val="16"/>
                <w:color w:val="auto"/>
              </w:rPr>
            </w:pPr>
          </w:p>
        </w:tc>
        <w:tc>
          <w:tcPr>
            <w:tcW w:w="180" w:type="dxa"/>
            <w:vAlign w:val="bottom"/>
            <w:tcBorders>
              <w:top w:val="single" w:sz="8" w:color="CCFFCC"/>
              <w:bottom w:val="single" w:sz="8" w:color="CCFFCC"/>
            </w:tcBorders>
            <w:shd w:val="clear" w:color="auto" w:fill="CCFFCC"/>
          </w:tcPr>
          <w:p>
            <w:pPr>
              <w:spacing w:after="0"/>
              <w:rPr>
                <w:sz w:val="16"/>
                <w:szCs w:val="16"/>
                <w:color w:val="auto"/>
              </w:rPr>
            </w:pPr>
          </w:p>
        </w:tc>
        <w:tc>
          <w:tcPr>
            <w:tcW w:w="980" w:type="dxa"/>
            <w:vAlign w:val="bottom"/>
            <w:tcBorders>
              <w:top w:val="single" w:sz="8" w:color="auto"/>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200" w:type="dxa"/>
            <w:vAlign w:val="bottom"/>
            <w:tcBorders>
              <w:top w:val="single" w:sz="8" w:color="CCFFCC"/>
              <w:bottom w:val="single" w:sz="8" w:color="CCFFCC"/>
            </w:tcBorders>
            <w:shd w:val="clear" w:color="auto" w:fill="CCFFCC"/>
          </w:tcPr>
          <w:p>
            <w:pPr>
              <w:spacing w:after="0"/>
              <w:rPr>
                <w:sz w:val="16"/>
                <w:szCs w:val="16"/>
                <w:color w:val="auto"/>
              </w:rPr>
            </w:pPr>
          </w:p>
        </w:tc>
        <w:tc>
          <w:tcPr>
            <w:tcW w:w="220" w:type="dxa"/>
            <w:vAlign w:val="bottom"/>
            <w:tcBorders>
              <w:top w:val="single" w:sz="8" w:color="auto"/>
              <w:bottom w:val="single" w:sz="8" w:color="CCFFCC"/>
            </w:tcBorders>
            <w:shd w:val="clear" w:color="auto" w:fill="CCFFCC"/>
          </w:tcPr>
          <w:p>
            <w:pPr>
              <w:spacing w:after="0"/>
              <w:rPr>
                <w:sz w:val="16"/>
                <w:szCs w:val="16"/>
                <w:color w:val="auto"/>
              </w:rPr>
            </w:pPr>
          </w:p>
        </w:tc>
        <w:tc>
          <w:tcPr>
            <w:tcW w:w="900" w:type="dxa"/>
            <w:vAlign w:val="bottom"/>
            <w:tcBorders>
              <w:top w:val="single" w:sz="8" w:color="auto"/>
              <w:bottom w:val="single" w:sz="8" w:color="CCFFCC"/>
            </w:tcBorders>
            <w:shd w:val="clear" w:color="auto" w:fill="CCFFCC"/>
          </w:tcPr>
          <w:p>
            <w:pPr>
              <w:spacing w:after="0"/>
              <w:rPr>
                <w:sz w:val="16"/>
                <w:szCs w:val="16"/>
                <w:color w:val="auto"/>
              </w:rPr>
            </w:pPr>
          </w:p>
        </w:tc>
        <w:tc>
          <w:tcPr>
            <w:tcW w:w="18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98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238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jc w:val="right"/>
              <w:ind w:right="65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2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20" w:type="dxa"/>
            <w:vAlign w:val="bottom"/>
            <w:shd w:val="clear" w:color="auto" w:fill="CCFFCC"/>
          </w:tcPr>
          <w:p>
            <w:pPr>
              <w:spacing w:after="0"/>
              <w:rPr>
                <w:sz w:val="19"/>
                <w:szCs w:val="19"/>
                <w:color w:val="auto"/>
              </w:rPr>
            </w:pP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129</w:t>
            </w:r>
          </w:p>
        </w:tc>
        <w:tc>
          <w:tcPr>
            <w:tcW w:w="980" w:type="dxa"/>
            <w:vAlign w:val="bottom"/>
            <w:shd w:val="clear" w:color="auto" w:fill="CCFFCC"/>
          </w:tcPr>
          <w:p>
            <w:pPr>
              <w:spacing w:after="0"/>
              <w:rPr>
                <w:sz w:val="19"/>
                <w:szCs w:val="19"/>
                <w:color w:val="auto"/>
              </w:rPr>
            </w:pPr>
          </w:p>
        </w:tc>
        <w:tc>
          <w:tcPr>
            <w:tcW w:w="3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0"/>
              </w:rPr>
              <w:t>(1)</w:t>
            </w: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9"/>
                <w:szCs w:val="19"/>
                <w:color w:val="auto"/>
              </w:rPr>
            </w:pPr>
          </w:p>
        </w:tc>
      </w:tr>
      <w:tr>
        <w:trPr>
          <w:trHeight w:val="263"/>
        </w:trPr>
        <w:tc>
          <w:tcPr>
            <w:tcW w:w="200" w:type="dxa"/>
            <w:vAlign w:val="bottom"/>
          </w:tcPr>
          <w:p>
            <w:pPr>
              <w:spacing w:after="0"/>
              <w:rPr>
                <w:sz w:val="22"/>
                <w:szCs w:val="22"/>
                <w:color w:val="auto"/>
              </w:rPr>
            </w:pPr>
          </w:p>
        </w:tc>
        <w:tc>
          <w:tcPr>
            <w:tcW w:w="160" w:type="dxa"/>
            <w:vAlign w:val="bottom"/>
            <w:tcBorders>
              <w:bottom w:val="single" w:sz="8" w:color="CCFFCC"/>
            </w:tcBorders>
          </w:tcPr>
          <w:p>
            <w:pPr>
              <w:spacing w:after="0"/>
              <w:rPr>
                <w:sz w:val="22"/>
                <w:szCs w:val="22"/>
                <w:color w:val="auto"/>
              </w:rPr>
            </w:pPr>
          </w:p>
        </w:tc>
        <w:tc>
          <w:tcPr>
            <w:tcW w:w="1060" w:type="dxa"/>
            <w:vAlign w:val="bottom"/>
            <w:tcBorders>
              <w:bottom w:val="single" w:sz="8" w:color="CCFFCC"/>
            </w:tcBorders>
          </w:tcPr>
          <w:p>
            <w:pPr>
              <w:spacing w:after="0"/>
              <w:rPr>
                <w:sz w:val="22"/>
                <w:szCs w:val="22"/>
                <w:color w:val="auto"/>
              </w:rPr>
            </w:pPr>
          </w:p>
        </w:tc>
        <w:tc>
          <w:tcPr>
            <w:tcW w:w="200" w:type="dxa"/>
            <w:vAlign w:val="bottom"/>
            <w:tcBorders>
              <w:bottom w:val="single" w:sz="8" w:color="CCFFCC"/>
            </w:tcBorders>
          </w:tcPr>
          <w:p>
            <w:pPr>
              <w:spacing w:after="0"/>
              <w:rPr>
                <w:sz w:val="22"/>
                <w:szCs w:val="22"/>
                <w:color w:val="auto"/>
              </w:rPr>
            </w:pPr>
          </w:p>
        </w:tc>
        <w:tc>
          <w:tcPr>
            <w:tcW w:w="960" w:type="dxa"/>
            <w:vAlign w:val="bottom"/>
            <w:tcBorders>
              <w:bottom w:val="single" w:sz="8" w:color="CCFFC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FFC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(1</w:t>
            </w:r>
          </w:p>
        </w:tc>
        <w:tc>
          <w:tcPr>
            <w:tcW w:w="2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22"/>
                <w:szCs w:val="22"/>
                <w:color w:val="auto"/>
              </w:rPr>
            </w:pPr>
          </w:p>
        </w:tc>
      </w:tr>
      <w:tr>
        <w:trPr>
          <w:trHeight w:val="177"/>
        </w:trPr>
        <w:tc>
          <w:tcPr>
            <w:tcW w:w="200" w:type="dxa"/>
            <w:vAlign w:val="bottom"/>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1060" w:type="dxa"/>
            <w:vAlign w:val="bottom"/>
            <w:tcBorders>
              <w:bottom w:val="single" w:sz="8" w:color="auto"/>
            </w:tcBorders>
            <w:shd w:val="clear" w:color="auto" w:fill="CCFFCC"/>
          </w:tcPr>
          <w:p>
            <w:pPr>
              <w:spacing w:after="0" w:line="156" w:lineRule="exact"/>
              <w:rPr>
                <w:sz w:val="20"/>
                <w:szCs w:val="20"/>
                <w:color w:val="auto"/>
              </w:rPr>
            </w:pPr>
            <w:r>
              <w:rPr>
                <w:rFonts w:ascii="Arial" w:cs="Arial" w:eastAsia="Arial" w:hAnsi="Arial"/>
                <w:sz w:val="18"/>
                <w:szCs w:val="18"/>
                <w:color w:val="auto"/>
                <w:w w:val="93"/>
              </w:rPr>
              <w:t>April 30, 2012</w:t>
            </w:r>
          </w:p>
        </w:tc>
        <w:tc>
          <w:tcPr>
            <w:tcW w:w="1160" w:type="dxa"/>
            <w:vAlign w:val="bottom"/>
            <w:tcBorders>
              <w:bottom w:val="single" w:sz="8" w:color="CCFFCC"/>
            </w:tcBorders>
            <w:gridSpan w:val="2"/>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32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100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1040" w:type="dxa"/>
            <w:vAlign w:val="bottom"/>
            <w:tcBorders>
              <w:bottom w:val="single" w:sz="8" w:color="CCFFCC"/>
            </w:tcBorders>
            <w:shd w:val="clear" w:color="auto" w:fill="CCFFCC"/>
          </w:tcPr>
          <w:p>
            <w:pPr>
              <w:spacing w:after="0"/>
              <w:rPr>
                <w:sz w:val="15"/>
                <w:szCs w:val="15"/>
                <w:color w:val="auto"/>
              </w:rPr>
            </w:pPr>
          </w:p>
        </w:tc>
        <w:tc>
          <w:tcPr>
            <w:tcW w:w="180" w:type="dxa"/>
            <w:vAlign w:val="bottom"/>
            <w:tcBorders>
              <w:bottom w:val="single" w:sz="8" w:color="CCFFCC"/>
            </w:tcBorders>
            <w:shd w:val="clear" w:color="auto" w:fill="CCFFCC"/>
          </w:tcPr>
          <w:p>
            <w:pPr>
              <w:spacing w:after="0"/>
              <w:rPr>
                <w:sz w:val="15"/>
                <w:szCs w:val="15"/>
                <w:color w:val="auto"/>
              </w:rPr>
            </w:pPr>
          </w:p>
        </w:tc>
        <w:tc>
          <w:tcPr>
            <w:tcW w:w="98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900" w:type="dxa"/>
            <w:vAlign w:val="bottom"/>
            <w:tcBorders>
              <w:bottom w:val="single" w:sz="8" w:color="CCFFCC"/>
            </w:tcBorders>
            <w:shd w:val="clear" w:color="auto" w:fill="CCFFCC"/>
          </w:tcPr>
          <w:p>
            <w:pPr>
              <w:spacing w:after="0"/>
              <w:rPr>
                <w:sz w:val="15"/>
                <w:szCs w:val="15"/>
                <w:color w:val="auto"/>
              </w:rPr>
            </w:pPr>
          </w:p>
        </w:tc>
        <w:tc>
          <w:tcPr>
            <w:tcW w:w="18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98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200" w:type="dxa"/>
            <w:vAlign w:val="bottom"/>
          </w:tcPr>
          <w:p>
            <w:pPr>
              <w:spacing w:after="0"/>
              <w:rPr>
                <w:sz w:val="18"/>
                <w:szCs w:val="18"/>
                <w:color w:val="auto"/>
              </w:rPr>
            </w:pPr>
          </w:p>
        </w:tc>
        <w:tc>
          <w:tcPr>
            <w:tcW w:w="238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jc w:val="right"/>
              <w:ind w:right="65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6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2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20" w:type="dxa"/>
            <w:vAlign w:val="bottom"/>
            <w:shd w:val="clear" w:color="auto" w:fill="CCFFCC"/>
          </w:tcPr>
          <w:p>
            <w:pPr>
              <w:spacing w:after="0"/>
              <w:rPr>
                <w:sz w:val="19"/>
                <w:szCs w:val="19"/>
                <w:color w:val="auto"/>
              </w:rPr>
            </w:pP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539</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spacing w:after="0"/>
              <w:rPr>
                <w:sz w:val="19"/>
                <w:szCs w:val="19"/>
                <w:color w:val="auto"/>
              </w:rPr>
            </w:pP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960" w:type="dxa"/>
            <w:vAlign w:val="bottom"/>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29"/>
        </w:trPr>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w w:val="92"/>
              </w:rPr>
              <w:t>11 of 22</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2012 are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six months ended October 31, 2012 and 2011, the Company redeemed available-for-sale securities in the amount of $2.0 million and $5.1 million, respectively, and realized no gain or loss during the fiscal year 2013 period and a gain of $7,000 for the same period in fiscal year 2012. These amounts are included in the determination of net income for each period.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October 31, 2012 are as follows, at cost (in thousands):</w:t>
      </w:r>
    </w:p>
    <w:p>
      <w:pPr>
        <w:spacing w:after="0" w:line="240"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580" w:type="dxa"/>
            <w:vAlign w:val="bottom"/>
            <w:gridSpan w:val="2"/>
            <w:shd w:val="clear" w:color="auto" w:fill="CCFFCC"/>
          </w:tcPr>
          <w:p>
            <w:pPr>
              <w:jc w:val="right"/>
              <w:ind w:right="40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1,003</w:t>
            </w:r>
          </w:p>
        </w:tc>
        <w:tc>
          <w:tcPr>
            <w:tcW w:w="40" w:type="dxa"/>
            <w:vAlign w:val="bottom"/>
            <w:shd w:val="clear" w:color="auto" w:fill="CCFFC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8,522</w:t>
            </w:r>
          </w:p>
        </w:tc>
        <w:tc>
          <w:tcPr>
            <w:tcW w:w="40" w:type="dxa"/>
            <w:vAlign w:val="bottom"/>
          </w:tcPr>
          <w:p>
            <w:pPr>
              <w:spacing w:after="0"/>
              <w:rPr>
                <w:sz w:val="18"/>
                <w:szCs w:val="18"/>
                <w:color w:val="auto"/>
              </w:rPr>
            </w:pPr>
          </w:p>
        </w:tc>
      </w:tr>
      <w:tr>
        <w:trPr>
          <w:trHeight w:val="230"/>
        </w:trPr>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662</w:t>
            </w:r>
          </w:p>
        </w:tc>
        <w:tc>
          <w:tcPr>
            <w:tcW w:w="40" w:type="dxa"/>
            <w:vAlign w:val="bottom"/>
            <w:shd w:val="clear" w:color="auto" w:fill="CCFFCC"/>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6" w:lineRule="exact"/>
        <w:rPr>
          <w:sz w:val="20"/>
          <w:szCs w:val="20"/>
          <w:color w:val="auto"/>
        </w:rPr>
      </w:pPr>
    </w:p>
    <w:p>
      <w:pPr>
        <w:ind w:left="1460" w:right="20" w:hanging="971"/>
        <w:spacing w:after="0" w:line="277" w:lineRule="auto"/>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J – INCOME TAXES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fiscal years 2012 and 2011, the Company reduced the valuation allowance on the deferred tax assets of its U.S. subsidiaries. Consequently, for the six and three months ended October 31, 2012 and 2011, the Company recorded provisions for income taxes based on both current taxes due in the United States as well as the tax provision or benefit to be realized from temporary tax differences. As of October 31, 2012 and April 30, 2012, the remaining deferred tax asset valuation allowance is approximately $1.5 million and is primarily related to deferred tax assets of the Company’s non-U.S.-based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K – SUBSEQUENT EVENT</w:t>
      </w:r>
    </w:p>
    <w:p>
      <w:pPr>
        <w:spacing w:after="0" w:line="225" w:lineRule="exact"/>
        <w:rPr>
          <w:sz w:val="20"/>
          <w:szCs w:val="20"/>
          <w:color w:val="auto"/>
        </w:rPr>
      </w:pPr>
    </w:p>
    <w:p>
      <w:pPr>
        <w:jc w:val="both"/>
        <w:ind w:right="660" w:firstLine="486"/>
        <w:spacing w:after="0" w:line="277" w:lineRule="auto"/>
        <w:rPr>
          <w:sz w:val="20"/>
          <w:szCs w:val="20"/>
          <w:color w:val="auto"/>
        </w:rPr>
      </w:pPr>
      <w:r>
        <w:rPr>
          <w:rFonts w:ascii="Arial" w:cs="Arial" w:eastAsia="Arial" w:hAnsi="Arial"/>
          <w:sz w:val="18"/>
          <w:szCs w:val="18"/>
          <w:color w:val="auto"/>
        </w:rPr>
        <w:t>On December 12, 2012, the Company’s Board of Directors declared a special cash dividend of $0.20 per share, payable on December 31, 2012 to shareholders of record on December 24,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L – RECENTLY ISSUED ACCOUNTING PROUNCEMENTS</w:t>
      </w:r>
    </w:p>
    <w:p>
      <w:pPr>
        <w:spacing w:after="0" w:line="225" w:lineRule="exact"/>
        <w:rPr>
          <w:sz w:val="20"/>
          <w:szCs w:val="20"/>
          <w:color w:val="auto"/>
        </w:rPr>
      </w:pPr>
    </w:p>
    <w:p>
      <w:pPr>
        <w:jc w:val="both"/>
        <w:ind w:right="640" w:firstLine="486"/>
        <w:spacing w:after="0" w:line="270" w:lineRule="auto"/>
        <w:rPr>
          <w:sz w:val="20"/>
          <w:szCs w:val="20"/>
          <w:color w:val="auto"/>
        </w:rPr>
      </w:pPr>
      <w:r>
        <w:rPr>
          <w:rFonts w:ascii="Arial" w:cs="Arial" w:eastAsia="Arial" w:hAnsi="Arial"/>
          <w:sz w:val="17"/>
          <w:szCs w:val="17"/>
          <w:color w:val="auto"/>
        </w:rPr>
        <w:t>In June 2011, the Financial Accounting Standards Board (“FASB”) issued Accounting Standards Update (“ASU”) NO. 2011-05 “Comprehensive Income (Topic 220): Presentation of Comprehensive Income” (“ASU No. 2011-05”). Under ASU No. 2011-5, an entity has the option to present the total of comprehensive income, the components of net income, and the components of other comprehensive income either in a single continuous statement of comprehensive income or in two separate but consecutive statements. Regardless of which option is selected, an entity is required to present each component of net income along with total net income, each component of other comprehensive income along with a total for other comprehensive income, and a total amount for comprehensive income. ASU No. 2011-5 eliminates the option (previously utilized by the Company) to present the components of other comprehensive income as part of the statement of changes in stockholders’ equity. ASU No. 2011-5 was adopted by the Company at the beginning of the current fiscal year, and affects only the presentation of financial statements and has no financial impact on the Company’s Condensed Consolidated Financial Statements.</w:t>
      </w:r>
    </w:p>
    <w:p>
      <w:pPr>
        <w:spacing w:after="0" w:line="39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41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2012.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including orders for FEI-Elcom products,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FEI-Elcom Acquisition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Fiscal year 2013 results include the results of operations of the Company’s recently acquired subsidiary, FEI-Elcom Tech, Inc. (formerly Elcom Technologies, Inc. or “Elcom” and after the acquisition, “FEI-Elcom”), which is included in the FEI-NY segment. For the six and three-month periods ended October 31, 2012, FEI-Elcom’s third-party revenues were approximately $3.1 million and $2.2 million, respectively. This subsidiary recorded an operating loss of approximately $900,000 for the six month period but recorded a $15,000 profit for the three month period ended October 31, 2012. In the comparable six and three-month periods of the prior fiscal year, before the acquisition, Elcom recorded revenues of approximately $4.9 million and $1.8 million, respectively, operating losses of approximately $260,000 and $400,000, respectively, and net losses of approximately $460,000 and $540,000, respectively. In the discussion below, all amounts for the six and three months ended October 31, 2011, do not include FEI-Elcom, with the exception of the Company’s “Other income (expenses)” which includes $117,000 and $136,000, respectively, of equity losses from its minority interest in Elcom at that time. The six month period also includes $350,000 of impairment charges against the Company’s investment in Elcom and certain notes receivable from Elcom.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right="20" w:firstLine="486"/>
        <w:spacing w:after="0" w:line="258" w:lineRule="auto"/>
        <w:rPr>
          <w:sz w:val="20"/>
          <w:szCs w:val="20"/>
          <w:color w:val="auto"/>
        </w:rPr>
      </w:pPr>
      <w:r>
        <w:rPr>
          <w:rFonts w:ascii="Arial" w:cs="Arial" w:eastAsia="Arial" w:hAnsi="Arial"/>
          <w:sz w:val="18"/>
          <w:szCs w:val="18"/>
          <w:color w:val="auto"/>
        </w:rPr>
        <w:t>The table below sets forth for the respective periods of fiscal years 2013 and 2012 (which end on April 30, 2013 and 2012, respectively) the percentage of consolidated revenues represented by certain items in the Company’s consolidated statements of income:</w:t>
      </w: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5"/>
          </w:tcPr>
          <w:p>
            <w:pPr>
              <w:ind w:left="640"/>
              <w:spacing w:after="0" w:line="203" w:lineRule="exact"/>
              <w:rPr>
                <w:sz w:val="20"/>
                <w:szCs w:val="20"/>
                <w:color w:val="auto"/>
              </w:rPr>
            </w:pPr>
            <w:r>
              <w:rPr>
                <w:rFonts w:ascii="Arial" w:cs="Arial" w:eastAsia="Arial" w:hAnsi="Arial"/>
                <w:sz w:val="18"/>
                <w:szCs w:val="18"/>
                <w:color w:val="auto"/>
                <w:w w:val="92"/>
              </w:rPr>
              <w:t>Six months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6"/>
          </w:tcPr>
          <w:p>
            <w:pPr>
              <w:ind w:left="60"/>
              <w:spacing w:after="0" w:line="203" w:lineRule="exact"/>
              <w:rPr>
                <w:sz w:val="20"/>
                <w:szCs w:val="20"/>
                <w:color w:val="auto"/>
              </w:rPr>
            </w:pPr>
            <w:r>
              <w:rPr>
                <w:rFonts w:ascii="Arial" w:cs="Arial" w:eastAsia="Arial" w:hAnsi="Arial"/>
                <w:sz w:val="18"/>
                <w:szCs w:val="18"/>
                <w:color w:val="auto"/>
                <w:w w:val="90"/>
              </w:rPr>
              <w:t>Three months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9"/>
          </w:tcPr>
          <w:p>
            <w:pPr>
              <w:ind w:left="40"/>
              <w:spacing w:after="0"/>
              <w:rPr>
                <w:sz w:val="20"/>
                <w:szCs w:val="20"/>
                <w:color w:val="auto"/>
              </w:rPr>
            </w:pPr>
            <w:r>
              <w:rPr>
                <w:rFonts w:ascii="Arial" w:cs="Arial" w:eastAsia="Arial" w:hAnsi="Arial"/>
                <w:sz w:val="18"/>
                <w:szCs w:val="18"/>
                <w:color w:val="auto"/>
              </w:rPr>
              <w:t>Periods ended October 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156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680" w:type="dxa"/>
            <w:vAlign w:val="bottom"/>
            <w:tcBorders>
              <w:bottom w:val="single" w:sz="8" w:color="CCFFCC"/>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c>
          <w:tcPr>
            <w:tcW w:w="720" w:type="dxa"/>
            <w:vAlign w:val="bottom"/>
            <w:tcBorders>
              <w:bottom w:val="single" w:sz="8" w:color="CCFFCC"/>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380" w:type="dxa"/>
            <w:vAlign w:val="bottom"/>
            <w:tcBorders>
              <w:bottom w:val="single" w:sz="8" w:color="CCFFCC"/>
            </w:tcBorders>
          </w:tcPr>
          <w:p>
            <w:pPr>
              <w:spacing w:after="0"/>
              <w:rPr>
                <w:sz w:val="20"/>
                <w:szCs w:val="20"/>
                <w:color w:val="auto"/>
              </w:rPr>
            </w:pPr>
          </w:p>
        </w:tc>
        <w:tc>
          <w:tcPr>
            <w:tcW w:w="440" w:type="dxa"/>
            <w:vAlign w:val="bottom"/>
            <w:tcBorders>
              <w:bottom w:val="single" w:sz="8" w:color="CCFF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CCFFCC"/>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2011</w:t>
            </w:r>
          </w:p>
        </w:tc>
        <w:tc>
          <w:tcPr>
            <w:tcW w:w="200" w:type="dxa"/>
            <w:vAlign w:val="bottom"/>
            <w:tcBorders>
              <w:bottom w:val="single" w:sz="8" w:color="CCFFCC"/>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FEI-NY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70.9%</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69.9%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75.4%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1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w w:val="88"/>
              </w:rPr>
              <w:t>Less intersegment revenues</w:t>
            </w:r>
          </w:p>
        </w:tc>
        <w:tc>
          <w:tcPr>
            <w:tcW w:w="6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40" w:type="dxa"/>
            <w:vAlign w:val="bottom"/>
            <w:gridSpan w:val="4"/>
            <w:shd w:val="clear" w:color="auto" w:fill="CCFFCC"/>
          </w:tcPr>
          <w:p>
            <w:pPr>
              <w:jc w:val="right"/>
              <w:ind w:right="145"/>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2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1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2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8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080" w:type="dxa"/>
            <w:vAlign w:val="bottom"/>
            <w:gridSpan w:val="6"/>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1560" w:type="dxa"/>
            <w:vAlign w:val="bottom"/>
            <w:tcBorders>
              <w:top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Operating profit</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18"/>
                <w:szCs w:val="18"/>
                <w:color w:val="auto"/>
                <w:w w:val="94"/>
              </w:rPr>
              <w:t>Other income (expense), net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4"/>
          </w:tcPr>
          <w:p>
            <w:pPr>
              <w:jc w:val="right"/>
              <w:ind w:right="145"/>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8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Pretax income</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560" w:type="dxa"/>
            <w:vAlign w:val="bottom"/>
            <w:tcBorders>
              <w:top w:val="single" w:sz="8" w:color="CCFFCC"/>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6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7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380" w:type="dxa"/>
            <w:vAlign w:val="bottom"/>
            <w:tcBorders>
              <w:top w:val="single" w:sz="8" w:color="CCFFCC"/>
              <w:bottom w:val="single" w:sz="8" w:color="CCFFCC"/>
            </w:tcBorders>
            <w:shd w:val="clear" w:color="auto" w:fill="CCFFCC"/>
          </w:tcPr>
          <w:p>
            <w:pPr>
              <w:spacing w:after="0"/>
              <w:rPr>
                <w:sz w:val="19"/>
                <w:szCs w:val="19"/>
                <w:color w:val="auto"/>
              </w:rPr>
            </w:pPr>
          </w:p>
        </w:tc>
        <w:tc>
          <w:tcPr>
            <w:tcW w:w="4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auto"/>
              <w:bottom w:val="single" w:sz="8" w:color="auto"/>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FFCC"/>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bottom w:val="single" w:sz="8" w:color="auto"/>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CCFFCC"/>
              <w:bottom w:val="single" w:sz="8" w:color="CCFFCC"/>
            </w:tcBorders>
            <w:gridSpan w:val="2"/>
            <w:shd w:val="clear" w:color="auto" w:fill="CCFFCC"/>
          </w:tcPr>
          <w:p>
            <w:pPr>
              <w:jc w:val="right"/>
              <w:ind w:right="65"/>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bottom w:val="single" w:sz="8" w:color="auto"/>
            </w:tcBorders>
            <w:shd w:val="clear" w:color="auto" w:fill="CCFFCC"/>
          </w:tcPr>
          <w:p>
            <w:pPr>
              <w:spacing w:after="0"/>
              <w:rPr>
                <w:sz w:val="19"/>
                <w:szCs w:val="19"/>
                <w:color w:val="auto"/>
              </w:rPr>
            </w:pPr>
          </w:p>
        </w:tc>
        <w:tc>
          <w:tcPr>
            <w:tcW w:w="60" w:type="dxa"/>
            <w:vAlign w:val="bottom"/>
            <w:tcBorders>
              <w:top w:val="single" w:sz="8" w:color="auto"/>
              <w:bottom w:val="single" w:sz="8" w:color="auto"/>
            </w:tcBorders>
            <w:shd w:val="clear" w:color="auto" w:fill="CCFFC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spacing w:after="0"/>
              <w:rPr>
                <w:sz w:val="19"/>
                <w:szCs w:val="19"/>
                <w:color w:val="auto"/>
              </w:rPr>
            </w:pPr>
          </w:p>
        </w:tc>
        <w:tc>
          <w:tcPr>
            <w:tcW w:w="20" w:type="dxa"/>
            <w:vAlign w:val="bottom"/>
            <w:tcBorders>
              <w:top w:val="single" w:sz="8" w:color="auto"/>
              <w:bottom w:val="single" w:sz="8" w:color="auto"/>
            </w:tcBorders>
            <w:shd w:val="clear" w:color="auto" w:fill="CCFFCC"/>
          </w:tcPr>
          <w:p>
            <w:pPr>
              <w:spacing w:after="0"/>
              <w:rPr>
                <w:sz w:val="19"/>
                <w:szCs w:val="19"/>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8"/>
          </w:tcPr>
          <w:p>
            <w:pPr>
              <w:ind w:left="660"/>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Six months</w:t>
            </w: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Three months</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8"/>
          </w:tcPr>
          <w:p>
            <w:pPr>
              <w:ind w:left="140"/>
              <w:spacing w:after="0"/>
              <w:rPr>
                <w:sz w:val="20"/>
                <w:szCs w:val="20"/>
                <w:color w:val="auto"/>
              </w:rPr>
            </w:pPr>
            <w:r>
              <w:rPr>
                <w:rFonts w:ascii="Arial" w:cs="Arial" w:eastAsia="Arial" w:hAnsi="Arial"/>
                <w:sz w:val="18"/>
                <w:szCs w:val="18"/>
                <w:color w:val="auto"/>
              </w:rPr>
              <w:t>Periods ended October 31,</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Segment</w:t>
            </w:r>
          </w:p>
        </w:tc>
        <w:tc>
          <w:tcPr>
            <w:tcW w:w="1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2012</w:t>
            </w:r>
          </w:p>
        </w:tc>
        <w:tc>
          <w:tcPr>
            <w:tcW w:w="2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CCFF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2011</w:t>
            </w:r>
          </w:p>
        </w:tc>
        <w:tc>
          <w:tcPr>
            <w:tcW w:w="60" w:type="dxa"/>
            <w:vAlign w:val="bottom"/>
            <w:tcBorders>
              <w:bottom w:val="single" w:sz="8" w:color="CCFFCC"/>
            </w:tcBorders>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FEI-NY</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24,135</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21,975</w:t>
            </w: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2,160</w:t>
            </w:r>
          </w:p>
        </w:tc>
        <w:tc>
          <w:tcPr>
            <w:tcW w:w="140" w:type="dxa"/>
            <w:vAlign w:val="bottom"/>
            <w:shd w:val="clear" w:color="auto" w:fill="CCFFCC"/>
          </w:tcPr>
          <w:p>
            <w:pPr>
              <w:spacing w:after="0"/>
              <w:rPr>
                <w:sz w:val="18"/>
                <w:szCs w:val="18"/>
                <w:color w:val="auto"/>
              </w:rPr>
            </w:pPr>
          </w:p>
        </w:tc>
        <w:tc>
          <w:tcPr>
            <w:tcW w:w="12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12,287</w:t>
            </w: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11,361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FFCC"/>
          </w:tcPr>
          <w:p>
            <w:pPr>
              <w:spacing w:after="0"/>
              <w:rPr>
                <w:sz w:val="18"/>
                <w:szCs w:val="18"/>
                <w:color w:val="auto"/>
              </w:rPr>
            </w:pPr>
          </w:p>
        </w:tc>
        <w:tc>
          <w:tcPr>
            <w:tcW w:w="4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926</w:t>
            </w:r>
          </w:p>
        </w:tc>
        <w:tc>
          <w:tcPr>
            <w:tcW w:w="126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4,518</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3,669</w:t>
            </w:r>
          </w:p>
        </w:tc>
        <w:tc>
          <w:tcPr>
            <w:tcW w:w="3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849</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930</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FEI-Zyfer</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6,688</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6,587</w:t>
            </w:r>
          </w:p>
        </w:tc>
        <w:tc>
          <w:tcPr>
            <w:tcW w:w="380" w:type="dxa"/>
            <w:vAlign w:val="bottom"/>
            <w:shd w:val="clear" w:color="auto" w:fill="CCFFCC"/>
          </w:tcPr>
          <w:p>
            <w:pPr>
              <w:spacing w:after="0"/>
              <w:rPr>
                <w:sz w:val="18"/>
                <w:szCs w:val="18"/>
                <w:color w:val="auto"/>
              </w:rPr>
            </w:pPr>
          </w:p>
        </w:tc>
        <w:tc>
          <w:tcPr>
            <w:tcW w:w="6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101</w:t>
            </w:r>
          </w:p>
        </w:tc>
        <w:tc>
          <w:tcPr>
            <w:tcW w:w="12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3,331</w:t>
            </w: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517</w:t>
            </w:r>
          </w:p>
        </w:tc>
        <w:tc>
          <w:tcPr>
            <w:tcW w:w="126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(1,237)</w:t>
            </w:r>
          </w:p>
        </w:tc>
        <w:tc>
          <w:tcPr>
            <w:tcW w:w="38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150</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141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5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34,254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30,994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380" w:type="dxa"/>
            <w:vAlign w:val="bottom"/>
            <w:tcBorders>
              <w:top w:val="single" w:sz="8" w:color="auto"/>
              <w:bottom w:val="single" w:sz="8" w:color="auto"/>
            </w:tcBorders>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3,260</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200" w:type="dxa"/>
            <w:vAlign w:val="bottom"/>
            <w:tcBorders>
              <w:top w:val="single" w:sz="8" w:color="CCFFCC"/>
              <w:bottom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17,569</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4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15,055</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w w:val="93"/>
              </w:rPr>
              <w:t>2,514</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CCFFCC"/>
              <w:bottom w:val="single" w:sz="8" w:color="CCFFCC"/>
            </w:tcBorders>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For the six and three months ended October 31, 2012, revenues from recently-acquired FEI-Elcom are included in the revenues of the FEI-NY segment. For the six months ended October 31, 2012, FEI-NY revenues from commercial and U.S. Government satellite programs increased 10% over the prior year. Revenues from these programs accounted for just under 50% of consolidated sales, approximately the same ratio as the same six-month period of fiscal year 2012. Revenues on these long-term contracts are recognized primarily under the percentage of completion method. Sales from the U.S. Government/DOD business area, which accounted for more than 20% of consolidated revenues, increased almost 20% over fiscal year 2012 revenues due primarily to the FEI-Elcom acquisition. Between sales from FEI-NY (including FEI-Elcom) and FEI-Zyfer, total revenues from U.S. Government satellite and non-space programs exceeded 50% for the six months ended October 31, 2012 and neared 60% for the three month period then ended. Network infrastructure sales, which are recorded in all three segments, grew approximately 15% year over year and accounted for approximately 20% of consolidated revenues, similar to the prior fiscal year.</w:t>
      </w:r>
    </w:p>
    <w:p>
      <w:pPr>
        <w:spacing w:after="0" w:line="182"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For the six and three months ended October 31, 2011, consolidated revenues increased by 26% and 20%, respectively, compared to the same periods of fiscal year 2011, and were generated primarily from satellite payload programs as a result of recent contract bookings in the FEI-NY segment. In the fiscal year 2012 periods, revenues from commercial and U.S. Government satellite programs accounted for approximately half of consolidated revenues compared to approximately 30% during the same periods of fiscal year 2011. Revenues on these long-term contracts are recognized primarily under the percentage of completion method. Increased network infrastructure revenues generated by the FEI-Zyfer segment were offset by declines in that business area in the Gillam-FEI segment. Network infrastructure revenues were approximately 20% of consolidated revenues for the six months ended October 31, 2011 compared to approximately 25% for the same period of fiscal year 2011. In the fiscal year 2012 periods, revenues from the U.S. Government/DOD business area, which are recorded in the FEI-NY and FEI-Zyfer segments, were approximately 20% of consolidated revenues compared to more than 25% for the same periods of fiscal year 2011. The percentage decreases in the network infrastructure and U.S. Government/DOD market areas are mostly due to higher satellite payload revenues recorded in fiscal year 2012.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Based on the Company’s current backlog, three-fourths of which represent satellite payload business, the potential for additional new orders, as well as the Company’s acquisition of FEI-Elcom in late fiscal year 2012, revenues for the full fiscal year 2013 are expected to grow. Satellite payload revenues will remain the dominant portion of the Company’s business but revenues from the other major business areas, U.S. Government/DOD non-space and network infrastructure, are also expected to increase over fiscal year 2012 levels.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4"/>
          </w:tcPr>
          <w:p>
            <w:pPr>
              <w:jc w:val="right"/>
              <w:ind w:right="2445"/>
              <w:spacing w:after="0"/>
              <w:rPr>
                <w:sz w:val="20"/>
                <w:szCs w:val="20"/>
                <w:color w:val="auto"/>
              </w:rPr>
            </w:pPr>
            <w:r>
              <w:rPr>
                <w:rFonts w:ascii="Arial" w:cs="Arial" w:eastAsia="Arial" w:hAnsi="Arial"/>
                <w:sz w:val="18"/>
                <w:szCs w:val="18"/>
                <w:b w:val="1"/>
                <w:bCs w:val="1"/>
                <w:color w:val="auto"/>
                <w:w w:val="88"/>
              </w:rPr>
              <w:t>Gross margin</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vMerge w:val="restart"/>
          </w:tcPr>
          <w:p>
            <w:pPr>
              <w:ind w:left="400"/>
              <w:spacing w:after="0"/>
              <w:rPr>
                <w:sz w:val="20"/>
                <w:szCs w:val="20"/>
                <w:color w:val="auto"/>
              </w:rPr>
            </w:pPr>
            <w:r>
              <w:rPr>
                <w:rFonts w:ascii="Arial" w:cs="Arial" w:eastAsia="Arial" w:hAnsi="Arial"/>
                <w:sz w:val="18"/>
                <w:szCs w:val="18"/>
                <w:color w:val="auto"/>
              </w:rPr>
              <w:t>Six months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Three months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5"/>
          </w:tcPr>
          <w:p>
            <w:pPr>
              <w:jc w:val="right"/>
              <w:ind w:right="100"/>
              <w:spacing w:after="0"/>
              <w:rPr>
                <w:sz w:val="20"/>
                <w:szCs w:val="20"/>
                <w:color w:val="auto"/>
              </w:rPr>
            </w:pPr>
            <w:r>
              <w:rPr>
                <w:rFonts w:ascii="Arial" w:cs="Arial" w:eastAsia="Arial" w:hAnsi="Arial"/>
                <w:sz w:val="18"/>
                <w:szCs w:val="18"/>
                <w:color w:val="auto"/>
              </w:rPr>
              <w:t>Periods ended October 31,</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Borders>
              <w:bottom w:val="single" w:sz="8" w:color="CCFFCC"/>
            </w:tcBorders>
          </w:tcPr>
          <w:p>
            <w:pPr>
              <w:spacing w:after="0"/>
              <w:rPr>
                <w:sz w:val="20"/>
                <w:szCs w:val="20"/>
                <w:color w:val="auto"/>
              </w:rPr>
            </w:pPr>
          </w:p>
        </w:tc>
        <w:tc>
          <w:tcPr>
            <w:tcW w:w="240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2012</w:t>
            </w:r>
          </w:p>
        </w:tc>
        <w:tc>
          <w:tcPr>
            <w:tcW w:w="260" w:type="dxa"/>
            <w:vAlign w:val="bottom"/>
            <w:tcBorders>
              <w:bottom w:val="single" w:sz="8" w:color="CCFFCC"/>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CCFFC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12,713</w:t>
            </w: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  12,256</w:t>
            </w:r>
          </w:p>
        </w:tc>
        <w:tc>
          <w:tcPr>
            <w:tcW w:w="260" w:type="dxa"/>
            <w:vAlign w:val="bottom"/>
            <w:shd w:val="clear" w:color="auto" w:fill="CCFFCC"/>
          </w:tcPr>
          <w:p>
            <w:pPr>
              <w:spacing w:after="0"/>
              <w:rPr>
                <w:sz w:val="18"/>
                <w:szCs w:val="18"/>
                <w:color w:val="auto"/>
              </w:rPr>
            </w:pP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457</w:t>
            </w: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   6,732</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   6,112</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620</w:t>
            </w:r>
          </w:p>
        </w:tc>
        <w:tc>
          <w:tcPr>
            <w:tcW w:w="5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80" w:type="dxa"/>
            <w:vAlign w:val="bottom"/>
            <w:gridSpan w:val="3"/>
            <w:shd w:val="clear" w:color="auto" w:fill="CCFFCC"/>
          </w:tcPr>
          <w:p>
            <w:pPr>
              <w:jc w:val="right"/>
              <w:ind w:right="2345"/>
              <w:spacing w:after="0"/>
              <w:rPr>
                <w:sz w:val="20"/>
                <w:szCs w:val="20"/>
                <w:color w:val="auto"/>
              </w:rPr>
            </w:pPr>
            <w:r>
              <w:rPr>
                <w:rFonts w:ascii="Arial" w:cs="Arial" w:eastAsia="Arial" w:hAnsi="Arial"/>
                <w:sz w:val="18"/>
                <w:szCs w:val="18"/>
                <w:color w:val="auto"/>
                <w:w w:val="88"/>
              </w:rPr>
              <w:t>GM Rate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37.1%</w:t>
            </w:r>
          </w:p>
        </w:tc>
        <w:tc>
          <w:tcPr>
            <w:tcW w:w="98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50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38.3%</w:t>
            </w: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40.6%</w:t>
            </w: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 the six and three months ended October 31, 2012, gross margin increased as a result of the 11% and 17%, respectively, increase in consolidated revenues. The gross margin rate is impacted by the Company’s product mix. In both periods of fiscal year 2013, the rate was reduced by the low sales volume at FEI-Elcom as well as by higher costs incurred on certain customer-funded nonrecurring engineering projects at that subsidiary.</w:t>
      </w:r>
    </w:p>
    <w:p>
      <w:pPr>
        <w:spacing w:after="0" w:line="16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Gross margin for the six and three months ended October 31, 2011 increased as compared to the same periods in the prior fiscal year reflecting increased revenue recorded in the fiscal year 2012 periods. The different mix of programs on which the Company is working in the fiscal year 2012 periods accounted for the increases in gross margin rates compared to the six and three months ended October 31, 2010. Of the Company’s three segments, the FEI-NY segment experienced the largest gross margin rate improvement as the higher volume of business covered more of that segment’s fixed costs.</w:t>
      </w:r>
    </w:p>
    <w:p>
      <w:pPr>
        <w:spacing w:after="0" w:line="15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2013 and 2012 periods were less than the Company’s targeted rate of 40%. As consolidated revenues increase, including higher sales volume at FEI-Elcom, and as the sales product mix changes, the Company anticipates that its gross margin rates for the remainder of fiscal year 2013 will reach or exceed its target rate.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7"/>
              </w:rPr>
              <w:t>Selling and administrative expenses</w:t>
            </w:r>
          </w:p>
        </w:tc>
        <w:tc>
          <w:tcPr>
            <w:tcW w:w="1260" w:type="dxa"/>
            <w:vAlign w:val="bottom"/>
            <w:gridSpan w:val="2"/>
            <w:vMerge w:val="restart"/>
          </w:tcPr>
          <w:p>
            <w:pPr>
              <w:ind w:left="120"/>
              <w:spacing w:after="0"/>
              <w:rPr>
                <w:sz w:val="20"/>
                <w:szCs w:val="20"/>
                <w:color w:val="auto"/>
              </w:rPr>
            </w:pPr>
            <w:r>
              <w:rPr>
                <w:rFonts w:ascii="Arial" w:cs="Arial" w:eastAsia="Arial" w:hAnsi="Arial"/>
                <w:sz w:val="18"/>
                <w:szCs w:val="18"/>
                <w:color w:val="auto"/>
              </w:rPr>
              <w:t>Six months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8"/>
                <w:szCs w:val="18"/>
                <w:color w:val="auto"/>
              </w:rPr>
              <w:t>Three months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gridSpan w:val="6"/>
          </w:tcPr>
          <w:p>
            <w:pPr>
              <w:ind w:left="520"/>
              <w:spacing w:after="0"/>
              <w:rPr>
                <w:sz w:val="20"/>
                <w:szCs w:val="20"/>
                <w:color w:val="auto"/>
              </w:rPr>
            </w:pPr>
            <w:r>
              <w:rPr>
                <w:rFonts w:ascii="Arial" w:cs="Arial" w:eastAsia="Arial" w:hAnsi="Arial"/>
                <w:sz w:val="18"/>
                <w:szCs w:val="18"/>
                <w:color w:val="auto"/>
              </w:rPr>
              <w:t>Periods ended October 31,</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8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6,996</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6,626</w:t>
            </w: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370</w:t>
            </w:r>
          </w:p>
        </w:tc>
        <w:tc>
          <w:tcPr>
            <w:tcW w:w="8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3,511</w:t>
            </w: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3,464</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47</w:t>
            </w:r>
          </w:p>
        </w:tc>
        <w:tc>
          <w:tcPr>
            <w:tcW w:w="7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the six and three months ended October 31, 2012, selling and administrative expenses were approximately 20% of consolidated revenues compared to 21% and 23%, respectively, for the same periods of the prior fiscal year. The increase in expenses in the fiscal year 2013 periods compared to the same periods of fiscal year 2012 are due to selling and administrative expenses incurred at FEI-Elcom of approximately $1.1 million and $500,000, respectively. The expenses of this subsidiary were partially offset by lower expenses at Gillam-FEI due to the 11% decrease in the value of the euro to the U.S. dollar, reduced incentive and deferred compensation expenses and lower bad debt expense. For the remainder of fiscal year 2013, the Company expects selling and administrative expenses to be incurred at approximately the same rate and should approach the Company’s target of 20% of revenues or less.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89"/>
              </w:rPr>
              <w:t>Research and development expense</w:t>
            </w:r>
          </w:p>
        </w:tc>
        <w:tc>
          <w:tcPr>
            <w:tcW w:w="1100" w:type="dxa"/>
            <w:vAlign w:val="bottom"/>
            <w:gridSpan w:val="2"/>
            <w:vMerge w:val="restart"/>
          </w:tcPr>
          <w:p>
            <w:pPr>
              <w:ind w:left="80"/>
              <w:spacing w:after="0"/>
              <w:rPr>
                <w:sz w:val="20"/>
                <w:szCs w:val="20"/>
                <w:color w:val="auto"/>
              </w:rPr>
            </w:pPr>
            <w:r>
              <w:rPr>
                <w:rFonts w:ascii="Arial" w:cs="Arial" w:eastAsia="Arial" w:hAnsi="Arial"/>
                <w:sz w:val="18"/>
                <w:szCs w:val="18"/>
                <w:color w:val="auto"/>
              </w:rPr>
              <w:t>Six months</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vMerge w:val="restart"/>
          </w:tcPr>
          <w:p>
            <w:pPr>
              <w:jc w:val="right"/>
              <w:ind w:right="225"/>
              <w:spacing w:after="0"/>
              <w:rPr>
                <w:sz w:val="20"/>
                <w:szCs w:val="20"/>
                <w:color w:val="auto"/>
              </w:rPr>
            </w:pPr>
            <w:r>
              <w:rPr>
                <w:rFonts w:ascii="Arial" w:cs="Arial" w:eastAsia="Arial" w:hAnsi="Arial"/>
                <w:sz w:val="18"/>
                <w:szCs w:val="18"/>
                <w:color w:val="auto"/>
                <w:w w:val="93"/>
              </w:rPr>
              <w:t>Three months</w:t>
            </w: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vMerge w:val="continue"/>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color w:val="auto"/>
              </w:rPr>
              <w:t>Periods ended October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8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2,618</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2,071</w:t>
            </w:r>
          </w:p>
        </w:tc>
        <w:tc>
          <w:tcPr>
            <w:tcW w:w="24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w:t>
            </w:r>
          </w:p>
        </w:tc>
        <w:tc>
          <w:tcPr>
            <w:tcW w:w="13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1,203</w:t>
            </w: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873</w:t>
            </w: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330</w:t>
            </w:r>
          </w:p>
        </w:tc>
        <w:tc>
          <w:tcPr>
            <w:tcW w:w="8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Research and development (“R&amp;D”) expenditures represent investments intended to keep the Company’s products at the leading edge of time and frequency technology and enhance competitiveness for future revenues. R&amp;D spending for the six and three-month periods ended October 31, 2012 and 2011, was less than the Company’s target of 10% of revenues. The year-over-year increase in spending is due primarily to product development expenditures of $550,000 and $230,000, respectively, at FEI-Elcom to improve its own product line. R&amp;D spending in fiscal year 2013 continued to facilitate development of new satellite payload products from DC to Ka Band, development and improvement of miniaturized rubidium atomic clocks, development of new GPS-based synchronization products and further enhancement of the capabilities of the Company’s line of low g-sensitivity and ruggedized rubidium oscillators. Included in these efforts are product redesign and process improvements to enhance product manufacturability and reduce production costs. In addition, the Company continues to conduct development activities on customer-funded programs the cost of which appears in cost of revenues, thus reducing the level of internal research and development spending. The Company will continue to devote significant resources to develop new products, enhance existing products and implement efficient manufacturing processes. For fiscal year 2013, the Company is targeting to spend under 10% of revenues on internal research and development projects. Internally generated cash and cash reserves are adequate to fund these development efforts.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7"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9"/>
              </w:rPr>
              <w:t>Six months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3"/>
              </w:rPr>
              <w:t>Three months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09"/>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6"/>
          </w:tcPr>
          <w:p>
            <w:pPr>
              <w:ind w:left="780"/>
              <w:spacing w:after="0"/>
              <w:rPr>
                <w:sz w:val="20"/>
                <w:szCs w:val="20"/>
                <w:color w:val="auto"/>
              </w:rPr>
            </w:pPr>
            <w:r>
              <w:rPr>
                <w:rFonts w:ascii="Arial" w:cs="Arial" w:eastAsia="Arial" w:hAnsi="Arial"/>
                <w:sz w:val="18"/>
                <w:szCs w:val="18"/>
                <w:color w:val="auto"/>
              </w:rPr>
              <w:t>Periods ended October 31,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CCFFCC"/>
            </w:tcBorders>
          </w:tcPr>
          <w:p>
            <w:pPr>
              <w:spacing w:after="0"/>
              <w:rPr>
                <w:sz w:val="20"/>
                <w:szCs w:val="20"/>
                <w:color w:val="auto"/>
              </w:rPr>
            </w:pPr>
          </w:p>
        </w:tc>
      </w:tr>
      <w:tr>
        <w:trPr>
          <w:trHeight w:val="210"/>
        </w:trPr>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3,099</w:t>
            </w:r>
          </w:p>
        </w:tc>
        <w:tc>
          <w:tcPr>
            <w:tcW w:w="24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3,559</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(460)</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1,775</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243</w:t>
            </w: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jc w:val="both"/>
        <w:ind w:firstLine="492"/>
        <w:spacing w:after="0" w:line="271" w:lineRule="auto"/>
        <w:rPr>
          <w:sz w:val="20"/>
          <w:szCs w:val="20"/>
          <w:color w:val="auto"/>
        </w:rPr>
      </w:pPr>
      <w:r>
        <w:rPr>
          <w:rFonts w:ascii="Arial" w:cs="Arial" w:eastAsia="Arial" w:hAnsi="Arial"/>
          <w:sz w:val="17"/>
          <w:szCs w:val="17"/>
          <w:color w:val="auto"/>
        </w:rPr>
        <w:t>As anticipated, for the three months ended October 31, 2012, FEI-Elcom made a positive contribution to operating profit following an operating loss for the first quarter of fiscal year 2013. The year-to-date operating loss at FEI-Elcom reduced consolidated operating profit compared to the prior fiscal year. Increased consolidated revenues, including increased revenue at FEI-Elcom, generated higher gross margins for the six and three month periods ended October 31, 2012, which offset higher operating expenses. This resulted in an increased consolidated operating profit for the latest three-month period of fiscal year 2013 over the same period of fiscal year 2012 and narrowed the year-to-date operating profit difference between fiscal years 2013 and 2012. Operating profits for the six and three-month periods of fiscal year 2013 were 9.1% and 11.5%, respectively, of consolidated revenues compared to 11.4% and 11.8%, respectively, of revenues for the comparable periods of the previous fiscal year. With increased revenues and higher gross margins, the Company anticipates that for the full fiscal year 2013, it will generate an operating profit that exceeds that of the prior fiscal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Six months</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w:t>
            </w: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Periods ended October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820" w:type="dxa"/>
            <w:vAlign w:val="bottom"/>
            <w:tcBorders>
              <w:bottom w:val="single" w:sz="8" w:color="CCFFCC"/>
            </w:tcBorders>
          </w:tcPr>
          <w:p>
            <w:pPr>
              <w:spacing w:after="0"/>
              <w:rPr>
                <w:sz w:val="20"/>
                <w:szCs w:val="20"/>
                <w:color w:val="auto"/>
              </w:rPr>
            </w:pPr>
          </w:p>
        </w:tc>
        <w:tc>
          <w:tcPr>
            <w:tcW w:w="760" w:type="dxa"/>
            <w:vAlign w:val="bottom"/>
            <w:tcBorders>
              <w:bottom w:val="single" w:sz="8" w:color="CCFFCC"/>
            </w:tcBorders>
          </w:tcPr>
          <w:p>
            <w:pPr>
              <w:spacing w:after="0"/>
              <w:rPr>
                <w:sz w:val="20"/>
                <w:szCs w:val="20"/>
                <w:color w:val="auto"/>
              </w:rPr>
            </w:pPr>
          </w:p>
        </w:tc>
        <w:tc>
          <w:tcPr>
            <w:tcW w:w="74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2012</w:t>
            </w:r>
          </w:p>
        </w:tc>
        <w:tc>
          <w:tcPr>
            <w:tcW w:w="2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220" w:type="dxa"/>
            <w:vAlign w:val="bottom"/>
            <w:tcBorders>
              <w:bottom w:val="single" w:sz="8" w:color="CCFFC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2012</w:t>
            </w:r>
          </w:p>
        </w:tc>
        <w:tc>
          <w:tcPr>
            <w:tcW w:w="2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2011</w:t>
            </w:r>
          </w:p>
        </w:tc>
        <w:tc>
          <w:tcPr>
            <w:tcW w:w="220" w:type="dxa"/>
            <w:vAlign w:val="bottom"/>
            <w:tcBorders>
              <w:bottom w:val="single" w:sz="8" w:color="CCFFC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r>
      <w:tr>
        <w:trPr>
          <w:trHeight w:val="210"/>
        </w:trPr>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74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Equity (loss)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136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Impairment charge</w:t>
            </w:r>
          </w:p>
        </w:tc>
        <w:tc>
          <w:tcPr>
            <w:tcW w:w="7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w w:val="99"/>
              </w:rPr>
              <w:t>350</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 net</w:t>
            </w:r>
          </w:p>
        </w:tc>
        <w:tc>
          <w:tcPr>
            <w:tcW w:w="7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w:t>
            </w:r>
          </w:p>
        </w:tc>
        <w:tc>
          <w:tcPr>
            <w:tcW w:w="400" w:type="dxa"/>
            <w:vAlign w:val="bottom"/>
            <w:shd w:val="clear" w:color="auto" w:fill="CCFFCC"/>
          </w:tcPr>
          <w:p>
            <w:pPr>
              <w:spacing w:after="0"/>
              <w:rPr>
                <w:sz w:val="19"/>
                <w:szCs w:val="19"/>
                <w:color w:val="auto"/>
              </w:rPr>
            </w:pP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r>
      <w:tr>
        <w:trPr>
          <w:trHeight w:val="224"/>
        </w:trPr>
        <w:tc>
          <w:tcPr>
            <w:tcW w:w="1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462</w:t>
            </w:r>
          </w:p>
        </w:tc>
        <w:tc>
          <w:tcPr>
            <w:tcW w:w="56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bl>
    <w:p>
      <w:pPr>
        <w:spacing w:after="0" w:line="187" w:lineRule="exact"/>
        <w:rPr>
          <w:sz w:val="20"/>
          <w:szCs w:val="20"/>
          <w:color w:val="auto"/>
        </w:rPr>
      </w:pPr>
    </w:p>
    <w:p>
      <w:pPr>
        <w:jc w:val="both"/>
        <w:ind w:firstLine="492"/>
        <w:spacing w:after="0" w:line="302" w:lineRule="auto"/>
        <w:rPr>
          <w:sz w:val="20"/>
          <w:szCs w:val="20"/>
          <w:color w:val="auto"/>
        </w:rPr>
      </w:pPr>
      <w:r>
        <w:rPr>
          <w:rFonts w:ascii="Arial" w:cs="Arial" w:eastAsia="Arial" w:hAnsi="Arial"/>
          <w:sz w:val="16"/>
          <w:szCs w:val="16"/>
          <w:color w:val="auto"/>
        </w:rPr>
        <w:t>Investment income is derived primarily from the Company’s holdings of marketable securities. Earnings on these securities may vary based on fluctuating interest rate levels and the timing of purchases or sales of securities. During the six and three months ended October 31, 2012, investments were held in higher yielding marketable securities than those held in the prior fiscal year. In addition, in the fiscal year 2012 periods, the Company redeemed marketable securities which resulted in realized gains of approximately $7,000. No investment gains or losses were recorded in the fiscal 2013 periods.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Equity losses in the six and three months ended October 31, 2011, represent the Company’s share of the quarterly income recorded by Elcom in which the Company owned a 25% interest prior to its late fiscal year 2012 acquisition of FEI-Elcom. In addition, in the same fiscal periods the Company recorded an impairment charge against its investment in the amount of $200,000 and also increased an allowance against notes receivable in the amount of $150,000. In connection with the acquisition of FEI-Elcom in the fourth quarter of fiscal year 2012, the Company recorded a gain of $730,000 on its related investment and notes receivable from Elcom. .</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increase in interest expense for the six and three months ended October 31, 2012 compared to the same periods of fiscal year 2012 is due to borrowings under the Company’s line of credit from a financial institution. The Company borrowed $6 million during fiscal year 2012 to finance the acquisition of FEI-Elcom and borrowed an additional $2.5 million during the quarter ended October 31, 2012 to meet current working capital requirements.</w:t>
      </w:r>
    </w:p>
    <w:p>
      <w:pPr>
        <w:spacing w:after="0" w:line="14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Other income in the six and three months ended October 31, 2011 resulted primarily from realized gains of approximately $137,000 and $46,000, respectively, derived from the excess of proceeds over the cash values of life insurance policies covering a former employee. No similar gains were recognized during the fiscal year 2013 periods. The fiscal year 2012 gains were partially offset by other insignificant non-operating expenses that were similar in type and amount to the current fiscal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5"/>
          </w:tcPr>
          <w:p>
            <w:pPr>
              <w:jc w:val="right"/>
              <w:ind w:right="2760"/>
              <w:spacing w:after="0"/>
              <w:rPr>
                <w:sz w:val="20"/>
                <w:szCs w:val="20"/>
                <w:color w:val="auto"/>
              </w:rPr>
            </w:pPr>
            <w:r>
              <w:rPr>
                <w:rFonts w:ascii="Arial" w:cs="Arial" w:eastAsia="Arial" w:hAnsi="Arial"/>
                <w:sz w:val="18"/>
                <w:szCs w:val="18"/>
                <w:b w:val="1"/>
                <w:bCs w:val="1"/>
                <w:color w:val="auto"/>
                <w:w w:val="88"/>
              </w:rPr>
              <w:t>Income tax provision</w:t>
            </w:r>
          </w:p>
        </w:tc>
        <w:tc>
          <w:tcPr>
            <w:tcW w:w="1300" w:type="dxa"/>
            <w:vAlign w:val="bottom"/>
            <w:gridSpan w:val="3"/>
            <w:vMerge w:val="restart"/>
          </w:tcPr>
          <w:p>
            <w:pPr>
              <w:jc w:val="right"/>
              <w:spacing w:after="0"/>
              <w:rPr>
                <w:sz w:val="20"/>
                <w:szCs w:val="20"/>
                <w:color w:val="auto"/>
              </w:rPr>
            </w:pPr>
            <w:r>
              <w:rPr>
                <w:rFonts w:ascii="Arial" w:cs="Arial" w:eastAsia="Arial" w:hAnsi="Arial"/>
                <w:sz w:val="18"/>
                <w:szCs w:val="18"/>
                <w:color w:val="auto"/>
              </w:rPr>
              <w:t>Six months</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Three months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7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6"/>
          </w:tcPr>
          <w:p>
            <w:pPr>
              <w:jc w:val="right"/>
              <w:ind w:right="180"/>
              <w:spacing w:after="0"/>
              <w:rPr>
                <w:sz w:val="20"/>
                <w:szCs w:val="20"/>
                <w:color w:val="auto"/>
              </w:rPr>
            </w:pPr>
            <w:r>
              <w:rPr>
                <w:rFonts w:ascii="Arial" w:cs="Arial" w:eastAsia="Arial" w:hAnsi="Arial"/>
                <w:sz w:val="18"/>
                <w:szCs w:val="18"/>
                <w:color w:val="auto"/>
              </w:rPr>
              <w:t>Periods ended October 31,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900" w:type="dxa"/>
            <w:vAlign w:val="bottom"/>
            <w:tcBorders>
              <w:bottom w:val="single" w:sz="8" w:color="CCFFCC"/>
            </w:tcBorders>
            <w:gridSpan w:val="2"/>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FFCC"/>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2012</w:t>
            </w:r>
          </w:p>
        </w:tc>
        <w:tc>
          <w:tcPr>
            <w:tcW w:w="26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2011</w:t>
            </w:r>
          </w:p>
        </w:tc>
        <w:tc>
          <w:tcPr>
            <w:tcW w:w="260" w:type="dxa"/>
            <w:vAlign w:val="bottom"/>
            <w:tcBorders>
              <w:bottom w:val="single" w:sz="8" w:color="CCFFC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   1,100</w:t>
            </w:r>
          </w:p>
        </w:tc>
        <w:tc>
          <w:tcPr>
            <w:tcW w:w="2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1,270</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FFCC"/>
          </w:tcPr>
          <w:p>
            <w:pPr>
              <w:spacing w:after="0"/>
              <w:rPr>
                <w:sz w:val="18"/>
                <w:szCs w:val="18"/>
                <w:color w:val="auto"/>
              </w:rPr>
            </w:pP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80" w:type="dxa"/>
            <w:vAlign w:val="bottom"/>
            <w:gridSpan w:val="4"/>
          </w:tcPr>
          <w:p>
            <w:pPr>
              <w:jc w:val="right"/>
              <w:ind w:right="840"/>
              <w:spacing w:after="0"/>
              <w:rPr>
                <w:sz w:val="20"/>
                <w:szCs w:val="20"/>
                <w:color w:val="auto"/>
              </w:rPr>
            </w:pPr>
            <w:r>
              <w:rPr>
                <w:rFonts w:ascii="Arial" w:cs="Arial" w:eastAsia="Arial" w:hAnsi="Arial"/>
                <w:sz w:val="18"/>
                <w:szCs w:val="18"/>
                <w:color w:val="auto"/>
                <w:w w:val="90"/>
              </w:rPr>
              <w:t>Effective tax rate on pre-tax book income: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8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33.3%</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w:t>
            </w:r>
          </w:p>
        </w:tc>
        <w:tc>
          <w:tcPr>
            <w:tcW w:w="4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provision for income taxes for the six months ended October 31, 2012 decreased from the same period of fiscal year 2012 due to the decrease in pretax income and a reduced effective tax rate. Higher pretax income for the three month period ended October 31, 2012 compared to the same period of fiscal year 2012, created a higher tax provision for that period but at a lower effective rate. The effective tax rate in fiscal year 2013 is expected to be in the range of 32% to 36% depending on the level of pretax income or loss recorded at the Company’s foreign subsidiaries. The effective tax rate for the fiscal periods ended October 31, 2011 were higher than the comparable periods of fiscal year 2013 due to the non-tax deductible impairment charges related to the Company’s investment in Elcom.</w:t>
      </w:r>
    </w:p>
    <w:p>
      <w:pPr>
        <w:spacing w:after="0" w:line="193"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which are currently not taxed. In addition, the Company utilizes the availability of research and development tax credits and the Domestic Production Activity credit in the United States to lower its tax rate. As of April 30, 2012, the Company’s European subsidiaries had available net operating loss carryforwards of approximately $1.2 million, which will offset future taxable income. As a result of the FEI-Elcom acquisition, the Company has a federal net operating loss carryforward of $6.6 million which may be applied in annually limited amounts to offset future U.S.-sourced taxable income over the next 20 years. For State of California income tax purposes, the Company has a tax loss carryforward of approximately $2.3 million which expires in 20 years.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88"/>
              </w:rPr>
              <w:t>Net income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vMerge w:val="restart"/>
          </w:tcPr>
          <w:p>
            <w:pPr>
              <w:jc w:val="right"/>
              <w:ind w:right="230"/>
              <w:spacing w:after="0"/>
              <w:rPr>
                <w:sz w:val="20"/>
                <w:szCs w:val="20"/>
                <w:color w:val="auto"/>
              </w:rPr>
            </w:pPr>
            <w:r>
              <w:rPr>
                <w:rFonts w:ascii="Arial" w:cs="Arial" w:eastAsia="Arial" w:hAnsi="Arial"/>
                <w:sz w:val="18"/>
                <w:szCs w:val="18"/>
                <w:color w:val="auto"/>
              </w:rPr>
              <w:t>Six months</w:t>
            </w: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3"/>
            <w:vMerge w:val="restart"/>
          </w:tcPr>
          <w:p>
            <w:pPr>
              <w:jc w:val="right"/>
              <w:ind w:right="105"/>
              <w:spacing w:after="0"/>
              <w:rPr>
                <w:sz w:val="20"/>
                <w:szCs w:val="20"/>
                <w:color w:val="auto"/>
              </w:rPr>
            </w:pPr>
            <w:r>
              <w:rPr>
                <w:rFonts w:ascii="Arial" w:cs="Arial" w:eastAsia="Arial" w:hAnsi="Arial"/>
                <w:sz w:val="18"/>
                <w:szCs w:val="18"/>
                <w:color w:val="auto"/>
              </w:rPr>
              <w:t>Three months</w:t>
            </w: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vMerge w:val="continue"/>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vMerge w:val="continue"/>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20" w:type="dxa"/>
            <w:vAlign w:val="bottom"/>
            <w:gridSpan w:val="6"/>
          </w:tcPr>
          <w:p>
            <w:pPr>
              <w:ind w:left="760"/>
              <w:spacing w:after="0"/>
              <w:rPr>
                <w:sz w:val="20"/>
                <w:szCs w:val="20"/>
                <w:color w:val="auto"/>
              </w:rPr>
            </w:pPr>
            <w:r>
              <w:rPr>
                <w:rFonts w:ascii="Arial" w:cs="Arial" w:eastAsia="Arial" w:hAnsi="Arial"/>
                <w:sz w:val="18"/>
                <w:szCs w:val="18"/>
                <w:color w:val="auto"/>
              </w:rPr>
              <w:t>Periods ended October 31,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FFC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FFC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2,209</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1,441</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665</w:t>
            </w: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As detailed above, for the six and three months ended October 31, 2012, higher revenues due to the FEI-Elcom acquisition were partially offset by higher operating expenses, plus a lower effective income tax rate, enabled the Company to increase its net income over that recorded in the prior fiscal year periods. Based on consolidated backlog and the improved operating performance at FEI-Elcom, the Company expects to record higher consolidated revenue and to realize improved gross margins and operating profits over the remainder of fiscal year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balance sheet continues to reflect a strong working capital position of $66.5 million at October 31, 2012, compared to $63.3 million at April 30, 2012. Included in working capital at October 31, 2012 is $23.9 million of cash, cash equivalents and marketable securities which is partially offset by $8.5 million of borrowings under the Company’s line of credit. The Company’s current ratio at October 31, 2012 is 4.8 to 1.</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the six months ended October 31, 2012, the Company used cash in operating activities of $981,000 compared to $412,000 of positive cash from operations in the comparable fiscal year 2012 period. The reduced cash flow in the fiscal year 2013 period resulted from the operating loss incurred by recently acquired FEI-Elcom, increased costs and estimated earnings in excess of billings (“unbilled accounts receivables”), increased inventory and payments made against accounts payable-trade. Unbilled receivables arise from the use of the percentage of completion method on the Company’s long-term contracts, including satellite payload contracts. Under this method revenue was recognized but contractual milestones were not yet billed in accordance with the terms of the contracts. For the six months ended October 31, 2012 and 2011, the Company incurred approximately $2.6 million and $3.0 million, respectively, of non-cash operating expenses, such as depreciation and amortization and accruals for employee benefit programs. For the balance of fiscal year 2013, as contractual milestones are met and customers are invoiced, unbilled receivables will be reduced and the Company expects to generate positive cash flow from operating activities.</w:t>
      </w:r>
    </w:p>
    <w:p>
      <w:pPr>
        <w:spacing w:after="0" w:line="18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provided by investing activities for the six months ended October 31, 2012 was $447,000 compared to cash used in investing activities of $4.1 million for the same period of fiscal year 2012. The Company redeemed marketable securities in the amount of $2.0 million in the fiscal year 2013 period and $5.1 million in the fiscal year 2012 period. These proceeds and other cash was reinvested in additional marketable securities for the periods ended October 31, 2012 and 2011 in the amount of $947,000 and $8.2 million, respectively. In the fiscal year 2013 and 2012 periods, the Company acquired property, plant and equipment in the amount of $612,000 and $855,000, respectively. During the six months ended October 31, 2011, the Company provided an additional loan to Elcom in the amount of $92,000. The Company may continue to acquire, sell or redeem marketable securities as dictated by its investment strategies as well as by the cash requirements for its development activities and capital equipment acquisitions. The Company intends to spend between $2.0 million and $3.0 million on capital equipment during fiscal year 2013. The Company’s cash, cash reserves, including marketable securities, and internally generated cash are adequate to acquire this level of property, plant and equipment.</w:t>
      </w:r>
    </w:p>
    <w:p>
      <w:pPr>
        <w:spacing w:after="0" w:line="18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Net cash provided by financing activities for the six months ended October 31, 2012 was $2.3 million compared to cash used in financing activities of $125,000 for the period ended October 31, 2011. The principle source of cash was $4.0 million borrowed against the Company’s line of credit with the financial institution which also manages a substantial portion of its investment in marketable securities. During the period the Company repaid $1.5 million of such borrowings. In the six months ended October 31, 2012 and 2011, the Company made payments against its capital lease obligations in the amount of $231,000 and $138,000, respectively, and received cash inflows of $20,000 and $13,000, respectively, upon the exercise of employee stock options.</w:t>
      </w:r>
    </w:p>
    <w:p>
      <w:pPr>
        <w:spacing w:after="0" w:line="158" w:lineRule="exact"/>
        <w:rPr>
          <w:sz w:val="20"/>
          <w:szCs w:val="20"/>
          <w:color w:val="auto"/>
        </w:rPr>
      </w:pPr>
    </w:p>
    <w:p>
      <w:pPr>
        <w:jc w:val="both"/>
        <w:ind w:right="660" w:firstLine="486"/>
        <w:spacing w:after="0" w:line="264" w:lineRule="auto"/>
        <w:rPr>
          <w:sz w:val="20"/>
          <w:szCs w:val="20"/>
          <w:color w:val="auto"/>
        </w:rPr>
      </w:pPr>
      <w:r>
        <w:rPr>
          <w:rFonts w:ascii="Arial" w:cs="Arial" w:eastAsia="Arial" w:hAnsi="Arial"/>
          <w:sz w:val="18"/>
          <w:szCs w:val="18"/>
          <w:color w:val="auto"/>
        </w:rPr>
        <w:t>On December 12, 2012, the Company’s Board of Directors declared a special cash dividend of $0.20 per share, payable on December 31, 2012 to shareholders of record on December 24, 2012. The Company’s cash, cash reserves, marketable securities and internally generated cash are adequate to pay this special dividend.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October 31, 2012, the Company has repurchased approximately $4 million of its common stock out of the $5 million authorization.</w:t>
      </w:r>
    </w:p>
    <w:p>
      <w:pPr>
        <w:spacing w:after="0" w:line="166"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2013, the Company intends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The Company’s cash, cash reserves, including marketable securities, and internally generated cash are adequate to fund these development efforts. The Company may also pursue acquisitions to expand its production and development capabilities as well as the range of products it can offer its customers. The Company may use its cash, marketable securities or external funding in connection with such acquisitions.</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October 31, 2012, the Company's consolidated backlog is approximately $63 million. Approximately 70% of this backlog is expected to be realized in the next twelve months. Included in the backlog at October 31, 2012 is approximately $1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October 31, 2012, was in excess of $5 million. The Company expects these contracts to become fully funded over time and will be added to its backlog at that time.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October 31, 2013.</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2012, for the reasons discussed below, the Company’s disclosure controls and procedures were not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Material Weaknesses in Internal Control over Financial Reporting</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disclosed in its Annual Report on Form 10-K for the year ended April 30, 2012, the Company has identified a material weakness in its internal control over financial reporting related to accounting for acquisitions. While the Company did not conduct a full assessment of the effectiveness of internal controls over financial reporting at October 31, 2012, for the first six months of fiscal year 2013 there were no substantial changes made to the Company’s internal control over financial reporting since management’s assessment of April 30, 2012, and therefore the weakness previously identified by management continued to exist at October 31, 2012. In order to remediate the material weakness, if and when another acquisition takes place, the Company plans to supplement its technical resources to provide expertise in accounting for acquisitions. Please refer to the Company’s Annual Report on Form 10-K for the year ended April 30, 2012 for a more detailed discussion of the weakness previously identified by management.</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six months ended October 31, 2012 to which this report relates that have materially affected, or are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3" w:lineRule="exact"/>
        <w:rPr>
          <w:sz w:val="20"/>
          <w:szCs w:val="20"/>
          <w:color w:val="auto"/>
        </w:rPr>
      </w:pPr>
    </w:p>
    <w:p>
      <w:pPr>
        <w:ind w:left="820" w:hanging="464"/>
        <w:spacing w:after="0" w:line="261" w:lineRule="auto"/>
        <w:rPr>
          <w:sz w:val="20"/>
          <w:szCs w:val="20"/>
          <w:color w:val="auto"/>
        </w:rPr>
      </w:pPr>
      <w:r>
        <w:rPr>
          <w:rFonts w:ascii="Arial" w:cs="Arial" w:eastAsia="Arial" w:hAnsi="Arial"/>
          <w:sz w:val="18"/>
          <w:szCs w:val="18"/>
          <w:color w:val="auto"/>
        </w:rPr>
        <w:t>31.1 - Certification by the Chief Executive Officer pursuant to Rule 13a-14(a) or 15d-14(a) under the Securities Exchange Act of 1934, as adopted pursuant to Section 302 of the Sarbanes-Oxley Act of 2002.</w:t>
      </w:r>
    </w:p>
    <w:p>
      <w:pPr>
        <w:spacing w:after="0" w:line="184" w:lineRule="exact"/>
        <w:rPr>
          <w:sz w:val="20"/>
          <w:szCs w:val="20"/>
          <w:color w:val="auto"/>
        </w:rPr>
      </w:pPr>
    </w:p>
    <w:p>
      <w:pPr>
        <w:ind w:left="820" w:hanging="464"/>
        <w:spacing w:after="0" w:line="277" w:lineRule="auto"/>
        <w:rPr>
          <w:sz w:val="20"/>
          <w:szCs w:val="20"/>
          <w:color w:val="auto"/>
        </w:rPr>
      </w:pPr>
      <w:r>
        <w:rPr>
          <w:rFonts w:ascii="Arial" w:cs="Arial" w:eastAsia="Arial" w:hAnsi="Arial"/>
          <w:sz w:val="18"/>
          <w:szCs w:val="18"/>
          <w:color w:val="auto"/>
        </w:rPr>
        <w:t>31.2 - Certification by the Chief Financial Officer pursuant to Rule 13a-14(a) or 15d-14(a) under the Securities Exchange Act of 1934, as adopted pursuant to Section 302 of the Sarbanes-Oxley Act of 2002.</w:t>
      </w:r>
    </w:p>
    <w:p>
      <w:pPr>
        <w:spacing w:after="0" w:line="170" w:lineRule="exact"/>
        <w:rPr>
          <w:sz w:val="20"/>
          <w:szCs w:val="20"/>
          <w:color w:val="auto"/>
        </w:rPr>
      </w:pPr>
    </w:p>
    <w:p>
      <w:pPr>
        <w:ind w:left="820" w:right="20" w:hanging="376"/>
        <w:spacing w:after="0" w:line="277" w:lineRule="auto"/>
        <w:tabs>
          <w:tab w:leader="none" w:pos="715" w:val="left"/>
        </w:tabs>
        <w:numPr>
          <w:ilvl w:val="0"/>
          <w:numId w:val="5"/>
        </w:numPr>
        <w:rPr>
          <w:rFonts w:ascii="Arial" w:cs="Arial" w:eastAsia="Arial" w:hAnsi="Arial"/>
          <w:sz w:val="18"/>
          <w:szCs w:val="18"/>
          <w:color w:val="auto"/>
        </w:rPr>
      </w:pPr>
      <w:r>
        <w:rPr>
          <w:rFonts w:ascii="Arial" w:cs="Arial" w:eastAsia="Arial" w:hAnsi="Arial"/>
          <w:sz w:val="18"/>
          <w:szCs w:val="18"/>
          <w:color w:val="auto"/>
        </w:rPr>
        <w:t>- Certification by the Chief Executive Officer and Chief Financial Officer pursuant to 18 U.S.C. Section 1350, as adopted pursuant to Section 906 of the Sarbanes-Oxley Act of 2002.</w:t>
      </w:r>
    </w:p>
    <w:p>
      <w:pPr>
        <w:spacing w:after="0" w:line="170" w:lineRule="exact"/>
        <w:rPr>
          <w:sz w:val="20"/>
          <w:szCs w:val="20"/>
          <w:color w:val="auto"/>
        </w:rPr>
      </w:pPr>
    </w:p>
    <w:p>
      <w:pPr>
        <w:jc w:val="both"/>
        <w:ind w:left="820" w:hanging="449"/>
        <w:spacing w:after="0" w:line="259" w:lineRule="auto"/>
        <w:rPr>
          <w:sz w:val="20"/>
          <w:szCs w:val="20"/>
          <w:color w:val="auto"/>
        </w:rPr>
      </w:pPr>
      <w:r>
        <w:rPr>
          <w:rFonts w:ascii="Arial" w:cs="Arial" w:eastAsia="Arial" w:hAnsi="Arial"/>
          <w:sz w:val="18"/>
          <w:szCs w:val="18"/>
          <w:color w:val="auto"/>
        </w:rPr>
        <w:t>101 – The following materials from the Frequency Electronics, Inc. Quarterly Report on Form 10-Q for the quarter ended July 31, 2012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FREQUENCY ELECTRONICS, INC.</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December 17, 2012</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Alan Miller</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Alan Miller</w:t>
            </w:r>
          </w:p>
        </w:tc>
      </w:tr>
      <w:tr>
        <w:trPr>
          <w:trHeight w:val="216"/>
        </w:trPr>
        <w:tc>
          <w:tcPr>
            <w:tcW w:w="3640" w:type="dxa"/>
            <w:vAlign w:val="bottom"/>
          </w:tcPr>
          <w:p>
            <w:pPr>
              <w:spacing w:after="0"/>
              <w:rPr>
                <w:sz w:val="18"/>
                <w:szCs w:val="18"/>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Secretary/Treasurer and Chief Financial Officer</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340"/>
              <w:spacing w:after="0"/>
              <w:rPr>
                <w:sz w:val="20"/>
                <w:szCs w:val="20"/>
                <w:color w:val="auto"/>
              </w:rPr>
            </w:pPr>
            <w:r>
              <w:rPr>
                <w:rFonts w:ascii="Arial" w:cs="Arial" w:eastAsia="Arial" w:hAnsi="Arial"/>
                <w:sz w:val="18"/>
                <w:szCs w:val="18"/>
                <w:color w:val="auto"/>
              </w:rPr>
              <w:t>Signing on behalf of the registrant and as principal financial officer</w:t>
            </w:r>
          </w:p>
        </w:tc>
      </w:tr>
      <w:tr>
        <w:trPr>
          <w:trHeight w:val="648"/>
        </w:trPr>
        <w:tc>
          <w:tcPr>
            <w:tcW w:w="364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22 of 22</w:t>
            </w:r>
          </w:p>
        </w:tc>
      </w:tr>
    </w:tbl>
    <w:p>
      <w:pPr>
        <w:sectPr>
          <w:pgSz w:w="11900" w:h="16838" w:orient="portrait"/>
          <w:cols w:equalWidth="0" w:num="1">
            <w:col w:w="11420"/>
          </w:cols>
          <w:pgMar w:left="240" w:top="881" w:right="239" w:bottom="1440" w:gutter="0" w:footer="0" w:header="0"/>
        </w:sectPr>
      </w:pPr>
    </w:p>
    <w:bookmarkStart w:id="22" w:name="page23"/>
    <w:bookmarkEnd w:id="22"/>
    <w:p>
      <w:pPr>
        <w:ind w:left="10540"/>
        <w:spacing w:after="0"/>
        <w:rPr>
          <w:sz w:val="20"/>
          <w:szCs w:val="20"/>
          <w:color w:val="auto"/>
        </w:rPr>
      </w:pPr>
      <w:r>
        <w:rPr>
          <w:rFonts w:ascii="Arial" w:cs="Arial" w:eastAsia="Arial" w:hAnsi="Arial"/>
          <w:sz w:val="16"/>
          <w:szCs w:val="16"/>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c>
          <w:tcPr>
            <w:tcW w:w="5700" w:type="dxa"/>
            <w:vAlign w:val="bottom"/>
          </w:tcPr>
          <w:p>
            <w:pPr>
              <w:ind w:left="2860"/>
              <w:spacing w:after="0"/>
              <w:rPr>
                <w:sz w:val="20"/>
                <w:szCs w:val="20"/>
                <w:color w:val="auto"/>
              </w:rPr>
            </w:pPr>
            <w:r>
              <w:rPr>
                <w:rFonts w:ascii="Arial" w:cs="Arial" w:eastAsia="Arial" w:hAnsi="Arial"/>
                <w:sz w:val="18"/>
                <w:szCs w:val="18"/>
                <w:color w:val="auto"/>
              </w:rPr>
              <w:t>December 17, 2012</w:t>
            </w:r>
          </w:p>
        </w:tc>
      </w:tr>
      <w:tr>
        <w:trPr>
          <w:trHeight w:val="195"/>
        </w:trPr>
        <w:tc>
          <w:tcPr>
            <w:tcW w:w="5720" w:type="dxa"/>
            <w:vAlign w:val="bottom"/>
          </w:tcPr>
          <w:p>
            <w:pPr>
              <w:ind w:left="340"/>
              <w:spacing w:after="0" w:line="195" w:lineRule="exact"/>
              <w:rPr>
                <w:sz w:val="20"/>
                <w:szCs w:val="20"/>
                <w:color w:val="auto"/>
              </w:rPr>
            </w:pPr>
            <w:r>
              <w:rPr>
                <w:rFonts w:ascii="Arial" w:cs="Arial" w:eastAsia="Arial" w:hAnsi="Arial"/>
                <w:sz w:val="18"/>
                <w:szCs w:val="18"/>
                <w:color w:val="auto"/>
              </w:rPr>
              <w:t>Martin B. Bloch</w:t>
            </w:r>
          </w:p>
        </w:tc>
        <w:tc>
          <w:tcPr>
            <w:tcW w:w="5700" w:type="dxa"/>
            <w:vAlign w:val="bottom"/>
          </w:tcPr>
          <w:p>
            <w:pPr>
              <w:spacing w:after="0"/>
              <w:rPr>
                <w:sz w:val="16"/>
                <w:szCs w:val="16"/>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3" w:name="page24"/>
    <w:bookmarkEnd w:id="23"/>
    <w:p>
      <w:pPr>
        <w:ind w:left="10540"/>
        <w:spacing w:after="0"/>
        <w:rPr>
          <w:sz w:val="20"/>
          <w:szCs w:val="20"/>
          <w:color w:val="auto"/>
        </w:rPr>
      </w:pPr>
      <w:r>
        <w:rPr>
          <w:rFonts w:ascii="Arial" w:cs="Arial" w:eastAsia="Arial" w:hAnsi="Arial"/>
          <w:sz w:val="16"/>
          <w:szCs w:val="16"/>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Miller</w:t>
            </w:r>
          </w:p>
        </w:tc>
        <w:tc>
          <w:tcPr>
            <w:tcW w:w="5700" w:type="dxa"/>
            <w:vAlign w:val="bottom"/>
          </w:tcPr>
          <w:p>
            <w:pPr>
              <w:ind w:left="2860"/>
              <w:spacing w:after="0"/>
              <w:rPr>
                <w:sz w:val="20"/>
                <w:szCs w:val="20"/>
                <w:color w:val="auto"/>
              </w:rPr>
            </w:pPr>
            <w:r>
              <w:rPr>
                <w:rFonts w:ascii="Arial" w:cs="Arial" w:eastAsia="Arial" w:hAnsi="Arial"/>
                <w:sz w:val="18"/>
                <w:szCs w:val="18"/>
                <w:color w:val="auto"/>
              </w:rPr>
              <w:t>December 17, 2012</w:t>
            </w:r>
          </w:p>
        </w:tc>
      </w:tr>
      <w:tr>
        <w:trPr>
          <w:trHeight w:val="195"/>
        </w:trPr>
        <w:tc>
          <w:tcPr>
            <w:tcW w:w="5720" w:type="dxa"/>
            <w:vAlign w:val="bottom"/>
          </w:tcPr>
          <w:p>
            <w:pPr>
              <w:ind w:left="340"/>
              <w:spacing w:after="0" w:line="195" w:lineRule="exact"/>
              <w:rPr>
                <w:sz w:val="20"/>
                <w:szCs w:val="20"/>
                <w:color w:val="auto"/>
              </w:rPr>
            </w:pPr>
            <w:r>
              <w:rPr>
                <w:rFonts w:ascii="Arial" w:cs="Arial" w:eastAsia="Arial" w:hAnsi="Arial"/>
                <w:sz w:val="18"/>
                <w:szCs w:val="18"/>
                <w:color w:val="auto"/>
              </w:rPr>
              <w:t>Alan L. Miller</w:t>
            </w:r>
          </w:p>
        </w:tc>
        <w:tc>
          <w:tcPr>
            <w:tcW w:w="5700" w:type="dxa"/>
            <w:vAlign w:val="bottom"/>
          </w:tcPr>
          <w:p>
            <w:pPr>
              <w:spacing w:after="0"/>
              <w:rPr>
                <w:sz w:val="16"/>
                <w:szCs w:val="16"/>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Chief Financial Officer</w:t>
            </w:r>
          </w:p>
        </w:tc>
        <w:tc>
          <w:tcPr>
            <w:tcW w:w="5700" w:type="dxa"/>
            <w:vAlign w:val="bottom"/>
          </w:tcPr>
          <w:p>
            <w:pPr>
              <w:spacing w:after="0"/>
              <w:rPr>
                <w:sz w:val="20"/>
                <w:szCs w:val="20"/>
                <w:color w:val="auto"/>
              </w:rPr>
            </w:pP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2012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20" w:hanging="326"/>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319"/>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c>
          <w:tcPr>
            <w:tcW w:w="4260" w:type="dxa"/>
            <w:vAlign w:val="bottom"/>
          </w:tcPr>
          <w:p>
            <w:pPr>
              <w:ind w:left="2860"/>
              <w:spacing w:after="0"/>
              <w:rPr>
                <w:sz w:val="20"/>
                <w:szCs w:val="20"/>
                <w:color w:val="auto"/>
              </w:rPr>
            </w:pPr>
            <w:r>
              <w:rPr>
                <w:rFonts w:ascii="Arial" w:cs="Arial" w:eastAsia="Arial" w:hAnsi="Arial"/>
                <w:sz w:val="18"/>
                <w:szCs w:val="18"/>
                <w:color w:val="auto"/>
                <w:w w:val="87"/>
              </w:rPr>
              <w:t>December 17, 2012</w:t>
            </w:r>
          </w:p>
        </w:tc>
      </w:tr>
      <w:tr>
        <w:trPr>
          <w:trHeight w:val="195"/>
        </w:trPr>
        <w:tc>
          <w:tcPr>
            <w:tcW w:w="5720" w:type="dxa"/>
            <w:vAlign w:val="bottom"/>
          </w:tcPr>
          <w:p>
            <w:pPr>
              <w:ind w:left="340"/>
              <w:spacing w:after="0" w:line="195" w:lineRule="exact"/>
              <w:rPr>
                <w:sz w:val="20"/>
                <w:szCs w:val="20"/>
                <w:color w:val="auto"/>
              </w:rPr>
            </w:pPr>
            <w:r>
              <w:rPr>
                <w:rFonts w:ascii="Arial" w:cs="Arial" w:eastAsia="Arial" w:hAnsi="Arial"/>
                <w:sz w:val="18"/>
                <w:szCs w:val="18"/>
                <w:color w:val="auto"/>
              </w:rPr>
              <w:t>Martin B. Bloch</w:t>
            </w:r>
          </w:p>
        </w:tc>
        <w:tc>
          <w:tcPr>
            <w:tcW w:w="4260" w:type="dxa"/>
            <w:vAlign w:val="bottom"/>
          </w:tcPr>
          <w:p>
            <w:pPr>
              <w:spacing w:after="0"/>
              <w:rPr>
                <w:sz w:val="16"/>
                <w:szCs w:val="16"/>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2012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800" w:hanging="319"/>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319"/>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Miller</w:t>
            </w:r>
          </w:p>
        </w:tc>
        <w:tc>
          <w:tcPr>
            <w:tcW w:w="4260" w:type="dxa"/>
            <w:vAlign w:val="bottom"/>
          </w:tcPr>
          <w:p>
            <w:pPr>
              <w:ind w:left="2860"/>
              <w:spacing w:after="0"/>
              <w:rPr>
                <w:sz w:val="20"/>
                <w:szCs w:val="20"/>
                <w:color w:val="auto"/>
              </w:rPr>
            </w:pPr>
            <w:r>
              <w:rPr>
                <w:rFonts w:ascii="Arial" w:cs="Arial" w:eastAsia="Arial" w:hAnsi="Arial"/>
                <w:sz w:val="18"/>
                <w:szCs w:val="18"/>
                <w:color w:val="auto"/>
                <w:w w:val="87"/>
              </w:rPr>
              <w:t>December 17, 2012</w:t>
            </w:r>
          </w:p>
        </w:tc>
      </w:tr>
      <w:tr>
        <w:trPr>
          <w:trHeight w:val="195"/>
        </w:trPr>
        <w:tc>
          <w:tcPr>
            <w:tcW w:w="5720" w:type="dxa"/>
            <w:vAlign w:val="bottom"/>
          </w:tcPr>
          <w:p>
            <w:pPr>
              <w:ind w:left="340"/>
              <w:spacing w:after="0" w:line="195" w:lineRule="exact"/>
              <w:rPr>
                <w:sz w:val="20"/>
                <w:szCs w:val="20"/>
                <w:color w:val="auto"/>
              </w:rPr>
            </w:pPr>
            <w:r>
              <w:rPr>
                <w:rFonts w:ascii="Arial" w:cs="Arial" w:eastAsia="Arial" w:hAnsi="Arial"/>
                <w:sz w:val="18"/>
                <w:szCs w:val="18"/>
                <w:color w:val="auto"/>
              </w:rPr>
              <w:t>Alan L. Miller</w:t>
            </w:r>
          </w:p>
        </w:tc>
        <w:tc>
          <w:tcPr>
            <w:tcW w:w="4260" w:type="dxa"/>
            <w:vAlign w:val="bottom"/>
          </w:tcPr>
          <w:p>
            <w:pPr>
              <w:spacing w:after="0"/>
              <w:rPr>
                <w:sz w:val="16"/>
                <w:szCs w:val="16"/>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Chief Financial Officer</w:t>
            </w:r>
          </w:p>
        </w:tc>
        <w:tc>
          <w:tcPr>
            <w:tcW w:w="4260" w:type="dxa"/>
            <w:vAlign w:val="bottom"/>
          </w:tcPr>
          <w:p>
            <w:pPr>
              <w:spacing w:after="0"/>
              <w:rPr>
                <w:sz w:val="20"/>
                <w:szCs w:val="20"/>
                <w:color w:val="auto"/>
              </w:rPr>
            </w:pPr>
          </w:p>
        </w:tc>
      </w:tr>
    </w:tbl>
    <w:p>
      <w:pPr>
        <w:spacing w:after="0" w:line="20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6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2"/>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decimal"/>
      <w:start w:val="1"/>
    </w:lvl>
  </w:abstractNum>
  <w:abstractNum w:abstractNumId="8">
    <w:nsid w:val="12200854"/>
    <w:multiLevelType w:val="hybridMultilevel"/>
    <w:lvl w:ilvl="0">
      <w:lvlJc w:val="left"/>
      <w:lvlText w:val="(%1)"/>
      <w:numFmt w:val="decimal"/>
      <w:start w:val="2"/>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2019-12-09T06:34:39Z</dcterms:created>
  <dcterms:modified xsi:type="dcterms:W3CDTF">2019-12-09T06:34:39Z</dcterms:modified>
</cp:coreProperties>
</file>