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225425</wp:posOffset>
            </wp:positionV>
            <wp:extent cx="8877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243840</wp:posOffset>
            </wp:positionV>
            <wp:extent cx="8877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3960" w:right="1680" w:hanging="2973"/>
        <w:spacing w:after="0" w:line="514" w:lineRule="auto"/>
        <w:rPr>
          <w:sz w:val="20"/>
          <w:szCs w:val="20"/>
          <w:color w:val="auto"/>
        </w:rPr>
      </w:pPr>
      <w:r>
        <w:rPr>
          <w:rFonts w:ascii="Arial" w:cs="Arial" w:eastAsia="Arial" w:hAnsi="Arial"/>
          <w:sz w:val="18"/>
          <w:szCs w:val="18"/>
          <w:color w:val="auto"/>
        </w:rPr>
        <w:t>x QUARTERLY REPORT PURSUANT TO SECTION 13 or 15 (d) OF THE SECURITIES EXCHANGE ACT OF 1934 For the Quarterly Period ended January 31, 2016</w:t>
      </w:r>
    </w:p>
    <w:p>
      <w:pPr>
        <w:spacing w:after="0" w:line="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 TRANSITION REPORT PURSUANT TO SECTION 13 or 15 (d) OF THE SECURITIES EXCHANGE ACT OF 1934</w:t>
      </w:r>
    </w:p>
    <w:p>
      <w:pPr>
        <w:spacing w:after="0" w:line="21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1-8061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60" w:type="dxa"/>
            <w:vAlign w:val="bottom"/>
            <w:gridSpan w:val="3"/>
          </w:tcPr>
          <w:p>
            <w:pPr>
              <w:jc w:val="center"/>
              <w:ind w:right="3340"/>
              <w:spacing w:after="0"/>
              <w:rPr>
                <w:sz w:val="20"/>
                <w:szCs w:val="20"/>
                <w:color w:val="auto"/>
              </w:rPr>
            </w:pPr>
            <w:r>
              <w:rPr>
                <w:rFonts w:ascii="Arial" w:cs="Arial" w:eastAsia="Arial" w:hAnsi="Arial"/>
                <w:sz w:val="18"/>
                <w:szCs w:val="18"/>
                <w:b w:val="1"/>
                <w:bCs w:val="1"/>
                <w:color w:val="auto"/>
                <w:w w:val="91"/>
              </w:rPr>
              <w:t>Delaware</w:t>
            </w:r>
          </w:p>
        </w:tc>
        <w:tc>
          <w:tcPr>
            <w:tcW w:w="39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160" w:type="dxa"/>
            <w:vAlign w:val="bottom"/>
          </w:tcPr>
          <w:p>
            <w:pPr>
              <w:spacing w:after="0"/>
              <w:rPr>
                <w:sz w:val="19"/>
                <w:szCs w:val="19"/>
                <w:color w:val="auto"/>
              </w:rPr>
            </w:pPr>
          </w:p>
        </w:tc>
        <w:tc>
          <w:tcPr>
            <w:tcW w:w="6100" w:type="dxa"/>
            <w:vAlign w:val="bottom"/>
            <w:gridSpan w:val="4"/>
          </w:tcPr>
          <w:p>
            <w:pPr>
              <w:jc w:val="center"/>
              <w:ind w:right="1300"/>
              <w:spacing w:after="0"/>
              <w:rPr>
                <w:sz w:val="20"/>
                <w:szCs w:val="20"/>
                <w:color w:val="auto"/>
              </w:rPr>
            </w:pPr>
            <w:r>
              <w:rPr>
                <w:rFonts w:ascii="Arial" w:cs="Arial" w:eastAsia="Arial" w:hAnsi="Arial"/>
                <w:sz w:val="18"/>
                <w:szCs w:val="18"/>
                <w:color w:val="auto"/>
                <w:w w:val="92"/>
              </w:rPr>
              <w:t>(State or other jurisdiction of</w:t>
            </w:r>
          </w:p>
        </w:tc>
        <w:tc>
          <w:tcPr>
            <w:tcW w:w="3900" w:type="dxa"/>
            <w:vAlign w:val="bottom"/>
            <w:gridSpan w:val="5"/>
          </w:tcPr>
          <w:p>
            <w:pPr>
              <w:jc w:val="center"/>
              <w:ind w:left="11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160" w:type="dxa"/>
            <w:vAlign w:val="bottom"/>
          </w:tcPr>
          <w:p>
            <w:pPr>
              <w:spacing w:after="0"/>
              <w:rPr>
                <w:sz w:val="20"/>
                <w:szCs w:val="20"/>
                <w:color w:val="auto"/>
              </w:rPr>
            </w:pPr>
          </w:p>
        </w:tc>
        <w:tc>
          <w:tcPr>
            <w:tcW w:w="6100" w:type="dxa"/>
            <w:vAlign w:val="bottom"/>
            <w:gridSpan w:val="4"/>
          </w:tcPr>
          <w:p>
            <w:pPr>
              <w:jc w:val="center"/>
              <w:ind w:right="1300"/>
              <w:spacing w:after="0"/>
              <w:rPr>
                <w:sz w:val="20"/>
                <w:szCs w:val="20"/>
                <w:color w:val="auto"/>
              </w:rPr>
            </w:pPr>
            <w:r>
              <w:rPr>
                <w:rFonts w:ascii="Arial" w:cs="Arial" w:eastAsia="Arial" w:hAnsi="Arial"/>
                <w:sz w:val="18"/>
                <w:szCs w:val="18"/>
                <w:color w:val="auto"/>
                <w:w w:val="92"/>
              </w:rPr>
              <w:t>incorporation or organization)</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16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1300" w:type="dxa"/>
            <w:vAlign w:val="bottom"/>
          </w:tcPr>
          <w:p>
            <w:pPr>
              <w:spacing w:after="0"/>
              <w:rPr>
                <w:sz w:val="24"/>
                <w:szCs w:val="24"/>
                <w:color w:val="auto"/>
              </w:rPr>
            </w:pPr>
          </w:p>
        </w:tc>
        <w:tc>
          <w:tcPr>
            <w:tcW w:w="30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459"/>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97" w:right="239" w:bottom="1440" w:gutter="0" w:footer="0" w:header="0"/>
        </w:sectPr>
      </w:pPr>
    </w:p>
    <w:p>
      <w:pPr>
        <w:spacing w:after="0" w:line="14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680" w:lineRule="exact"/>
        <w:rPr>
          <w:sz w:val="24"/>
          <w:szCs w:val="24"/>
          <w:color w:val="auto"/>
        </w:rPr>
      </w:pPr>
    </w:p>
    <w:p>
      <w:pPr>
        <w:sectPr>
          <w:pgSz w:w="11900" w:h="16838" w:orient="portrait"/>
          <w:cols w:equalWidth="0" w:num="4">
            <w:col w:w="2900" w:space="720"/>
            <w:col w:w="1520" w:space="720"/>
            <w:col w:w="2540" w:space="480"/>
            <w:col w:w="2540"/>
          </w:cols>
          <w:pgMar w:left="240" w:top="297"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2">
            <w:col w:w="8680" w:space="120"/>
            <w:col w:w="2620"/>
          </w:cols>
          <w:pgMar w:left="240" w:top="297" w:right="239" w:bottom="1440" w:gutter="0" w:footer="0" w:header="0"/>
          <w:type w:val="continuous"/>
        </w:sectPr>
      </w:pP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Registrant's Common Stock, par value $1.00 as of March 11, 2016 – 8,729,682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636270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640" w:type="dxa"/>
            <w:vAlign w:val="bottom"/>
            <w:gridSpan w:val="17"/>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80" w:type="dxa"/>
            <w:vAlign w:val="bottom"/>
          </w:tcPr>
          <w:p>
            <w:pPr>
              <w:spacing w:after="0"/>
              <w:rPr>
                <w:sz w:val="14"/>
                <w:szCs w:val="14"/>
                <w:color w:val="auto"/>
              </w:rPr>
            </w:pPr>
          </w:p>
        </w:tc>
      </w:tr>
      <w:tr>
        <w:trPr>
          <w:trHeight w:val="426"/>
        </w:trPr>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gridSpan w:val="8"/>
          </w:tcPr>
          <w:p>
            <w:pPr>
              <w:jc w:val="center"/>
              <w:ind w:right="274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78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gridSpan w:val="8"/>
          </w:tcPr>
          <w:p>
            <w:pPr>
              <w:jc w:val="center"/>
              <w:ind w:right="2740"/>
              <w:spacing w:after="0"/>
              <w:rPr>
                <w:sz w:val="20"/>
                <w:szCs w:val="20"/>
                <w:color w:val="auto"/>
              </w:rPr>
            </w:pPr>
            <w:r>
              <w:rPr>
                <w:rFonts w:ascii="Arial" w:cs="Arial" w:eastAsia="Arial" w:hAnsi="Arial"/>
                <w:sz w:val="18"/>
                <w:szCs w:val="18"/>
                <w:b w:val="1"/>
                <w:bCs w:val="1"/>
                <w:color w:val="auto"/>
                <w:w w:val="99"/>
              </w:rPr>
              <w:t>TABLE OF CONTENTS</w:t>
            </w:r>
          </w:p>
        </w:tc>
        <w:tc>
          <w:tcPr>
            <w:tcW w:w="780" w:type="dxa"/>
            <w:vAlign w:val="bottom"/>
          </w:tcPr>
          <w:p>
            <w:pPr>
              <w:spacing w:after="0"/>
              <w:rPr>
                <w:sz w:val="24"/>
                <w:szCs w:val="24"/>
                <w:color w:val="auto"/>
              </w:rPr>
            </w:pPr>
          </w:p>
        </w:tc>
      </w:tr>
      <w:tr>
        <w:trPr>
          <w:trHeight w:val="439"/>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Page No.</w:t>
            </w:r>
          </w:p>
        </w:tc>
      </w:tr>
      <w:tr>
        <w:trPr>
          <w:trHeight w:val="216"/>
        </w:trPr>
        <w:tc>
          <w:tcPr>
            <w:tcW w:w="1064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Pr>
          <w:p>
            <w:pPr>
              <w:spacing w:after="0"/>
              <w:rPr>
                <w:sz w:val="18"/>
                <w:szCs w:val="18"/>
                <w:color w:val="auto"/>
              </w:rPr>
            </w:pPr>
          </w:p>
        </w:tc>
      </w:tr>
      <w:tr>
        <w:trPr>
          <w:trHeight w:val="392"/>
        </w:trPr>
        <w:tc>
          <w:tcPr>
            <w:tcW w:w="50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7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January 31, 2016 (unaudited) and April 30, 2015</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20" w:type="dxa"/>
            <w:vAlign w:val="bottom"/>
            <w:gridSpan w:val="15"/>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Income and Comprehensive Income (unaudited) Nine Months Ended January 31, 2016 and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82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2015</w:t>
              </w:r>
            </w:hyperlink>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and Comprehensive Income (unaudited) Three Months Ended January 31, 2016 and</w:t>
              </w:r>
            </w:hyperlink>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980" w:type="dxa"/>
            <w:vAlign w:val="bottom"/>
            <w:gridSpan w:val="3"/>
          </w:tcPr>
          <w:p>
            <w:pPr>
              <w:spacing w:after="0"/>
              <w:rPr>
                <w:sz w:val="17"/>
                <w:szCs w:val="17"/>
                <w:color w:val="auto"/>
              </w:rPr>
            </w:pPr>
          </w:p>
        </w:tc>
        <w:tc>
          <w:tcPr>
            <w:tcW w:w="3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2015</w:t>
              </w:r>
            </w:hyperlink>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Nine Months Ended January 31, 2016 and 2015</w:t>
              </w:r>
            </w:hyperlink>
          </w:p>
        </w:tc>
        <w:tc>
          <w:tcPr>
            <w:tcW w:w="174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2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70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2 - Management's Discussion and Analysis of Financial Condition and Results of Operations</w:t>
              </w:r>
            </w:hyperlink>
          </w:p>
        </w:tc>
        <w:tc>
          <w:tcPr>
            <w:tcW w:w="308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412"/>
        </w:trPr>
        <w:tc>
          <w:tcPr>
            <w:tcW w:w="50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3 - 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50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4 - Controls and Procedures</w:t>
              </w:r>
            </w:hyperlink>
          </w:p>
        </w:tc>
        <w:tc>
          <w:tcPr>
            <w:tcW w:w="2580" w:type="dxa"/>
            <w:vAlign w:val="bottom"/>
            <w:tcBorders>
              <w:top w:val="single" w:sz="8" w:color="0000EE"/>
            </w:tcBorders>
          </w:tcPr>
          <w:p>
            <w:pPr>
              <w:spacing w:after="0"/>
              <w:rPr>
                <w:sz w:val="24"/>
                <w:szCs w:val="24"/>
                <w:color w:val="auto"/>
              </w:rPr>
            </w:pPr>
          </w:p>
        </w:tc>
        <w:tc>
          <w:tcPr>
            <w:tcW w:w="518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53"/>
        </w:trPr>
        <w:tc>
          <w:tcPr>
            <w:tcW w:w="1064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6 - 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500" w:type="dxa"/>
            <w:vAlign w:val="bottom"/>
          </w:tcPr>
          <w:p>
            <w:pPr>
              <w:spacing w:after="0"/>
              <w:rPr>
                <w:sz w:val="24"/>
                <w:szCs w:val="24"/>
                <w:color w:val="auto"/>
              </w:rPr>
            </w:pPr>
          </w:p>
        </w:tc>
        <w:tc>
          <w:tcPr>
            <w:tcW w:w="1200" w:type="dxa"/>
            <w:vAlign w:val="bottom"/>
            <w:tcBorders>
              <w:top w:val="single" w:sz="8" w:color="0000EE"/>
            </w:tcBorders>
            <w:gridSpan w:val="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894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628"/>
        </w:trPr>
        <w:tc>
          <w:tcPr>
            <w:tcW w:w="50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gridSpan w:val="8"/>
          </w:tcPr>
          <w:p>
            <w:pPr>
              <w:ind w:left="2580"/>
              <w:spacing w:after="0"/>
              <w:rPr>
                <w:sz w:val="20"/>
                <w:szCs w:val="20"/>
                <w:color w:val="auto"/>
              </w:rPr>
            </w:pPr>
            <w:r>
              <w:rPr>
                <w:rFonts w:ascii="Arial" w:cs="Arial" w:eastAsia="Arial" w:hAnsi="Arial"/>
                <w:sz w:val="18"/>
                <w:szCs w:val="18"/>
                <w:color w:val="auto"/>
              </w:rPr>
              <w:t>2 of 23</w:t>
            </w:r>
          </w:p>
        </w:tc>
        <w:tc>
          <w:tcPr>
            <w:tcW w:w="780" w:type="dxa"/>
            <w:vAlign w:val="bottom"/>
          </w:tcPr>
          <w:p>
            <w:pPr>
              <w:spacing w:after="0"/>
              <w:rPr>
                <w:sz w:val="24"/>
                <w:szCs w:val="24"/>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2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260" w:type="dxa"/>
            <w:vAlign w:val="bottom"/>
          </w:tcPr>
          <w:p>
            <w:pPr>
              <w:jc w:val="center"/>
              <w:ind w:left="203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ITEM 1 - FINANCIAL STATEMENTS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6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60" w:type="dxa"/>
            <w:vAlign w:val="bottom"/>
          </w:tcPr>
          <w:p>
            <w:pPr>
              <w:jc w:val="center"/>
              <w:ind w:left="2030"/>
              <w:spacing w:after="0"/>
              <w:rPr>
                <w:sz w:val="20"/>
                <w:szCs w:val="20"/>
                <w:color w:val="auto"/>
              </w:rPr>
            </w:pPr>
            <w:r>
              <w:rPr>
                <w:rFonts w:ascii="Arial" w:cs="Arial" w:eastAsia="Arial" w:hAnsi="Arial"/>
                <w:sz w:val="18"/>
                <w:szCs w:val="18"/>
                <w:color w:val="auto"/>
                <w:w w:val="88"/>
              </w:rPr>
              <w:t>Condensed Consolidated Balance Sheets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January 31,</w:t>
            </w: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60" w:type="dxa"/>
            <w:vAlign w:val="bottom"/>
            <w:vMerge w:val="restart"/>
          </w:tcPr>
          <w:p>
            <w:pPr>
              <w:jc w:val="center"/>
              <w:ind w:right="970"/>
              <w:spacing w:after="0"/>
              <w:rPr>
                <w:sz w:val="20"/>
                <w:szCs w:val="20"/>
                <w:color w:val="auto"/>
              </w:rPr>
            </w:pPr>
            <w:r>
              <w:rPr>
                <w:rFonts w:ascii="Arial" w:cs="Arial" w:eastAsia="Arial" w:hAnsi="Arial"/>
                <w:sz w:val="18"/>
                <w:szCs w:val="18"/>
                <w:b w:val="1"/>
                <w:bCs w:val="1"/>
                <w:color w:val="auto"/>
                <w:w w:val="92"/>
              </w:rPr>
              <w:t>ASSETS: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5"/>
          </w:tcPr>
          <w:p>
            <w:pPr>
              <w:jc w:val="right"/>
              <w:ind w:right="460"/>
              <w:spacing w:after="0"/>
              <w:rPr>
                <w:sz w:val="20"/>
                <w:szCs w:val="20"/>
                <w:color w:val="auto"/>
              </w:rPr>
            </w:pPr>
            <w:r>
              <w:rPr>
                <w:rFonts w:ascii="Arial" w:cs="Arial" w:eastAsia="Arial" w:hAnsi="Arial"/>
                <w:sz w:val="18"/>
                <w:szCs w:val="18"/>
                <w:color w:val="auto"/>
                <w:w w:val="99"/>
              </w:rPr>
              <w:t>(In thousands except par value)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10,699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Accounts receivable, net of allowance for doubtful accounts of $189 at January 31, 2016 and April 30, 2015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12,345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40,732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Deferred and prepaid income taxes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85,148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12,591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119,848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117,825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60" w:type="dxa"/>
            <w:vAlign w:val="bottom"/>
          </w:tcPr>
          <w:p>
            <w:pPr>
              <w:jc w:val="center"/>
              <w:ind w:right="97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Accounts payable - trade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2,358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 noncurrent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26,639</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 $1.00 par value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Common stock - $1.00 par value, issued 9,164 shares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55,204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0"/>
              </w:rPr>
              <w:t>Common stock reacquired and held in treasury - at cost (425 shares at January 31, 2016 and 465 shares at April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gridSpan w:val="2"/>
          </w:tcPr>
          <w:p>
            <w:pPr>
              <w:ind w:left="180"/>
              <w:spacing w:after="0"/>
              <w:rPr>
                <w:sz w:val="20"/>
                <w:szCs w:val="20"/>
                <w:color w:val="auto"/>
              </w:rPr>
            </w:pPr>
            <w:r>
              <w:rPr>
                <w:rFonts w:ascii="Arial" w:cs="Arial" w:eastAsia="Arial" w:hAnsi="Arial"/>
                <w:sz w:val="18"/>
                <w:szCs w:val="18"/>
                <w:color w:val="auto"/>
              </w:rPr>
              <w:t>30, 2015)</w:t>
            </w:r>
          </w:p>
        </w:tc>
        <w:tc>
          <w:tcPr>
            <w:tcW w:w="7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(1,945)</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480"/>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93,209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119,848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 and Comprehensive Income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3060" w:type="dxa"/>
            <w:vAlign w:val="bottom"/>
            <w:gridSpan w:val="6"/>
          </w:tcPr>
          <w:p>
            <w:pPr>
              <w:jc w:val="right"/>
              <w:ind w:right="280"/>
              <w:spacing w:after="0"/>
              <w:rPr>
                <w:sz w:val="20"/>
                <w:szCs w:val="20"/>
                <w:color w:val="auto"/>
              </w:rPr>
            </w:pPr>
            <w:r>
              <w:rPr>
                <w:rFonts w:ascii="Arial" w:cs="Arial" w:eastAsia="Arial" w:hAnsi="Arial"/>
                <w:sz w:val="18"/>
                <w:szCs w:val="18"/>
                <w:color w:val="auto"/>
                <w:w w:val="93"/>
              </w:rPr>
              <w:t>(In thousands except per share data)</w:t>
            </w:r>
          </w:p>
        </w:tc>
        <w:tc>
          <w:tcPr>
            <w:tcW w:w="0" w:type="dxa"/>
            <w:vAlign w:val="bottom"/>
          </w:tcPr>
          <w:p>
            <w:pPr>
              <w:spacing w:after="0"/>
              <w:rPr>
                <w:sz w:val="1"/>
                <w:szCs w:val="1"/>
                <w:color w:val="auto"/>
              </w:rPr>
            </w:pPr>
          </w:p>
        </w:tc>
      </w:tr>
      <w:tr>
        <w:trPr>
          <w:trHeight w:val="161"/>
        </w:trPr>
        <w:tc>
          <w:tcPr>
            <w:tcW w:w="836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46,182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30,459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10,067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20"/>
              <w:spacing w:after="0"/>
              <w:rPr>
                <w:sz w:val="20"/>
                <w:szCs w:val="20"/>
                <w:color w:val="auto"/>
              </w:rPr>
            </w:pPr>
            <w:r>
              <w:rPr>
                <w:rFonts w:ascii="Arial" w:cs="Arial" w:eastAsia="Arial" w:hAnsi="Arial"/>
                <w:sz w:val="18"/>
                <w:szCs w:val="18"/>
                <w:color w:val="auto"/>
              </w:rPr>
              <w:t>Operating profit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16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48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48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48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Condensed Consolidated Statements of Comprehensive Income</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160"/>
              <w:spacing w:after="0"/>
              <w:rPr>
                <w:sz w:val="20"/>
                <w:szCs w:val="20"/>
                <w:color w:val="auto"/>
              </w:rPr>
            </w:pPr>
            <w:r>
              <w:rPr>
                <w:rFonts w:ascii="Arial" w:cs="Arial" w:eastAsia="Arial" w:hAnsi="Arial"/>
                <w:sz w:val="18"/>
                <w:szCs w:val="18"/>
                <w:color w:val="auto"/>
              </w:rPr>
              <w:t>Other comprehensive (loss):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Unrealized (loss) gain on marketable securities:</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7"/>
              </w:rPr>
              <w:t>Change in market value of marketable securities before reclassification, net of tax of $226 and ($145)</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480"/>
              <w:spacing w:after="0"/>
              <w:rPr>
                <w:sz w:val="20"/>
                <w:szCs w:val="20"/>
                <w:color w:val="auto"/>
              </w:rPr>
            </w:pPr>
            <w:r>
              <w:rPr>
                <w:rFonts w:ascii="Arial" w:cs="Arial" w:eastAsia="Arial" w:hAnsi="Arial"/>
                <w:sz w:val="18"/>
                <w:szCs w:val="18"/>
                <w:color w:val="auto"/>
              </w:rPr>
              <w:t>Reclassification adjustment for realized gains included in net income, net of tax of $45 and $128</w:t>
            </w: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unrealized (loss) gain on marketable securities, net of tax</w:t>
            </w: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Total other comprehensive (loss)</w:t>
            </w: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 and Comprehensive Income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January 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60" w:type="dxa"/>
            <w:vAlign w:val="bottom"/>
            <w:gridSpan w:val="6"/>
          </w:tcPr>
          <w:p>
            <w:pPr>
              <w:jc w:val="right"/>
              <w:ind w:right="280"/>
              <w:spacing w:after="0"/>
              <w:rPr>
                <w:sz w:val="20"/>
                <w:szCs w:val="20"/>
                <w:color w:val="auto"/>
              </w:rPr>
            </w:pPr>
            <w:r>
              <w:rPr>
                <w:rFonts w:ascii="Arial" w:cs="Arial" w:eastAsia="Arial" w:hAnsi="Arial"/>
                <w:sz w:val="18"/>
                <w:szCs w:val="18"/>
                <w:color w:val="auto"/>
                <w:w w:val="93"/>
              </w:rPr>
              <w:t>(In thousands except per share data)</w:t>
            </w:r>
          </w:p>
        </w:tc>
        <w:tc>
          <w:tcPr>
            <w:tcW w:w="0" w:type="dxa"/>
            <w:vAlign w:val="bottom"/>
          </w:tcPr>
          <w:p>
            <w:pPr>
              <w:spacing w:after="0"/>
              <w:rPr>
                <w:sz w:val="1"/>
                <w:szCs w:val="1"/>
                <w:color w:val="auto"/>
              </w:rPr>
            </w:pPr>
          </w:p>
        </w:tc>
      </w:tr>
      <w:tr>
        <w:trPr>
          <w:trHeight w:val="194"/>
        </w:trPr>
        <w:tc>
          <w:tcPr>
            <w:tcW w:w="79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Condensed Consolidated Statements of Income</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13,498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4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48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480"/>
              <w:spacing w:after="0"/>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3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4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8,736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Condensed Consolidated Statements of Comprehensive Income</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Other comprehensive (loss):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(1,002)</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Unrealized (loss) on marketable securities:</w:t>
            </w:r>
          </w:p>
        </w:tc>
        <w:tc>
          <w:tcPr>
            <w:tcW w:w="4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5"/>
              </w:rPr>
              <w:t>Change in market value of marketable securities before reclassification, net of tax of $76 and $41</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tcPr>
          <w:p>
            <w:pPr>
              <w:ind w:left="320"/>
              <w:spacing w:after="0"/>
              <w:rPr>
                <w:sz w:val="20"/>
                <w:szCs w:val="20"/>
                <w:color w:val="auto"/>
              </w:rPr>
            </w:pPr>
            <w:r>
              <w:rPr>
                <w:rFonts w:ascii="Arial" w:cs="Arial" w:eastAsia="Arial" w:hAnsi="Arial"/>
                <w:sz w:val="18"/>
                <w:szCs w:val="18"/>
                <w:color w:val="auto"/>
              </w:rPr>
              <w:t>Total unrealized (loss) on marketable securities, net of tax</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480"/>
              <w:spacing w:after="0"/>
              <w:rPr>
                <w:sz w:val="20"/>
                <w:szCs w:val="20"/>
                <w:color w:val="auto"/>
              </w:rPr>
            </w:pPr>
            <w:r>
              <w:rPr>
                <w:rFonts w:ascii="Arial" w:cs="Arial" w:eastAsia="Arial" w:hAnsi="Arial"/>
                <w:sz w:val="18"/>
                <w:szCs w:val="18"/>
                <w:color w:val="auto"/>
              </w:rPr>
              <w:t>Total other comprehensive (loss)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(1,149)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3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180" w:type="dxa"/>
            <w:vAlign w:val="bottom"/>
          </w:tcPr>
          <w:p>
            <w:pPr>
              <w:ind w:left="2420"/>
              <w:spacing w:after="0"/>
              <w:rPr>
                <w:sz w:val="20"/>
                <w:szCs w:val="20"/>
                <w:color w:val="auto"/>
              </w:rPr>
            </w:pPr>
            <w:r>
              <w:rPr>
                <w:rFonts w:ascii="Arial" w:cs="Arial" w:eastAsia="Arial" w:hAnsi="Arial"/>
                <w:sz w:val="18"/>
                <w:szCs w:val="18"/>
                <w:b w:val="1"/>
                <w:bCs w:val="1"/>
                <w:color w:val="auto"/>
              </w:rPr>
              <w:t>FREQUENCY ELECTRONICS, INC. and SUBSIDIARIES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180" w:type="dxa"/>
            <w:vAlign w:val="bottom"/>
          </w:tcPr>
          <w:p>
            <w:pPr>
              <w:jc w:val="center"/>
              <w:ind w:left="2130"/>
              <w:spacing w:after="0"/>
              <w:rPr>
                <w:sz w:val="20"/>
                <w:szCs w:val="20"/>
                <w:color w:val="auto"/>
              </w:rPr>
            </w:pPr>
            <w:r>
              <w:rPr>
                <w:rFonts w:ascii="Arial" w:cs="Arial" w:eastAsia="Arial" w:hAnsi="Arial"/>
                <w:sz w:val="18"/>
                <w:szCs w:val="18"/>
                <w:color w:val="auto"/>
                <w:w w:val="89"/>
              </w:rPr>
              <w:t>Condensed Consolidated Statements of Cash Flows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180" w:type="dxa"/>
            <w:vAlign w:val="bottom"/>
          </w:tcPr>
          <w:p>
            <w:pPr>
              <w:jc w:val="center"/>
              <w:ind w:left="2130"/>
              <w:spacing w:after="0"/>
              <w:rPr>
                <w:sz w:val="20"/>
                <w:szCs w:val="20"/>
                <w:color w:val="auto"/>
              </w:rPr>
            </w:pPr>
            <w:r>
              <w:rPr>
                <w:rFonts w:ascii="Arial" w:cs="Arial" w:eastAsia="Arial" w:hAnsi="Arial"/>
                <w:sz w:val="18"/>
                <w:szCs w:val="18"/>
                <w:color w:val="auto"/>
                <w:w w:val="90"/>
              </w:rPr>
              <w:t>Nine Months Ended January 31,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180" w:type="dxa"/>
            <w:vAlign w:val="bottom"/>
          </w:tcPr>
          <w:p>
            <w:pPr>
              <w:jc w:val="center"/>
              <w:ind w:left="211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71"/>
              </w:rPr>
              <w:t>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0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80"/>
              <w:spacing w:after="0"/>
              <w:rPr>
                <w:sz w:val="20"/>
                <w:szCs w:val="20"/>
                <w:color w:val="auto"/>
              </w:rPr>
            </w:pPr>
            <w:r>
              <w:rPr>
                <w:rFonts w:ascii="Arial" w:cs="Arial" w:eastAsia="Arial" w:hAnsi="Arial"/>
                <w:sz w:val="18"/>
                <w:szCs w:val="18"/>
                <w:color w:val="auto"/>
              </w:rPr>
              <w:t>Non-cash charges to earnings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Net changes in operating assets and liabilities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4"/>
              </w:rPr>
              <w:t>(2,023)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provided (used in) by operating activities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Proceeds on redemption of marketable securities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80"/>
              <w:spacing w:after="0"/>
              <w:rPr>
                <w:sz w:val="20"/>
                <w:szCs w:val="20"/>
                <w:color w:val="auto"/>
              </w:rPr>
            </w:pPr>
            <w:r>
              <w:rPr>
                <w:rFonts w:ascii="Arial" w:cs="Arial" w:eastAsia="Arial" w:hAnsi="Arial"/>
                <w:sz w:val="18"/>
                <w:szCs w:val="18"/>
                <w:color w:val="auto"/>
              </w:rPr>
              <w:t>Purchase of marketable securities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(1,356)</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Purchase of fixed assets and other assets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4"/>
              </w:rPr>
              <w:t>(1,640)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(1,829)</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Proceeds from credit line borrowings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80"/>
              <w:spacing w:after="0"/>
              <w:rPr>
                <w:sz w:val="20"/>
                <w:szCs w:val="20"/>
                <w:color w:val="auto"/>
              </w:rPr>
            </w:pPr>
            <w:r>
              <w:rPr>
                <w:rFonts w:ascii="Arial" w:cs="Arial" w:eastAsia="Arial" w:hAnsi="Arial"/>
                <w:sz w:val="18"/>
                <w:szCs w:val="18"/>
                <w:color w:val="auto"/>
              </w:rPr>
              <w:t>Repayment of credit line borrowings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Tax benefit from exercise of stock-based compensation</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provided (used in) by financing activities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35"/>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35"/>
              <w:spacing w:after="0"/>
              <w:rPr>
                <w:sz w:val="20"/>
                <w:szCs w:val="20"/>
                <w:color w:val="auto"/>
              </w:rPr>
            </w:pPr>
            <w:r>
              <w:rPr>
                <w:rFonts w:ascii="Arial" w:cs="Arial" w:eastAsia="Arial" w:hAnsi="Arial"/>
                <w:sz w:val="18"/>
                <w:szCs w:val="18"/>
                <w:color w:val="auto"/>
              </w:rPr>
              <w:t>167</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rPr>
              <w:t>(310)</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8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rPr>
              <w:t>(143)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48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7,222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80"/>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7,079</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18"/>
                <w:szCs w:val="18"/>
                <w:color w:val="auto"/>
              </w:rPr>
            </w:pPr>
          </w:p>
        </w:tc>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Cash paid during the period for: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640"/>
              <w:spacing w:after="0"/>
              <w:rPr>
                <w:sz w:val="20"/>
                <w:szCs w:val="20"/>
                <w:color w:val="auto"/>
              </w:rPr>
            </w:pPr>
            <w:r>
              <w:rPr>
                <w:rFonts w:ascii="Arial" w:cs="Arial" w:eastAsia="Arial" w:hAnsi="Arial"/>
                <w:sz w:val="18"/>
                <w:szCs w:val="18"/>
                <w:color w:val="auto"/>
              </w:rPr>
              <w:t>Interest</w:t>
            </w:r>
          </w:p>
        </w:tc>
        <w:tc>
          <w:tcPr>
            <w:tcW w:w="10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Income Taxes</w:t>
            </w:r>
          </w:p>
        </w:tc>
        <w:tc>
          <w:tcPr>
            <w:tcW w:w="10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2016 and the results of its operations and cash flows for the nine and three months ended January 31, 2016 and 2015. The April 30, 2015 condensed consolidated balance sheet was derived from audited financial statements. Certain information and footnote disclosures normally included in financial statements prepared in accordance with generally accepted accounting principles in the United States have been condensed or omitted. It is suggested that these condensed consolidated financial statements be read in conjunction with the financial statements and notes thereto included in the Company's Annual Report on Form 10-K for the year ended April 30, 2015, filed on July 29, 2015. The results of operations for such interim periods are not necessarily indicative of the operating results for the full fiscal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1"/>
              </w:rPr>
              <w:t>Nine months</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5"/>
          </w:tcPr>
          <w:p>
            <w:pPr>
              <w:jc w:val="right"/>
              <w:ind w:right="1160"/>
              <w:spacing w:after="0" w:line="198" w:lineRule="exact"/>
              <w:rPr>
                <w:sz w:val="20"/>
                <w:szCs w:val="20"/>
                <w:color w:val="auto"/>
              </w:rPr>
            </w:pPr>
            <w:r>
              <w:rPr>
                <w:rFonts w:ascii="Arial" w:cs="Arial" w:eastAsia="Arial" w:hAnsi="Arial"/>
                <w:sz w:val="18"/>
                <w:szCs w:val="18"/>
                <w:b w:val="1"/>
                <w:bCs w:val="1"/>
                <w:color w:val="auto"/>
                <w:w w:val="90"/>
              </w:rPr>
              <w:t>Periods ended January 31,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8,722,500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8,595,558</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8,736,186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8,609,486</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225,247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268,903</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188,752</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264,249</w:t>
            </w:r>
          </w:p>
        </w:tc>
      </w:tr>
      <w:tr>
        <w:trPr>
          <w:trHeight w:val="27"/>
        </w:trPr>
        <w:tc>
          <w:tcPr>
            <w:tcW w:w="51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8,947,747</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8,864,461</w:t>
            </w: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8,924,938</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8,873,735</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1"/>
              </w:rPr>
              <w:t>Nine months</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5"/>
          </w:tcPr>
          <w:p>
            <w:pPr>
              <w:jc w:val="right"/>
              <w:ind w:right="1160"/>
              <w:spacing w:after="0" w:line="198" w:lineRule="exact"/>
              <w:rPr>
                <w:sz w:val="20"/>
                <w:szCs w:val="20"/>
                <w:color w:val="auto"/>
              </w:rPr>
            </w:pPr>
            <w:r>
              <w:rPr>
                <w:rFonts w:ascii="Arial" w:cs="Arial" w:eastAsia="Arial" w:hAnsi="Arial"/>
                <w:sz w:val="18"/>
                <w:szCs w:val="18"/>
                <w:b w:val="1"/>
                <w:bCs w:val="1"/>
                <w:color w:val="auto"/>
                <w:w w:val="90"/>
              </w:rPr>
              <w:t>Periods ended January 31,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and SARS excluded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548,125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227,875</w:t>
            </w: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January 31, 2016 and April 30, 2015, costs and estimated earnings in excess of billings, net, consist of the following:</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January 31, 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April 30, 2015</w:t>
            </w:r>
          </w:p>
        </w:tc>
        <w:tc>
          <w:tcPr>
            <w:tcW w:w="12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4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12,640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14,057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(1,128)</w:t>
            </w:r>
          </w:p>
        </w:tc>
      </w:tr>
      <w:tr>
        <w:trPr>
          <w:trHeight w:val="27"/>
        </w:trPr>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12,929</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nine and three months ended January 31, 2016, revenue recognized under percentage of completion contracts was approximately $26.0 million and $7.5 million, respectively. During the nine and three months ended January 31, 2015, such revenue was approximately $35.3 million and $10.8 million,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nine and three month periods ended January 31, 2016, the Company made contributions of 34,189 shares and 8,457 shares, respectively, of its common stock held in treasury to the Company’s profit sharing plan and trust under section 401(k) of the Internal Revenue Code. Such contributions are in accordance with the Company’s discretionary match of employee voluntary contributions to this plan. During the same periods, the Company issued 6,473 shares and 1,300 shares, respectively, from treasury for employment anniversary gift awards and upon the exercise of SARs by certain officers and employees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NOTE E - INVENTORIES</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900" w:type="dxa"/>
            <w:vAlign w:val="bottom"/>
            <w:gridSpan w:val="2"/>
          </w:tcPr>
          <w:p>
            <w:pPr>
              <w:ind w:left="500"/>
              <w:spacing w:after="0"/>
              <w:rPr>
                <w:sz w:val="20"/>
                <w:szCs w:val="20"/>
                <w:color w:val="auto"/>
              </w:rPr>
            </w:pPr>
            <w:r>
              <w:rPr>
                <w:rFonts w:ascii="Arial" w:cs="Arial" w:eastAsia="Arial" w:hAnsi="Arial"/>
                <w:sz w:val="18"/>
                <w:szCs w:val="18"/>
                <w:color w:val="auto"/>
                <w:w w:val="93"/>
              </w:rPr>
              <w:t>Inventories, which are reported at the lower of cost or market, consist of the following:</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9"/>
        </w:trPr>
        <w:tc>
          <w:tcPr>
            <w:tcW w:w="14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January 31, 2016</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April 30, 2015</w:t>
            </w:r>
          </w:p>
        </w:tc>
        <w:tc>
          <w:tcPr>
            <w:tcW w:w="12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24,274</w:t>
            </w: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Work in Progress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9,948</w:t>
            </w: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4,017</w:t>
            </w:r>
          </w:p>
        </w:tc>
      </w:tr>
      <w:tr>
        <w:trPr>
          <w:trHeight w:val="27"/>
        </w:trPr>
        <w:tc>
          <w:tcPr>
            <w:tcW w:w="144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40,732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38,239</w:t>
            </w:r>
          </w:p>
        </w:tc>
      </w:tr>
      <w:tr>
        <w:trPr>
          <w:trHeight w:val="21"/>
        </w:trPr>
        <w:tc>
          <w:tcPr>
            <w:tcW w:w="14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As of January 31, 2016 and April 30, 2015, approximately $34.1 million and $32.0 million, respectively, of total inventory is located in the United States, approximately $5.7 million and $5.4 million, respectively, is located in Belgium and $0.9 million and $0.8 million, respectively, is located in China.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25" w:lineRule="exact"/>
        <w:rPr>
          <w:sz w:val="20"/>
          <w:szCs w:val="20"/>
          <w:color w:val="auto"/>
        </w:rPr>
      </w:pPr>
    </w:p>
    <w:p>
      <w:pPr>
        <w:jc w:val="both"/>
        <w:ind w:left="1140" w:hanging="1132"/>
        <w:spacing w:after="0" w:line="256"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 communication satellites (both commercial and U.S. Government-funded); terrestrial cellular telephone or other ground-based telecommunication stations and other components and systems for the U.S. military.</w:t>
      </w:r>
    </w:p>
    <w:p>
      <w:pPr>
        <w:ind w:left="1140" w:right="20" w:hanging="1132"/>
        <w:spacing w:after="0" w:line="250"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140" w:hanging="1132"/>
        <w:spacing w:after="0" w:line="302" w:lineRule="auto"/>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5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FEI-NY segment also includes the operations of the Company’s wholly-owned subsidiaries, FEI-Elcom Tech (“FEI-Elcom”) and FEI-Asia. FEI-Asia functions primarily as a manufacturing facility for the Company’s commercial product subsidiaries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chief executive officer (the chief operating decision maker)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tables below present information about reported segments with reconciliation of segment amounts to consolidated amounts as reported in the statement of income or the balance sheet for each of the periods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Three months</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80" w:type="dxa"/>
            <w:vAlign w:val="bottom"/>
            <w:gridSpan w:val="5"/>
          </w:tcPr>
          <w:p>
            <w:pPr>
              <w:jc w:val="right"/>
              <w:ind w:right="700"/>
              <w:spacing w:after="0" w:line="198" w:lineRule="exact"/>
              <w:rPr>
                <w:sz w:val="20"/>
                <w:szCs w:val="20"/>
                <w:color w:val="auto"/>
              </w:rPr>
            </w:pPr>
            <w:r>
              <w:rPr>
                <w:rFonts w:ascii="Arial" w:cs="Arial" w:eastAsia="Arial" w:hAnsi="Arial"/>
                <w:sz w:val="18"/>
                <w:szCs w:val="18"/>
                <w:b w:val="1"/>
                <w:bCs w:val="1"/>
                <w:color w:val="auto"/>
                <w:w w:val="90"/>
              </w:rPr>
              <w:t>Periods ended January 31,</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45,962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6,511</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1,577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less intersegment revenues</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(965)</w:t>
            </w:r>
          </w:p>
        </w:tc>
        <w:tc>
          <w:tcPr>
            <w:tcW w:w="4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(2,219)</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57,364</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FEI-NY</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1,181</w:t>
            </w:r>
          </w:p>
        </w:tc>
        <w:tc>
          <w:tcPr>
            <w:tcW w:w="24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3,857</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Gillam-FEI</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FEI-Zyfer</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Consolidated operating profit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1,261</w:t>
            </w:r>
          </w:p>
        </w:tc>
        <w:tc>
          <w:tcPr>
            <w:tcW w:w="24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3,722</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r>
              <w:rPr>
                <w:rFonts w:ascii="Arial" w:cs="Arial" w:eastAsia="Arial" w:hAnsi="Arial"/>
                <w:sz w:val="18"/>
                <w:szCs w:val="18"/>
                <w:color w:val="auto"/>
              </w:rPr>
              <w:t>Identifiable assets:</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January 31, 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April 30, 2015</w:t>
            </w:r>
          </w:p>
        </w:tc>
        <w:tc>
          <w:tcPr>
            <w:tcW w:w="120" w:type="dxa"/>
            <w:vAlign w:val="bottom"/>
          </w:tcPr>
          <w:p>
            <w:pPr>
              <w:spacing w:after="0"/>
              <w:rPr>
                <w:sz w:val="20"/>
                <w:szCs w:val="20"/>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 (approximately $2.2 million in China)</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63,541</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Gillam-FEI (all in Belgium or France)</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9,878</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less intersegment balances</w:t>
            </w:r>
          </w:p>
        </w:tc>
        <w:tc>
          <w:tcPr>
            <w:tcW w:w="4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(6,120)</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(8,775)</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42,093</w:t>
            </w:r>
          </w:p>
        </w:tc>
      </w:tr>
      <w:tr>
        <w:trPr>
          <w:trHeight w:val="27"/>
        </w:trPr>
        <w:tc>
          <w:tcPr>
            <w:tcW w:w="54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ind w:left="320"/>
              <w:spacing w:after="0"/>
              <w:rPr>
                <w:sz w:val="20"/>
                <w:szCs w:val="20"/>
                <w:color w:val="auto"/>
              </w:rPr>
            </w:pPr>
            <w:r>
              <w:rPr>
                <w:rFonts w:ascii="Arial" w:cs="Arial" w:eastAsia="Arial" w:hAnsi="Arial"/>
                <w:sz w:val="18"/>
                <w:szCs w:val="18"/>
                <w:color w:val="auto"/>
              </w:rPr>
              <w:t>Consolidated identifiable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119,848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117,825</w:t>
            </w:r>
          </w:p>
        </w:tc>
      </w:tr>
      <w:tr>
        <w:trPr>
          <w:trHeight w:val="21"/>
        </w:trPr>
        <w:tc>
          <w:tcPr>
            <w:tcW w:w="5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G – INVESTMENT IN MORION, INC.</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condensed consolidated balance sheets.</w:t>
      </w:r>
    </w:p>
    <w:p>
      <w:pPr>
        <w:spacing w:after="0" w:line="16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During the nine months ended January 31, 2016 and 2015, the Company acquired product from Morion in the aggregate amount of approximately $74,000 and $145,000, respectively, and the Company sold product and training services to Morion in the aggregate amount of approximately $435,000 and $457,000, respectively. (See discussion of revenues recognized under the license agreement in the paragraph below.) During the three months ended January 31, 2016 and 2015, the Company acquired product from Morion in the aggregate amount of approximately $13,000 and $49,000, respectively, and the Company sold product and training services to Morion in the aggregate amount of approximately $0 and $168,000, respectively. At January 31, 2016, approximately $0 was payable to Morion and accounts receivable from Morion was approximately $15,000.</w:t>
      </w:r>
    </w:p>
    <w:p>
      <w:pPr>
        <w:spacing w:after="0" w:line="16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During the nine months ended January 31, 2016, sales to Morion included $375,000 for product and training services under this agreement. Per the amended agreement, the balance of $1 million for the transfer of the license will be due once the United States Department of State (“State Department”) approves the removal of certain provisions of the original agreement. The State Department has approved the technology transfer called for under the agreement.</w:t>
      </w:r>
    </w:p>
    <w:p>
      <w:pPr>
        <w:sectPr>
          <w:pgSz w:w="11900" w:h="16838" w:orient="portrait"/>
          <w:cols w:equalWidth="0" w:num="1">
            <w:col w:w="11420"/>
          </w:cols>
          <w:pgMar w:left="240" w:top="121"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2016 and April 30, 2015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8"/>
                <w:szCs w:val="18"/>
                <w:b w:val="1"/>
                <w:bCs w:val="1"/>
                <w:color w:val="auto"/>
              </w:rPr>
              <w:t>January 31, 2016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left="175"/>
              <w:spacing w:after="0" w:line="198"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left="175"/>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b w:val="1"/>
                <w:bCs w:val="1"/>
                <w:color w:val="auto"/>
                <w:w w:val="87"/>
              </w:rPr>
              <w:t>Gains</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3,510</w:t>
            </w:r>
          </w:p>
        </w:tc>
        <w:tc>
          <w:tcPr>
            <w:tcW w:w="1100" w:type="dxa"/>
            <w:vAlign w:val="bottom"/>
            <w:shd w:val="clear" w:color="auto" w:fill="CCEEFF"/>
          </w:tcPr>
          <w:p>
            <w:pPr>
              <w:jc w:val="right"/>
              <w:ind w:right="93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3,558</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7,197</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7,141</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10,707</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3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10,699</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180"/>
              <w:spacing w:after="0"/>
              <w:rPr>
                <w:sz w:val="20"/>
                <w:szCs w:val="20"/>
                <w:color w:val="auto"/>
              </w:rPr>
            </w:pPr>
            <w:r>
              <w:rPr>
                <w:rFonts w:ascii="Arial" w:cs="Arial" w:eastAsia="Arial" w:hAnsi="Arial"/>
                <w:sz w:val="18"/>
                <w:szCs w:val="18"/>
                <w:b w:val="1"/>
                <w:bCs w:val="1"/>
                <w:color w:val="auto"/>
              </w:rPr>
              <w:t>April 30, 2015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left="175"/>
              <w:spacing w:after="0" w:line="198"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left="175"/>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b w:val="1"/>
                <w:bCs w:val="1"/>
                <w:color w:val="auto"/>
                <w:w w:val="87"/>
              </w:rPr>
              <w:t>Gains</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3,379</w:t>
            </w:r>
          </w:p>
        </w:tc>
        <w:tc>
          <w:tcPr>
            <w:tcW w:w="1100" w:type="dxa"/>
            <w:vAlign w:val="bottom"/>
            <w:shd w:val="clear" w:color="auto" w:fill="CCEEFF"/>
          </w:tcPr>
          <w:p>
            <w:pPr>
              <w:jc w:val="right"/>
              <w:ind w:right="93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7,018</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7,719</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10,397</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3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938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11,186</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Less than 12 months</w:t>
            </w:r>
          </w:p>
        </w:tc>
        <w:tc>
          <w:tcPr>
            <w:tcW w:w="280" w:type="dxa"/>
            <w:vAlign w:val="bottom"/>
          </w:tcPr>
          <w:p>
            <w:pPr>
              <w:spacing w:after="0"/>
              <w:rPr>
                <w:sz w:val="20"/>
                <w:szCs w:val="20"/>
                <w:color w:val="auto"/>
              </w:rPr>
            </w:pPr>
          </w:p>
        </w:tc>
        <w:tc>
          <w:tcPr>
            <w:tcW w:w="29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12 Months or more</w:t>
            </w:r>
          </w:p>
        </w:tc>
        <w:tc>
          <w:tcPr>
            <w:tcW w:w="9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Fair</w:t>
            </w:r>
          </w:p>
        </w:tc>
        <w:tc>
          <w:tcPr>
            <w:tcW w:w="4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760"/>
              <w:spacing w:after="0" w:line="198" w:lineRule="exact"/>
              <w:rPr>
                <w:sz w:val="20"/>
                <w:szCs w:val="20"/>
                <w:color w:val="auto"/>
              </w:rPr>
            </w:pPr>
            <w:r>
              <w:rPr>
                <w:rFonts w:ascii="Arial" w:cs="Arial" w:eastAsia="Arial" w:hAnsi="Arial"/>
                <w:sz w:val="18"/>
                <w:szCs w:val="18"/>
                <w:b w:val="1"/>
                <w:bCs w:val="1"/>
                <w:color w:val="auto"/>
              </w:rPr>
              <w:t>Fair</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Fair</w:t>
            </w: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Losses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Losses</w:t>
            </w:r>
          </w:p>
        </w:tc>
      </w:tr>
      <w:tr>
        <w:trPr>
          <w:trHeight w:val="223"/>
        </w:trPr>
        <w:tc>
          <w:tcPr>
            <w:tcW w:w="1840" w:type="dxa"/>
            <w:vAlign w:val="bottom"/>
            <w:gridSpan w:val="2"/>
          </w:tcPr>
          <w:p>
            <w:pPr>
              <w:spacing w:after="0"/>
              <w:rPr>
                <w:sz w:val="20"/>
                <w:szCs w:val="20"/>
                <w:color w:val="auto"/>
              </w:rPr>
            </w:pPr>
            <w:r>
              <w:rPr>
                <w:rFonts w:ascii="Arial" w:cs="Arial" w:eastAsia="Arial" w:hAnsi="Arial"/>
                <w:sz w:val="18"/>
                <w:szCs w:val="18"/>
                <w:color w:val="auto"/>
              </w:rPr>
              <w:t>January 31, 2016</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Fixed Income Securities</w:t>
            </w:r>
          </w:p>
        </w:tc>
        <w:tc>
          <w:tcPr>
            <w:tcW w:w="10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1,611</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9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3,465</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(890)</w:t>
            </w: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2,145</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4,303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r>
      <w:tr>
        <w:trPr>
          <w:trHeight w:val="217"/>
        </w:trPr>
        <w:tc>
          <w:tcPr>
            <w:tcW w:w="20" w:type="dxa"/>
            <w:vAlign w:val="bottom"/>
          </w:tcPr>
          <w:p>
            <w:pPr>
              <w:spacing w:after="0"/>
              <w:rPr>
                <w:sz w:val="18"/>
                <w:szCs w:val="18"/>
                <w:color w:val="auto"/>
              </w:rPr>
            </w:pPr>
          </w:p>
        </w:tc>
        <w:tc>
          <w:tcPr>
            <w:tcW w:w="182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color w:val="auto"/>
              </w:rPr>
              <w:t>April 30, 2015</w:t>
            </w: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3"/>
              </w:rPr>
              <w:t>Fixed Income Securities</w:t>
            </w:r>
          </w:p>
        </w:tc>
        <w:tc>
          <w:tcPr>
            <w:tcW w:w="10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3,323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3,323</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3,419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3,880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January 31, 2016 are other-than-temporary due to market volatility of the security’s fair value, analysts’ expectations and the Company’s ability to hold the securities for a period of time sufficient to allow for any anticipated recoveries in market value.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During the nine months ended January 31, 2016 and 2015, the Company sold or redeemed available-for-sale securities in the amounts of $1.2 million and $5.6 million, respectively, realizing gains of approximately $131,000 and $377,000,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fixed income securities classified as available-for-sale at January 31, 2016 are as follows, at cost (in thousands):</w:t>
      </w:r>
    </w:p>
    <w:p>
      <w:pPr>
        <w:spacing w:after="0" w:line="24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6"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w:t>
      </w:r>
      <w:r>
        <w:rPr>
          <w:rFonts w:ascii="Arial" w:cs="Arial" w:eastAsia="Arial" w:hAnsi="Arial"/>
          <w:sz w:val="18"/>
          <w:szCs w:val="18"/>
          <w:i w:val="1"/>
          <w:iCs w:val="1"/>
          <w:color w:val="auto"/>
        </w:rPr>
        <w:t>, 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ASU 2014-09 eliminates most of the existing industry-specific revenue recognition guidance and significantly</w:t>
      </w:r>
      <w:r>
        <w:rPr>
          <w:rFonts w:ascii="Arial" w:cs="Arial" w:eastAsia="Arial" w:hAnsi="Arial"/>
          <w:sz w:val="18"/>
          <w:szCs w:val="18"/>
          <w:i w:val="1"/>
          <w:iCs w:val="1"/>
          <w:color w:val="auto"/>
        </w:rPr>
        <w:t xml:space="preserve"> </w:t>
      </w:r>
      <w:r>
        <w:rPr>
          <w:rFonts w:ascii="Arial" w:cs="Arial" w:eastAsia="Arial" w:hAnsi="Arial"/>
          <w:sz w:val="18"/>
          <w:szCs w:val="18"/>
          <w:color w:val="auto"/>
        </w:rPr>
        <w:t>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August 2015, the FASB issued ASU 2015-14 which provides a one-year deferral of the effective date of ASU 2014-09. ASU 2014-09 is now effective for public companies for annual reporting periods beginning on or after December 15, 2017 and for the Company, must be adopted for its fiscal year 2019 beginning on May 1, 2018. The Company is in the process of determining the effect that ASU 2014-09 may have on its consolidated financial statements.</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July 2015, the Financial Accounting Standards Board issued Accounting Standards Update 2015-11, </w:t>
      </w:r>
      <w:r>
        <w:rPr>
          <w:rFonts w:ascii="Arial" w:cs="Arial" w:eastAsia="Arial" w:hAnsi="Arial"/>
          <w:sz w:val="18"/>
          <w:szCs w:val="18"/>
          <w:i w:val="1"/>
          <w:iCs w:val="1"/>
          <w:color w:val="auto"/>
        </w:rPr>
        <w:t>Inventory (Topic 330):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Inventory </w:t>
      </w:r>
      <w:r>
        <w:rPr>
          <w:rFonts w:ascii="Arial" w:cs="Arial" w:eastAsia="Arial" w:hAnsi="Arial"/>
          <w:sz w:val="18"/>
          <w:szCs w:val="18"/>
          <w:color w:val="auto"/>
        </w:rPr>
        <w:t>(“ASU 2015-11”) which changes the measurement principle for inventory from the lower of cost or market to the lower of cost</w:t>
      </w:r>
      <w:r>
        <w:rPr>
          <w:rFonts w:ascii="Arial" w:cs="Arial" w:eastAsia="Arial" w:hAnsi="Arial"/>
          <w:sz w:val="18"/>
          <w:szCs w:val="18"/>
          <w:i w:val="1"/>
          <w:iCs w:val="1"/>
          <w:color w:val="auto"/>
        </w:rPr>
        <w:t xml:space="preserve"> </w:t>
      </w:r>
      <w:r>
        <w:rPr>
          <w:rFonts w:ascii="Arial" w:cs="Arial" w:eastAsia="Arial" w:hAnsi="Arial"/>
          <w:sz w:val="18"/>
          <w:szCs w:val="18"/>
          <w:color w:val="auto"/>
        </w:rPr>
        <w:t>or net realizable value. ASU 2015-11 defines net realizable value as estimated selling prices in the ordinary course of business, less reasonably predictable costs of completion, disposal and transportation. The new guidance must be applied on a prospective basis and is effective for periods beginning after December 15, 2016, with early adoption permitted. The Company is currently evaluating the effect that the new guidance will have on its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In November 2015, Financial Accounting Standards Board issued Accounting Standards Update (“ASU”) No. 2015-17, Income Taxes (Topic 740): Balance Sheet Classification of Deferred Taxes. ASU 2015-17 simplifies current guidance and requires companies to classify all deferred tax assets and liabilities as noncurrent on the balance sheet. ASU 2015-17 can be applied either prospectively or retrospectively and is effective for periods beginning after December 15, 2016, with early adoption permitted. The Company is currently evaluating the effect that the new guidance will have on its consolidated financial statements.</w:t>
      </w:r>
    </w:p>
    <w:p>
      <w:pPr>
        <w:spacing w:after="0" w:line="21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February 2016, the Financial Accounting Standards Board issued Accounting Standards Update (“ASU”) No. 2016-02 Leases (Topic 842). The objective of the update is to increase transparency and comparability among organizations by recognizing lease assets and lease liabilities on the balance sheet and disclosing key information about leasing arrangements. The amendments of the ASU 2016-02 are effective for fiscal years beginning after December 31, 2018 and early adoption is permitted. The Company is currently evaluating the impact of this standard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J – CREDIT FACILITY</w:t>
      </w:r>
    </w:p>
    <w:p>
      <w:pPr>
        <w:spacing w:after="0" w:line="225"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color w:val="auto"/>
        </w:rPr>
        <w:t>The Company has a credit facility (the “Facility”) with JPMorgan Chase Bank, N.A. (“JPMorgan”) pursuant to a credit agreement (the “Credit Agreement”) between the Company and JPMorgan. Under the Facility the Company may make borrowings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of $6.0 million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189" w:lineRule="exact"/>
        <w:rPr>
          <w:sz w:val="20"/>
          <w:szCs w:val="20"/>
          <w:color w:val="auto"/>
        </w:rPr>
      </w:pPr>
    </w:p>
    <w:p>
      <w:pPr>
        <w:jc w:val="both"/>
        <w:ind w:right="20" w:firstLine="486"/>
        <w:spacing w:after="0" w:line="302" w:lineRule="auto"/>
        <w:rPr>
          <w:sz w:val="20"/>
          <w:szCs w:val="20"/>
          <w:color w:val="auto"/>
        </w:rPr>
      </w:pPr>
      <w:r>
        <w:rPr>
          <w:rFonts w:ascii="Arial" w:cs="Arial" w:eastAsia="Arial" w:hAnsi="Arial"/>
          <w:sz w:val="16"/>
          <w:szCs w:val="16"/>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54" w:lineRule="exact"/>
        <w:rPr>
          <w:sz w:val="20"/>
          <w:szCs w:val="20"/>
          <w:color w:val="auto"/>
        </w:rPr>
      </w:pPr>
    </w:p>
    <w:p>
      <w:pPr>
        <w:jc w:val="both"/>
        <w:ind w:right="20" w:firstLine="486"/>
        <w:spacing w:after="0" w:line="271" w:lineRule="auto"/>
        <w:rPr>
          <w:sz w:val="20"/>
          <w:szCs w:val="20"/>
          <w:color w:val="auto"/>
        </w:rPr>
      </w:pPr>
      <w:r>
        <w:rPr>
          <w:rFonts w:ascii="Arial" w:cs="Arial" w:eastAsia="Arial" w:hAnsi="Arial"/>
          <w:sz w:val="17"/>
          <w:szCs w:val="17"/>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an interest charge coverage ratio. The calculation of both ratios is defined in the Credit Agreement. For the period ended January 31, 2016, the Company met the required covenants for its borrowings under Tranche 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NOTE K – VALUATION ALLOWANCE ON DEFERRED TAX ASSETS</w:t>
      </w:r>
    </w:p>
    <w:p>
      <w:pPr>
        <w:spacing w:after="0" w:line="225" w:lineRule="exact"/>
        <w:rPr>
          <w:sz w:val="20"/>
          <w:szCs w:val="20"/>
          <w:color w:val="auto"/>
        </w:rPr>
      </w:pPr>
    </w:p>
    <w:p>
      <w:pPr>
        <w:jc w:val="both"/>
        <w:ind w:right="20" w:firstLine="486"/>
        <w:spacing w:after="0" w:line="276" w:lineRule="auto"/>
        <w:rPr>
          <w:sz w:val="20"/>
          <w:szCs w:val="20"/>
          <w:color w:val="auto"/>
        </w:rPr>
      </w:pPr>
      <w:r>
        <w:rPr>
          <w:rFonts w:ascii="Arial" w:cs="Arial" w:eastAsia="Arial" w:hAnsi="Arial"/>
          <w:sz w:val="17"/>
          <w:szCs w:val="17"/>
          <w:color w:val="auto"/>
        </w:rPr>
        <w:t>In prior fiscal years, the Company reduced the valuation allowance on the deferred tax assets of its U.S. subsidiaries. Consequently, for the nine and three months ended January 31, 2016 and 2015, the Company recorded provisions for income taxes based on both current taxes due in the United States as well as the tax provision or benefit to be realized from temporary tax differences. As of January 31, 2016 and April 30, 2015, the remaining deferred tax asset valuation allowance is approximately $2.4 million and is primarily related to deferred tax assets of the Company’s non-U.S. based subsidiaries. Tax losses from the Company’s foreign subsidiaries are not deductible for United States tax purposes.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2015.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revenues recognized on each shipment based upon a percentage of estimated final program costs.</w:t>
      </w:r>
    </w:p>
    <w:p>
      <w:pPr>
        <w:spacing w:after="0" w:line="170"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1"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revenues in the period the revision is made.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Foreign Operations and Foreign Currency Adjustments</w:t>
      </w:r>
    </w:p>
    <w:p>
      <w:pPr>
        <w:spacing w:after="0" w:line="225" w:lineRule="exact"/>
        <w:rPr>
          <w:sz w:val="20"/>
          <w:szCs w:val="20"/>
          <w:color w:val="auto"/>
        </w:rPr>
      </w:pPr>
    </w:p>
    <w:p>
      <w:pPr>
        <w:jc w:val="both"/>
        <w:ind w:right="20" w:firstLine="486"/>
        <w:spacing w:after="0" w:line="293" w:lineRule="auto"/>
        <w:rPr>
          <w:sz w:val="20"/>
          <w:szCs w:val="20"/>
          <w:color w:val="auto"/>
        </w:rPr>
      </w:pPr>
      <w:r>
        <w:rPr>
          <w:rFonts w:ascii="Arial" w:cs="Arial" w:eastAsia="Arial" w:hAnsi="Arial"/>
          <w:sz w:val="16"/>
          <w:szCs w:val="16"/>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which are translated at historical rates, are translated into U.S. dollars at the rates of exchange in effect on the date of the balance sheet. As a result, similar results in local currency can vary upon translation into U.S. dollars if exchange rates fluctuate significantly from one period to the next.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2016 and 2015 (which end on April 30, 2016 and 2015, respectively) the percentage of consolidated revenues represented by certain items in the Company’s condensed consolidated statements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1"/>
              </w:rPr>
              <w:t>Nine months</w:t>
            </w: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2"/>
              </w:rPr>
              <w:t>Three months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Periods ended January 31,</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34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Less intersegment revenues</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Cost of revenues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66.0</w:t>
            </w:r>
          </w:p>
        </w:tc>
        <w:tc>
          <w:tcPr>
            <w:tcW w:w="4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68.2</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65.0</w:t>
            </w:r>
          </w:p>
        </w:tc>
        <w:tc>
          <w:tcPr>
            <w:tcW w:w="4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80"/>
              <w:spacing w:after="0"/>
              <w:rPr>
                <w:sz w:val="20"/>
                <w:szCs w:val="20"/>
                <w:color w:val="auto"/>
              </w:rPr>
            </w:pPr>
            <w:r>
              <w:rPr>
                <w:rFonts w:ascii="Arial" w:cs="Arial" w:eastAsia="Arial" w:hAnsi="Arial"/>
                <w:sz w:val="18"/>
                <w:szCs w:val="18"/>
                <w:color w:val="auto"/>
              </w:rPr>
              <w:t>Gross margin</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34.0</w:t>
            </w:r>
          </w:p>
        </w:tc>
        <w:tc>
          <w:tcPr>
            <w:tcW w:w="4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31.8</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35.0</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87"/>
        </w:trPr>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Nine months</w:t>
            </w:r>
          </w:p>
        </w:tc>
        <w:tc>
          <w:tcPr>
            <w:tcW w:w="4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w w:val="91"/>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Segment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Change</w:t>
            </w: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Change</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(10,656)</w:t>
            </w:r>
          </w:p>
        </w:tc>
        <w:tc>
          <w:tcPr>
            <w:tcW w:w="4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14,025</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(4,306)</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3,862</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6,511</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(2,649)</w:t>
            </w:r>
          </w:p>
        </w:tc>
        <w:tc>
          <w:tcPr>
            <w:tcW w:w="4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FEI-Zyfer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w:t>
            </w:r>
          </w:p>
        </w:tc>
        <w:tc>
          <w:tcPr>
            <w:tcW w:w="4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(965)</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(2,219)</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1,254</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(11,182)</w:t>
            </w:r>
          </w:p>
        </w:tc>
        <w:tc>
          <w:tcPr>
            <w:tcW w:w="4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18,381</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(4,883)</w:t>
            </w:r>
          </w:p>
        </w:tc>
        <w:tc>
          <w:tcPr>
            <w:tcW w:w="4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For the nine and three months ended January 31, 2016 and 2015, revenues from commercial and U.S. Government satellite programs accounted for approximately 60% of consolidated revenues. For the nine and three months ended January 31, 2016 satellite payload revenue has decreased by over $8 million and $3 million respectively, compared to the same periods in fiscal 2015, due primarily to delays in new contract awards for many of which the Company is the sole-source provider. This is due to unanticipated shifts in U.S. Government/DOD authorization and funding decisions during the current budget year. Revenues on these contracts are recognized primarily under the percentage of completion method and recorded in the FEI-NY segment.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19" w:lineRule="exact"/>
        <w:rPr>
          <w:sz w:val="20"/>
          <w:szCs w:val="20"/>
          <w:color w:val="auto"/>
        </w:rPr>
      </w:pPr>
      <w:r>
        <w:rPr>
          <w:rFonts w:ascii="Arial" w:cs="Arial" w:eastAsia="Arial" w:hAnsi="Arial"/>
          <w:sz w:val="17"/>
          <w:szCs w:val="17"/>
          <w:color w:val="auto"/>
        </w:rPr>
        <w:t>Revenues from non-space U.S. Government/DOD customers, which are recorded in both the FEI-NY and FEI-Zyfer segments, for the nine-month period ended January 31, 2016 and 2015, accounted for approximately 20%, of consolidated revenues and for the three months then ended, were approximately 20% and 25% of consolidated revenues, respectively. The main factor affecting this segment is a delay in contract awards and shipments. Total revenues from U.S. Government satellite contracts and non-space programs for the nine and three months ended January 31, 2016 were approximately 60% and 55%, respectively, of consolidated revenues. Revenues from non-space U.S. Government/DOD customers are expected to increase, particularly for the FEI-Zyfer segment as it receives funding on several significant U.S. Government programs. Network infrastructure and other industrial revenues in the fiscal year 2016 periods accounted for approximately 20% of consolidated revenues which is similar to their share of consolidated revenues in the prior year. For the nine and three month periods ended January 31, 2016, these commercial revenues decreased by approximately $3.6 million and $0.6 million, respectively, as compared to the same periods of fiscal year 2015. The primary reasons for reduced revenue from this market area are due to lower third-party contract manufacturing revenues in the Company’s FEI-Asia subsidiary which is part of the FEI-NY segment and reduced sales volume at the Gilliam-FEI segment. In addition in fiscal year 2016 periods, Gillam-FEI recorded lower intersegment revenues as compared to the prior year. Such intersegment sales are eliminated in consolidation and have no effect on consolidated revenues.</w:t>
      </w:r>
      <w:r>
        <w:rPr>
          <w:rFonts w:ascii="MS PGothic" w:cs="MS PGothic" w:eastAsia="MS PGothic" w:hAnsi="MS PGothic"/>
          <w:sz w:val="17"/>
          <w:szCs w:val="17"/>
          <w:color w:val="auto"/>
        </w:rPr>
        <w:t> </w:t>
      </w:r>
    </w:p>
    <w:p>
      <w:pPr>
        <w:spacing w:after="0" w:line="19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For the nine and three months ended January 31, 2015, revenues from commercial and U.S. Government satellite programs accounted for approximately 60% of consolidated revenues. Compared to the same periods of fiscal year 2014, satellite revenues increased by 16% for the nine-month period and decreased by 2% for the three-month period. A delay in the timing of additional funding on a cost-plus-fee contract prevented third quarter revenues from matching or exceeding satellite revenues for the same period of fiscal year 2014. Revenues from additional funding under that contract has been recognized during the Company’s fourth quarter of fiscal year 2015. Revenues on satellite program contracts are recognized primarily under the percentage of completion method. Revenues from the satellite market are recorded in the FEI-NY segment. Revenues from non-space U.S. Government/DOD customers, which are recorded in both the FEI-NY and FEI-Zyfer segments, accounted for approximately 20% of consolidated revenues for the nine months of both fiscal years 2015 and 2014. For the three-month period ended January 31, 2015, such revenues were approximately 25% of consolidated revenues and increased by 25% over non-space government revenues for the third quarter of fiscal year 2014. The primary reason for this growth during the third quarter of fiscal year 2015 was due to additional funding received by the FEI-Zyfer segment on an U.S. Government initiative to protect secure communications from jamming and multi-path in GPS systems. Total revenues from U.S. Government satellite contracts and non-space programs were approximately 45% of consolidated revenues for the nine months ended January 31, 2015 and were approximately 50% of revenues for the three-month period then ended. Network infrastructure and other industrial revenues in the fiscal year 2015 periods accounted for approximately 20% of consolidated revenues which is similar to their share of consolidated revenues in the prior year. These fiscal year 2015 commercial revenues increased by approximately 8% for the nine month period and declined by approximately 10% for the three-month period ended January 31, 2015, as compared to the same periods of fiscal year 2014. The primary reason for growth in this commercial, non-space market area is due to increased contract manufacturing revenues from third parties in the Company’s FEI-Asia subsidiary which is part of the FEI-NY segment. In prior periods, third party revenues for the FEI-Asia subsidiary were insignificant as most of its manufacturing capacity was applied to intersegment production.</w:t>
      </w:r>
    </w:p>
    <w:p>
      <w:pPr>
        <w:spacing w:after="0" w:line="39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Based on the Company’s current backlog, which reflects delays in awards of new project orders, which are the sole-sourced to the Company and consolidated revenues for the nine months ending January 31, 2016, fiscal year 2016 revenues are expected to be lower than the prior fiscal year. Satellite payload revenues comprise approximately 55% of the Company’s backlog. Satellite payload revenues will remain the dominant portion of the Company’s business and represent the best long-term growth opportunity. Revenues from non-space U.S. Government/DOD customers are expected to increase, particularly for the FEI-Zyfer segment as it receives funding on several significant U.S. Government programs.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87"/>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Nine months</w:t>
            </w:r>
          </w:p>
        </w:tc>
        <w:tc>
          <w:tcPr>
            <w:tcW w:w="1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rPr>
              <w:t>Periods ended January 31,</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15,723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18,235</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8"/>
              </w:rPr>
              <w:t>(2,512)</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 $</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5,896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4"/>
              </w:rPr>
              <w:t>(1,171)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Gross margin for the nine and three month ended January 31, 2016, decreased over the same period in fiscal year 2015 due primarily to lower revenues from the satellite payload market recorded in the FEI-NY segment. During the nine month period ended January 31, 2016, the Company received reimbursement from a vendor which partially offset higher engineering and production costs incurred on certain programs impacted by a defective part. The cost reimbursement improved the consolidated gross margin rate by approximately 1%. During the nine and three months ending January 31, 2016, product mix is also a contributing factor to the increased profit margin rate.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Gross margin for the nine months ended January 31, 2015, decreased over the prior fiscal year due to product and contract mix and to lower revenues during the first quarter on non-space U.S. Government business and at the Gillam-FEI segment. During the three month period ended January 31, 2015, improved gross margin on higher sales volume at the FEI-Zyfer segment was offset by increased overhead and production costs at the FEI-NY segment and lower revenues in the Gillam-FEI segment as compared to fiscal year 2014. These factors accounted for the reduced gross margin rates in the fiscal year 2015 periods as compared to fiscal year 2014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5"/>
              </w:rPr>
              <w:t>Nine months</w:t>
            </w: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b w:val="1"/>
                <w:bCs w:val="1"/>
                <w:color w:val="auto"/>
                <w:w w:val="99"/>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3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10,067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10,548</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(481)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3,578</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p>
    <w:p>
      <w:pPr>
        <w:jc w:val="both"/>
        <w:ind w:right="20" w:firstLine="486"/>
        <w:spacing w:after="0" w:line="276" w:lineRule="auto"/>
        <w:rPr>
          <w:sz w:val="20"/>
          <w:szCs w:val="20"/>
          <w:color w:val="auto"/>
        </w:rPr>
      </w:pPr>
      <w:r>
        <w:rPr>
          <w:rFonts w:ascii="Arial" w:cs="Arial" w:eastAsia="Arial" w:hAnsi="Arial"/>
          <w:sz w:val="17"/>
          <w:szCs w:val="17"/>
          <w:color w:val="auto"/>
        </w:rPr>
        <w:t>For the nine-month period ended January 31, 2016 and 2015, selling and administrative expenses (“SG&amp;A”) were approximately 22% and 18%, respectively, of consolidated revenues and for the three months then ended, were approximately 23% and 20% of consolidated revenues, respectively. The higher expense ratios in fiscal year 2016 periods are mainly due to lower revenues. The lower SG&amp;A expenses in the fiscal year 2016 periods compared to the same periods in fiscal year 2015 is due to decreased incentive compensation expenses and reduced selling expenses. For the remainder of fiscal year 2016, the Company expects SG&amp;A expenses to be incurred at approximately the same 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Nine months</w:t>
            </w: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ind w:left="520"/>
              <w:spacing w:after="0"/>
              <w:rPr>
                <w:sz w:val="20"/>
                <w:szCs w:val="20"/>
                <w:color w:val="auto"/>
              </w:rPr>
            </w:pPr>
            <w:r>
              <w:rPr>
                <w:rFonts w:ascii="Arial" w:cs="Arial" w:eastAsia="Arial" w:hAnsi="Arial"/>
                <w:sz w:val="18"/>
                <w:szCs w:val="18"/>
                <w:b w:val="1"/>
                <w:bCs w:val="1"/>
                <w:color w:val="auto"/>
                <w:w w:val="99"/>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3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430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color w:val="auto"/>
        </w:rPr>
        <w:t>Research and development (“R&amp;D”) expenditures represent investments intended to keep the Company’s products at the leading edge of time and frequency technology and enhance competitiveness for future revenues. R&amp;D spending for the nine months ended January 31, 2016, increased over the same period in fiscal year 2015 as the Company accelerated development on certain products for the satellite market as well as making product design and process improvements to enhance product manufacturability and reduce production costs. Internal R&amp;D spending includes continued development of new satellite payload microwave receivers/converters from DC to Ka band, improvement of quartz-based and rubidium atomic clocks, development of new GPS-based synchronization products improvement of ultra low phase noise synthesizers and further enhancement of the capabilities of the Company’s line of low g-sensitivity and ruggedized rubidium oscillators.</w:t>
      </w:r>
    </w:p>
    <w:p>
      <w:pPr>
        <w:spacing w:after="0" w:line="189"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In addition to internal research and development efforts, the Company continues to conduct development activities on customer-funded programs the cost of which appears in cost of revenues. The Company will continue to devote significant resources to develop new products, enhance existing products and implement efficient manufacturing processes. For fiscal year 2016, the Company is targeting to increase spending on certain space products but anticipates spending less than 10% of full year revenues on internal research and development projects. Internally generated cash and cash reserves are adequate to fund these development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w w:val="99"/>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1"/>
              </w:rPr>
              <w:t>(2,461)</w:t>
            </w:r>
          </w:p>
        </w:tc>
        <w:tc>
          <w:tcPr>
            <w:tcW w:w="140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(66%)  $</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272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(725)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1440" w:type="dxa"/>
            <w:vAlign w:val="bottom"/>
          </w:tcPr>
          <w:p>
            <w:pPr>
              <w:spacing w:after="0"/>
              <w:rPr>
                <w:sz w:val="18"/>
                <w:szCs w:val="18"/>
                <w:color w:val="auto"/>
              </w:rPr>
            </w:pPr>
          </w:p>
        </w:tc>
      </w:tr>
      <w:tr>
        <w:trPr>
          <w:trHeight w:val="608"/>
        </w:trPr>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17 of 23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Lower consolidated revenues during the nine and three months ended January 31, 2016 resulted in decreased operating profits, as compared to the same period of the prior fiscal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w w:val="96"/>
              </w:rPr>
              <w:t>Other income (expense), net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Three months</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w w:val="91"/>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( 346)</w:t>
            </w:r>
          </w:p>
        </w:tc>
        <w:tc>
          <w:tcPr>
            <w:tcW w:w="4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c>
          <w:tcPr>
            <w:tcW w:w="4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7"/>
        </w:trPr>
        <w:tc>
          <w:tcPr>
            <w:tcW w:w="20" w:type="dxa"/>
            <w:vAlign w:val="bottom"/>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rates and dividend payout levels and the timing of purchases or sales of securities. During the nine months ended January 31, 2016 and 2015, the Company recorded gains of approximately $131,000 and $377,000, respectively, on the sale of certain marketable securities. During the three months ended January 31, 2016 a loss of approximately $6,000 was recorded and for the three months ended January 31, 2015 there was no gain or loss recorded.</w:t>
      </w:r>
    </w:p>
    <w:p>
      <w:pPr>
        <w:spacing w:after="0" w:line="21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decrease in interest expense for the nine months ended January 31, 2016 compared to the same period of fiscal year 2015 is due to the reduced level of borrowings under the Company’s credit facility from a bank. For the three month period ended January 31, 2016, interest expense was higher than the same period of fiscal year 2015 due to higher amortization of certain deferred compensation expense which is treated as interest.</w:t>
      </w:r>
    </w:p>
    <w:p>
      <w:pPr>
        <w:spacing w:after="0" w:line="16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During the first quarter of fiscal year 2016, the Company recognized a gain of approximately $400,000 from the proceeds of a life insurance policy upon the death of a former officer of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4"/>
          </w:tcPr>
          <w:p>
            <w:pPr>
              <w:spacing w:after="0"/>
              <w:rPr>
                <w:sz w:val="20"/>
                <w:szCs w:val="20"/>
                <w:color w:val="auto"/>
              </w:rPr>
            </w:pPr>
            <w:r>
              <w:rPr>
                <w:rFonts w:ascii="Arial" w:cs="Arial" w:eastAsia="Arial" w:hAnsi="Arial"/>
                <w:sz w:val="18"/>
                <w:szCs w:val="18"/>
                <w:b w:val="1"/>
                <w:bCs w:val="1"/>
                <w:color w:val="auto"/>
              </w:rPr>
              <w:t>Income tax provision</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0"/>
        </w:trPr>
        <w:tc>
          <w:tcPr>
            <w:tcW w:w="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Nine months</w:t>
            </w: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Three months</w:t>
            </w: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b w:val="1"/>
                <w:bCs w:val="1"/>
                <w:color w:val="auto"/>
              </w:rPr>
              <w:t>Periods ended January 31,</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(550)</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 $</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2"/>
        </w:trPr>
        <w:tc>
          <w:tcPr>
            <w:tcW w:w="20" w:type="dxa"/>
            <w:vAlign w:val="bottom"/>
          </w:tcPr>
          <w:p>
            <w:pPr>
              <w:spacing w:after="0"/>
              <w:rPr>
                <w:sz w:val="17"/>
                <w:szCs w:val="17"/>
                <w:color w:val="auto"/>
              </w:rPr>
            </w:pPr>
          </w:p>
        </w:tc>
        <w:tc>
          <w:tcPr>
            <w:tcW w:w="2440" w:type="dxa"/>
            <w:vAlign w:val="bottom"/>
            <w:gridSpan w:val="3"/>
          </w:tcPr>
          <w:p>
            <w:pPr>
              <w:spacing w:after="0" w:line="201" w:lineRule="exact"/>
              <w:rPr>
                <w:sz w:val="20"/>
                <w:szCs w:val="20"/>
                <w:color w:val="auto"/>
              </w:rPr>
            </w:pPr>
            <w:r>
              <w:rPr>
                <w:rFonts w:ascii="Arial" w:cs="Arial" w:eastAsia="Arial" w:hAnsi="Arial"/>
                <w:sz w:val="18"/>
                <w:szCs w:val="18"/>
                <w:color w:val="auto"/>
              </w:rPr>
              <w:t>Effective tax rate on pre-tax</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460" w:type="dxa"/>
            <w:vAlign w:val="bottom"/>
            <w:gridSpan w:val="4"/>
          </w:tcPr>
          <w:p>
            <w:pPr>
              <w:spacing w:after="0"/>
              <w:rPr>
                <w:sz w:val="20"/>
                <w:szCs w:val="20"/>
                <w:color w:val="auto"/>
              </w:rPr>
            </w:pPr>
            <w:r>
              <w:rPr>
                <w:rFonts w:ascii="Arial" w:cs="Arial" w:eastAsia="Arial" w:hAnsi="Arial"/>
                <w:sz w:val="18"/>
                <w:szCs w:val="18"/>
                <w:color w:val="auto"/>
              </w:rPr>
              <w:t>book income:</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provision for income taxes for the nine and three months ended January 31, 2016 decreased as a result of lower pretax income as compared to the same periods of fiscal year 2015. During the first half of fiscal year 2016, losses at the Company’s foreign subsidiaries as a proportion of consolidated pre-tax income were higher than expected to be realized during the balance of the fiscal years. These non-deductible losses caused the effective tax rate to increase to a level higher than statutory rates. During the three months ending January, 31 2016 and 2015, the U.S. Congress reinstated the U.S. research and development tax credit (“R&amp;D Credit”). As a result, the Company recorded the fiscal year to date cumulative effect of the R&amp;D Credit in both fiscal quarters. of As a result the three month provisions are disproportionate to the full year provision and the effective tax rate is lower than the expected annual tax rate.</w:t>
      </w:r>
    </w:p>
    <w:p>
      <w:pPr>
        <w:spacing w:after="0" w:line="165" w:lineRule="exact"/>
        <w:rPr>
          <w:sz w:val="20"/>
          <w:szCs w:val="20"/>
          <w:color w:val="auto"/>
        </w:rPr>
      </w:pPr>
    </w:p>
    <w:p>
      <w:pPr>
        <w:jc w:val="both"/>
        <w:ind w:right="20" w:firstLine="486"/>
        <w:spacing w:after="0" w:line="272" w:lineRule="auto"/>
        <w:rPr>
          <w:sz w:val="20"/>
          <w:szCs w:val="20"/>
          <w:color w:val="auto"/>
        </w:rPr>
      </w:pPr>
      <w:r>
        <w:rPr>
          <w:rFonts w:ascii="Arial" w:cs="Arial" w:eastAsia="Arial" w:hAnsi="Arial"/>
          <w:sz w:val="17"/>
          <w:szCs w:val="17"/>
          <w:color w:val="auto"/>
        </w:rPr>
        <w:t>The Company is subject to taxation in several countries as well as the states of New York, New Jersey and California. The statutory federal rates are 34% in the United States and Belgium. The effective rate is impacted by the income or loss of certain of the Company’s European and Asian subsidiaries for which no tax benefit is currently available. In addition, the Company utilizes the availability of the R&amp;D Credit and the Domestic Production Activity Credit in the United States to lower its tax rate. The 2015 R&amp;D Credit has been reinstated by the U.S. Congress. As of April 30, 2015, the Company’s European subsidiaries had available net operating loss carry forwards of approximately $4.2 million, which will offset future taxable income. As a result of the FEI-Elcom acquisition, the Company has a federal net operating loss carry forward of $5.1 million that may be applied in annually limited amounts to offset future U.S.-sourced taxable income over the next 17 years.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6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38"/>
        </w:trPr>
        <w:tc>
          <w:tcPr>
            <w:tcW w:w="8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60" w:type="dxa"/>
            <w:vAlign w:val="bottom"/>
            <w:gridSpan w:val="11"/>
          </w:tcPr>
          <w:p>
            <w:pPr>
              <w:jc w:val="center"/>
              <w:ind w:right="265"/>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(Continued)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2"/>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60"/>
        </w:trPr>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Nine months</w:t>
            </w:r>
          </w:p>
        </w:tc>
        <w:tc>
          <w:tcPr>
            <w:tcW w:w="4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b w:val="1"/>
                <w:bCs w:val="1"/>
                <w:color w:val="auto"/>
                <w:w w:val="99"/>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5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   (1,781)</w:t>
            </w:r>
          </w:p>
        </w:tc>
        <w:tc>
          <w:tcPr>
            <w:tcW w:w="140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(62%)  $</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282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(596)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detailed above, operating profits and pretax income were lower in the fiscal year 2016 periods as compared to the same periods in fiscal year 2015 resulting in reduced net income for the periods ended January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$76.5 million at January 31, 2016, compared to working capital of $75.2 million at April 30, 2015. Included in working capital at January 31, 2016 is $17.7 million consisting of cash, cash equivalents and marketable securities. The Company’s current ratio at January 31, 2016 is 9.9 to 1.</w:t>
      </w:r>
    </w:p>
    <w:p>
      <w:pPr>
        <w:spacing w:after="0" w:line="18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For the nine months ended January 31, 2016, the Company provided cash from operations in the amount of $1,988,000 compared to cash used by operations of $791,000 in the same fiscal period of the prior year. For the nine months ended January, 31 2016 cash increased before the effect of exchange rate changes, primarily from collection of accounts receivable. In fiscal year 2015 cash was reduced primarily from increased accounts receivables which will convert to cash in subsequent periods. For the nine-month periods ended January 31, 2016 and 2015, the Company incurred approximately $2.9 million and $3.6 million, respectively, of non-cash operating expenses, such as depreciation and amortization and accruals for employee benefit programs. For the balance of fiscal year 2016, as receivables are billed and collected, the Company expects to generate positive cash flow from operating activities.</w:t>
      </w:r>
    </w:p>
    <w:p>
      <w:pPr>
        <w:spacing w:after="0" w:line="16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Net cash used by investing activities for the nine months ended January 31, 2016, was $1,829,000 compared to $608,000 provided in the same period of fiscal year 2015. During the fiscal year 2016 period, marketable securities were sold or redeemed in the amount of $1.2 million compared to $5.6 million of such redemptions during the fiscal year 2015 period. Some of these proceeds and other cash were reinvested in additional marketable securities for the periods ended January 31, 2016 and 2015 in the amount of $1.4 million. In the fiscal periods ended January 31, 2016 and 2015, the Company acquired property, plant and equipment in the amount of approximately $1.6 million and $3.6 million respectively. The Company may continue to invest cash in longer-term securities or to convert short-term investments to cash as dictated by its investment and acquisition strategies. In addition, the Company will continue to acquire more efficient equipment to automate its production process and intends to spend approximately $2.0 million on capital equipment during fiscal year 2016. Internally generated cash or additional borrowings under the Company’s credit facility will be used to acquire this level of capital equipment.</w:t>
      </w:r>
    </w:p>
    <w:p>
      <w:pPr>
        <w:spacing w:after="0" w:line="2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provided by financing activities for the nine months ended January 31, 2016 was $8,000 compared to $1.7 million used for the period ending January 31, 2015. For the nine months ended January 31, 2016 and 2015, the Company realized $8,000 and $38,000, respectively, from the tax benefits arising from the exercise of stock-based awards. In the fiscal year 2015 period, the Company borrowed $2.3 million under its credit facility with a bank and also repaid $4.0 million of such borrowings. Such funds were used for working capital and to finance the acquisition of certain fixed assets. There were no additional borrowings or repayments during fiscal year 2016.</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January 31, 2016, the Company has repurchased approximately $4 million of its common stock out of the $5 million authorization. For the nine month periods ended January 31, 2016 and 2015, there were no repurchase of shares.</w:t>
      </w:r>
    </w:p>
    <w:p>
      <w:pPr>
        <w:spacing w:after="0" w:line="187" w:lineRule="exact"/>
        <w:rPr>
          <w:sz w:val="20"/>
          <w:szCs w:val="20"/>
          <w:color w:val="auto"/>
        </w:rPr>
      </w:pPr>
    </w:p>
    <w:p>
      <w:pPr>
        <w:jc w:val="both"/>
        <w:ind w:right="20" w:firstLine="486"/>
        <w:spacing w:after="0" w:line="289"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2016, the Company intends to make a substantial investment in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On an ongoing basis and as a normal part of its business, the Company investigates, considers, evaluates, discusses and, sometimes engages in acquisitions, dispositions or other strategic transactions to create shareholder value and enhance financial performance. Consistent with its fiduciary duties and to create shareholder value, the Company, from time-to-time, also considers, evaluates and discusses proposals received from potential acquirers. There can be no assurance that such transactions will occur.</w:t>
      </w:r>
    </w:p>
    <w:p>
      <w:pPr>
        <w:spacing w:after="0" w:line="16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As of January 31, 2016, the Company's consolidated funded backlog is approximately $22 million compared to $37 million at April 30, 2015. Approximately 80% of this backlog is expected to be realized in the next twelve months. The Company excludes from backlog contracts or awards for which it has not received authorization to proceed and on fixed price contracts excludes any unfunded portion. The Company expects these contracts to become fully funded over time and will add to its backlog at that time.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March 16, 2017.</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January 31, 2016,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82"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u w:val="single" w:color="auto"/>
          <w:color w:val="auto"/>
        </w:rPr>
        <w:t>Changes in Internal Control Over Financial Reporting</w:t>
      </w:r>
      <w:r>
        <w:rPr>
          <w:rFonts w:ascii="Arial" w:cs="Arial" w:eastAsia="Arial" w:hAnsi="Arial"/>
          <w:sz w:val="17"/>
          <w:szCs w:val="17"/>
          <w:color w:val="auto"/>
        </w:rPr>
        <w:t>. There were no changes in the Company’s internal control over financial reporting (as such term is defined in Rules 13a-15(f) and 15d-15(f) under the Exchange Act) during the nine months ended January 31, 2016 to which this report relates that have materially affected, or are reasonably likely to materially affect, the Company’s internal control over financial reporting.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jc w:val="both"/>
        <w:ind w:left="660" w:hanging="647"/>
        <w:spacing w:after="0" w:line="258"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31.1 -</w:t>
      </w:r>
      <w:r>
        <w:rPr>
          <w:sz w:val="20"/>
          <w:szCs w:val="20"/>
          <w:color w:val="auto"/>
        </w:rPr>
        <w:tab/>
      </w:r>
      <w:hyperlink w:anchor="page25">
        <w:r>
          <w:rPr>
            <w:rFonts w:ascii="Arial" w:cs="Arial" w:eastAsia="Arial" w:hAnsi="Arial"/>
            <w:sz w:val="18"/>
            <w:szCs w:val="18"/>
            <w:u w:val="single" w:color="auto"/>
            <w:color w:val="0000EE"/>
          </w:rPr>
          <w:t>Certification by the Chief Executive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pursuant to Section 302 of the Sarbanes-Oxley Act of 2002.</w:t>
        </w:r>
      </w:hyperlink>
    </w:p>
    <w:p>
      <w:pPr>
        <w:spacing w:after="0" w:line="1" w:lineRule="exact"/>
        <w:rPr>
          <w:sz w:val="20"/>
          <w:szCs w:val="20"/>
          <w:color w:val="auto"/>
        </w:rPr>
      </w:pPr>
    </w:p>
    <w:p>
      <w:pPr>
        <w:jc w:val="both"/>
        <w:ind w:left="660" w:right="20" w:hanging="647"/>
        <w:spacing w:after="0" w:line="250"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31.2 -</w:t>
      </w:r>
      <w:r>
        <w:rPr>
          <w:sz w:val="20"/>
          <w:szCs w:val="20"/>
          <w:color w:val="auto"/>
        </w:rPr>
        <w:tab/>
      </w:r>
      <w:hyperlink w:anchor="page26">
        <w:r>
          <w:rPr>
            <w:rFonts w:ascii="Arial" w:cs="Arial" w:eastAsia="Arial" w:hAnsi="Arial"/>
            <w:sz w:val="18"/>
            <w:szCs w:val="18"/>
            <w:u w:val="single" w:color="auto"/>
            <w:color w:val="0000EE"/>
          </w:rPr>
          <w:t>Certification by the Chief Financial Officer pursuant to Rule 13a-14(a) or 15d-14(a) under the Securities Exchange Act of 1934, as adopted pursuant</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to Section 302 of the Sarbanes-Oxley Act of 2002.</w:t>
        </w:r>
      </w:hyperlink>
    </w:p>
    <w:p>
      <w:pPr>
        <w:spacing w:after="0" w:line="1" w:lineRule="exact"/>
        <w:rPr>
          <w:sz w:val="20"/>
          <w:szCs w:val="20"/>
          <w:color w:val="auto"/>
        </w:rPr>
      </w:pPr>
    </w:p>
    <w:p>
      <w:pPr>
        <w:jc w:val="both"/>
        <w:ind w:left="660" w:right="20" w:hanging="647"/>
        <w:spacing w:after="0" w:line="250"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32 -</w:t>
      </w:r>
      <w:r>
        <w:rPr>
          <w:sz w:val="20"/>
          <w:szCs w:val="20"/>
          <w:color w:val="auto"/>
        </w:rPr>
        <w:tab/>
      </w:r>
      <w:hyperlink w:anchor="page27">
        <w:r>
          <w:rPr>
            <w:rFonts w:ascii="Arial" w:cs="Arial" w:eastAsia="Arial" w:hAnsi="Arial"/>
            <w:sz w:val="18"/>
            <w:szCs w:val="18"/>
            <w:u w:val="single" w:color="auto"/>
            <w:color w:val="0000EE"/>
          </w:rPr>
          <w:t>Certifications by the Chief Executive Officer and Chief Financial Officer pursuant to 18 U.S.C. Section 1350, as adopted pursuant to Section 906 of</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the Sarbanes-Oxley Act of 2002.</w:t>
        </w:r>
      </w:hyperlink>
    </w:p>
    <w:p>
      <w:pPr>
        <w:spacing w:after="0" w:line="1"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Frequency Electronics, Inc. Quarterly Report on Form 10-Q for the quarter ended January 31, 2016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FREQUENCY ELECTRONICS, INC.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16, 2016</w:t>
      </w:r>
      <w:r>
        <w:rPr>
          <w:sz w:val="20"/>
          <w:szCs w:val="20"/>
          <w:color w:val="auto"/>
        </w:rPr>
        <w:tab/>
      </w:r>
      <w:r>
        <w:rPr>
          <w:rFonts w:ascii="Arial" w:cs="Arial" w:eastAsia="Arial" w:hAnsi="Arial"/>
          <w:sz w:val="18"/>
          <w:szCs w:val="18"/>
          <w:color w:val="auto"/>
        </w:rPr>
        <w:t>By: /s/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Signing on behalf of the registrant and as principal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252"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jc w:val="both"/>
        <w:ind w:right="660" w:firstLine="8"/>
        <w:spacing w:after="0" w:line="264" w:lineRule="auto"/>
        <w:tabs>
          <w:tab w:leader="none" w:pos="229"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660" w:firstLine="8"/>
        <w:spacing w:after="0" w:line="277" w:lineRule="auto"/>
        <w:tabs>
          <w:tab w:leader="none" w:pos="227"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660" w:firstLine="8"/>
        <w:spacing w:after="0" w:line="264" w:lineRule="auto"/>
        <w:tabs>
          <w:tab w:leader="none" w:pos="24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right="640" w:hanging="4"/>
        <w:spacing w:after="0" w:line="264" w:lineRule="auto"/>
        <w:tabs>
          <w:tab w:leader="none" w:pos="1025"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640" w:hanging="4"/>
        <w:spacing w:after="0" w:line="264" w:lineRule="auto"/>
        <w:tabs>
          <w:tab w:leader="none" w:pos="98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640" w:hanging="4"/>
        <w:spacing w:after="0" w:line="342" w:lineRule="auto"/>
        <w:tabs>
          <w:tab w:leader="none" w:pos="962"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660" w:hanging="4"/>
        <w:spacing w:after="0" w:line="264" w:lineRule="auto"/>
        <w:tabs>
          <w:tab w:leader="none" w:pos="968"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660" w:firstLine="8"/>
        <w:spacing w:after="0" w:line="342"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660" w:hanging="4"/>
        <w:spacing w:after="0" w:line="308" w:lineRule="auto"/>
        <w:tabs>
          <w:tab w:leader="none" w:pos="974" w:val="left"/>
        </w:tabs>
        <w:numPr>
          <w:ilvl w:val="1"/>
          <w:numId w:val="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40" w:hanging="4"/>
        <w:spacing w:after="0" w:line="277" w:lineRule="auto"/>
        <w:tabs>
          <w:tab w:leader="none" w:pos="952"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ind w:left="100"/>
              <w:spacing w:after="0"/>
              <w:rPr>
                <w:sz w:val="20"/>
                <w:szCs w:val="20"/>
                <w:color w:val="auto"/>
              </w:rPr>
            </w:pPr>
            <w:r>
              <w:rPr>
                <w:rFonts w:ascii="Arial" w:cs="Arial" w:eastAsia="Arial" w:hAnsi="Arial"/>
                <w:sz w:val="18"/>
                <w:szCs w:val="18"/>
                <w:color w:val="auto"/>
              </w:rPr>
              <w:t>/s/  Martin Bloch</w:t>
            </w:r>
          </w:p>
        </w:tc>
        <w:tc>
          <w:tcPr>
            <w:tcW w:w="1660" w:type="dxa"/>
            <w:vAlign w:val="bottom"/>
          </w:tcPr>
          <w:p>
            <w:pPr>
              <w:ind w:left="520"/>
              <w:spacing w:after="0"/>
              <w:rPr>
                <w:sz w:val="20"/>
                <w:szCs w:val="20"/>
                <w:color w:val="auto"/>
              </w:rPr>
            </w:pPr>
            <w:r>
              <w:rPr>
                <w:rFonts w:ascii="Arial" w:cs="Arial" w:eastAsia="Arial" w:hAnsi="Arial"/>
                <w:sz w:val="18"/>
                <w:szCs w:val="18"/>
                <w:color w:val="auto"/>
                <w:w w:val="89"/>
              </w:rPr>
              <w:t>March 16, 2016</w:t>
            </w:r>
          </w:p>
        </w:tc>
      </w:tr>
      <w:tr>
        <w:trPr>
          <w:trHeight w:val="222"/>
        </w:trPr>
        <w:tc>
          <w:tcPr>
            <w:tcW w:w="13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9"/>
              </w:rPr>
              <w:t>Martin Bloch</w:t>
            </w: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260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166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Alan Miller, certify that</w:t>
      </w:r>
    </w:p>
    <w:p>
      <w:pPr>
        <w:spacing w:after="0" w:line="252"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jc w:val="both"/>
        <w:ind w:right="660" w:firstLine="8"/>
        <w:spacing w:after="0" w:line="264" w:lineRule="auto"/>
        <w:tabs>
          <w:tab w:leader="none" w:pos="229"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660" w:firstLine="8"/>
        <w:spacing w:after="0" w:line="277" w:lineRule="auto"/>
        <w:tabs>
          <w:tab w:leader="none" w:pos="227"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660" w:firstLine="8"/>
        <w:spacing w:after="0" w:line="264" w:lineRule="auto"/>
        <w:tabs>
          <w:tab w:leader="none" w:pos="24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right="640" w:hanging="4"/>
        <w:spacing w:after="0" w:line="264" w:lineRule="auto"/>
        <w:tabs>
          <w:tab w:leader="none" w:pos="102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640" w:hanging="4"/>
        <w:spacing w:after="0" w:line="264" w:lineRule="auto"/>
        <w:tabs>
          <w:tab w:leader="none" w:pos="98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640" w:hanging="4"/>
        <w:spacing w:after="0" w:line="342" w:lineRule="auto"/>
        <w:tabs>
          <w:tab w:leader="none" w:pos="962"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660" w:hanging="4"/>
        <w:spacing w:after="0" w:line="264"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660" w:firstLine="8"/>
        <w:spacing w:after="0" w:line="342"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660" w:hanging="4"/>
        <w:spacing w:after="0" w:line="308" w:lineRule="auto"/>
        <w:tabs>
          <w:tab w:leader="none" w:pos="974"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40" w:hanging="4"/>
        <w:spacing w:after="0" w:line="277" w:lineRule="auto"/>
        <w:tabs>
          <w:tab w:leader="none" w:pos="952"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/s/  Alan Miller</w:t>
            </w:r>
          </w:p>
        </w:tc>
        <w:tc>
          <w:tcPr>
            <w:tcW w:w="1380" w:type="dxa"/>
            <w:vAlign w:val="bottom"/>
          </w:tcPr>
          <w:p>
            <w:pPr>
              <w:spacing w:after="0"/>
              <w:rPr>
                <w:sz w:val="18"/>
                <w:szCs w:val="18"/>
                <w:color w:val="auto"/>
              </w:rPr>
            </w:pPr>
          </w:p>
        </w:tc>
        <w:tc>
          <w:tcPr>
            <w:tcW w:w="1740" w:type="dxa"/>
            <w:vAlign w:val="bottom"/>
          </w:tcPr>
          <w:p>
            <w:pPr>
              <w:ind w:left="600"/>
              <w:spacing w:after="0"/>
              <w:rPr>
                <w:sz w:val="20"/>
                <w:szCs w:val="20"/>
                <w:color w:val="auto"/>
              </w:rPr>
            </w:pPr>
            <w:r>
              <w:rPr>
                <w:rFonts w:ascii="Arial" w:cs="Arial" w:eastAsia="Arial" w:hAnsi="Arial"/>
                <w:sz w:val="18"/>
                <w:szCs w:val="18"/>
                <w:color w:val="auto"/>
                <w:w w:val="89"/>
              </w:rPr>
              <w:t>March 16, 2016</w:t>
            </w:r>
          </w:p>
        </w:tc>
      </w:tr>
      <w:tr>
        <w:trPr>
          <w:trHeight w:val="222"/>
        </w:trPr>
        <w:tc>
          <w:tcPr>
            <w:tcW w:w="2620" w:type="dxa"/>
            <w:vAlign w:val="bottom"/>
            <w:gridSpan w:val="2"/>
          </w:tcPr>
          <w:p>
            <w:pPr>
              <w:ind w:left="340"/>
              <w:spacing w:after="0"/>
              <w:rPr>
                <w:sz w:val="20"/>
                <w:szCs w:val="20"/>
                <w:color w:val="auto"/>
              </w:rPr>
            </w:pPr>
            <w:r>
              <w:rPr>
                <w:rFonts w:ascii="Arial" w:cs="Arial" w:eastAsia="Arial" w:hAnsi="Arial"/>
                <w:sz w:val="18"/>
                <w:szCs w:val="18"/>
                <w:color w:val="auto"/>
              </w:rPr>
              <w:t>Alan Miller</w:t>
            </w:r>
          </w:p>
        </w:tc>
        <w:tc>
          <w:tcPr>
            <w:tcW w:w="1740" w:type="dxa"/>
            <w:vAlign w:val="bottom"/>
          </w:tcPr>
          <w:p>
            <w:pPr>
              <w:spacing w:after="0"/>
              <w:rPr>
                <w:sz w:val="19"/>
                <w:szCs w:val="19"/>
                <w:color w:val="auto"/>
              </w:rPr>
            </w:pPr>
          </w:p>
        </w:tc>
      </w:tr>
      <w:tr>
        <w:trPr>
          <w:trHeight w:val="230"/>
        </w:trPr>
        <w:tc>
          <w:tcPr>
            <w:tcW w:w="262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174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In connection with the Quarterly Report of Frequency Electronics, Inc. (the “Company”) on Form 10-Q for the period ended January 31, 2016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74" w:lineRule="exact"/>
        <w:rPr>
          <w:sz w:val="20"/>
          <w:szCs w:val="20"/>
          <w:color w:val="auto"/>
        </w:rPr>
      </w:pPr>
    </w:p>
    <w:p>
      <w:pPr>
        <w:ind w:left="980" w:hanging="299"/>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ind w:left="100"/>
              <w:spacing w:after="0"/>
              <w:rPr>
                <w:sz w:val="20"/>
                <w:szCs w:val="20"/>
                <w:color w:val="auto"/>
              </w:rPr>
            </w:pPr>
            <w:r>
              <w:rPr>
                <w:rFonts w:ascii="Arial" w:cs="Arial" w:eastAsia="Arial" w:hAnsi="Arial"/>
                <w:sz w:val="18"/>
                <w:szCs w:val="18"/>
                <w:color w:val="auto"/>
              </w:rPr>
              <w:t>/s/  Martin Bloch</w:t>
            </w:r>
          </w:p>
        </w:tc>
        <w:tc>
          <w:tcPr>
            <w:tcW w:w="1800" w:type="dxa"/>
            <w:vAlign w:val="bottom"/>
          </w:tcPr>
          <w:p>
            <w:pPr>
              <w:ind w:left="640"/>
              <w:spacing w:after="0"/>
              <w:rPr>
                <w:sz w:val="20"/>
                <w:szCs w:val="20"/>
                <w:color w:val="auto"/>
              </w:rPr>
            </w:pPr>
            <w:r>
              <w:rPr>
                <w:rFonts w:ascii="Arial" w:cs="Arial" w:eastAsia="Arial" w:hAnsi="Arial"/>
                <w:sz w:val="18"/>
                <w:szCs w:val="18"/>
                <w:color w:val="auto"/>
                <w:w w:val="91"/>
              </w:rPr>
              <w:t>March 16, 2016</w:t>
            </w:r>
          </w:p>
        </w:tc>
      </w:tr>
      <w:tr>
        <w:trPr>
          <w:trHeight w:val="222"/>
        </w:trPr>
        <w:tc>
          <w:tcPr>
            <w:tcW w:w="13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9"/>
              </w:rPr>
              <w:t>Martin Bloch</w:t>
            </w:r>
          </w:p>
        </w:tc>
        <w:tc>
          <w:tcPr>
            <w:tcW w:w="1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270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1800" w:type="dxa"/>
            <w:vAlign w:val="bottom"/>
          </w:tcPr>
          <w:p>
            <w:pPr>
              <w:spacing w:after="0"/>
              <w:rPr>
                <w:sz w:val="20"/>
                <w:szCs w:val="20"/>
                <w:color w:val="auto"/>
              </w:rPr>
            </w:pPr>
          </w:p>
        </w:tc>
      </w:tr>
    </w:tbl>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2016 as filed with the Securities and Exchange Commission on the date hereof (the “Report”), I, Alan Miller, Chief Financial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820" w:hanging="30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/s/  Alan Miller</w:t>
            </w:r>
          </w:p>
        </w:tc>
        <w:tc>
          <w:tcPr>
            <w:tcW w:w="1380" w:type="dxa"/>
            <w:vAlign w:val="bottom"/>
          </w:tcPr>
          <w:p>
            <w:pPr>
              <w:spacing w:after="0"/>
              <w:rPr>
                <w:sz w:val="18"/>
                <w:szCs w:val="18"/>
                <w:color w:val="auto"/>
              </w:rPr>
            </w:pPr>
          </w:p>
        </w:tc>
        <w:tc>
          <w:tcPr>
            <w:tcW w:w="1740" w:type="dxa"/>
            <w:vAlign w:val="bottom"/>
          </w:tcPr>
          <w:p>
            <w:pPr>
              <w:ind w:left="600"/>
              <w:spacing w:after="0"/>
              <w:rPr>
                <w:sz w:val="20"/>
                <w:szCs w:val="20"/>
                <w:color w:val="auto"/>
              </w:rPr>
            </w:pPr>
            <w:r>
              <w:rPr>
                <w:rFonts w:ascii="Arial" w:cs="Arial" w:eastAsia="Arial" w:hAnsi="Arial"/>
                <w:sz w:val="18"/>
                <w:szCs w:val="18"/>
                <w:color w:val="auto"/>
                <w:w w:val="89"/>
              </w:rPr>
              <w:t>March 16, 2016</w:t>
            </w:r>
          </w:p>
        </w:tc>
      </w:tr>
      <w:tr>
        <w:trPr>
          <w:trHeight w:val="222"/>
        </w:trPr>
        <w:tc>
          <w:tcPr>
            <w:tcW w:w="2620" w:type="dxa"/>
            <w:vAlign w:val="bottom"/>
            <w:gridSpan w:val="2"/>
          </w:tcPr>
          <w:p>
            <w:pPr>
              <w:ind w:left="340"/>
              <w:spacing w:after="0"/>
              <w:rPr>
                <w:sz w:val="20"/>
                <w:szCs w:val="20"/>
                <w:color w:val="auto"/>
              </w:rPr>
            </w:pPr>
            <w:r>
              <w:rPr>
                <w:rFonts w:ascii="Arial" w:cs="Arial" w:eastAsia="Arial" w:hAnsi="Arial"/>
                <w:sz w:val="18"/>
                <w:szCs w:val="18"/>
                <w:color w:val="auto"/>
              </w:rPr>
              <w:t>Alan Miller</w:t>
            </w:r>
          </w:p>
        </w:tc>
        <w:tc>
          <w:tcPr>
            <w:tcW w:w="1740" w:type="dxa"/>
            <w:vAlign w:val="bottom"/>
          </w:tcPr>
          <w:p>
            <w:pPr>
              <w:spacing w:after="0"/>
              <w:rPr>
                <w:sz w:val="19"/>
                <w:szCs w:val="19"/>
                <w:color w:val="auto"/>
              </w:rPr>
            </w:pPr>
          </w:p>
        </w:tc>
      </w:tr>
      <w:tr>
        <w:trPr>
          <w:trHeight w:val="230"/>
        </w:trPr>
        <w:tc>
          <w:tcPr>
            <w:tcW w:w="262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17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right="6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7" w:lineRule="exact"/>
        <w:rPr>
          <w:sz w:val="20"/>
          <w:szCs w:val="20"/>
          <w:color w:val="auto"/>
        </w:rPr>
      </w:pPr>
    </w:p>
    <w:p>
      <w:pPr>
        <w:jc w:val="both"/>
        <w:ind w:left="660" w:right="660"/>
        <w:spacing w:after="0" w:line="302" w:lineRule="auto"/>
        <w:rPr>
          <w:sz w:val="20"/>
          <w:szCs w:val="20"/>
          <w:color w:val="auto"/>
        </w:rPr>
      </w:pPr>
      <w:r>
        <w:rPr>
          <w:rFonts w:ascii="Arial" w:cs="Arial" w:eastAsia="Arial" w:hAnsi="Arial"/>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decimal"/>
      <w:start w:val="1"/>
    </w:lvl>
  </w:abstractNum>
  <w:abstractNum w:abstractNumId="5">
    <w:nsid w:val="2EB141F2"/>
    <w:multiLevelType w:val="hybridMultilevel"/>
    <w:lvl w:ilvl="0">
      <w:lvlJc w:val="left"/>
      <w:lvlText w:val="(%1)"/>
      <w:numFmt w:val="decimal"/>
      <w:start w:val="2"/>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2019-12-29T13:53:59Z</dcterms:created>
  <dcterms:modified xsi:type="dcterms:W3CDTF">2019-12-29T13:53:59Z</dcterms:modified>
</cp:coreProperties>
</file>