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Bernstein Steven Lawrence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FREQUENCY ELECTRONICS,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 CHARLES LINDBERGH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MITCHEL 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11553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FREQUENCY ELECTRONICS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FEIM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07/27/2023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969"/>
        <w:gridCol w:w="449"/>
        <w:gridCol w:w="752"/>
        <w:gridCol w:w="1186"/>
        <w:gridCol w:w="991"/>
        <w:gridCol w:w="91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45,437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75,437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01/04/2025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18.47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71,297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111,297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26.6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102,275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36.47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102,183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50.54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96,842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126,842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Savings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Performance based restricted stock units granted 01/04/2023. As of 07/27/2023 performance requirements have been met; vest in four equal annual installments commencing 01/04/2024.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Performance based restricted stock units granted 07/31/2023. As of 07/31/2024 performance requirements have been met; vest in four equal annual installments commencing 07/31/2024.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withheld by the Company to cover tax obligations upon vesting of previously granted equity awards.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Updated to reflect reporting person's beneficial ownership as of [09/23/2026].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Performance based restricted stock units granted 05/13/2024. As of 07/31/2025 performance requirements have been met; vest in four equal annual installments commencing 07/31/2025.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Performance based restricted stock units granted 02/01/2026. As of 04/30/2026 performance requirements have been met. Restricted stock units vest in four equal annual installments commencing 02/01/2027.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Steven Bernstein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2629" TargetMode="External"/><Relationship Id="rId5" Type="http://schemas.openxmlformats.org/officeDocument/2006/relationships/hyperlink" Target="http://www.sec.gov/cgi-bin/browse-edgar?action=getcompany&amp;CIK=00000390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763</Words>
  <Characters>4270</Characters>
  <CharactersWithSpaces>4900</CharactersWithSpaces>
  <Paragraphs>161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