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131445</wp:posOffset>
            </wp:positionH>
            <wp:positionV relativeFrom="page">
              <wp:posOffset>102870</wp:posOffset>
            </wp:positionV>
            <wp:extent cx="729932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29845"/>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WASHINGTON, D.C. 20549</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10-Q</w:t>
      </w:r>
    </w:p>
    <w:p>
      <w:pPr>
        <w:spacing w:after="0" w:line="16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spacing w:after="0" w:line="172" w:lineRule="exact"/>
        <w:rPr>
          <w:sz w:val="24"/>
          <w:szCs w:val="24"/>
          <w:color w:val="auto"/>
        </w:rPr>
      </w:pPr>
    </w:p>
    <w:p>
      <w:pPr>
        <w:ind w:left="740" w:hanging="316"/>
        <w:spacing w:after="0"/>
        <w:tabs>
          <w:tab w:leader="none" w:pos="740" w:val="left"/>
        </w:tabs>
        <w:numPr>
          <w:ilvl w:val="0"/>
          <w:numId w:val="1"/>
        </w:numPr>
        <w:rPr>
          <w:rFonts w:ascii="Arial" w:cs="Arial" w:eastAsia="Arial" w:hAnsi="Arial"/>
          <w:sz w:val="12"/>
          <w:szCs w:val="12"/>
          <w:color w:val="auto"/>
        </w:rPr>
      </w:pPr>
      <w:r>
        <w:rPr>
          <w:rFonts w:ascii="Arial" w:cs="Arial" w:eastAsia="Arial" w:hAnsi="Arial"/>
          <w:sz w:val="12"/>
          <w:szCs w:val="12"/>
          <w:color w:val="auto"/>
        </w:rPr>
        <w:t>QUARTERLY REPORT PURSUANT TO SECTION 13 or 15 (d) OF THE SECURITIES EXCHANGE ACT OF 1934</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For the Quarterly Period ended January 31, 2009</w:t>
      </w:r>
    </w:p>
    <w:p>
      <w:pPr>
        <w:sectPr>
          <w:pgSz w:w="11900" w:h="16838" w:orient="portrait"/>
          <w:cols w:equalWidth="0" w:num="1">
            <w:col w:w="11460"/>
          </w:cols>
          <w:pgMar w:left="220" w:top="253" w:right="219" w:bottom="1440" w:gutter="0" w:footer="0" w:header="0"/>
        </w:sectPr>
      </w:pPr>
    </w:p>
    <w:p>
      <w:pPr>
        <w:spacing w:after="0" w:line="324" w:lineRule="exact"/>
        <w:rPr>
          <w:sz w:val="24"/>
          <w:szCs w:val="24"/>
          <w:color w:val="auto"/>
        </w:rPr>
      </w:pPr>
    </w:p>
    <w:p>
      <w:pPr>
        <w:ind w:left="420"/>
        <w:spacing w:after="0"/>
        <w:rPr>
          <w:sz w:val="20"/>
          <w:szCs w:val="20"/>
          <w:color w:val="auto"/>
        </w:rPr>
      </w:pPr>
      <w:r>
        <w:rPr>
          <w:rFonts w:ascii="Arial" w:cs="Arial" w:eastAsia="Arial" w:hAnsi="Arial"/>
          <w:sz w:val="10"/>
          <w:szCs w:val="10"/>
          <w:color w:val="auto"/>
        </w:rPr>
        <w:t>o</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ind w:left="4900"/>
        <w:spacing w:after="0"/>
        <w:rPr>
          <w:sz w:val="20"/>
          <w:szCs w:val="20"/>
          <w:color w:val="auto"/>
        </w:rPr>
      </w:pPr>
      <w:r>
        <w:rPr>
          <w:rFonts w:ascii="Arial" w:cs="Arial" w:eastAsia="Arial" w:hAnsi="Arial"/>
          <w:sz w:val="12"/>
          <w:szCs w:val="12"/>
          <w:b w:val="1"/>
          <w:bCs w:val="1"/>
          <w:color w:val="auto"/>
        </w:rPr>
        <w:t>OR</w:t>
      </w:r>
    </w:p>
    <w:p>
      <w:pPr>
        <w:spacing w:after="0" w:line="19" w:lineRule="exact"/>
        <w:rPr>
          <w:sz w:val="24"/>
          <w:szCs w:val="24"/>
          <w:color w:val="auto"/>
        </w:rPr>
      </w:pPr>
    </w:p>
    <w:p>
      <w:pPr>
        <w:spacing w:after="0"/>
        <w:rPr>
          <w:sz w:val="20"/>
          <w:szCs w:val="20"/>
          <w:color w:val="auto"/>
        </w:rPr>
      </w:pPr>
      <w:r>
        <w:rPr>
          <w:rFonts w:ascii="Arial" w:cs="Arial" w:eastAsia="Arial" w:hAnsi="Arial"/>
          <w:sz w:val="11"/>
          <w:szCs w:val="11"/>
          <w:color w:val="auto"/>
        </w:rPr>
        <w:t>TRANSITION REPORT PURSUANT TO SECTION 13 or 15 (d) OF THE SECURITIES EXCHANGE ACT OF 1934</w:t>
      </w:r>
    </w:p>
    <w:p>
      <w:pPr>
        <w:spacing w:after="0" w:line="171" w:lineRule="exact"/>
        <w:rPr>
          <w:sz w:val="24"/>
          <w:szCs w:val="24"/>
          <w:color w:val="auto"/>
        </w:rPr>
      </w:pPr>
    </w:p>
    <w:p>
      <w:pPr>
        <w:sectPr>
          <w:pgSz w:w="11900" w:h="16838" w:orient="portrait"/>
          <w:cols w:equalWidth="0" w:num="2">
            <w:col w:w="480" w:space="260"/>
            <w:col w:w="10720"/>
          </w:cols>
          <w:pgMar w:left="220" w:top="253" w:right="219" w:bottom="1440" w:gutter="0" w:footer="0" w:header="0"/>
          <w:type w:val="continuous"/>
        </w:sectPr>
      </w:pPr>
    </w:p>
    <w:p>
      <w:pPr>
        <w:ind w:left="4380"/>
        <w:spacing w:after="0"/>
        <w:rPr>
          <w:sz w:val="20"/>
          <w:szCs w:val="20"/>
          <w:color w:val="auto"/>
        </w:rPr>
      </w:pPr>
      <w:r>
        <w:rPr>
          <w:rFonts w:ascii="Arial" w:cs="Arial" w:eastAsia="Arial" w:hAnsi="Arial"/>
          <w:sz w:val="11"/>
          <w:szCs w:val="11"/>
          <w:color w:val="auto"/>
        </w:rPr>
        <w:t>For the transition period from __________ to __________</w:t>
      </w: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Commission File No. 1-8061</w:t>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FREQUENCY ELECTRONICS,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(Exact name of Registrant as specified in its charter)</w:t>
      </w:r>
    </w:p>
    <w:p>
      <w:pPr>
        <w:sectPr>
          <w:pgSz w:w="11900" w:h="16838" w:orient="portrait"/>
          <w:cols w:equalWidth="0" w:num="1">
            <w:col w:w="11460"/>
          </w:cols>
          <w:pgMar w:left="220" w:top="253" w:right="219" w:bottom="1440" w:gutter="0" w:footer="0" w:header="0"/>
          <w:type w:val="continuous"/>
        </w:sectPr>
      </w:pPr>
    </w:p>
    <w:p>
      <w:pPr>
        <w:spacing w:after="0" w:line="166" w:lineRule="exact"/>
        <w:rPr>
          <w:sz w:val="24"/>
          <w:szCs w:val="24"/>
          <w:color w:val="auto"/>
        </w:rPr>
      </w:pPr>
    </w:p>
    <w:p>
      <w:pPr>
        <w:ind w:left="2620"/>
        <w:spacing w:after="0"/>
        <w:rPr>
          <w:sz w:val="20"/>
          <w:szCs w:val="20"/>
          <w:color w:val="auto"/>
        </w:rPr>
      </w:pPr>
      <w:r>
        <w:rPr>
          <w:rFonts w:ascii="Arial" w:cs="Arial" w:eastAsia="Arial" w:hAnsi="Arial"/>
          <w:sz w:val="12"/>
          <w:szCs w:val="12"/>
          <w:b w:val="1"/>
          <w:bCs w:val="1"/>
          <w:color w:val="auto"/>
        </w:rPr>
        <w:t>Delaware</w:t>
      </w:r>
    </w:p>
    <w:p>
      <w:pPr>
        <w:spacing w:after="0" w:line="19" w:lineRule="exact"/>
        <w:rPr>
          <w:sz w:val="24"/>
          <w:szCs w:val="24"/>
          <w:color w:val="auto"/>
        </w:rPr>
      </w:pPr>
    </w:p>
    <w:p>
      <w:pPr>
        <w:ind w:left="2160"/>
        <w:spacing w:after="0"/>
        <w:rPr>
          <w:sz w:val="20"/>
          <w:szCs w:val="20"/>
          <w:color w:val="auto"/>
        </w:rPr>
      </w:pPr>
      <w:r>
        <w:rPr>
          <w:rFonts w:ascii="Arial" w:cs="Arial" w:eastAsia="Arial" w:hAnsi="Arial"/>
          <w:sz w:val="11"/>
          <w:szCs w:val="11"/>
          <w:color w:val="auto"/>
        </w:rPr>
        <w:t>(State or other jurisdiction of</w:t>
      </w:r>
    </w:p>
    <w:p>
      <w:pPr>
        <w:spacing w:after="0" w:line="18" w:lineRule="exact"/>
        <w:rPr>
          <w:sz w:val="24"/>
          <w:szCs w:val="24"/>
          <w:color w:val="auto"/>
        </w:rPr>
      </w:pPr>
    </w:p>
    <w:p>
      <w:pPr>
        <w:ind w:left="2140"/>
        <w:spacing w:after="0"/>
        <w:rPr>
          <w:sz w:val="20"/>
          <w:szCs w:val="20"/>
          <w:color w:val="auto"/>
        </w:rPr>
      </w:pPr>
      <w:r>
        <w:rPr>
          <w:rFonts w:ascii="Arial" w:cs="Arial" w:eastAsia="Arial" w:hAnsi="Arial"/>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jc w:val="center"/>
        <w:ind w:right="1980"/>
        <w:spacing w:after="0"/>
        <w:rPr>
          <w:sz w:val="20"/>
          <w:szCs w:val="20"/>
          <w:color w:val="auto"/>
        </w:rPr>
      </w:pPr>
      <w:r>
        <w:rPr>
          <w:rFonts w:ascii="Arial" w:cs="Arial" w:eastAsia="Arial" w:hAnsi="Arial"/>
          <w:sz w:val="12"/>
          <w:szCs w:val="12"/>
          <w:b w:val="1"/>
          <w:bCs w:val="1"/>
          <w:color w:val="auto"/>
        </w:rPr>
        <w:t>11-1986657</w:t>
      </w:r>
    </w:p>
    <w:p>
      <w:pPr>
        <w:spacing w:after="0" w:line="19" w:lineRule="exact"/>
        <w:rPr>
          <w:sz w:val="24"/>
          <w:szCs w:val="24"/>
          <w:color w:val="auto"/>
        </w:rPr>
      </w:pPr>
    </w:p>
    <w:p>
      <w:pPr>
        <w:jc w:val="center"/>
        <w:ind w:right="1980"/>
        <w:spacing w:after="0"/>
        <w:rPr>
          <w:sz w:val="20"/>
          <w:szCs w:val="20"/>
          <w:color w:val="auto"/>
        </w:rPr>
      </w:pPr>
      <w:r>
        <w:rPr>
          <w:rFonts w:ascii="Arial" w:cs="Arial" w:eastAsia="Arial" w:hAnsi="Arial"/>
          <w:sz w:val="11"/>
          <w:szCs w:val="11"/>
          <w:color w:val="auto"/>
        </w:rPr>
        <w:t>(I.R.S. Employer Identification No.)</w:t>
      </w:r>
    </w:p>
    <w:p>
      <w:pPr>
        <w:spacing w:after="0" w:line="293" w:lineRule="exact"/>
        <w:rPr>
          <w:sz w:val="24"/>
          <w:szCs w:val="24"/>
          <w:color w:val="auto"/>
        </w:rPr>
      </w:pPr>
    </w:p>
    <w:p>
      <w:pPr>
        <w:sectPr>
          <w:pgSz w:w="11900" w:h="16838" w:orient="portrait"/>
          <w:cols w:equalWidth="0" w:num="2">
            <w:col w:w="7020" w:space="720"/>
            <w:col w:w="3720"/>
          </w:cols>
          <w:pgMar w:left="220" w:top="253" w:right="219" w:bottom="1440" w:gutter="0" w:footer="0" w:header="0"/>
          <w:type w:val="continuous"/>
        </w:sectPr>
      </w:pPr>
    </w:p>
    <w:p>
      <w:pPr>
        <w:jc w:val="center"/>
        <w:ind w:right="1900"/>
        <w:spacing w:after="0"/>
        <w:rPr>
          <w:sz w:val="20"/>
          <w:szCs w:val="20"/>
          <w:color w:val="auto"/>
        </w:rPr>
      </w:pPr>
      <w:r>
        <w:rPr>
          <w:rFonts w:ascii="Arial" w:cs="Arial" w:eastAsia="Arial" w:hAnsi="Arial"/>
          <w:sz w:val="12"/>
          <w:szCs w:val="12"/>
          <w:b w:val="1"/>
          <w:bCs w:val="1"/>
          <w:color w:val="auto"/>
        </w:rPr>
        <w:t>55 CHARLES LINDBERGH BLVD., MITCHEL FIELD, N.Y.</w:t>
      </w:r>
    </w:p>
    <w:p>
      <w:pPr>
        <w:spacing w:after="0" w:line="19" w:lineRule="exact"/>
        <w:rPr>
          <w:sz w:val="24"/>
          <w:szCs w:val="24"/>
          <w:color w:val="auto"/>
        </w:rPr>
      </w:pPr>
    </w:p>
    <w:p>
      <w:pPr>
        <w:jc w:val="center"/>
        <w:ind w:right="1900"/>
        <w:spacing w:after="0"/>
        <w:rPr>
          <w:sz w:val="20"/>
          <w:szCs w:val="20"/>
          <w:color w:val="auto"/>
        </w:rPr>
      </w:pPr>
      <w:r>
        <w:rPr>
          <w:rFonts w:ascii="Arial" w:cs="Arial" w:eastAsia="Arial" w:hAnsi="Arial"/>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580"/>
        <w:spacing w:after="0"/>
        <w:rPr>
          <w:sz w:val="20"/>
          <w:szCs w:val="20"/>
          <w:color w:val="auto"/>
        </w:rPr>
      </w:pPr>
      <w:r>
        <w:rPr>
          <w:rFonts w:ascii="Arial" w:cs="Arial" w:eastAsia="Arial" w:hAnsi="Arial"/>
          <w:sz w:val="12"/>
          <w:szCs w:val="12"/>
          <w:b w:val="1"/>
          <w:bCs w:val="1"/>
          <w:color w:val="auto"/>
        </w:rPr>
        <w:t>11553</w:t>
      </w:r>
    </w:p>
    <w:p>
      <w:pPr>
        <w:spacing w:after="0" w:line="19" w:lineRule="exact"/>
        <w:rPr>
          <w:sz w:val="24"/>
          <w:szCs w:val="24"/>
          <w:color w:val="auto"/>
        </w:rPr>
      </w:pPr>
    </w:p>
    <w:p>
      <w:pPr>
        <w:jc w:val="center"/>
        <w:ind w:right="2580"/>
        <w:spacing w:after="0"/>
        <w:rPr>
          <w:sz w:val="20"/>
          <w:szCs w:val="20"/>
          <w:color w:val="auto"/>
        </w:rPr>
      </w:pPr>
      <w:r>
        <w:rPr>
          <w:rFonts w:ascii="Arial" w:cs="Arial" w:eastAsia="Arial" w:hAnsi="Arial"/>
          <w:sz w:val="11"/>
          <w:szCs w:val="11"/>
          <w:color w:val="auto"/>
        </w:rPr>
        <w:t>(Zip Code)</w:t>
      </w:r>
    </w:p>
    <w:p>
      <w:pPr>
        <w:spacing w:after="0" w:line="166" w:lineRule="exact"/>
        <w:rPr>
          <w:sz w:val="24"/>
          <w:szCs w:val="24"/>
          <w:color w:val="auto"/>
        </w:rPr>
      </w:pPr>
    </w:p>
    <w:p>
      <w:pPr>
        <w:sectPr>
          <w:pgSz w:w="11900" w:h="16838" w:orient="portrait"/>
          <w:cols w:equalWidth="0" w:num="2">
            <w:col w:w="7620" w:space="720"/>
            <w:col w:w="3120"/>
          </w:cols>
          <w:pgMar w:left="220" w:top="253" w:right="219" w:bottom="1440" w:gutter="0" w:footer="0" w:header="0"/>
          <w:type w:val="continuous"/>
        </w:sectPr>
      </w:pPr>
    </w:p>
    <w:p>
      <w:pPr>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516-794-4500</w:t>
      </w:r>
    </w:p>
    <w:p>
      <w:pPr>
        <w:spacing w:after="0" w:line="172" w:lineRule="exact"/>
        <w:rPr>
          <w:sz w:val="24"/>
          <w:szCs w:val="24"/>
          <w:color w:val="auto"/>
        </w:rPr>
      </w:pPr>
    </w:p>
    <w:p>
      <w:pPr>
        <w:spacing w:after="0" w:line="276"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o</w:t>
      </w:r>
    </w:p>
    <w:p>
      <w:pPr>
        <w:spacing w:after="0" w:line="133"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80" w:lineRule="exact"/>
        <w:rPr>
          <w:sz w:val="24"/>
          <w:szCs w:val="24"/>
          <w:color w:val="auto"/>
        </w:rPr>
      </w:pPr>
    </w:p>
    <w:p>
      <w:pPr>
        <w:ind w:left="20"/>
        <w:spacing w:after="0"/>
        <w:tabs>
          <w:tab w:leader="none" w:pos="2860" w:val="left"/>
          <w:tab w:leader="none" w:pos="5740" w:val="left"/>
          <w:tab w:leader="none" w:pos="8620" w:val="left"/>
        </w:tabs>
        <w:rPr>
          <w:sz w:val="20"/>
          <w:szCs w:val="20"/>
          <w:color w:val="auto"/>
        </w:rPr>
      </w:pPr>
      <w:r>
        <w:rPr>
          <w:rFonts w:ascii="Arial" w:cs="Arial" w:eastAsia="Arial" w:hAnsi="Arial"/>
          <w:sz w:val="12"/>
          <w:szCs w:val="12"/>
          <w:color w:val="auto"/>
        </w:rPr>
        <w:t>Large accelerated filer o</w:t>
      </w:r>
      <w:r>
        <w:rPr>
          <w:sz w:val="20"/>
          <w:szCs w:val="20"/>
          <w:color w:val="auto"/>
        </w:rPr>
        <w:tab/>
      </w:r>
      <w:r>
        <w:rPr>
          <w:rFonts w:ascii="Arial" w:cs="Arial" w:eastAsia="Arial" w:hAnsi="Arial"/>
          <w:sz w:val="12"/>
          <w:szCs w:val="12"/>
          <w:color w:val="auto"/>
        </w:rPr>
        <w:t>Accelerated filer o</w:t>
      </w:r>
      <w:r>
        <w:rPr>
          <w:sz w:val="20"/>
          <w:szCs w:val="20"/>
          <w:color w:val="auto"/>
        </w:rPr>
        <w:tab/>
      </w:r>
      <w:r>
        <w:rPr>
          <w:rFonts w:ascii="Arial" w:cs="Arial" w:eastAsia="Arial" w:hAnsi="Arial"/>
          <w:sz w:val="12"/>
          <w:szCs w:val="12"/>
          <w:color w:val="auto"/>
        </w:rPr>
        <w:t>Non-accelerated filer o</w:t>
      </w:r>
      <w:r>
        <w:rPr>
          <w:sz w:val="20"/>
          <w:szCs w:val="20"/>
          <w:color w:val="auto"/>
        </w:rPr>
        <w:tab/>
      </w:r>
      <w:r>
        <w:rPr>
          <w:rFonts w:ascii="Arial" w:cs="Arial" w:eastAsia="Arial" w:hAnsi="Arial"/>
          <w:sz w:val="11"/>
          <w:szCs w:val="11"/>
          <w:color w:val="auto"/>
        </w:rPr>
        <w:t>Smaller Reporting Company x</w:t>
      </w:r>
    </w:p>
    <w:p>
      <w:pPr>
        <w:spacing w:after="0" w:line="168"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p>
    <w:p>
      <w:pPr>
        <w:spacing w:after="0" w:line="168" w:lineRule="exact"/>
        <w:rPr>
          <w:sz w:val="24"/>
          <w:szCs w:val="24"/>
          <w:color w:val="auto"/>
        </w:rPr>
      </w:pPr>
    </w:p>
    <w:p>
      <w:pPr>
        <w:ind w:left="200"/>
        <w:spacing w:after="0"/>
        <w:tabs>
          <w:tab w:leader="none" w:pos="720" w:val="left"/>
        </w:tabs>
        <w:rPr>
          <w:sz w:val="20"/>
          <w:szCs w:val="20"/>
          <w:color w:val="auto"/>
        </w:rPr>
      </w:pPr>
      <w:r>
        <w:rPr>
          <w:rFonts w:ascii="Arial" w:cs="Arial" w:eastAsia="Arial" w:hAnsi="Arial"/>
          <w:sz w:val="12"/>
          <w:szCs w:val="12"/>
          <w:color w:val="auto"/>
        </w:rPr>
        <w:t>Yes o</w:t>
      </w:r>
      <w:r>
        <w:rPr>
          <w:sz w:val="20"/>
          <w:szCs w:val="20"/>
          <w:color w:val="auto"/>
        </w:rPr>
        <w:tab/>
      </w:r>
      <w:r>
        <w:rPr>
          <w:rFonts w:ascii="Arial" w:cs="Arial" w:eastAsia="Arial" w:hAnsi="Arial"/>
          <w:sz w:val="11"/>
          <w:szCs w:val="11"/>
          <w:color w:val="auto"/>
        </w:rPr>
        <w:t>No x</w:t>
      </w:r>
    </w:p>
    <w:p>
      <w:pPr>
        <w:spacing w:after="0" w:line="168" w:lineRule="exact"/>
        <w:rPr>
          <w:sz w:val="24"/>
          <w:szCs w:val="24"/>
          <w:color w:val="auto"/>
        </w:rPr>
      </w:pPr>
    </w:p>
    <w:p>
      <w:pPr>
        <w:ind w:left="4460"/>
        <w:spacing w:after="0"/>
        <w:rPr>
          <w:sz w:val="20"/>
          <w:szCs w:val="20"/>
          <w:color w:val="auto"/>
        </w:rPr>
      </w:pPr>
      <w:r>
        <w:rPr>
          <w:rFonts w:ascii="Arial" w:cs="Arial" w:eastAsia="Arial" w:hAnsi="Arial"/>
          <w:sz w:val="12"/>
          <w:szCs w:val="12"/>
          <w:color w:val="auto"/>
        </w:rPr>
        <w:t>APPLICABLE ONLY TO CORPORATE ISSUERS:</w:t>
      </w:r>
    </w:p>
    <w:p>
      <w:pPr>
        <w:spacing w:after="0" w:line="168" w:lineRule="exact"/>
        <w:rPr>
          <w:sz w:val="24"/>
          <w:szCs w:val="24"/>
          <w:color w:val="auto"/>
        </w:rPr>
      </w:pPr>
    </w:p>
    <w:p>
      <w:pPr>
        <w:spacing w:after="0"/>
        <w:rPr>
          <w:sz w:val="20"/>
          <w:szCs w:val="20"/>
          <w:color w:val="auto"/>
        </w:rPr>
      </w:pPr>
      <w:r>
        <w:rPr>
          <w:rFonts w:ascii="Arial" w:cs="Arial" w:eastAsia="Arial" w:hAnsi="Arial"/>
          <w:sz w:val="12"/>
          <w:szCs w:val="12"/>
          <w:color w:val="auto"/>
        </w:rPr>
        <w:t>The number of shares outstanding of Registrant's Common Stock, par value $1.00 as of March 10, 2009 – 8,105,628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299325" cy="32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9325" cy="3238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1 of 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253"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7580" w:type="dxa"/>
            <w:vAlign w:val="bottom"/>
          </w:tcPr>
          <w:p>
            <w:pPr>
              <w:jc w:val="center"/>
              <w:ind w:right="3860"/>
              <w:spacing w:after="0"/>
              <w:rPr>
                <w:sz w:val="20"/>
                <w:szCs w:val="20"/>
                <w:color w:val="auto"/>
              </w:rPr>
            </w:pPr>
            <w:r>
              <w:rPr>
                <w:rFonts w:ascii="Arial" w:cs="Arial" w:eastAsia="Arial" w:hAnsi="Arial"/>
                <w:sz w:val="12"/>
                <w:szCs w:val="12"/>
                <w:color w:val="auto"/>
                <w:w w:val="94"/>
              </w:rPr>
              <w:t>FREQUENCY ELECTRONICS, INC. and SUBSIDIARIES</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7580" w:type="dxa"/>
            <w:vAlign w:val="bottom"/>
          </w:tcPr>
          <w:p>
            <w:pPr>
              <w:ind w:left="1440"/>
              <w:spacing w:after="0"/>
              <w:rPr>
                <w:sz w:val="20"/>
                <w:szCs w:val="20"/>
                <w:color w:val="auto"/>
              </w:rPr>
            </w:pPr>
            <w:r>
              <w:rPr>
                <w:rFonts w:ascii="Arial" w:cs="Arial" w:eastAsia="Arial" w:hAnsi="Arial"/>
                <w:sz w:val="12"/>
                <w:szCs w:val="12"/>
                <w:color w:val="auto"/>
              </w:rPr>
              <w:t>INDEX</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88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2"/>
                <w:szCs w:val="12"/>
                <w:color w:val="auto"/>
              </w:rPr>
              <w:t>Part I. Financial Information:</w:t>
            </w:r>
          </w:p>
        </w:tc>
        <w:tc>
          <w:tcPr>
            <w:tcW w:w="7580" w:type="dxa"/>
            <w:vAlign w:val="bottom"/>
            <w:shd w:val="clear" w:color="auto" w:fill="CCFFCC"/>
          </w:tcPr>
          <w:p>
            <w:pPr>
              <w:ind w:left="6840"/>
              <w:spacing w:after="0"/>
              <w:rPr>
                <w:sz w:val="20"/>
                <w:szCs w:val="20"/>
                <w:color w:val="auto"/>
              </w:rPr>
            </w:pPr>
            <w:r>
              <w:rPr>
                <w:rFonts w:ascii="Arial" w:cs="Arial" w:eastAsia="Arial" w:hAnsi="Arial"/>
                <w:sz w:val="12"/>
                <w:szCs w:val="12"/>
                <w:color w:val="auto"/>
              </w:rPr>
              <w:t>Page No.</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FFCC"/>
          </w:tcPr>
          <w:p>
            <w:pPr>
              <w:ind w:left="180"/>
              <w:spacing w:after="0"/>
              <w:rPr>
                <w:sz w:val="20"/>
                <w:szCs w:val="20"/>
                <w:color w:val="auto"/>
              </w:rPr>
            </w:pPr>
            <w:r>
              <w:rPr>
                <w:rFonts w:ascii="Arial" w:cs="Arial" w:eastAsia="Arial" w:hAnsi="Arial"/>
                <w:sz w:val="12"/>
                <w:szCs w:val="12"/>
                <w:color w:val="auto"/>
              </w:rPr>
              <w:t>Item 1 - Financial Statements:</w:t>
            </w:r>
          </w:p>
        </w:tc>
        <w:tc>
          <w:tcPr>
            <w:tcW w:w="75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FFCC"/>
          </w:tcPr>
          <w:p>
            <w:pPr>
              <w:ind w:left="400"/>
              <w:spacing w:after="0"/>
              <w:rPr>
                <w:sz w:val="20"/>
                <w:szCs w:val="20"/>
                <w:color w:val="auto"/>
              </w:rPr>
            </w:pPr>
            <w:r>
              <w:rPr>
                <w:rFonts w:ascii="Arial" w:cs="Arial" w:eastAsia="Arial" w:hAnsi="Arial"/>
                <w:sz w:val="12"/>
                <w:szCs w:val="12"/>
                <w:color w:val="auto"/>
              </w:rPr>
              <w:t>Condensed Consolidated Balance Sheets -</w:t>
            </w:r>
          </w:p>
        </w:tc>
        <w:tc>
          <w:tcPr>
            <w:tcW w:w="75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FFCC"/>
          </w:tcPr>
          <w:p>
            <w:pPr>
              <w:ind w:left="520"/>
              <w:spacing w:after="0"/>
              <w:rPr>
                <w:sz w:val="20"/>
                <w:szCs w:val="20"/>
                <w:color w:val="auto"/>
              </w:rPr>
            </w:pPr>
            <w:r>
              <w:rPr>
                <w:rFonts w:ascii="Arial" w:cs="Arial" w:eastAsia="Arial" w:hAnsi="Arial"/>
                <w:sz w:val="12"/>
                <w:szCs w:val="12"/>
                <w:color w:val="auto"/>
              </w:rPr>
              <w:t>January 31, 2009 and April 30, 2008</w:t>
            </w:r>
          </w:p>
        </w:tc>
        <w:tc>
          <w:tcPr>
            <w:tcW w:w="7580" w:type="dxa"/>
            <w:vAlign w:val="bottom"/>
            <w:shd w:val="clear" w:color="auto" w:fill="CCFFCC"/>
          </w:tcPr>
          <w:p>
            <w:pPr>
              <w:jc w:val="center"/>
              <w:ind w:left="6500"/>
              <w:spacing w:after="0"/>
              <w:rPr>
                <w:sz w:val="20"/>
                <w:szCs w:val="20"/>
                <w:color w:val="auto"/>
              </w:rPr>
            </w:pPr>
            <w:r>
              <w:rPr>
                <w:rFonts w:ascii="Arial" w:cs="Arial" w:eastAsia="Arial" w:hAnsi="Arial"/>
                <w:sz w:val="12"/>
                <w:szCs w:val="12"/>
                <w:color w:val="auto"/>
                <w:w w:val="89"/>
              </w:rPr>
              <w:t>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FFCC"/>
          </w:tcPr>
          <w:p>
            <w:pPr>
              <w:ind w:left="400"/>
              <w:spacing w:after="0"/>
              <w:rPr>
                <w:sz w:val="20"/>
                <w:szCs w:val="20"/>
                <w:color w:val="auto"/>
              </w:rPr>
            </w:pPr>
            <w:r>
              <w:rPr>
                <w:rFonts w:ascii="Arial" w:cs="Arial" w:eastAsia="Arial" w:hAnsi="Arial"/>
                <w:sz w:val="12"/>
                <w:szCs w:val="12"/>
                <w:color w:val="auto"/>
              </w:rPr>
              <w:t>Condensed Consolidated Statements of Operations</w:t>
            </w:r>
          </w:p>
        </w:tc>
        <w:tc>
          <w:tcPr>
            <w:tcW w:w="75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FFCC"/>
          </w:tcPr>
          <w:p>
            <w:pPr>
              <w:ind w:left="520"/>
              <w:spacing w:after="0"/>
              <w:rPr>
                <w:sz w:val="20"/>
                <w:szCs w:val="20"/>
                <w:color w:val="auto"/>
              </w:rPr>
            </w:pPr>
            <w:r>
              <w:rPr>
                <w:rFonts w:ascii="Arial" w:cs="Arial" w:eastAsia="Arial" w:hAnsi="Arial"/>
                <w:sz w:val="12"/>
                <w:szCs w:val="12"/>
                <w:color w:val="auto"/>
              </w:rPr>
              <w:t>Nine months Ended January 31, 2009 and 2008</w:t>
            </w:r>
          </w:p>
        </w:tc>
        <w:tc>
          <w:tcPr>
            <w:tcW w:w="7580" w:type="dxa"/>
            <w:vAlign w:val="bottom"/>
            <w:shd w:val="clear" w:color="auto" w:fill="CCFFCC"/>
          </w:tcPr>
          <w:p>
            <w:pPr>
              <w:jc w:val="center"/>
              <w:ind w:left="6500"/>
              <w:spacing w:after="0"/>
              <w:rPr>
                <w:sz w:val="20"/>
                <w:szCs w:val="20"/>
                <w:color w:val="auto"/>
              </w:rPr>
            </w:pPr>
            <w:r>
              <w:rPr>
                <w:rFonts w:ascii="Arial" w:cs="Arial" w:eastAsia="Arial" w:hAnsi="Arial"/>
                <w:sz w:val="12"/>
                <w:szCs w:val="12"/>
                <w:color w:val="auto"/>
                <w:w w:val="89"/>
              </w:rPr>
              <w:t>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FFCC"/>
          </w:tcPr>
          <w:p>
            <w:pPr>
              <w:ind w:left="400"/>
              <w:spacing w:after="0"/>
              <w:rPr>
                <w:sz w:val="20"/>
                <w:szCs w:val="20"/>
                <w:color w:val="auto"/>
              </w:rPr>
            </w:pPr>
            <w:r>
              <w:rPr>
                <w:rFonts w:ascii="Arial" w:cs="Arial" w:eastAsia="Arial" w:hAnsi="Arial"/>
                <w:sz w:val="12"/>
                <w:szCs w:val="12"/>
                <w:color w:val="auto"/>
              </w:rPr>
              <w:t>Condensed Consolidated Statements of Operations</w:t>
            </w:r>
          </w:p>
        </w:tc>
        <w:tc>
          <w:tcPr>
            <w:tcW w:w="75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FFCC"/>
          </w:tcPr>
          <w:p>
            <w:pPr>
              <w:ind w:left="520"/>
              <w:spacing w:after="0"/>
              <w:rPr>
                <w:sz w:val="20"/>
                <w:szCs w:val="20"/>
                <w:color w:val="auto"/>
              </w:rPr>
            </w:pPr>
            <w:r>
              <w:rPr>
                <w:rFonts w:ascii="Arial" w:cs="Arial" w:eastAsia="Arial" w:hAnsi="Arial"/>
                <w:sz w:val="12"/>
                <w:szCs w:val="12"/>
                <w:color w:val="auto"/>
              </w:rPr>
              <w:t>Three Months Ended January 31, 2009 and 2008</w:t>
            </w:r>
          </w:p>
        </w:tc>
        <w:tc>
          <w:tcPr>
            <w:tcW w:w="7580" w:type="dxa"/>
            <w:vAlign w:val="bottom"/>
            <w:shd w:val="clear" w:color="auto" w:fill="CCFFCC"/>
          </w:tcPr>
          <w:p>
            <w:pPr>
              <w:jc w:val="center"/>
              <w:ind w:left="6500"/>
              <w:spacing w:after="0"/>
              <w:rPr>
                <w:sz w:val="20"/>
                <w:szCs w:val="20"/>
                <w:color w:val="auto"/>
              </w:rPr>
            </w:pPr>
            <w:r>
              <w:rPr>
                <w:rFonts w:ascii="Arial" w:cs="Arial" w:eastAsia="Arial" w:hAnsi="Arial"/>
                <w:sz w:val="12"/>
                <w:szCs w:val="12"/>
                <w:color w:val="auto"/>
                <w:w w:val="89"/>
              </w:rPr>
              <w:t>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FFCC"/>
          </w:tcPr>
          <w:p>
            <w:pPr>
              <w:ind w:left="400"/>
              <w:spacing w:after="0"/>
              <w:rPr>
                <w:sz w:val="20"/>
                <w:szCs w:val="20"/>
                <w:color w:val="auto"/>
              </w:rPr>
            </w:pPr>
            <w:r>
              <w:rPr>
                <w:rFonts w:ascii="Arial" w:cs="Arial" w:eastAsia="Arial" w:hAnsi="Arial"/>
                <w:sz w:val="12"/>
                <w:szCs w:val="12"/>
                <w:color w:val="auto"/>
              </w:rPr>
              <w:t>Condensed Consolidated Statements of Cash Flows</w:t>
            </w:r>
          </w:p>
        </w:tc>
        <w:tc>
          <w:tcPr>
            <w:tcW w:w="75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FFCC"/>
          </w:tcPr>
          <w:p>
            <w:pPr>
              <w:ind w:left="520"/>
              <w:spacing w:after="0"/>
              <w:rPr>
                <w:sz w:val="20"/>
                <w:szCs w:val="20"/>
                <w:color w:val="auto"/>
              </w:rPr>
            </w:pPr>
            <w:r>
              <w:rPr>
                <w:rFonts w:ascii="Arial" w:cs="Arial" w:eastAsia="Arial" w:hAnsi="Arial"/>
                <w:sz w:val="12"/>
                <w:szCs w:val="12"/>
                <w:color w:val="auto"/>
              </w:rPr>
              <w:t>Nine months Ended January 31, 2009 and 2008</w:t>
            </w:r>
          </w:p>
        </w:tc>
        <w:tc>
          <w:tcPr>
            <w:tcW w:w="7580" w:type="dxa"/>
            <w:vAlign w:val="bottom"/>
            <w:shd w:val="clear" w:color="auto" w:fill="CCFFCC"/>
          </w:tcPr>
          <w:p>
            <w:pPr>
              <w:jc w:val="center"/>
              <w:ind w:left="6500"/>
              <w:spacing w:after="0"/>
              <w:rPr>
                <w:sz w:val="20"/>
                <w:szCs w:val="20"/>
                <w:color w:val="auto"/>
              </w:rPr>
            </w:pPr>
            <w:r>
              <w:rPr>
                <w:rFonts w:ascii="Arial" w:cs="Arial" w:eastAsia="Arial" w:hAnsi="Arial"/>
                <w:sz w:val="12"/>
                <w:szCs w:val="12"/>
                <w:color w:val="auto"/>
                <w:w w:val="89"/>
              </w:rPr>
              <w:t>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FFCC"/>
          </w:tcPr>
          <w:p>
            <w:pPr>
              <w:ind w:left="400"/>
              <w:spacing w:after="0"/>
              <w:rPr>
                <w:sz w:val="20"/>
                <w:szCs w:val="20"/>
                <w:color w:val="auto"/>
              </w:rPr>
            </w:pPr>
            <w:r>
              <w:rPr>
                <w:rFonts w:ascii="Arial" w:cs="Arial" w:eastAsia="Arial" w:hAnsi="Arial"/>
                <w:sz w:val="12"/>
                <w:szCs w:val="12"/>
                <w:color w:val="auto"/>
              </w:rPr>
              <w:t>Notes to Condensed Consolidated Financial Statements</w:t>
            </w:r>
          </w:p>
        </w:tc>
        <w:tc>
          <w:tcPr>
            <w:tcW w:w="7580" w:type="dxa"/>
            <w:vAlign w:val="bottom"/>
            <w:shd w:val="clear" w:color="auto" w:fill="CCFFCC"/>
          </w:tcPr>
          <w:p>
            <w:pPr>
              <w:jc w:val="center"/>
              <w:ind w:left="6500"/>
              <w:spacing w:after="0"/>
              <w:rPr>
                <w:sz w:val="20"/>
                <w:szCs w:val="20"/>
                <w:color w:val="auto"/>
              </w:rPr>
            </w:pPr>
            <w:r>
              <w:rPr>
                <w:rFonts w:ascii="Arial" w:cs="Arial" w:eastAsia="Arial" w:hAnsi="Arial"/>
                <w:sz w:val="12"/>
                <w:szCs w:val="12"/>
                <w:color w:val="auto"/>
                <w:w w:val="91"/>
              </w:rPr>
              <w:t>7-11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FFCC"/>
          </w:tcPr>
          <w:p>
            <w:pPr>
              <w:ind w:left="180"/>
              <w:spacing w:after="0"/>
              <w:rPr>
                <w:sz w:val="20"/>
                <w:szCs w:val="20"/>
                <w:color w:val="auto"/>
              </w:rPr>
            </w:pPr>
            <w:r>
              <w:rPr>
                <w:rFonts w:ascii="Arial" w:cs="Arial" w:eastAsia="Arial" w:hAnsi="Arial"/>
                <w:sz w:val="12"/>
                <w:szCs w:val="12"/>
                <w:color w:val="auto"/>
              </w:rPr>
              <w:t>Item 2 - Management's Discussion and Analysis of</w:t>
            </w:r>
          </w:p>
        </w:tc>
        <w:tc>
          <w:tcPr>
            <w:tcW w:w="75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FFCC"/>
          </w:tcPr>
          <w:p>
            <w:pPr>
              <w:ind w:left="520"/>
              <w:spacing w:after="0"/>
              <w:rPr>
                <w:sz w:val="20"/>
                <w:szCs w:val="20"/>
                <w:color w:val="auto"/>
              </w:rPr>
            </w:pPr>
            <w:r>
              <w:rPr>
                <w:rFonts w:ascii="Arial" w:cs="Arial" w:eastAsia="Arial" w:hAnsi="Arial"/>
                <w:sz w:val="12"/>
                <w:szCs w:val="12"/>
                <w:color w:val="auto"/>
              </w:rPr>
              <w:t>Financial Condition and Results of Operations</w:t>
            </w:r>
          </w:p>
        </w:tc>
        <w:tc>
          <w:tcPr>
            <w:tcW w:w="7580" w:type="dxa"/>
            <w:vAlign w:val="bottom"/>
            <w:shd w:val="clear" w:color="auto" w:fill="CCFFCC"/>
          </w:tcPr>
          <w:p>
            <w:pPr>
              <w:jc w:val="center"/>
              <w:ind w:left="6480"/>
              <w:spacing w:after="0"/>
              <w:rPr>
                <w:sz w:val="20"/>
                <w:szCs w:val="20"/>
                <w:color w:val="auto"/>
              </w:rPr>
            </w:pPr>
            <w:r>
              <w:rPr>
                <w:rFonts w:ascii="Arial" w:cs="Arial" w:eastAsia="Arial" w:hAnsi="Arial"/>
                <w:sz w:val="12"/>
                <w:szCs w:val="12"/>
                <w:color w:val="auto"/>
                <w:w w:val="91"/>
              </w:rPr>
              <w:t>11-16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FFCC"/>
          </w:tcPr>
          <w:p>
            <w:pPr>
              <w:ind w:left="180"/>
              <w:spacing w:after="0"/>
              <w:rPr>
                <w:sz w:val="20"/>
                <w:szCs w:val="20"/>
                <w:color w:val="auto"/>
              </w:rPr>
            </w:pPr>
            <w:r>
              <w:rPr>
                <w:rFonts w:ascii="Arial" w:cs="Arial" w:eastAsia="Arial" w:hAnsi="Arial"/>
                <w:sz w:val="12"/>
                <w:szCs w:val="12"/>
                <w:color w:val="auto"/>
              </w:rPr>
              <w:t>Item 4T- Controls and Procedures</w:t>
            </w:r>
          </w:p>
        </w:tc>
        <w:tc>
          <w:tcPr>
            <w:tcW w:w="7580" w:type="dxa"/>
            <w:vAlign w:val="bottom"/>
            <w:shd w:val="clear" w:color="auto" w:fill="CCFFCC"/>
          </w:tcPr>
          <w:p>
            <w:pPr>
              <w:jc w:val="center"/>
              <w:ind w:left="6480"/>
              <w:spacing w:after="0"/>
              <w:rPr>
                <w:sz w:val="20"/>
                <w:szCs w:val="20"/>
                <w:color w:val="auto"/>
              </w:rPr>
            </w:pPr>
            <w:r>
              <w:rPr>
                <w:rFonts w:ascii="Arial" w:cs="Arial" w:eastAsia="Arial" w:hAnsi="Arial"/>
                <w:sz w:val="12"/>
                <w:szCs w:val="12"/>
                <w:color w:val="auto"/>
                <w:w w:val="91"/>
              </w:rPr>
              <w:t>17-18</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2"/>
                <w:szCs w:val="12"/>
                <w:color w:val="auto"/>
              </w:rPr>
              <w:t>Part II. Other Information:</w:t>
            </w:r>
          </w:p>
        </w:tc>
        <w:tc>
          <w:tcPr>
            <w:tcW w:w="75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FFCC"/>
          </w:tcPr>
          <w:p>
            <w:pPr>
              <w:ind w:left="180"/>
              <w:spacing w:after="0"/>
              <w:rPr>
                <w:sz w:val="20"/>
                <w:szCs w:val="20"/>
                <w:color w:val="auto"/>
              </w:rPr>
            </w:pPr>
            <w:r>
              <w:rPr>
                <w:rFonts w:ascii="Arial" w:cs="Arial" w:eastAsia="Arial" w:hAnsi="Arial"/>
                <w:sz w:val="12"/>
                <w:szCs w:val="12"/>
                <w:color w:val="auto"/>
                <w:w w:val="99"/>
              </w:rPr>
              <w:t>Items 1, 1A, 2, 3, 4 and 5 are omitted because they are not applicable</w:t>
            </w:r>
          </w:p>
        </w:tc>
        <w:tc>
          <w:tcPr>
            <w:tcW w:w="75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FFCC"/>
          </w:tcPr>
          <w:p>
            <w:pPr>
              <w:ind w:left="180"/>
              <w:spacing w:after="0"/>
              <w:rPr>
                <w:sz w:val="20"/>
                <w:szCs w:val="20"/>
                <w:color w:val="auto"/>
              </w:rPr>
            </w:pPr>
            <w:r>
              <w:rPr>
                <w:rFonts w:ascii="Arial" w:cs="Arial" w:eastAsia="Arial" w:hAnsi="Arial"/>
                <w:sz w:val="12"/>
                <w:szCs w:val="12"/>
                <w:color w:val="auto"/>
              </w:rPr>
              <w:t>Item 6 - Exhibits</w:t>
            </w:r>
          </w:p>
        </w:tc>
        <w:tc>
          <w:tcPr>
            <w:tcW w:w="7580" w:type="dxa"/>
            <w:vAlign w:val="bottom"/>
            <w:shd w:val="clear" w:color="auto" w:fill="CCFFCC"/>
          </w:tcPr>
          <w:p>
            <w:pPr>
              <w:jc w:val="center"/>
              <w:ind w:left="6480"/>
              <w:spacing w:after="0"/>
              <w:rPr>
                <w:sz w:val="20"/>
                <w:szCs w:val="20"/>
                <w:color w:val="auto"/>
              </w:rPr>
            </w:pPr>
            <w:r>
              <w:rPr>
                <w:rFonts w:ascii="Arial" w:cs="Arial" w:eastAsia="Arial" w:hAnsi="Arial"/>
                <w:sz w:val="12"/>
                <w:szCs w:val="12"/>
                <w:color w:val="auto"/>
                <w:w w:val="89"/>
              </w:rPr>
              <w:t>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FFCC"/>
          </w:tcPr>
          <w:p>
            <w:pPr>
              <w:ind w:left="180"/>
              <w:spacing w:after="0"/>
              <w:rPr>
                <w:sz w:val="20"/>
                <w:szCs w:val="20"/>
                <w:color w:val="auto"/>
              </w:rPr>
            </w:pPr>
            <w:r>
              <w:rPr>
                <w:rFonts w:ascii="Arial" w:cs="Arial" w:eastAsia="Arial" w:hAnsi="Arial"/>
                <w:sz w:val="12"/>
                <w:szCs w:val="12"/>
                <w:color w:val="auto"/>
              </w:rPr>
              <w:t>Signatures</w:t>
            </w:r>
          </w:p>
        </w:tc>
        <w:tc>
          <w:tcPr>
            <w:tcW w:w="7580" w:type="dxa"/>
            <w:vAlign w:val="bottom"/>
            <w:shd w:val="clear" w:color="auto" w:fill="CCFFCC"/>
          </w:tcPr>
          <w:p>
            <w:pPr>
              <w:jc w:val="center"/>
              <w:ind w:left="6480"/>
              <w:spacing w:after="0"/>
              <w:rPr>
                <w:sz w:val="20"/>
                <w:szCs w:val="20"/>
                <w:color w:val="auto"/>
              </w:rPr>
            </w:pPr>
            <w:r>
              <w:rPr>
                <w:rFonts w:ascii="Arial" w:cs="Arial" w:eastAsia="Arial" w:hAnsi="Arial"/>
                <w:sz w:val="12"/>
                <w:szCs w:val="12"/>
                <w:color w:val="auto"/>
                <w:w w:val="89"/>
              </w:rPr>
              <w:t>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FFCC"/>
          </w:tcPr>
          <w:p>
            <w:pPr>
              <w:ind w:left="180"/>
              <w:spacing w:after="0"/>
              <w:rPr>
                <w:sz w:val="20"/>
                <w:szCs w:val="20"/>
                <w:color w:val="auto"/>
              </w:rPr>
            </w:pPr>
            <w:r>
              <w:rPr>
                <w:rFonts w:ascii="Arial" w:cs="Arial" w:eastAsia="Arial" w:hAnsi="Arial"/>
                <w:sz w:val="12"/>
                <w:szCs w:val="12"/>
                <w:color w:val="auto"/>
              </w:rPr>
              <w:t>Exhibits</w:t>
            </w:r>
          </w:p>
        </w:tc>
        <w:tc>
          <w:tcPr>
            <w:tcW w:w="7580" w:type="dxa"/>
            <w:vAlign w:val="bottom"/>
            <w:shd w:val="clear" w:color="auto" w:fill="CCFFCC"/>
          </w:tcPr>
          <w:p>
            <w:pPr>
              <w:jc w:val="center"/>
              <w:ind w:left="6480"/>
              <w:spacing w:after="0"/>
              <w:rPr>
                <w:sz w:val="20"/>
                <w:szCs w:val="20"/>
                <w:color w:val="auto"/>
              </w:rPr>
            </w:pPr>
            <w:r>
              <w:rPr>
                <w:rFonts w:ascii="Arial" w:cs="Arial" w:eastAsia="Arial" w:hAnsi="Arial"/>
                <w:sz w:val="12"/>
                <w:szCs w:val="12"/>
                <w:color w:val="auto"/>
                <w:w w:val="91"/>
              </w:rPr>
              <w:t>20-23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7580" w:type="dxa"/>
            <w:vAlign w:val="bottom"/>
          </w:tcPr>
          <w:p>
            <w:pPr>
              <w:jc w:val="center"/>
              <w:ind w:right="3860"/>
              <w:spacing w:after="0"/>
              <w:rPr>
                <w:sz w:val="20"/>
                <w:szCs w:val="20"/>
                <w:color w:val="auto"/>
              </w:rPr>
            </w:pPr>
            <w:r>
              <w:rPr>
                <w:rFonts w:ascii="Arial" w:cs="Arial" w:eastAsia="Arial" w:hAnsi="Arial"/>
                <w:sz w:val="12"/>
                <w:szCs w:val="12"/>
                <w:color w:val="auto"/>
                <w:w w:val="92"/>
              </w:rPr>
              <w:t>2 of 19</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880" w:type="dxa"/>
            <w:vAlign w:val="bottom"/>
            <w:tcBorders>
              <w:bottom w:val="single" w:sz="8" w:color="808080"/>
            </w:tcBorders>
          </w:tcPr>
          <w:p>
            <w:pPr>
              <w:spacing w:after="0"/>
              <w:rPr>
                <w:sz w:val="5"/>
                <w:szCs w:val="5"/>
                <w:color w:val="auto"/>
              </w:rPr>
            </w:pPr>
          </w:p>
        </w:tc>
        <w:tc>
          <w:tcPr>
            <w:tcW w:w="75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3"/>
        </w:trPr>
        <w:tc>
          <w:tcPr>
            <w:tcW w:w="3640" w:type="dxa"/>
            <w:vAlign w:val="bottom"/>
          </w:tcPr>
          <w:p>
            <w:pPr>
              <w:spacing w:after="0"/>
              <w:rPr>
                <w:sz w:val="13"/>
                <w:szCs w:val="13"/>
                <w:color w:val="auto"/>
              </w:rPr>
            </w:pPr>
          </w:p>
        </w:tc>
        <w:tc>
          <w:tcPr>
            <w:tcW w:w="4720" w:type="dxa"/>
            <w:vAlign w:val="bottom"/>
            <w:gridSpan w:val="2"/>
          </w:tcPr>
          <w:p>
            <w:pPr>
              <w:jc w:val="center"/>
              <w:ind w:right="540"/>
              <w:spacing w:after="0"/>
              <w:rPr>
                <w:sz w:val="20"/>
                <w:szCs w:val="20"/>
                <w:color w:val="auto"/>
              </w:rPr>
            </w:pPr>
            <w:r>
              <w:rPr>
                <w:rFonts w:ascii="Arial" w:cs="Arial" w:eastAsia="Arial" w:hAnsi="Arial"/>
                <w:sz w:val="12"/>
                <w:szCs w:val="12"/>
                <w:color w:val="auto"/>
                <w:w w:val="94"/>
              </w:rPr>
              <w:t>FREQUENCY ELECTRONICS, INC. and SUBSIDIARIES</w:t>
            </w: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3640" w:type="dxa"/>
            <w:vAlign w:val="bottom"/>
          </w:tcPr>
          <w:p>
            <w:pPr>
              <w:spacing w:after="0"/>
              <w:rPr>
                <w:sz w:val="24"/>
                <w:szCs w:val="24"/>
                <w:color w:val="auto"/>
              </w:rPr>
            </w:pPr>
          </w:p>
        </w:tc>
        <w:tc>
          <w:tcPr>
            <w:tcW w:w="4720" w:type="dxa"/>
            <w:vAlign w:val="bottom"/>
            <w:gridSpan w:val="2"/>
          </w:tcPr>
          <w:p>
            <w:pPr>
              <w:jc w:val="center"/>
              <w:ind w:right="520"/>
              <w:spacing w:after="0"/>
              <w:rPr>
                <w:sz w:val="20"/>
                <w:szCs w:val="20"/>
                <w:color w:val="auto"/>
              </w:rPr>
            </w:pPr>
            <w:r>
              <w:rPr>
                <w:rFonts w:ascii="Arial" w:cs="Arial" w:eastAsia="Arial" w:hAnsi="Arial"/>
                <w:sz w:val="12"/>
                <w:szCs w:val="12"/>
                <w:color w:val="auto"/>
                <w:w w:val="88"/>
              </w:rPr>
              <w:t>Condensed Consolidated Balance Sheets</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640" w:type="dxa"/>
            <w:vAlign w:val="bottom"/>
          </w:tcPr>
          <w:p>
            <w:pPr>
              <w:spacing w:after="0"/>
              <w:rPr>
                <w:sz w:val="13"/>
                <w:szCs w:val="13"/>
                <w:color w:val="auto"/>
              </w:rPr>
            </w:pPr>
          </w:p>
        </w:tc>
        <w:tc>
          <w:tcPr>
            <w:tcW w:w="4520" w:type="dxa"/>
            <w:vAlign w:val="bottom"/>
          </w:tcPr>
          <w:p>
            <w:pPr>
              <w:jc w:val="center"/>
              <w:ind w:right="260"/>
              <w:spacing w:after="0"/>
              <w:rPr>
                <w:sz w:val="20"/>
                <w:szCs w:val="20"/>
                <w:color w:val="auto"/>
              </w:rPr>
            </w:pPr>
            <w:r>
              <w:rPr>
                <w:rFonts w:ascii="Arial" w:cs="Arial" w:eastAsia="Arial" w:hAnsi="Arial"/>
                <w:sz w:val="12"/>
                <w:szCs w:val="12"/>
                <w:color w:val="auto"/>
                <w:w w:val="89"/>
              </w:rPr>
              <w:t>__________________________</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36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2"/>
                <w:szCs w:val="12"/>
                <w:color w:val="auto"/>
                <w:w w:val="89"/>
              </w:rPr>
              <w:t>January 31,</w:t>
            </w:r>
          </w:p>
        </w:tc>
        <w:tc>
          <w:tcPr>
            <w:tcW w:w="260" w:type="dxa"/>
            <w:vAlign w:val="bottom"/>
          </w:tcPr>
          <w:p>
            <w:pPr>
              <w:spacing w:after="0"/>
              <w:rPr>
                <w:sz w:val="24"/>
                <w:szCs w:val="2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2"/>
                <w:szCs w:val="12"/>
                <w:color w:val="auto"/>
                <w:w w:val="99"/>
              </w:rPr>
              <w:t>April 30,</w:t>
            </w:r>
          </w:p>
        </w:tc>
        <w:tc>
          <w:tcPr>
            <w:tcW w:w="0" w:type="dxa"/>
            <w:vAlign w:val="bottom"/>
          </w:tcPr>
          <w:p>
            <w:pPr>
              <w:spacing w:after="0"/>
              <w:rPr>
                <w:sz w:val="1"/>
                <w:szCs w:val="1"/>
                <w:color w:val="auto"/>
              </w:rPr>
            </w:pPr>
          </w:p>
        </w:tc>
      </w:tr>
      <w:tr>
        <w:trPr>
          <w:trHeight w:val="153"/>
        </w:trPr>
        <w:tc>
          <w:tcPr>
            <w:tcW w:w="364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color w:val="auto"/>
                <w:w w:val="89"/>
              </w:rPr>
              <w:t>2009</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00"/>
              <w:spacing w:after="0"/>
              <w:rPr>
                <w:sz w:val="20"/>
                <w:szCs w:val="20"/>
                <w:color w:val="auto"/>
              </w:rPr>
            </w:pPr>
            <w:r>
              <w:rPr>
                <w:rFonts w:ascii="Arial" w:cs="Arial" w:eastAsia="Arial" w:hAnsi="Arial"/>
                <w:sz w:val="12"/>
                <w:szCs w:val="12"/>
                <w:color w:val="auto"/>
                <w:w w:val="89"/>
              </w:rPr>
              <w:t>2008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64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jc w:val="center"/>
              <w:ind w:right="140"/>
              <w:spacing w:after="0" w:line="133" w:lineRule="exact"/>
              <w:rPr>
                <w:sz w:val="20"/>
                <w:szCs w:val="20"/>
                <w:color w:val="auto"/>
              </w:rPr>
            </w:pPr>
            <w:r>
              <w:rPr>
                <w:rFonts w:ascii="Arial" w:cs="Arial" w:eastAsia="Arial" w:hAnsi="Arial"/>
                <w:sz w:val="12"/>
                <w:szCs w:val="12"/>
                <w:color w:val="auto"/>
                <w:w w:val="99"/>
              </w:rPr>
              <w:t>(UNAUDITED)</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center"/>
              <w:ind w:right="180"/>
              <w:spacing w:after="0" w:line="133" w:lineRule="exact"/>
              <w:rPr>
                <w:sz w:val="20"/>
                <w:szCs w:val="20"/>
                <w:color w:val="auto"/>
              </w:rPr>
            </w:pPr>
            <w:r>
              <w:rPr>
                <w:rFonts w:ascii="Arial" w:cs="Arial" w:eastAsia="Arial" w:hAnsi="Arial"/>
                <w:sz w:val="12"/>
                <w:szCs w:val="12"/>
                <w:color w:val="auto"/>
              </w:rPr>
              <w:t>(AUDITED)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6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2"/>
                <w:szCs w:val="12"/>
                <w:color w:val="auto"/>
                <w:w w:val="98"/>
              </w:rPr>
              <w:t>(NOTE A)</w:t>
            </w:r>
          </w:p>
        </w:tc>
        <w:tc>
          <w:tcPr>
            <w:tcW w:w="0" w:type="dxa"/>
            <w:vAlign w:val="bottom"/>
          </w:tcPr>
          <w:p>
            <w:pPr>
              <w:spacing w:after="0"/>
              <w:rPr>
                <w:sz w:val="1"/>
                <w:szCs w:val="1"/>
                <w:color w:val="auto"/>
              </w:rPr>
            </w:pPr>
          </w:p>
        </w:tc>
      </w:tr>
      <w:tr>
        <w:trPr>
          <w:trHeight w:val="153"/>
        </w:trPr>
        <w:tc>
          <w:tcPr>
            <w:tcW w:w="3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ASSETS:</w:t>
            </w:r>
          </w:p>
        </w:tc>
        <w:tc>
          <w:tcPr>
            <w:tcW w:w="4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20" w:type="dxa"/>
            <w:vAlign w:val="bottom"/>
            <w:gridSpan w:val="5"/>
          </w:tcPr>
          <w:p>
            <w:pPr>
              <w:jc w:val="right"/>
              <w:ind w:right="940"/>
              <w:spacing w:after="0"/>
              <w:rPr>
                <w:sz w:val="20"/>
                <w:szCs w:val="20"/>
                <w:color w:val="auto"/>
              </w:rPr>
            </w:pPr>
            <w:r>
              <w:rPr>
                <w:rFonts w:ascii="Arial" w:cs="Arial" w:eastAsia="Arial" w:hAnsi="Arial"/>
                <w:sz w:val="12"/>
                <w:szCs w:val="12"/>
                <w:color w:val="auto"/>
              </w:rPr>
              <w:t>(In thousands except share data)</w:t>
            </w:r>
          </w:p>
        </w:tc>
        <w:tc>
          <w:tcPr>
            <w:tcW w:w="0" w:type="dxa"/>
            <w:vAlign w:val="bottom"/>
          </w:tcPr>
          <w:p>
            <w:pPr>
              <w:spacing w:after="0"/>
              <w:rPr>
                <w:sz w:val="1"/>
                <w:szCs w:val="1"/>
                <w:color w:val="auto"/>
              </w:rPr>
            </w:pPr>
          </w:p>
        </w:tc>
      </w:tr>
      <w:tr>
        <w:trPr>
          <w:trHeight w:val="144"/>
        </w:trPr>
        <w:tc>
          <w:tcPr>
            <w:tcW w:w="3640" w:type="dxa"/>
            <w:vAlign w:val="bottom"/>
            <w:vMerge w:val="continue"/>
          </w:tcPr>
          <w:p>
            <w:pPr>
              <w:spacing w:after="0"/>
              <w:rPr>
                <w:sz w:val="12"/>
                <w:szCs w:val="12"/>
                <w:color w:val="auto"/>
              </w:rPr>
            </w:pP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40" w:type="dxa"/>
            <w:vAlign w:val="bottom"/>
            <w:shd w:val="clear" w:color="auto" w:fill="CCFFCC"/>
          </w:tcPr>
          <w:p>
            <w:pPr>
              <w:spacing w:after="0"/>
              <w:rPr>
                <w:sz w:val="20"/>
                <w:szCs w:val="20"/>
                <w:color w:val="auto"/>
              </w:rPr>
            </w:pPr>
            <w:r>
              <w:rPr>
                <w:rFonts w:ascii="Arial" w:cs="Arial" w:eastAsia="Arial" w:hAnsi="Arial"/>
                <w:sz w:val="12"/>
                <w:szCs w:val="12"/>
                <w:color w:val="auto"/>
              </w:rPr>
              <w:t>Current assets:</w:t>
            </w:r>
          </w:p>
        </w:tc>
        <w:tc>
          <w:tcPr>
            <w:tcW w:w="45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300" w:type="dxa"/>
            <w:vAlign w:val="bottom"/>
            <w:shd w:val="clear" w:color="auto" w:fill="CCFFCC"/>
          </w:tcPr>
          <w:p>
            <w:pPr>
              <w:spacing w:after="0"/>
              <w:rPr>
                <w:sz w:val="12"/>
                <w:szCs w:val="12"/>
                <w:color w:val="auto"/>
              </w:rPr>
            </w:pPr>
          </w:p>
        </w:tc>
        <w:tc>
          <w:tcPr>
            <w:tcW w:w="220" w:type="dxa"/>
            <w:vAlign w:val="bottom"/>
            <w:tcBorders>
              <w:left w:val="single" w:sz="8" w:color="CCFFCC"/>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40" w:type="dxa"/>
            <w:vAlign w:val="bottom"/>
          </w:tcPr>
          <w:p>
            <w:pPr>
              <w:ind w:left="100"/>
              <w:spacing w:after="0"/>
              <w:rPr>
                <w:sz w:val="20"/>
                <w:szCs w:val="20"/>
                <w:color w:val="auto"/>
              </w:rPr>
            </w:pPr>
            <w:r>
              <w:rPr>
                <w:rFonts w:ascii="Arial" w:cs="Arial" w:eastAsia="Arial" w:hAnsi="Arial"/>
                <w:sz w:val="12"/>
                <w:szCs w:val="12"/>
                <w:color w:val="auto"/>
              </w:rPr>
              <w:t>Cash and cash equivalents</w:t>
            </w:r>
          </w:p>
        </w:tc>
        <w:tc>
          <w:tcPr>
            <w:tcW w:w="4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3,274</w:t>
            </w:r>
          </w:p>
        </w:tc>
        <w:tc>
          <w:tcPr>
            <w:tcW w:w="22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11,029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40" w:type="dxa"/>
            <w:vAlign w:val="bottom"/>
            <w:shd w:val="clear" w:color="auto" w:fill="CCFFCC"/>
          </w:tcPr>
          <w:p>
            <w:pPr>
              <w:ind w:left="100"/>
              <w:spacing w:after="0"/>
              <w:rPr>
                <w:sz w:val="20"/>
                <w:szCs w:val="20"/>
                <w:color w:val="auto"/>
              </w:rPr>
            </w:pPr>
            <w:r>
              <w:rPr>
                <w:rFonts w:ascii="Arial" w:cs="Arial" w:eastAsia="Arial" w:hAnsi="Arial"/>
                <w:sz w:val="12"/>
                <w:szCs w:val="12"/>
                <w:color w:val="auto"/>
              </w:rPr>
              <w:t>Marketable securities</w:t>
            </w:r>
          </w:p>
        </w:tc>
        <w:tc>
          <w:tcPr>
            <w:tcW w:w="45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9,830</w:t>
            </w:r>
          </w:p>
        </w:tc>
        <w:tc>
          <w:tcPr>
            <w:tcW w:w="220" w:type="dxa"/>
            <w:vAlign w:val="bottom"/>
            <w:tcBorders>
              <w:left w:val="single" w:sz="8" w:color="CCFFCC"/>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4,414</w:t>
            </w:r>
          </w:p>
        </w:tc>
        <w:tc>
          <w:tcPr>
            <w:tcW w:w="0" w:type="dxa"/>
            <w:vAlign w:val="bottom"/>
          </w:tcPr>
          <w:p>
            <w:pPr>
              <w:spacing w:after="0"/>
              <w:rPr>
                <w:sz w:val="1"/>
                <w:szCs w:val="1"/>
                <w:color w:val="auto"/>
              </w:rPr>
            </w:pPr>
          </w:p>
        </w:tc>
      </w:tr>
      <w:tr>
        <w:trPr>
          <w:trHeight w:val="144"/>
        </w:trPr>
        <w:tc>
          <w:tcPr>
            <w:tcW w:w="3640" w:type="dxa"/>
            <w:vAlign w:val="bottom"/>
          </w:tcPr>
          <w:p>
            <w:pPr>
              <w:ind w:left="100"/>
              <w:spacing w:after="0"/>
              <w:rPr>
                <w:sz w:val="20"/>
                <w:szCs w:val="20"/>
                <w:color w:val="auto"/>
              </w:rPr>
            </w:pPr>
            <w:r>
              <w:rPr>
                <w:rFonts w:ascii="Arial" w:cs="Arial" w:eastAsia="Arial" w:hAnsi="Arial"/>
                <w:sz w:val="12"/>
                <w:szCs w:val="12"/>
                <w:color w:val="auto"/>
              </w:rPr>
              <w:t>Accounts receivable, net of allowance for doubtful accounts</w:t>
            </w: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40" w:type="dxa"/>
            <w:vAlign w:val="bottom"/>
            <w:shd w:val="clear" w:color="auto" w:fill="CCFFCC"/>
          </w:tcPr>
          <w:p>
            <w:pPr>
              <w:ind w:left="200"/>
              <w:spacing w:after="0"/>
              <w:rPr>
                <w:sz w:val="20"/>
                <w:szCs w:val="20"/>
                <w:color w:val="auto"/>
              </w:rPr>
            </w:pPr>
            <w:r>
              <w:rPr>
                <w:rFonts w:ascii="Arial" w:cs="Arial" w:eastAsia="Arial" w:hAnsi="Arial"/>
                <w:sz w:val="12"/>
                <w:szCs w:val="12"/>
                <w:color w:val="auto"/>
              </w:rPr>
              <w:t>of $178 at January 31, 2009 and $185 at April 30, 2008</w:t>
            </w:r>
          </w:p>
        </w:tc>
        <w:tc>
          <w:tcPr>
            <w:tcW w:w="45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13,913</w:t>
            </w:r>
          </w:p>
        </w:tc>
        <w:tc>
          <w:tcPr>
            <w:tcW w:w="220" w:type="dxa"/>
            <w:vAlign w:val="bottom"/>
            <w:tcBorders>
              <w:left w:val="single" w:sz="8" w:color="CCFFCC"/>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10,271</w:t>
            </w:r>
          </w:p>
        </w:tc>
        <w:tc>
          <w:tcPr>
            <w:tcW w:w="0" w:type="dxa"/>
            <w:vAlign w:val="bottom"/>
          </w:tcPr>
          <w:p>
            <w:pPr>
              <w:spacing w:after="0"/>
              <w:rPr>
                <w:sz w:val="1"/>
                <w:szCs w:val="1"/>
                <w:color w:val="auto"/>
              </w:rPr>
            </w:pPr>
          </w:p>
        </w:tc>
      </w:tr>
      <w:tr>
        <w:trPr>
          <w:trHeight w:val="144"/>
        </w:trPr>
        <w:tc>
          <w:tcPr>
            <w:tcW w:w="3640" w:type="dxa"/>
            <w:vAlign w:val="bottom"/>
          </w:tcPr>
          <w:p>
            <w:pPr>
              <w:ind w:left="100"/>
              <w:spacing w:after="0"/>
              <w:rPr>
                <w:sz w:val="20"/>
                <w:szCs w:val="20"/>
                <w:color w:val="auto"/>
              </w:rPr>
            </w:pPr>
            <w:r>
              <w:rPr>
                <w:rFonts w:ascii="Arial" w:cs="Arial" w:eastAsia="Arial" w:hAnsi="Arial"/>
                <w:sz w:val="12"/>
                <w:szCs w:val="12"/>
                <w:color w:val="auto"/>
              </w:rPr>
              <w:t>Costs and estimated earnings in excess of billings</w:t>
            </w: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1,997</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9,556</w:t>
            </w:r>
          </w:p>
        </w:tc>
        <w:tc>
          <w:tcPr>
            <w:tcW w:w="0" w:type="dxa"/>
            <w:vAlign w:val="bottom"/>
          </w:tcPr>
          <w:p>
            <w:pPr>
              <w:spacing w:after="0"/>
              <w:rPr>
                <w:sz w:val="1"/>
                <w:szCs w:val="1"/>
                <w:color w:val="auto"/>
              </w:rPr>
            </w:pPr>
          </w:p>
        </w:tc>
      </w:tr>
      <w:tr>
        <w:trPr>
          <w:trHeight w:val="144"/>
        </w:trPr>
        <w:tc>
          <w:tcPr>
            <w:tcW w:w="3640" w:type="dxa"/>
            <w:vAlign w:val="bottom"/>
            <w:shd w:val="clear" w:color="auto" w:fill="CCFFCC"/>
          </w:tcPr>
          <w:p>
            <w:pPr>
              <w:ind w:left="100"/>
              <w:spacing w:after="0"/>
              <w:rPr>
                <w:sz w:val="20"/>
                <w:szCs w:val="20"/>
                <w:color w:val="auto"/>
              </w:rPr>
            </w:pPr>
            <w:r>
              <w:rPr>
                <w:rFonts w:ascii="Arial" w:cs="Arial" w:eastAsia="Arial" w:hAnsi="Arial"/>
                <w:sz w:val="12"/>
                <w:szCs w:val="12"/>
                <w:color w:val="auto"/>
              </w:rPr>
              <w:t>Inventories</w:t>
            </w:r>
          </w:p>
        </w:tc>
        <w:tc>
          <w:tcPr>
            <w:tcW w:w="45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30,219</w:t>
            </w:r>
          </w:p>
        </w:tc>
        <w:tc>
          <w:tcPr>
            <w:tcW w:w="220" w:type="dxa"/>
            <w:vAlign w:val="bottom"/>
            <w:tcBorders>
              <w:left w:val="single" w:sz="8" w:color="CCFFCC"/>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30,218</w:t>
            </w:r>
          </w:p>
        </w:tc>
        <w:tc>
          <w:tcPr>
            <w:tcW w:w="0" w:type="dxa"/>
            <w:vAlign w:val="bottom"/>
          </w:tcPr>
          <w:p>
            <w:pPr>
              <w:spacing w:after="0"/>
              <w:rPr>
                <w:sz w:val="1"/>
                <w:szCs w:val="1"/>
                <w:color w:val="auto"/>
              </w:rPr>
            </w:pPr>
          </w:p>
        </w:tc>
      </w:tr>
      <w:tr>
        <w:trPr>
          <w:trHeight w:val="144"/>
        </w:trPr>
        <w:tc>
          <w:tcPr>
            <w:tcW w:w="3640" w:type="dxa"/>
            <w:vAlign w:val="bottom"/>
          </w:tcPr>
          <w:p>
            <w:pPr>
              <w:ind w:left="100"/>
              <w:spacing w:after="0"/>
              <w:rPr>
                <w:sz w:val="20"/>
                <w:szCs w:val="20"/>
                <w:color w:val="auto"/>
              </w:rPr>
            </w:pPr>
            <w:r>
              <w:rPr>
                <w:rFonts w:ascii="Arial" w:cs="Arial" w:eastAsia="Arial" w:hAnsi="Arial"/>
                <w:sz w:val="12"/>
                <w:szCs w:val="12"/>
                <w:color w:val="auto"/>
              </w:rPr>
              <w:t>Deferred income taxes</w:t>
            </w: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4,079</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3,974</w:t>
            </w:r>
          </w:p>
        </w:tc>
        <w:tc>
          <w:tcPr>
            <w:tcW w:w="0" w:type="dxa"/>
            <w:vAlign w:val="bottom"/>
          </w:tcPr>
          <w:p>
            <w:pPr>
              <w:spacing w:after="0"/>
              <w:rPr>
                <w:sz w:val="1"/>
                <w:szCs w:val="1"/>
                <w:color w:val="auto"/>
              </w:rPr>
            </w:pPr>
          </w:p>
        </w:tc>
      </w:tr>
      <w:tr>
        <w:trPr>
          <w:trHeight w:val="144"/>
        </w:trPr>
        <w:tc>
          <w:tcPr>
            <w:tcW w:w="3640" w:type="dxa"/>
            <w:vAlign w:val="bottom"/>
            <w:shd w:val="clear" w:color="auto" w:fill="CCFFCC"/>
          </w:tcPr>
          <w:p>
            <w:pPr>
              <w:ind w:left="100"/>
              <w:spacing w:after="0"/>
              <w:rPr>
                <w:sz w:val="20"/>
                <w:szCs w:val="20"/>
                <w:color w:val="auto"/>
              </w:rPr>
            </w:pPr>
            <w:r>
              <w:rPr>
                <w:rFonts w:ascii="Arial" w:cs="Arial" w:eastAsia="Arial" w:hAnsi="Arial"/>
                <w:sz w:val="12"/>
                <w:szCs w:val="12"/>
                <w:color w:val="auto"/>
              </w:rPr>
              <w:t>Income taxes receivable</w:t>
            </w:r>
          </w:p>
        </w:tc>
        <w:tc>
          <w:tcPr>
            <w:tcW w:w="45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800</w:t>
            </w:r>
          </w:p>
        </w:tc>
        <w:tc>
          <w:tcPr>
            <w:tcW w:w="220" w:type="dxa"/>
            <w:vAlign w:val="bottom"/>
            <w:tcBorders>
              <w:left w:val="single" w:sz="8" w:color="CCFFCC"/>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151</w:t>
            </w:r>
          </w:p>
        </w:tc>
        <w:tc>
          <w:tcPr>
            <w:tcW w:w="0" w:type="dxa"/>
            <w:vAlign w:val="bottom"/>
          </w:tcPr>
          <w:p>
            <w:pPr>
              <w:spacing w:after="0"/>
              <w:rPr>
                <w:sz w:val="1"/>
                <w:szCs w:val="1"/>
                <w:color w:val="auto"/>
              </w:rPr>
            </w:pPr>
          </w:p>
        </w:tc>
      </w:tr>
      <w:tr>
        <w:trPr>
          <w:trHeight w:val="144"/>
        </w:trPr>
        <w:tc>
          <w:tcPr>
            <w:tcW w:w="3640" w:type="dxa"/>
            <w:vAlign w:val="bottom"/>
          </w:tcPr>
          <w:p>
            <w:pPr>
              <w:ind w:left="100"/>
              <w:spacing w:after="0"/>
              <w:rPr>
                <w:sz w:val="20"/>
                <w:szCs w:val="20"/>
                <w:color w:val="auto"/>
              </w:rPr>
            </w:pPr>
            <w:r>
              <w:rPr>
                <w:rFonts w:ascii="Arial" w:cs="Arial" w:eastAsia="Arial" w:hAnsi="Arial"/>
                <w:sz w:val="12"/>
                <w:szCs w:val="12"/>
                <w:color w:val="auto"/>
              </w:rPr>
              <w:t>Prepaid expenses and other</w:t>
            </w: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976</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1,371</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40" w:type="dxa"/>
            <w:vAlign w:val="bottom"/>
            <w:shd w:val="clear" w:color="auto" w:fill="CCFFCC"/>
          </w:tcPr>
          <w:p>
            <w:pPr>
              <w:ind w:left="320"/>
              <w:spacing w:after="0"/>
              <w:rPr>
                <w:sz w:val="20"/>
                <w:szCs w:val="20"/>
                <w:color w:val="auto"/>
              </w:rPr>
            </w:pPr>
            <w:r>
              <w:rPr>
                <w:rFonts w:ascii="Arial" w:cs="Arial" w:eastAsia="Arial" w:hAnsi="Arial"/>
                <w:sz w:val="12"/>
                <w:szCs w:val="12"/>
                <w:color w:val="auto"/>
              </w:rPr>
              <w:t>Total current assets</w:t>
            </w:r>
          </w:p>
        </w:tc>
        <w:tc>
          <w:tcPr>
            <w:tcW w:w="45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65,088</w:t>
            </w:r>
          </w:p>
        </w:tc>
        <w:tc>
          <w:tcPr>
            <w:tcW w:w="220" w:type="dxa"/>
            <w:vAlign w:val="bottom"/>
            <w:tcBorders>
              <w:left w:val="single" w:sz="8" w:color="CCFFCC"/>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70,984</w:t>
            </w:r>
          </w:p>
        </w:tc>
        <w:tc>
          <w:tcPr>
            <w:tcW w:w="0" w:type="dxa"/>
            <w:vAlign w:val="bottom"/>
          </w:tcPr>
          <w:p>
            <w:pPr>
              <w:spacing w:after="0"/>
              <w:rPr>
                <w:sz w:val="1"/>
                <w:szCs w:val="1"/>
                <w:color w:val="auto"/>
              </w:rPr>
            </w:pPr>
          </w:p>
        </w:tc>
      </w:tr>
      <w:tr>
        <w:trPr>
          <w:trHeight w:val="144"/>
        </w:trPr>
        <w:tc>
          <w:tcPr>
            <w:tcW w:w="3640" w:type="dxa"/>
            <w:vAlign w:val="bottom"/>
          </w:tcPr>
          <w:p>
            <w:pPr>
              <w:spacing w:after="0"/>
              <w:rPr>
                <w:sz w:val="20"/>
                <w:szCs w:val="20"/>
                <w:color w:val="auto"/>
              </w:rPr>
            </w:pPr>
            <w:r>
              <w:rPr>
                <w:rFonts w:ascii="Arial" w:cs="Arial" w:eastAsia="Arial" w:hAnsi="Arial"/>
                <w:sz w:val="12"/>
                <w:szCs w:val="12"/>
                <w:color w:val="auto"/>
              </w:rPr>
              <w:t>Property, plant and equipment, at cost,</w:t>
            </w: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40" w:type="dxa"/>
            <w:vAlign w:val="bottom"/>
            <w:shd w:val="clear" w:color="auto" w:fill="CCFFCC"/>
          </w:tcPr>
          <w:p>
            <w:pPr>
              <w:ind w:left="200"/>
              <w:spacing w:after="0"/>
              <w:rPr>
                <w:sz w:val="20"/>
                <w:szCs w:val="20"/>
                <w:color w:val="auto"/>
              </w:rPr>
            </w:pPr>
            <w:r>
              <w:rPr>
                <w:rFonts w:ascii="Arial" w:cs="Arial" w:eastAsia="Arial" w:hAnsi="Arial"/>
                <w:sz w:val="12"/>
                <w:szCs w:val="12"/>
                <w:color w:val="auto"/>
              </w:rPr>
              <w:t>less accumulated depreciation and amortization</w:t>
            </w:r>
          </w:p>
        </w:tc>
        <w:tc>
          <w:tcPr>
            <w:tcW w:w="45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8,244</w:t>
            </w:r>
          </w:p>
        </w:tc>
        <w:tc>
          <w:tcPr>
            <w:tcW w:w="220" w:type="dxa"/>
            <w:vAlign w:val="bottom"/>
            <w:tcBorders>
              <w:left w:val="single" w:sz="8" w:color="CCFFCC"/>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9,531</w:t>
            </w:r>
          </w:p>
        </w:tc>
        <w:tc>
          <w:tcPr>
            <w:tcW w:w="0" w:type="dxa"/>
            <w:vAlign w:val="bottom"/>
          </w:tcPr>
          <w:p>
            <w:pPr>
              <w:spacing w:after="0"/>
              <w:rPr>
                <w:sz w:val="1"/>
                <w:szCs w:val="1"/>
                <w:color w:val="auto"/>
              </w:rPr>
            </w:pPr>
          </w:p>
        </w:tc>
      </w:tr>
      <w:tr>
        <w:trPr>
          <w:trHeight w:val="144"/>
        </w:trPr>
        <w:tc>
          <w:tcPr>
            <w:tcW w:w="3640" w:type="dxa"/>
            <w:vAlign w:val="bottom"/>
          </w:tcPr>
          <w:p>
            <w:pPr>
              <w:spacing w:after="0"/>
              <w:rPr>
                <w:sz w:val="20"/>
                <w:szCs w:val="20"/>
                <w:color w:val="auto"/>
              </w:rPr>
            </w:pPr>
            <w:r>
              <w:rPr>
                <w:rFonts w:ascii="Arial" w:cs="Arial" w:eastAsia="Arial" w:hAnsi="Arial"/>
                <w:sz w:val="12"/>
                <w:szCs w:val="12"/>
                <w:color w:val="auto"/>
              </w:rPr>
              <w:t>Deferred income taxes</w:t>
            </w: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3,032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2,990</w:t>
            </w:r>
          </w:p>
        </w:tc>
        <w:tc>
          <w:tcPr>
            <w:tcW w:w="0" w:type="dxa"/>
            <w:vAlign w:val="bottom"/>
          </w:tcPr>
          <w:p>
            <w:pPr>
              <w:spacing w:after="0"/>
              <w:rPr>
                <w:sz w:val="1"/>
                <w:szCs w:val="1"/>
                <w:color w:val="auto"/>
              </w:rPr>
            </w:pPr>
          </w:p>
        </w:tc>
      </w:tr>
      <w:tr>
        <w:trPr>
          <w:trHeight w:val="144"/>
        </w:trPr>
        <w:tc>
          <w:tcPr>
            <w:tcW w:w="3640" w:type="dxa"/>
            <w:vAlign w:val="bottom"/>
            <w:shd w:val="clear" w:color="auto" w:fill="CCFFCC"/>
          </w:tcPr>
          <w:p>
            <w:pPr>
              <w:spacing w:after="0"/>
              <w:rPr>
                <w:sz w:val="20"/>
                <w:szCs w:val="20"/>
                <w:color w:val="auto"/>
              </w:rPr>
            </w:pPr>
            <w:r>
              <w:rPr>
                <w:rFonts w:ascii="Arial" w:cs="Arial" w:eastAsia="Arial" w:hAnsi="Arial"/>
                <w:sz w:val="12"/>
                <w:szCs w:val="12"/>
                <w:color w:val="auto"/>
              </w:rPr>
              <w:t>Goodwill and other intangible assets, net</w:t>
            </w:r>
          </w:p>
        </w:tc>
        <w:tc>
          <w:tcPr>
            <w:tcW w:w="45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264</w:t>
            </w:r>
          </w:p>
        </w:tc>
        <w:tc>
          <w:tcPr>
            <w:tcW w:w="220" w:type="dxa"/>
            <w:vAlign w:val="bottom"/>
            <w:tcBorders>
              <w:left w:val="single" w:sz="8" w:color="CCFFCC"/>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405</w:t>
            </w:r>
          </w:p>
        </w:tc>
        <w:tc>
          <w:tcPr>
            <w:tcW w:w="0" w:type="dxa"/>
            <w:vAlign w:val="bottom"/>
          </w:tcPr>
          <w:p>
            <w:pPr>
              <w:spacing w:after="0"/>
              <w:rPr>
                <w:sz w:val="1"/>
                <w:szCs w:val="1"/>
                <w:color w:val="auto"/>
              </w:rPr>
            </w:pPr>
          </w:p>
        </w:tc>
      </w:tr>
      <w:tr>
        <w:trPr>
          <w:trHeight w:val="144"/>
        </w:trPr>
        <w:tc>
          <w:tcPr>
            <w:tcW w:w="3640" w:type="dxa"/>
            <w:vAlign w:val="bottom"/>
          </w:tcPr>
          <w:p>
            <w:pPr>
              <w:spacing w:after="0"/>
              <w:rPr>
                <w:sz w:val="20"/>
                <w:szCs w:val="20"/>
                <w:color w:val="auto"/>
              </w:rPr>
            </w:pPr>
            <w:r>
              <w:rPr>
                <w:rFonts w:ascii="Arial" w:cs="Arial" w:eastAsia="Arial" w:hAnsi="Arial"/>
                <w:sz w:val="12"/>
                <w:szCs w:val="12"/>
                <w:color w:val="auto"/>
              </w:rPr>
              <w:t>Cash surrender value of life insurance and cash held in trust</w:t>
            </w: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8,047</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7,671</w:t>
            </w:r>
          </w:p>
        </w:tc>
        <w:tc>
          <w:tcPr>
            <w:tcW w:w="0" w:type="dxa"/>
            <w:vAlign w:val="bottom"/>
          </w:tcPr>
          <w:p>
            <w:pPr>
              <w:spacing w:after="0"/>
              <w:rPr>
                <w:sz w:val="1"/>
                <w:szCs w:val="1"/>
                <w:color w:val="auto"/>
              </w:rPr>
            </w:pPr>
          </w:p>
        </w:tc>
      </w:tr>
      <w:tr>
        <w:trPr>
          <w:trHeight w:val="144"/>
        </w:trPr>
        <w:tc>
          <w:tcPr>
            <w:tcW w:w="3640" w:type="dxa"/>
            <w:vAlign w:val="bottom"/>
            <w:shd w:val="clear" w:color="auto" w:fill="CCFFCC"/>
          </w:tcPr>
          <w:p>
            <w:pPr>
              <w:spacing w:after="0"/>
              <w:rPr>
                <w:sz w:val="20"/>
                <w:szCs w:val="20"/>
                <w:color w:val="auto"/>
              </w:rPr>
            </w:pPr>
            <w:r>
              <w:rPr>
                <w:rFonts w:ascii="Arial" w:cs="Arial" w:eastAsia="Arial" w:hAnsi="Arial"/>
                <w:sz w:val="12"/>
                <w:szCs w:val="12"/>
                <w:color w:val="auto"/>
              </w:rPr>
              <w:t>Investments in and loans receivable from affiliates</w:t>
            </w:r>
          </w:p>
        </w:tc>
        <w:tc>
          <w:tcPr>
            <w:tcW w:w="45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4,397</w:t>
            </w:r>
          </w:p>
        </w:tc>
        <w:tc>
          <w:tcPr>
            <w:tcW w:w="220" w:type="dxa"/>
            <w:vAlign w:val="bottom"/>
            <w:tcBorders>
              <w:left w:val="single" w:sz="8" w:color="CCFFCC"/>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4,522</w:t>
            </w:r>
          </w:p>
        </w:tc>
        <w:tc>
          <w:tcPr>
            <w:tcW w:w="0" w:type="dxa"/>
            <w:vAlign w:val="bottom"/>
          </w:tcPr>
          <w:p>
            <w:pPr>
              <w:spacing w:after="0"/>
              <w:rPr>
                <w:sz w:val="1"/>
                <w:szCs w:val="1"/>
                <w:color w:val="auto"/>
              </w:rPr>
            </w:pPr>
          </w:p>
        </w:tc>
      </w:tr>
      <w:tr>
        <w:trPr>
          <w:trHeight w:val="144"/>
        </w:trPr>
        <w:tc>
          <w:tcPr>
            <w:tcW w:w="3640" w:type="dxa"/>
            <w:vAlign w:val="bottom"/>
          </w:tcPr>
          <w:p>
            <w:pPr>
              <w:spacing w:after="0"/>
              <w:rPr>
                <w:sz w:val="20"/>
                <w:szCs w:val="20"/>
                <w:color w:val="auto"/>
              </w:rPr>
            </w:pPr>
            <w:r>
              <w:rPr>
                <w:rFonts w:ascii="Arial" w:cs="Arial" w:eastAsia="Arial" w:hAnsi="Arial"/>
                <w:sz w:val="12"/>
                <w:szCs w:val="12"/>
                <w:color w:val="auto"/>
              </w:rPr>
              <w:t>Other assets</w:t>
            </w: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817</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817</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640" w:type="dxa"/>
            <w:vAlign w:val="bottom"/>
            <w:shd w:val="clear" w:color="auto" w:fill="CCFFCC"/>
          </w:tcPr>
          <w:p>
            <w:pPr>
              <w:ind w:left="320"/>
              <w:spacing w:after="0"/>
              <w:rPr>
                <w:sz w:val="20"/>
                <w:szCs w:val="20"/>
                <w:color w:val="auto"/>
              </w:rPr>
            </w:pPr>
            <w:r>
              <w:rPr>
                <w:rFonts w:ascii="Arial" w:cs="Arial" w:eastAsia="Arial" w:hAnsi="Arial"/>
                <w:sz w:val="12"/>
                <w:szCs w:val="12"/>
                <w:b w:val="1"/>
                <w:bCs w:val="1"/>
                <w:color w:val="auto"/>
              </w:rPr>
              <w:t>Total assets</w:t>
            </w:r>
          </w:p>
        </w:tc>
        <w:tc>
          <w:tcPr>
            <w:tcW w:w="4720" w:type="dxa"/>
            <w:vAlign w:val="bottom"/>
            <w:gridSpan w:val="2"/>
            <w:shd w:val="clear" w:color="auto" w:fill="CCFFCC"/>
          </w:tcPr>
          <w:p>
            <w:pPr>
              <w:jc w:val="right"/>
              <w:ind w:right="140"/>
              <w:spacing w:after="0"/>
              <w:rPr>
                <w:sz w:val="20"/>
                <w:szCs w:val="20"/>
                <w:color w:val="auto"/>
              </w:rPr>
            </w:pPr>
            <w:r>
              <w:rPr>
                <w:rFonts w:ascii="Arial" w:cs="Arial" w:eastAsia="Arial" w:hAnsi="Arial"/>
                <w:sz w:val="12"/>
                <w:szCs w:val="12"/>
                <w:b w:val="1"/>
                <w:bCs w:val="1"/>
                <w:color w:val="auto"/>
              </w:rPr>
              <w:t>$</w:t>
            </w:r>
          </w:p>
        </w:tc>
        <w:tc>
          <w:tcPr>
            <w:tcW w:w="1300" w:type="dxa"/>
            <w:vAlign w:val="bottom"/>
            <w:shd w:val="clear" w:color="auto" w:fill="CCFFCC"/>
          </w:tcPr>
          <w:p>
            <w:pPr>
              <w:jc w:val="right"/>
              <w:spacing w:after="0"/>
              <w:rPr>
                <w:sz w:val="20"/>
                <w:szCs w:val="20"/>
                <w:color w:val="auto"/>
              </w:rPr>
            </w:pPr>
            <w:r>
              <w:rPr>
                <w:rFonts w:ascii="Arial" w:cs="Arial" w:eastAsia="Arial" w:hAnsi="Arial"/>
                <w:sz w:val="12"/>
                <w:szCs w:val="12"/>
                <w:b w:val="1"/>
                <w:bCs w:val="1"/>
                <w:color w:val="auto"/>
              </w:rPr>
              <w:t>89,889</w:t>
            </w:r>
          </w:p>
        </w:tc>
        <w:tc>
          <w:tcPr>
            <w:tcW w:w="220" w:type="dxa"/>
            <w:vAlign w:val="bottom"/>
            <w:tcBorders>
              <w:left w:val="single" w:sz="8" w:color="CCFFCC"/>
            </w:tcBorders>
            <w:shd w:val="clear" w:color="auto" w:fill="CCFFCC"/>
          </w:tcPr>
          <w:p>
            <w:pPr>
              <w:spacing w:after="0"/>
              <w:rPr>
                <w:sz w:val="15"/>
                <w:szCs w:val="15"/>
                <w:color w:val="auto"/>
              </w:rPr>
            </w:pPr>
          </w:p>
        </w:tc>
        <w:tc>
          <w:tcPr>
            <w:tcW w:w="260" w:type="dxa"/>
            <w:vAlign w:val="bottom"/>
            <w:shd w:val="clear" w:color="auto" w:fill="CCFFCC"/>
          </w:tcPr>
          <w:p>
            <w:pPr>
              <w:jc w:val="right"/>
              <w:ind w:right="150"/>
              <w:spacing w:after="0"/>
              <w:rPr>
                <w:sz w:val="20"/>
                <w:szCs w:val="20"/>
                <w:color w:val="auto"/>
              </w:rPr>
            </w:pPr>
            <w:r>
              <w:rPr>
                <w:rFonts w:ascii="Arial" w:cs="Arial" w:eastAsia="Arial" w:hAnsi="Arial"/>
                <w:sz w:val="10"/>
                <w:szCs w:val="10"/>
                <w:b w:val="1"/>
                <w:bCs w:val="1"/>
                <w:color w:val="auto"/>
                <w:w w:val="71"/>
              </w:rPr>
              <w:t>$</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b w:val="1"/>
                <w:bCs w:val="1"/>
                <w:color w:val="auto"/>
              </w:rPr>
              <w:t>96,920</w:t>
            </w:r>
          </w:p>
        </w:tc>
        <w:tc>
          <w:tcPr>
            <w:tcW w:w="0" w:type="dxa"/>
            <w:vAlign w:val="bottom"/>
          </w:tcPr>
          <w:p>
            <w:pPr>
              <w:spacing w:after="0"/>
              <w:rPr>
                <w:sz w:val="1"/>
                <w:szCs w:val="1"/>
                <w:color w:val="auto"/>
              </w:rPr>
            </w:pPr>
          </w:p>
        </w:tc>
      </w:tr>
      <w:tr>
        <w:trPr>
          <w:trHeight w:val="120"/>
        </w:trPr>
        <w:tc>
          <w:tcPr>
            <w:tcW w:w="3640" w:type="dxa"/>
            <w:vAlign w:val="bottom"/>
            <w:tcBorders>
              <w:top w:val="single" w:sz="8" w:color="CCFFCC"/>
            </w:tcBorders>
          </w:tcPr>
          <w:p>
            <w:pPr>
              <w:spacing w:after="0"/>
              <w:rPr>
                <w:sz w:val="10"/>
                <w:szCs w:val="10"/>
                <w:color w:val="auto"/>
              </w:rPr>
            </w:pPr>
          </w:p>
        </w:tc>
        <w:tc>
          <w:tcPr>
            <w:tcW w:w="4520" w:type="dxa"/>
            <w:vAlign w:val="bottom"/>
            <w:tcBorders>
              <w:top w:val="single" w:sz="8" w:color="CCFFC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640" w:type="dxa"/>
            <w:vAlign w:val="bottom"/>
            <w:shd w:val="clear" w:color="auto" w:fill="CCFFCC"/>
          </w:tcPr>
          <w:p>
            <w:pPr>
              <w:ind w:left="200"/>
              <w:spacing w:after="0"/>
              <w:rPr>
                <w:sz w:val="20"/>
                <w:szCs w:val="20"/>
                <w:color w:val="auto"/>
              </w:rPr>
            </w:pPr>
            <w:r>
              <w:rPr>
                <w:rFonts w:ascii="Arial" w:cs="Arial" w:eastAsia="Arial" w:hAnsi="Arial"/>
                <w:sz w:val="12"/>
                <w:szCs w:val="12"/>
                <w:b w:val="1"/>
                <w:bCs w:val="1"/>
                <w:color w:val="auto"/>
              </w:rPr>
              <w:t>LIABILITIES AND STOCKHOLDERS’ EQUITY:</w:t>
            </w:r>
          </w:p>
        </w:tc>
        <w:tc>
          <w:tcPr>
            <w:tcW w:w="45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300" w:type="dxa"/>
            <w:vAlign w:val="bottom"/>
            <w:shd w:val="clear" w:color="auto" w:fill="CCFFCC"/>
          </w:tcPr>
          <w:p>
            <w:pPr>
              <w:spacing w:after="0"/>
              <w:rPr>
                <w:sz w:val="12"/>
                <w:szCs w:val="12"/>
                <w:color w:val="auto"/>
              </w:rPr>
            </w:pPr>
          </w:p>
        </w:tc>
        <w:tc>
          <w:tcPr>
            <w:tcW w:w="220" w:type="dxa"/>
            <w:vAlign w:val="bottom"/>
            <w:tcBorders>
              <w:left w:val="single" w:sz="8" w:color="CCFFCC"/>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40" w:type="dxa"/>
            <w:vAlign w:val="bottom"/>
          </w:tcPr>
          <w:p>
            <w:pPr>
              <w:spacing w:after="0"/>
              <w:rPr>
                <w:sz w:val="20"/>
                <w:szCs w:val="20"/>
                <w:color w:val="auto"/>
              </w:rPr>
            </w:pPr>
            <w:r>
              <w:rPr>
                <w:rFonts w:ascii="Arial" w:cs="Arial" w:eastAsia="Arial" w:hAnsi="Arial"/>
                <w:sz w:val="12"/>
                <w:szCs w:val="12"/>
                <w:color w:val="auto"/>
              </w:rPr>
              <w:t>Current liabilities:</w:t>
            </w: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40" w:type="dxa"/>
            <w:vAlign w:val="bottom"/>
            <w:shd w:val="clear" w:color="auto" w:fill="CCFFCC"/>
          </w:tcPr>
          <w:p>
            <w:pPr>
              <w:ind w:left="200"/>
              <w:spacing w:after="0"/>
              <w:rPr>
                <w:sz w:val="20"/>
                <w:szCs w:val="20"/>
                <w:color w:val="auto"/>
              </w:rPr>
            </w:pPr>
            <w:r>
              <w:rPr>
                <w:rFonts w:ascii="Arial" w:cs="Arial" w:eastAsia="Arial" w:hAnsi="Arial"/>
                <w:sz w:val="12"/>
                <w:szCs w:val="12"/>
                <w:color w:val="auto"/>
              </w:rPr>
              <w:t>Short-term credit obligations</w:t>
            </w:r>
          </w:p>
        </w:tc>
        <w:tc>
          <w:tcPr>
            <w:tcW w:w="4720" w:type="dxa"/>
            <w:vAlign w:val="bottom"/>
            <w:gridSpan w:val="2"/>
            <w:shd w:val="clear" w:color="auto" w:fill="CCFFCC"/>
          </w:tcPr>
          <w:p>
            <w:pPr>
              <w:jc w:val="right"/>
              <w:ind w:right="14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1,326</w:t>
            </w:r>
          </w:p>
        </w:tc>
        <w:tc>
          <w:tcPr>
            <w:tcW w:w="220" w:type="dxa"/>
            <w:vAlign w:val="bottom"/>
            <w:tcBorders>
              <w:left w:val="single" w:sz="8" w:color="CCFFCC"/>
            </w:tcBorders>
            <w:shd w:val="clear" w:color="auto" w:fill="CCFFCC"/>
          </w:tcPr>
          <w:p>
            <w:pPr>
              <w:spacing w:after="0"/>
              <w:rPr>
                <w:sz w:val="12"/>
                <w:szCs w:val="12"/>
                <w:color w:val="auto"/>
              </w:rPr>
            </w:pPr>
          </w:p>
        </w:tc>
        <w:tc>
          <w:tcPr>
            <w:tcW w:w="260" w:type="dxa"/>
            <w:vAlign w:val="bottom"/>
            <w:shd w:val="clear" w:color="auto" w:fill="CCFFCC"/>
          </w:tcPr>
          <w:p>
            <w:pPr>
              <w:jc w:val="right"/>
              <w:ind w:right="150"/>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5,168</w:t>
            </w:r>
          </w:p>
        </w:tc>
        <w:tc>
          <w:tcPr>
            <w:tcW w:w="0" w:type="dxa"/>
            <w:vAlign w:val="bottom"/>
          </w:tcPr>
          <w:p>
            <w:pPr>
              <w:spacing w:after="0"/>
              <w:rPr>
                <w:sz w:val="1"/>
                <w:szCs w:val="1"/>
                <w:color w:val="auto"/>
              </w:rPr>
            </w:pPr>
          </w:p>
        </w:tc>
      </w:tr>
      <w:tr>
        <w:trPr>
          <w:trHeight w:val="144"/>
        </w:trPr>
        <w:tc>
          <w:tcPr>
            <w:tcW w:w="3640" w:type="dxa"/>
            <w:vAlign w:val="bottom"/>
          </w:tcPr>
          <w:p>
            <w:pPr>
              <w:ind w:left="200"/>
              <w:spacing w:after="0"/>
              <w:rPr>
                <w:sz w:val="20"/>
                <w:szCs w:val="20"/>
                <w:color w:val="auto"/>
              </w:rPr>
            </w:pPr>
            <w:r>
              <w:rPr>
                <w:rFonts w:ascii="Arial" w:cs="Arial" w:eastAsia="Arial" w:hAnsi="Arial"/>
                <w:sz w:val="12"/>
                <w:szCs w:val="12"/>
                <w:color w:val="auto"/>
              </w:rPr>
              <w:t>Accounts payable - trade</w:t>
            </w: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3,508</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2,215</w:t>
            </w:r>
          </w:p>
        </w:tc>
        <w:tc>
          <w:tcPr>
            <w:tcW w:w="0" w:type="dxa"/>
            <w:vAlign w:val="bottom"/>
          </w:tcPr>
          <w:p>
            <w:pPr>
              <w:spacing w:after="0"/>
              <w:rPr>
                <w:sz w:val="1"/>
                <w:szCs w:val="1"/>
                <w:color w:val="auto"/>
              </w:rPr>
            </w:pPr>
          </w:p>
        </w:tc>
      </w:tr>
      <w:tr>
        <w:trPr>
          <w:trHeight w:val="144"/>
        </w:trPr>
        <w:tc>
          <w:tcPr>
            <w:tcW w:w="3640" w:type="dxa"/>
            <w:vAlign w:val="bottom"/>
            <w:shd w:val="clear" w:color="auto" w:fill="CCFFCC"/>
          </w:tcPr>
          <w:p>
            <w:pPr>
              <w:ind w:left="200"/>
              <w:spacing w:after="0"/>
              <w:rPr>
                <w:sz w:val="20"/>
                <w:szCs w:val="20"/>
                <w:color w:val="auto"/>
              </w:rPr>
            </w:pPr>
            <w:r>
              <w:rPr>
                <w:rFonts w:ascii="Arial" w:cs="Arial" w:eastAsia="Arial" w:hAnsi="Arial"/>
                <w:sz w:val="12"/>
                <w:szCs w:val="12"/>
                <w:color w:val="auto"/>
              </w:rPr>
              <w:t>Accrued liabilities and other</w:t>
            </w:r>
          </w:p>
        </w:tc>
        <w:tc>
          <w:tcPr>
            <w:tcW w:w="45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5,075</w:t>
            </w:r>
          </w:p>
        </w:tc>
        <w:tc>
          <w:tcPr>
            <w:tcW w:w="220" w:type="dxa"/>
            <w:vAlign w:val="bottom"/>
            <w:tcBorders>
              <w:left w:val="single" w:sz="8" w:color="CCFFCC"/>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4,694</w:t>
            </w:r>
          </w:p>
        </w:tc>
        <w:tc>
          <w:tcPr>
            <w:tcW w:w="0" w:type="dxa"/>
            <w:vAlign w:val="bottom"/>
          </w:tcPr>
          <w:p>
            <w:pPr>
              <w:spacing w:after="0"/>
              <w:rPr>
                <w:sz w:val="1"/>
                <w:szCs w:val="1"/>
                <w:color w:val="auto"/>
              </w:rPr>
            </w:pPr>
          </w:p>
        </w:tc>
      </w:tr>
      <w:tr>
        <w:trPr>
          <w:trHeight w:val="20"/>
        </w:trPr>
        <w:tc>
          <w:tcPr>
            <w:tcW w:w="3640" w:type="dxa"/>
            <w:vAlign w:val="bottom"/>
            <w:shd w:val="clear" w:color="auto" w:fill="CCFFCC"/>
          </w:tcPr>
          <w:p>
            <w:pPr>
              <w:spacing w:after="0" w:line="20" w:lineRule="exact"/>
              <w:rPr>
                <w:sz w:val="1"/>
                <w:szCs w:val="1"/>
                <w:color w:val="auto"/>
              </w:rPr>
            </w:pPr>
          </w:p>
        </w:tc>
        <w:tc>
          <w:tcPr>
            <w:tcW w:w="45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40" w:type="dxa"/>
            <w:vAlign w:val="bottom"/>
          </w:tcPr>
          <w:p>
            <w:pPr>
              <w:ind w:left="320"/>
              <w:spacing w:after="0"/>
              <w:rPr>
                <w:sz w:val="20"/>
                <w:szCs w:val="20"/>
                <w:color w:val="auto"/>
              </w:rPr>
            </w:pPr>
            <w:r>
              <w:rPr>
                <w:rFonts w:ascii="Arial" w:cs="Arial" w:eastAsia="Arial" w:hAnsi="Arial"/>
                <w:sz w:val="12"/>
                <w:szCs w:val="12"/>
                <w:color w:val="auto"/>
              </w:rPr>
              <w:t>Total current liabilities</w:t>
            </w: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9,909</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12,077</w:t>
            </w:r>
          </w:p>
        </w:tc>
        <w:tc>
          <w:tcPr>
            <w:tcW w:w="0" w:type="dxa"/>
            <w:vAlign w:val="bottom"/>
          </w:tcPr>
          <w:p>
            <w:pPr>
              <w:spacing w:after="0"/>
              <w:rPr>
                <w:sz w:val="1"/>
                <w:szCs w:val="1"/>
                <w:color w:val="auto"/>
              </w:rPr>
            </w:pPr>
          </w:p>
        </w:tc>
      </w:tr>
      <w:tr>
        <w:trPr>
          <w:trHeight w:val="144"/>
        </w:trPr>
        <w:tc>
          <w:tcPr>
            <w:tcW w:w="3640" w:type="dxa"/>
            <w:vAlign w:val="bottom"/>
            <w:shd w:val="clear" w:color="auto" w:fill="CCFFCC"/>
          </w:tcPr>
          <w:p>
            <w:pPr>
              <w:spacing w:after="0"/>
              <w:rPr>
                <w:sz w:val="20"/>
                <w:szCs w:val="20"/>
                <w:color w:val="auto"/>
              </w:rPr>
            </w:pPr>
            <w:r>
              <w:rPr>
                <w:rFonts w:ascii="Arial" w:cs="Arial" w:eastAsia="Arial" w:hAnsi="Arial"/>
                <w:sz w:val="12"/>
                <w:szCs w:val="12"/>
                <w:color w:val="auto"/>
              </w:rPr>
              <w:t>Lease obligation – noncurrent</w:t>
            </w:r>
          </w:p>
        </w:tc>
        <w:tc>
          <w:tcPr>
            <w:tcW w:w="45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741</w:t>
            </w:r>
          </w:p>
        </w:tc>
        <w:tc>
          <w:tcPr>
            <w:tcW w:w="220" w:type="dxa"/>
            <w:vAlign w:val="bottom"/>
            <w:tcBorders>
              <w:left w:val="single" w:sz="8" w:color="CCFFCC"/>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911</w:t>
            </w:r>
          </w:p>
        </w:tc>
        <w:tc>
          <w:tcPr>
            <w:tcW w:w="0" w:type="dxa"/>
            <w:vAlign w:val="bottom"/>
          </w:tcPr>
          <w:p>
            <w:pPr>
              <w:spacing w:after="0"/>
              <w:rPr>
                <w:sz w:val="1"/>
                <w:szCs w:val="1"/>
                <w:color w:val="auto"/>
              </w:rPr>
            </w:pPr>
          </w:p>
        </w:tc>
      </w:tr>
      <w:tr>
        <w:trPr>
          <w:trHeight w:val="144"/>
        </w:trPr>
        <w:tc>
          <w:tcPr>
            <w:tcW w:w="3640" w:type="dxa"/>
            <w:vAlign w:val="bottom"/>
          </w:tcPr>
          <w:p>
            <w:pPr>
              <w:spacing w:after="0"/>
              <w:rPr>
                <w:sz w:val="20"/>
                <w:szCs w:val="20"/>
                <w:color w:val="auto"/>
              </w:rPr>
            </w:pPr>
            <w:r>
              <w:rPr>
                <w:rFonts w:ascii="Arial" w:cs="Arial" w:eastAsia="Arial" w:hAnsi="Arial"/>
                <w:sz w:val="12"/>
                <w:szCs w:val="12"/>
                <w:color w:val="auto"/>
              </w:rPr>
              <w:t>Deferred compensation</w:t>
            </w: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9,836</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9,467</w:t>
            </w:r>
          </w:p>
        </w:tc>
        <w:tc>
          <w:tcPr>
            <w:tcW w:w="0" w:type="dxa"/>
            <w:vAlign w:val="bottom"/>
          </w:tcPr>
          <w:p>
            <w:pPr>
              <w:spacing w:after="0"/>
              <w:rPr>
                <w:sz w:val="1"/>
                <w:szCs w:val="1"/>
                <w:color w:val="auto"/>
              </w:rPr>
            </w:pPr>
          </w:p>
        </w:tc>
      </w:tr>
      <w:tr>
        <w:trPr>
          <w:trHeight w:val="144"/>
        </w:trPr>
        <w:tc>
          <w:tcPr>
            <w:tcW w:w="3640" w:type="dxa"/>
            <w:vAlign w:val="bottom"/>
            <w:shd w:val="clear" w:color="auto" w:fill="CCFFCC"/>
          </w:tcPr>
          <w:p>
            <w:pPr>
              <w:spacing w:after="0"/>
              <w:rPr>
                <w:sz w:val="20"/>
                <w:szCs w:val="20"/>
                <w:color w:val="auto"/>
              </w:rPr>
            </w:pPr>
            <w:r>
              <w:rPr>
                <w:rFonts w:ascii="Arial" w:cs="Arial" w:eastAsia="Arial" w:hAnsi="Arial"/>
                <w:sz w:val="12"/>
                <w:szCs w:val="12"/>
                <w:color w:val="auto"/>
              </w:rPr>
              <w:t>Deferred gain and other liabilities</w:t>
            </w:r>
          </w:p>
        </w:tc>
        <w:tc>
          <w:tcPr>
            <w:tcW w:w="45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580</w:t>
            </w:r>
          </w:p>
        </w:tc>
        <w:tc>
          <w:tcPr>
            <w:tcW w:w="220" w:type="dxa"/>
            <w:vAlign w:val="bottom"/>
            <w:tcBorders>
              <w:left w:val="single" w:sz="8" w:color="CCFFCC"/>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855</w:t>
            </w:r>
          </w:p>
        </w:tc>
        <w:tc>
          <w:tcPr>
            <w:tcW w:w="0" w:type="dxa"/>
            <w:vAlign w:val="bottom"/>
          </w:tcPr>
          <w:p>
            <w:pPr>
              <w:spacing w:after="0"/>
              <w:rPr>
                <w:sz w:val="1"/>
                <w:szCs w:val="1"/>
                <w:color w:val="auto"/>
              </w:rPr>
            </w:pPr>
          </w:p>
        </w:tc>
      </w:tr>
      <w:tr>
        <w:trPr>
          <w:trHeight w:val="20"/>
        </w:trPr>
        <w:tc>
          <w:tcPr>
            <w:tcW w:w="3640" w:type="dxa"/>
            <w:vAlign w:val="bottom"/>
            <w:shd w:val="clear" w:color="auto" w:fill="CCFFCC"/>
          </w:tcPr>
          <w:p>
            <w:pPr>
              <w:spacing w:after="0" w:line="20" w:lineRule="exact"/>
              <w:rPr>
                <w:sz w:val="1"/>
                <w:szCs w:val="1"/>
                <w:color w:val="auto"/>
              </w:rPr>
            </w:pPr>
          </w:p>
        </w:tc>
        <w:tc>
          <w:tcPr>
            <w:tcW w:w="45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40" w:type="dxa"/>
            <w:vAlign w:val="bottom"/>
          </w:tcPr>
          <w:p>
            <w:pPr>
              <w:ind w:left="320"/>
              <w:spacing w:after="0"/>
              <w:rPr>
                <w:sz w:val="20"/>
                <w:szCs w:val="20"/>
                <w:color w:val="auto"/>
              </w:rPr>
            </w:pPr>
            <w:r>
              <w:rPr>
                <w:rFonts w:ascii="Arial" w:cs="Arial" w:eastAsia="Arial" w:hAnsi="Arial"/>
                <w:sz w:val="12"/>
                <w:szCs w:val="12"/>
                <w:color w:val="auto"/>
              </w:rPr>
              <w:t>Total liabilities</w:t>
            </w: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21,066</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23,310</w:t>
            </w:r>
          </w:p>
        </w:tc>
        <w:tc>
          <w:tcPr>
            <w:tcW w:w="0" w:type="dxa"/>
            <w:vAlign w:val="bottom"/>
          </w:tcPr>
          <w:p>
            <w:pPr>
              <w:spacing w:after="0"/>
              <w:rPr>
                <w:sz w:val="1"/>
                <w:szCs w:val="1"/>
                <w:color w:val="auto"/>
              </w:rPr>
            </w:pPr>
          </w:p>
        </w:tc>
      </w:tr>
      <w:tr>
        <w:trPr>
          <w:trHeight w:val="142"/>
        </w:trPr>
        <w:tc>
          <w:tcPr>
            <w:tcW w:w="3640" w:type="dxa"/>
            <w:vAlign w:val="bottom"/>
            <w:shd w:val="clear" w:color="auto" w:fill="CCFFCC"/>
          </w:tcPr>
          <w:p>
            <w:pPr>
              <w:spacing w:after="0"/>
              <w:rPr>
                <w:sz w:val="20"/>
                <w:szCs w:val="20"/>
                <w:color w:val="auto"/>
              </w:rPr>
            </w:pPr>
            <w:r>
              <w:rPr>
                <w:rFonts w:ascii="Arial" w:cs="Arial" w:eastAsia="Arial" w:hAnsi="Arial"/>
                <w:sz w:val="12"/>
                <w:szCs w:val="12"/>
                <w:color w:val="auto"/>
              </w:rPr>
              <w:t>Stockholders’ equity:</w:t>
            </w:r>
          </w:p>
        </w:tc>
        <w:tc>
          <w:tcPr>
            <w:tcW w:w="4520" w:type="dxa"/>
            <w:vAlign w:val="bottom"/>
            <w:shd w:val="clear" w:color="auto" w:fill="CCFFCC"/>
          </w:tcPr>
          <w:p>
            <w:pPr>
              <w:spacing w:after="0"/>
              <w:rPr>
                <w:sz w:val="12"/>
                <w:szCs w:val="12"/>
                <w:color w:val="auto"/>
              </w:rPr>
            </w:pPr>
          </w:p>
        </w:tc>
        <w:tc>
          <w:tcPr>
            <w:tcW w:w="200" w:type="dxa"/>
            <w:vAlign w:val="bottom"/>
            <w:tcBorders>
              <w:top w:val="single" w:sz="8" w:color="auto"/>
            </w:tcBorders>
            <w:shd w:val="clear" w:color="auto" w:fill="CCFFCC"/>
          </w:tcPr>
          <w:p>
            <w:pPr>
              <w:spacing w:after="0"/>
              <w:rPr>
                <w:sz w:val="12"/>
                <w:szCs w:val="12"/>
                <w:color w:val="auto"/>
              </w:rPr>
            </w:pPr>
          </w:p>
        </w:tc>
        <w:tc>
          <w:tcPr>
            <w:tcW w:w="1300" w:type="dxa"/>
            <w:vAlign w:val="bottom"/>
            <w:tcBorders>
              <w:top w:val="single" w:sz="8" w:color="auto"/>
            </w:tcBorders>
            <w:shd w:val="clear" w:color="auto" w:fill="CCFFCC"/>
          </w:tcPr>
          <w:p>
            <w:pPr>
              <w:spacing w:after="0"/>
              <w:rPr>
                <w:sz w:val="12"/>
                <w:szCs w:val="12"/>
                <w:color w:val="auto"/>
              </w:rPr>
            </w:pPr>
          </w:p>
        </w:tc>
        <w:tc>
          <w:tcPr>
            <w:tcW w:w="220" w:type="dxa"/>
            <w:vAlign w:val="bottom"/>
            <w:tcBorders>
              <w:left w:val="single" w:sz="8" w:color="CCFFCC"/>
            </w:tcBorders>
            <w:shd w:val="clear" w:color="auto" w:fill="CCFFCC"/>
          </w:tcPr>
          <w:p>
            <w:pPr>
              <w:spacing w:after="0"/>
              <w:rPr>
                <w:sz w:val="12"/>
                <w:szCs w:val="12"/>
                <w:color w:val="auto"/>
              </w:rPr>
            </w:pPr>
          </w:p>
        </w:tc>
        <w:tc>
          <w:tcPr>
            <w:tcW w:w="260" w:type="dxa"/>
            <w:vAlign w:val="bottom"/>
            <w:tcBorders>
              <w:top w:val="single" w:sz="8" w:color="auto"/>
            </w:tcBorders>
            <w:shd w:val="clear" w:color="auto" w:fill="CCFFCC"/>
          </w:tcPr>
          <w:p>
            <w:pPr>
              <w:spacing w:after="0"/>
              <w:rPr>
                <w:sz w:val="12"/>
                <w:szCs w:val="12"/>
                <w:color w:val="auto"/>
              </w:rPr>
            </w:pPr>
          </w:p>
        </w:tc>
        <w:tc>
          <w:tcPr>
            <w:tcW w:w="122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40" w:type="dxa"/>
            <w:vAlign w:val="bottom"/>
          </w:tcPr>
          <w:p>
            <w:pPr>
              <w:ind w:left="100"/>
              <w:spacing w:after="0"/>
              <w:rPr>
                <w:sz w:val="20"/>
                <w:szCs w:val="20"/>
                <w:color w:val="auto"/>
              </w:rPr>
            </w:pPr>
            <w:r>
              <w:rPr>
                <w:rFonts w:ascii="Arial" w:cs="Arial" w:eastAsia="Arial" w:hAnsi="Arial"/>
                <w:sz w:val="12"/>
                <w:szCs w:val="12"/>
                <w:color w:val="auto"/>
              </w:rPr>
              <w:t>Preferred stock - $1.00 par value</w:t>
            </w: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40" w:type="dxa"/>
            <w:vAlign w:val="bottom"/>
            <w:shd w:val="clear" w:color="auto" w:fill="CCFFCC"/>
          </w:tcPr>
          <w:p>
            <w:pPr>
              <w:ind w:left="100"/>
              <w:spacing w:after="0"/>
              <w:rPr>
                <w:sz w:val="20"/>
                <w:szCs w:val="20"/>
                <w:color w:val="auto"/>
              </w:rPr>
            </w:pPr>
            <w:r>
              <w:rPr>
                <w:rFonts w:ascii="Arial" w:cs="Arial" w:eastAsia="Arial" w:hAnsi="Arial"/>
                <w:sz w:val="12"/>
                <w:szCs w:val="12"/>
                <w:color w:val="auto"/>
              </w:rPr>
              <w:t>Common stock - $1.00 par value</w:t>
            </w:r>
          </w:p>
        </w:tc>
        <w:tc>
          <w:tcPr>
            <w:tcW w:w="45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9,164</w:t>
            </w:r>
          </w:p>
        </w:tc>
        <w:tc>
          <w:tcPr>
            <w:tcW w:w="220" w:type="dxa"/>
            <w:vAlign w:val="bottom"/>
            <w:tcBorders>
              <w:left w:val="single" w:sz="8" w:color="CCFFCC"/>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9,164</w:t>
            </w:r>
          </w:p>
        </w:tc>
        <w:tc>
          <w:tcPr>
            <w:tcW w:w="0" w:type="dxa"/>
            <w:vAlign w:val="bottom"/>
          </w:tcPr>
          <w:p>
            <w:pPr>
              <w:spacing w:after="0"/>
              <w:rPr>
                <w:sz w:val="1"/>
                <w:szCs w:val="1"/>
                <w:color w:val="auto"/>
              </w:rPr>
            </w:pPr>
          </w:p>
        </w:tc>
      </w:tr>
      <w:tr>
        <w:trPr>
          <w:trHeight w:val="144"/>
        </w:trPr>
        <w:tc>
          <w:tcPr>
            <w:tcW w:w="3640" w:type="dxa"/>
            <w:vAlign w:val="bottom"/>
          </w:tcPr>
          <w:p>
            <w:pPr>
              <w:ind w:left="100"/>
              <w:spacing w:after="0"/>
              <w:rPr>
                <w:sz w:val="20"/>
                <w:szCs w:val="20"/>
                <w:color w:val="auto"/>
              </w:rPr>
            </w:pPr>
            <w:r>
              <w:rPr>
                <w:rFonts w:ascii="Arial" w:cs="Arial" w:eastAsia="Arial" w:hAnsi="Arial"/>
                <w:sz w:val="12"/>
                <w:szCs w:val="12"/>
                <w:color w:val="auto"/>
              </w:rPr>
              <w:t>Additional paid-in capital</w:t>
            </w: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48,830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48,213</w:t>
            </w:r>
          </w:p>
        </w:tc>
        <w:tc>
          <w:tcPr>
            <w:tcW w:w="0" w:type="dxa"/>
            <w:vAlign w:val="bottom"/>
          </w:tcPr>
          <w:p>
            <w:pPr>
              <w:spacing w:after="0"/>
              <w:rPr>
                <w:sz w:val="1"/>
                <w:szCs w:val="1"/>
                <w:color w:val="auto"/>
              </w:rPr>
            </w:pPr>
          </w:p>
        </w:tc>
      </w:tr>
      <w:tr>
        <w:trPr>
          <w:trHeight w:val="144"/>
        </w:trPr>
        <w:tc>
          <w:tcPr>
            <w:tcW w:w="3640" w:type="dxa"/>
            <w:vAlign w:val="bottom"/>
            <w:shd w:val="clear" w:color="auto" w:fill="CCFFCC"/>
          </w:tcPr>
          <w:p>
            <w:pPr>
              <w:ind w:left="100"/>
              <w:spacing w:after="0"/>
              <w:rPr>
                <w:sz w:val="20"/>
                <w:szCs w:val="20"/>
                <w:color w:val="auto"/>
              </w:rPr>
            </w:pPr>
            <w:r>
              <w:rPr>
                <w:rFonts w:ascii="Arial" w:cs="Arial" w:eastAsia="Arial" w:hAnsi="Arial"/>
                <w:sz w:val="12"/>
                <w:szCs w:val="12"/>
                <w:color w:val="auto"/>
              </w:rPr>
              <w:t>Retained earnings</w:t>
            </w:r>
          </w:p>
        </w:tc>
        <w:tc>
          <w:tcPr>
            <w:tcW w:w="45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11,991</w:t>
            </w:r>
          </w:p>
        </w:tc>
        <w:tc>
          <w:tcPr>
            <w:tcW w:w="220" w:type="dxa"/>
            <w:vAlign w:val="bottom"/>
            <w:tcBorders>
              <w:left w:val="single" w:sz="8" w:color="CCFFCC"/>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13,558</w:t>
            </w:r>
          </w:p>
        </w:tc>
        <w:tc>
          <w:tcPr>
            <w:tcW w:w="0" w:type="dxa"/>
            <w:vAlign w:val="bottom"/>
          </w:tcPr>
          <w:p>
            <w:pPr>
              <w:spacing w:after="0"/>
              <w:rPr>
                <w:sz w:val="1"/>
                <w:szCs w:val="1"/>
                <w:color w:val="auto"/>
              </w:rPr>
            </w:pPr>
          </w:p>
        </w:tc>
      </w:tr>
      <w:tr>
        <w:trPr>
          <w:trHeight w:val="20"/>
        </w:trPr>
        <w:tc>
          <w:tcPr>
            <w:tcW w:w="3640" w:type="dxa"/>
            <w:vAlign w:val="bottom"/>
            <w:shd w:val="clear" w:color="auto" w:fill="CCFFCC"/>
          </w:tcPr>
          <w:p>
            <w:pPr>
              <w:spacing w:after="0" w:line="20" w:lineRule="exact"/>
              <w:rPr>
                <w:sz w:val="1"/>
                <w:szCs w:val="1"/>
                <w:color w:val="auto"/>
              </w:rPr>
            </w:pPr>
          </w:p>
        </w:tc>
        <w:tc>
          <w:tcPr>
            <w:tcW w:w="45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69,985</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70,935</w:t>
            </w:r>
          </w:p>
        </w:tc>
        <w:tc>
          <w:tcPr>
            <w:tcW w:w="0" w:type="dxa"/>
            <w:vAlign w:val="bottom"/>
          </w:tcPr>
          <w:p>
            <w:pPr>
              <w:spacing w:after="0"/>
              <w:rPr>
                <w:sz w:val="1"/>
                <w:szCs w:val="1"/>
                <w:color w:val="auto"/>
              </w:rPr>
            </w:pPr>
          </w:p>
        </w:tc>
      </w:tr>
      <w:tr>
        <w:trPr>
          <w:trHeight w:val="144"/>
        </w:trPr>
        <w:tc>
          <w:tcPr>
            <w:tcW w:w="3640" w:type="dxa"/>
            <w:vAlign w:val="bottom"/>
            <w:shd w:val="clear" w:color="auto" w:fill="CCFFCC"/>
          </w:tcPr>
          <w:p>
            <w:pPr>
              <w:ind w:left="100"/>
              <w:spacing w:after="0"/>
              <w:rPr>
                <w:sz w:val="20"/>
                <w:szCs w:val="20"/>
                <w:color w:val="auto"/>
              </w:rPr>
            </w:pPr>
            <w:r>
              <w:rPr>
                <w:rFonts w:ascii="Arial" w:cs="Arial" w:eastAsia="Arial" w:hAnsi="Arial"/>
                <w:sz w:val="12"/>
                <w:szCs w:val="12"/>
                <w:color w:val="auto"/>
              </w:rPr>
              <w:t>Common stock reacquired and held in treasury</w:t>
            </w:r>
          </w:p>
        </w:tc>
        <w:tc>
          <w:tcPr>
            <w:tcW w:w="45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300" w:type="dxa"/>
            <w:vAlign w:val="bottom"/>
            <w:shd w:val="clear" w:color="auto" w:fill="CCFFCC"/>
          </w:tcPr>
          <w:p>
            <w:pPr>
              <w:spacing w:after="0"/>
              <w:rPr>
                <w:sz w:val="12"/>
                <w:szCs w:val="12"/>
                <w:color w:val="auto"/>
              </w:rPr>
            </w:pPr>
          </w:p>
        </w:tc>
        <w:tc>
          <w:tcPr>
            <w:tcW w:w="220" w:type="dxa"/>
            <w:vAlign w:val="bottom"/>
            <w:tcBorders>
              <w:left w:val="single" w:sz="8" w:color="CCFFCC"/>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40" w:type="dxa"/>
            <w:vAlign w:val="bottom"/>
          </w:tcPr>
          <w:p>
            <w:pPr>
              <w:ind w:left="200"/>
              <w:spacing w:after="0"/>
              <w:rPr>
                <w:sz w:val="20"/>
                <w:szCs w:val="20"/>
                <w:color w:val="auto"/>
              </w:rPr>
            </w:pPr>
            <w:r>
              <w:rPr>
                <w:rFonts w:ascii="Arial" w:cs="Arial" w:eastAsia="Arial" w:hAnsi="Arial"/>
                <w:sz w:val="12"/>
                <w:szCs w:val="12"/>
                <w:color w:val="auto"/>
              </w:rPr>
              <w:t>-at cost, 1,058,311 shares at January 31, 2009</w:t>
            </w: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40" w:type="dxa"/>
            <w:vAlign w:val="bottom"/>
            <w:shd w:val="clear" w:color="auto" w:fill="CCFFCC"/>
          </w:tcPr>
          <w:p>
            <w:pPr>
              <w:ind w:left="200"/>
              <w:spacing w:after="0"/>
              <w:rPr>
                <w:sz w:val="20"/>
                <w:szCs w:val="20"/>
                <w:color w:val="auto"/>
              </w:rPr>
            </w:pPr>
            <w:r>
              <w:rPr>
                <w:rFonts w:ascii="Arial" w:cs="Arial" w:eastAsia="Arial" w:hAnsi="Arial"/>
                <w:sz w:val="12"/>
                <w:szCs w:val="12"/>
                <w:color w:val="auto"/>
              </w:rPr>
              <w:t>and 427,366 shares at April 30, 2008</w:t>
            </w:r>
          </w:p>
        </w:tc>
        <w:tc>
          <w:tcPr>
            <w:tcW w:w="45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(5,060)</w:t>
            </w:r>
          </w:p>
        </w:tc>
        <w:tc>
          <w:tcPr>
            <w:tcW w:w="260" w:type="dxa"/>
            <w:vAlign w:val="bottom"/>
            <w:shd w:val="clear" w:color="auto" w:fill="CCFFCC"/>
          </w:tcPr>
          <w:p>
            <w:pPr>
              <w:spacing w:after="0"/>
              <w:rPr>
                <w:sz w:val="12"/>
                <w:szCs w:val="12"/>
                <w:color w:val="auto"/>
              </w:rPr>
            </w:pP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(2,175)</w:t>
            </w:r>
          </w:p>
        </w:tc>
        <w:tc>
          <w:tcPr>
            <w:tcW w:w="0" w:type="dxa"/>
            <w:vAlign w:val="bottom"/>
          </w:tcPr>
          <w:p>
            <w:pPr>
              <w:spacing w:after="0"/>
              <w:rPr>
                <w:sz w:val="1"/>
                <w:szCs w:val="1"/>
                <w:color w:val="auto"/>
              </w:rPr>
            </w:pPr>
          </w:p>
        </w:tc>
      </w:tr>
      <w:tr>
        <w:trPr>
          <w:trHeight w:val="144"/>
        </w:trPr>
        <w:tc>
          <w:tcPr>
            <w:tcW w:w="3640" w:type="dxa"/>
            <w:vAlign w:val="bottom"/>
          </w:tcPr>
          <w:p>
            <w:pPr>
              <w:ind w:left="100"/>
              <w:spacing w:after="0"/>
              <w:rPr>
                <w:sz w:val="20"/>
                <w:szCs w:val="20"/>
                <w:color w:val="auto"/>
              </w:rPr>
            </w:pPr>
            <w:r>
              <w:rPr>
                <w:rFonts w:ascii="Arial" w:cs="Arial" w:eastAsia="Arial" w:hAnsi="Arial"/>
                <w:sz w:val="12"/>
                <w:szCs w:val="12"/>
                <w:color w:val="auto"/>
              </w:rPr>
              <w:t>Accumulated other comprehensive income</w:t>
            </w: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3,898</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4,850</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40" w:type="dxa"/>
            <w:vAlign w:val="bottom"/>
            <w:shd w:val="clear" w:color="auto" w:fill="CCFFCC"/>
          </w:tcPr>
          <w:p>
            <w:pPr>
              <w:ind w:left="320"/>
              <w:spacing w:after="0"/>
              <w:rPr>
                <w:sz w:val="20"/>
                <w:szCs w:val="20"/>
                <w:color w:val="auto"/>
              </w:rPr>
            </w:pPr>
            <w:r>
              <w:rPr>
                <w:rFonts w:ascii="Arial" w:cs="Arial" w:eastAsia="Arial" w:hAnsi="Arial"/>
                <w:sz w:val="12"/>
                <w:szCs w:val="12"/>
                <w:color w:val="auto"/>
              </w:rPr>
              <w:t>Total stockholders' equity</w:t>
            </w:r>
          </w:p>
        </w:tc>
        <w:tc>
          <w:tcPr>
            <w:tcW w:w="45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68,823</w:t>
            </w:r>
          </w:p>
        </w:tc>
        <w:tc>
          <w:tcPr>
            <w:tcW w:w="220" w:type="dxa"/>
            <w:vAlign w:val="bottom"/>
            <w:tcBorders>
              <w:left w:val="single" w:sz="8" w:color="CCFFCC"/>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73,610</w:t>
            </w:r>
          </w:p>
        </w:tc>
        <w:tc>
          <w:tcPr>
            <w:tcW w:w="0" w:type="dxa"/>
            <w:vAlign w:val="bottom"/>
          </w:tcPr>
          <w:p>
            <w:pPr>
              <w:spacing w:after="0"/>
              <w:rPr>
                <w:sz w:val="1"/>
                <w:szCs w:val="1"/>
                <w:color w:val="auto"/>
              </w:rPr>
            </w:pPr>
          </w:p>
        </w:tc>
      </w:tr>
      <w:tr>
        <w:trPr>
          <w:trHeight w:val="20"/>
        </w:trPr>
        <w:tc>
          <w:tcPr>
            <w:tcW w:w="3640" w:type="dxa"/>
            <w:vAlign w:val="bottom"/>
            <w:shd w:val="clear" w:color="auto" w:fill="CCFFCC"/>
          </w:tcPr>
          <w:p>
            <w:pPr>
              <w:spacing w:after="0" w:line="20" w:lineRule="exact"/>
              <w:rPr>
                <w:sz w:val="1"/>
                <w:szCs w:val="1"/>
                <w:color w:val="auto"/>
              </w:rPr>
            </w:pPr>
          </w:p>
        </w:tc>
        <w:tc>
          <w:tcPr>
            <w:tcW w:w="45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40" w:type="dxa"/>
            <w:vAlign w:val="bottom"/>
          </w:tcPr>
          <w:p>
            <w:pPr>
              <w:ind w:left="320"/>
              <w:spacing w:after="0"/>
              <w:rPr>
                <w:sz w:val="20"/>
                <w:szCs w:val="20"/>
                <w:color w:val="auto"/>
              </w:rPr>
            </w:pPr>
            <w:r>
              <w:rPr>
                <w:rFonts w:ascii="Arial" w:cs="Arial" w:eastAsia="Arial" w:hAnsi="Arial"/>
                <w:sz w:val="12"/>
                <w:szCs w:val="12"/>
                <w:b w:val="1"/>
                <w:bCs w:val="1"/>
                <w:color w:val="auto"/>
              </w:rPr>
              <w:t>Total liabilities and stockholders' equity</w:t>
            </w:r>
          </w:p>
        </w:tc>
        <w:tc>
          <w:tcPr>
            <w:tcW w:w="47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2"/>
                <w:szCs w:val="12"/>
                <w:b w:val="1"/>
                <w:bCs w:val="1"/>
                <w:color w:val="auto"/>
              </w:rPr>
              <w:t>89,889</w:t>
            </w:r>
          </w:p>
        </w:tc>
        <w:tc>
          <w:tcPr>
            <w:tcW w:w="22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b w:val="1"/>
                <w:bCs w:val="1"/>
                <w:color w:val="auto"/>
                <w:w w:val="71"/>
              </w:rPr>
              <w:t>$</w:t>
            </w:r>
          </w:p>
        </w:tc>
        <w:tc>
          <w:tcPr>
            <w:tcW w:w="13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96,920</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condensed consolidated financial statements.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5560" w:type="dxa"/>
            <w:vAlign w:val="bottom"/>
            <w:gridSpan w:val="2"/>
          </w:tcPr>
          <w:p>
            <w:pPr>
              <w:jc w:val="center"/>
              <w:ind w:right="1120"/>
              <w:spacing w:after="0"/>
              <w:rPr>
                <w:sz w:val="20"/>
                <w:szCs w:val="20"/>
                <w:color w:val="auto"/>
              </w:rPr>
            </w:pPr>
            <w:r>
              <w:rPr>
                <w:rFonts w:ascii="Arial" w:cs="Arial" w:eastAsia="Arial" w:hAnsi="Arial"/>
                <w:sz w:val="12"/>
                <w:szCs w:val="12"/>
                <w:color w:val="auto"/>
                <w:w w:val="94"/>
              </w:rPr>
              <w:t>FREQUENCY ELECTRONICS, INC. and SUBSIDIARIES</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560" w:type="dxa"/>
            <w:vAlign w:val="bottom"/>
            <w:gridSpan w:val="2"/>
          </w:tcPr>
          <w:p>
            <w:pPr>
              <w:jc w:val="center"/>
              <w:ind w:right="1100"/>
              <w:spacing w:after="0"/>
              <w:rPr>
                <w:sz w:val="20"/>
                <w:szCs w:val="20"/>
                <w:color w:val="auto"/>
              </w:rPr>
            </w:pPr>
            <w:r>
              <w:rPr>
                <w:rFonts w:ascii="Arial" w:cs="Arial" w:eastAsia="Arial" w:hAnsi="Arial"/>
                <w:sz w:val="12"/>
                <w:szCs w:val="12"/>
                <w:color w:val="auto"/>
                <w:w w:val="88"/>
              </w:rPr>
              <w:t>Condensed Consolidated Statements of Operations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560" w:type="dxa"/>
            <w:vAlign w:val="bottom"/>
            <w:gridSpan w:val="2"/>
          </w:tcPr>
          <w:p>
            <w:pPr>
              <w:jc w:val="center"/>
              <w:ind w:right="1120"/>
              <w:spacing w:after="0"/>
              <w:rPr>
                <w:sz w:val="20"/>
                <w:szCs w:val="20"/>
                <w:color w:val="auto"/>
              </w:rPr>
            </w:pPr>
            <w:r>
              <w:rPr>
                <w:rFonts w:ascii="Arial" w:cs="Arial" w:eastAsia="Arial" w:hAnsi="Arial"/>
                <w:sz w:val="12"/>
                <w:szCs w:val="12"/>
                <w:color w:val="auto"/>
                <w:w w:val="89"/>
              </w:rPr>
              <w:t>Nine months Ended January 31,</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5560" w:type="dxa"/>
            <w:vAlign w:val="bottom"/>
            <w:gridSpan w:val="2"/>
          </w:tcPr>
          <w:p>
            <w:pPr>
              <w:jc w:val="center"/>
              <w:ind w:right="1120"/>
              <w:spacing w:after="0"/>
              <w:rPr>
                <w:sz w:val="20"/>
                <w:szCs w:val="20"/>
                <w:color w:val="auto"/>
              </w:rPr>
            </w:pPr>
            <w:r>
              <w:rPr>
                <w:rFonts w:ascii="Arial" w:cs="Arial" w:eastAsia="Arial" w:hAnsi="Arial"/>
                <w:sz w:val="12"/>
                <w:szCs w:val="12"/>
                <w:color w:val="auto"/>
                <w:w w:val="92"/>
              </w:rPr>
              <w:t>(Unaudited)</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2009</w:t>
            </w:r>
          </w:p>
        </w:tc>
        <w:tc>
          <w:tcPr>
            <w:tcW w:w="5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2"/>
                <w:szCs w:val="12"/>
                <w:color w:val="auto"/>
              </w:rPr>
              <w:t>2008</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660" w:type="dxa"/>
            <w:vAlign w:val="bottom"/>
            <w:gridSpan w:val="4"/>
          </w:tcPr>
          <w:p>
            <w:pPr>
              <w:jc w:val="right"/>
              <w:ind w:right="148"/>
              <w:spacing w:after="0"/>
              <w:rPr>
                <w:sz w:val="20"/>
                <w:szCs w:val="20"/>
                <w:color w:val="auto"/>
              </w:rPr>
            </w:pPr>
            <w:r>
              <w:rPr>
                <w:rFonts w:ascii="Arial" w:cs="Arial" w:eastAsia="Arial" w:hAnsi="Arial"/>
                <w:sz w:val="12"/>
                <w:szCs w:val="12"/>
                <w:color w:val="auto"/>
              </w:rPr>
              <w:t>(In thousands except per share data)</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shd w:val="clear" w:color="auto" w:fill="CCFFCC"/>
          </w:tcPr>
          <w:p>
            <w:pPr>
              <w:spacing w:after="0"/>
              <w:rPr>
                <w:sz w:val="20"/>
                <w:szCs w:val="20"/>
                <w:color w:val="auto"/>
              </w:rPr>
            </w:pPr>
            <w:r>
              <w:rPr>
                <w:rFonts w:ascii="Arial" w:cs="Arial" w:eastAsia="Arial" w:hAnsi="Arial"/>
                <w:sz w:val="12"/>
                <w:szCs w:val="12"/>
                <w:color w:val="auto"/>
              </w:rPr>
              <w:t>Revenues</w:t>
            </w:r>
          </w:p>
        </w:tc>
        <w:tc>
          <w:tcPr>
            <w:tcW w:w="5560" w:type="dxa"/>
            <w:vAlign w:val="bottom"/>
            <w:gridSpan w:val="2"/>
            <w:shd w:val="clear" w:color="auto" w:fill="CCFFCC"/>
          </w:tcPr>
          <w:p>
            <w:pPr>
              <w:jc w:val="right"/>
              <w:ind w:right="82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40,297</w:t>
            </w:r>
          </w:p>
        </w:tc>
        <w:tc>
          <w:tcPr>
            <w:tcW w:w="940" w:type="dxa"/>
            <w:vAlign w:val="bottom"/>
            <w:shd w:val="clear" w:color="auto" w:fill="CCFFCC"/>
          </w:tcPr>
          <w:p>
            <w:pPr>
              <w:jc w:val="right"/>
              <w:ind w:right="828"/>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50,105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tcPr>
          <w:p>
            <w:pPr>
              <w:spacing w:after="0"/>
              <w:rPr>
                <w:sz w:val="20"/>
                <w:szCs w:val="20"/>
                <w:color w:val="auto"/>
              </w:rPr>
            </w:pPr>
            <w:r>
              <w:rPr>
                <w:rFonts w:ascii="Arial" w:cs="Arial" w:eastAsia="Arial" w:hAnsi="Arial"/>
                <w:sz w:val="12"/>
                <w:szCs w:val="12"/>
                <w:color w:val="auto"/>
              </w:rPr>
              <w:t>Cost of revenues</w:t>
            </w:r>
          </w:p>
        </w:tc>
        <w:tc>
          <w:tcPr>
            <w:tcW w:w="4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30,932</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34,710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shd w:val="clear" w:color="auto" w:fill="CCFFCC"/>
          </w:tcPr>
          <w:p>
            <w:pPr>
              <w:ind w:left="180"/>
              <w:spacing w:after="0"/>
              <w:rPr>
                <w:sz w:val="20"/>
                <w:szCs w:val="20"/>
                <w:color w:val="auto"/>
              </w:rPr>
            </w:pPr>
            <w:r>
              <w:rPr>
                <w:rFonts w:ascii="Arial" w:cs="Arial" w:eastAsia="Arial" w:hAnsi="Arial"/>
                <w:sz w:val="12"/>
                <w:szCs w:val="12"/>
                <w:color w:val="auto"/>
              </w:rPr>
              <w:t>Gross margin</w:t>
            </w:r>
          </w:p>
        </w:tc>
        <w:tc>
          <w:tcPr>
            <w:tcW w:w="46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2"/>
                <w:szCs w:val="12"/>
                <w:color w:val="auto"/>
              </w:rPr>
              <w:t>9,365</w:t>
            </w: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15,395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tcPr>
          <w:p>
            <w:pPr>
              <w:spacing w:after="0"/>
              <w:rPr>
                <w:sz w:val="20"/>
                <w:szCs w:val="20"/>
                <w:color w:val="auto"/>
              </w:rPr>
            </w:pPr>
            <w:r>
              <w:rPr>
                <w:rFonts w:ascii="Arial" w:cs="Arial" w:eastAsia="Arial" w:hAnsi="Arial"/>
                <w:sz w:val="12"/>
                <w:szCs w:val="12"/>
                <w:color w:val="auto"/>
              </w:rPr>
              <w:t>Selling and administrative expenses</w:t>
            </w:r>
          </w:p>
        </w:tc>
        <w:tc>
          <w:tcPr>
            <w:tcW w:w="4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8,797</w:t>
            </w:r>
          </w:p>
        </w:tc>
        <w:tc>
          <w:tcPr>
            <w:tcW w:w="9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9,480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shd w:val="clear" w:color="auto" w:fill="CCFFCC"/>
          </w:tcPr>
          <w:p>
            <w:pPr>
              <w:spacing w:after="0"/>
              <w:rPr>
                <w:sz w:val="20"/>
                <w:szCs w:val="20"/>
                <w:color w:val="auto"/>
              </w:rPr>
            </w:pPr>
            <w:r>
              <w:rPr>
                <w:rFonts w:ascii="Arial" w:cs="Arial" w:eastAsia="Arial" w:hAnsi="Arial"/>
                <w:sz w:val="12"/>
                <w:szCs w:val="12"/>
                <w:color w:val="auto"/>
              </w:rPr>
              <w:t>Research and development expense</w:t>
            </w:r>
          </w:p>
        </w:tc>
        <w:tc>
          <w:tcPr>
            <w:tcW w:w="46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2"/>
                <w:szCs w:val="12"/>
                <w:color w:val="auto"/>
              </w:rPr>
              <w:t>3,068</w:t>
            </w: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5,526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shd w:val="clear" w:color="auto" w:fill="CCFFCC"/>
          </w:tcPr>
          <w:p>
            <w:pPr>
              <w:spacing w:after="0" w:line="20" w:lineRule="exact"/>
              <w:rPr>
                <w:sz w:val="1"/>
                <w:szCs w:val="1"/>
                <w:color w:val="auto"/>
              </w:rPr>
            </w:pPr>
          </w:p>
        </w:tc>
        <w:tc>
          <w:tcPr>
            <w:tcW w:w="462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ind w:left="180"/>
              <w:spacing w:after="0"/>
              <w:rPr>
                <w:sz w:val="20"/>
                <w:szCs w:val="20"/>
                <w:color w:val="auto"/>
              </w:rPr>
            </w:pPr>
            <w:r>
              <w:rPr>
                <w:rFonts w:ascii="Arial" w:cs="Arial" w:eastAsia="Arial" w:hAnsi="Arial"/>
                <w:sz w:val="12"/>
                <w:szCs w:val="12"/>
                <w:color w:val="auto"/>
              </w:rPr>
              <w:t>Operating (loss) income</w:t>
            </w:r>
          </w:p>
        </w:tc>
        <w:tc>
          <w:tcPr>
            <w:tcW w:w="4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(2,500)</w:t>
            </w:r>
          </w:p>
        </w:tc>
        <w:tc>
          <w:tcPr>
            <w:tcW w:w="9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389</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520" w:type="dxa"/>
            <w:vAlign w:val="bottom"/>
            <w:shd w:val="clear" w:color="auto" w:fill="CCFFCC"/>
          </w:tcPr>
          <w:p>
            <w:pPr>
              <w:spacing w:after="0"/>
              <w:rPr>
                <w:sz w:val="12"/>
                <w:szCs w:val="12"/>
                <w:color w:val="auto"/>
              </w:rPr>
            </w:pPr>
          </w:p>
        </w:tc>
        <w:tc>
          <w:tcPr>
            <w:tcW w:w="46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520" w:type="dxa"/>
            <w:vAlign w:val="bottom"/>
          </w:tcPr>
          <w:p>
            <w:pPr>
              <w:spacing w:after="0"/>
              <w:rPr>
                <w:sz w:val="20"/>
                <w:szCs w:val="20"/>
                <w:color w:val="auto"/>
              </w:rPr>
            </w:pPr>
            <w:r>
              <w:rPr>
                <w:rFonts w:ascii="Arial" w:cs="Arial" w:eastAsia="Arial" w:hAnsi="Arial"/>
                <w:sz w:val="12"/>
                <w:szCs w:val="12"/>
                <w:color w:val="auto"/>
              </w:rPr>
              <w:t>Other income (expense):</w:t>
            </w:r>
          </w:p>
        </w:tc>
        <w:tc>
          <w:tcPr>
            <w:tcW w:w="4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shd w:val="clear" w:color="auto" w:fill="CCFFCC"/>
          </w:tcPr>
          <w:p>
            <w:pPr>
              <w:ind w:left="80"/>
              <w:spacing w:after="0"/>
              <w:rPr>
                <w:sz w:val="20"/>
                <w:szCs w:val="20"/>
                <w:color w:val="auto"/>
              </w:rPr>
            </w:pPr>
            <w:r>
              <w:rPr>
                <w:rFonts w:ascii="Arial" w:cs="Arial" w:eastAsia="Arial" w:hAnsi="Arial"/>
                <w:sz w:val="12"/>
                <w:szCs w:val="12"/>
                <w:color w:val="auto"/>
              </w:rPr>
              <w:t>Investment income</w:t>
            </w:r>
          </w:p>
        </w:tc>
        <w:tc>
          <w:tcPr>
            <w:tcW w:w="46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526</w:t>
            </w:r>
          </w:p>
        </w:tc>
        <w:tc>
          <w:tcPr>
            <w:tcW w:w="94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3,965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tcPr>
          <w:p>
            <w:pPr>
              <w:ind w:left="80"/>
              <w:spacing w:after="0"/>
              <w:rPr>
                <w:sz w:val="20"/>
                <w:szCs w:val="20"/>
                <w:color w:val="auto"/>
              </w:rPr>
            </w:pPr>
            <w:r>
              <w:rPr>
                <w:rFonts w:ascii="Arial" w:cs="Arial" w:eastAsia="Arial" w:hAnsi="Arial"/>
                <w:sz w:val="12"/>
                <w:szCs w:val="12"/>
                <w:color w:val="auto"/>
              </w:rPr>
              <w:t>Equity loss</w:t>
            </w:r>
          </w:p>
        </w:tc>
        <w:tc>
          <w:tcPr>
            <w:tcW w:w="4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(100)</w:t>
            </w:r>
          </w:p>
        </w:tc>
        <w:tc>
          <w:tcPr>
            <w:tcW w:w="9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shd w:val="clear" w:color="auto" w:fill="CCFFCC"/>
          </w:tcPr>
          <w:p>
            <w:pPr>
              <w:ind w:left="80"/>
              <w:spacing w:after="0"/>
              <w:rPr>
                <w:sz w:val="20"/>
                <w:szCs w:val="20"/>
                <w:color w:val="auto"/>
              </w:rPr>
            </w:pPr>
            <w:r>
              <w:rPr>
                <w:rFonts w:ascii="Arial" w:cs="Arial" w:eastAsia="Arial" w:hAnsi="Arial"/>
                <w:sz w:val="12"/>
                <w:szCs w:val="12"/>
                <w:color w:val="auto"/>
              </w:rPr>
              <w:t>Interest expense</w:t>
            </w:r>
          </w:p>
        </w:tc>
        <w:tc>
          <w:tcPr>
            <w:tcW w:w="46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(269)</w:t>
            </w:r>
          </w:p>
        </w:tc>
        <w:tc>
          <w:tcPr>
            <w:tcW w:w="94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(402)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tcPr>
          <w:p>
            <w:pPr>
              <w:ind w:left="80"/>
              <w:spacing w:after="0"/>
              <w:rPr>
                <w:sz w:val="20"/>
                <w:szCs w:val="20"/>
                <w:color w:val="auto"/>
              </w:rPr>
            </w:pPr>
            <w:r>
              <w:rPr>
                <w:rFonts w:ascii="Arial" w:cs="Arial" w:eastAsia="Arial" w:hAnsi="Arial"/>
                <w:sz w:val="12"/>
                <w:szCs w:val="12"/>
                <w:color w:val="auto"/>
              </w:rPr>
              <w:t>Other income, net</w:t>
            </w:r>
          </w:p>
        </w:tc>
        <w:tc>
          <w:tcPr>
            <w:tcW w:w="4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80</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449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520" w:type="dxa"/>
            <w:vAlign w:val="bottom"/>
            <w:shd w:val="clear" w:color="auto" w:fill="CCFFCC"/>
          </w:tcPr>
          <w:p>
            <w:pPr>
              <w:spacing w:after="0"/>
              <w:rPr>
                <w:sz w:val="20"/>
                <w:szCs w:val="20"/>
                <w:color w:val="auto"/>
              </w:rPr>
            </w:pPr>
            <w:r>
              <w:rPr>
                <w:rFonts w:ascii="Arial" w:cs="Arial" w:eastAsia="Arial" w:hAnsi="Arial"/>
                <w:sz w:val="12"/>
                <w:szCs w:val="12"/>
                <w:color w:val="auto"/>
              </w:rPr>
              <w:t>(Loss) Income before (benefit) provision for income taxes</w:t>
            </w:r>
          </w:p>
        </w:tc>
        <w:tc>
          <w:tcPr>
            <w:tcW w:w="46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(2,263)</w:t>
            </w:r>
          </w:p>
        </w:tc>
        <w:tc>
          <w:tcPr>
            <w:tcW w:w="94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4,384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tcPr>
          <w:p>
            <w:pPr>
              <w:spacing w:after="0"/>
              <w:rPr>
                <w:sz w:val="20"/>
                <w:szCs w:val="20"/>
                <w:color w:val="auto"/>
              </w:rPr>
            </w:pPr>
            <w:r>
              <w:rPr>
                <w:rFonts w:ascii="Arial" w:cs="Arial" w:eastAsia="Arial" w:hAnsi="Arial"/>
                <w:sz w:val="12"/>
                <w:szCs w:val="12"/>
                <w:color w:val="auto"/>
              </w:rPr>
              <w:t>(Benefit) Provision for income taxes</w:t>
            </w:r>
          </w:p>
        </w:tc>
        <w:tc>
          <w:tcPr>
            <w:tcW w:w="4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(696)</w:t>
            </w:r>
          </w:p>
        </w:tc>
        <w:tc>
          <w:tcPr>
            <w:tcW w:w="9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1,837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520" w:type="dxa"/>
            <w:vAlign w:val="bottom"/>
            <w:shd w:val="clear" w:color="auto" w:fill="CCFFCC"/>
          </w:tcPr>
          <w:p>
            <w:pPr>
              <w:ind w:left="180"/>
              <w:spacing w:after="0"/>
              <w:rPr>
                <w:sz w:val="20"/>
                <w:szCs w:val="20"/>
                <w:color w:val="auto"/>
              </w:rPr>
            </w:pPr>
            <w:r>
              <w:rPr>
                <w:rFonts w:ascii="Arial" w:cs="Arial" w:eastAsia="Arial" w:hAnsi="Arial"/>
                <w:sz w:val="12"/>
                <w:szCs w:val="12"/>
                <w:color w:val="auto"/>
              </w:rPr>
              <w:t>Net (loss) income</w:t>
            </w:r>
          </w:p>
        </w:tc>
        <w:tc>
          <w:tcPr>
            <w:tcW w:w="5560" w:type="dxa"/>
            <w:vAlign w:val="bottom"/>
            <w:gridSpan w:val="2"/>
            <w:shd w:val="clear" w:color="auto" w:fill="CCFFCC"/>
          </w:tcPr>
          <w:p>
            <w:pPr>
              <w:jc w:val="right"/>
              <w:ind w:right="82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(1,567)</w:t>
            </w:r>
          </w:p>
        </w:tc>
        <w:tc>
          <w:tcPr>
            <w:tcW w:w="940" w:type="dxa"/>
            <w:vAlign w:val="bottom"/>
            <w:shd w:val="clear" w:color="auto" w:fill="CCFFCC"/>
          </w:tcPr>
          <w:p>
            <w:pPr>
              <w:jc w:val="right"/>
              <w:ind w:right="828"/>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2,547</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3520" w:type="dxa"/>
            <w:vAlign w:val="bottom"/>
            <w:tcBorders>
              <w:top w:val="single" w:sz="8" w:color="CCFFCC"/>
            </w:tcBorders>
          </w:tcPr>
          <w:p>
            <w:pPr>
              <w:spacing w:after="0"/>
              <w:rPr>
                <w:sz w:val="10"/>
                <w:szCs w:val="10"/>
                <w:color w:val="auto"/>
              </w:rPr>
            </w:pPr>
          </w:p>
        </w:tc>
        <w:tc>
          <w:tcPr>
            <w:tcW w:w="4620" w:type="dxa"/>
            <w:vAlign w:val="bottom"/>
            <w:tcBorders>
              <w:top w:val="single" w:sz="8" w:color="CCFFCC"/>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520" w:type="dxa"/>
            <w:vAlign w:val="bottom"/>
            <w:shd w:val="clear" w:color="auto" w:fill="CCFFCC"/>
          </w:tcPr>
          <w:p>
            <w:pPr>
              <w:spacing w:after="0"/>
              <w:rPr>
                <w:sz w:val="20"/>
                <w:szCs w:val="20"/>
                <w:color w:val="auto"/>
              </w:rPr>
            </w:pPr>
            <w:r>
              <w:rPr>
                <w:rFonts w:ascii="Arial" w:cs="Arial" w:eastAsia="Arial" w:hAnsi="Arial"/>
                <w:sz w:val="12"/>
                <w:szCs w:val="12"/>
                <w:color w:val="auto"/>
              </w:rPr>
              <w:t>Net (loss) income per common share</w:t>
            </w:r>
          </w:p>
        </w:tc>
        <w:tc>
          <w:tcPr>
            <w:tcW w:w="46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tcPr>
          <w:p>
            <w:pPr>
              <w:ind w:left="180"/>
              <w:spacing w:after="0"/>
              <w:rPr>
                <w:sz w:val="20"/>
                <w:szCs w:val="20"/>
                <w:color w:val="auto"/>
              </w:rPr>
            </w:pPr>
            <w:r>
              <w:rPr>
                <w:rFonts w:ascii="Arial" w:cs="Arial" w:eastAsia="Arial" w:hAnsi="Arial"/>
                <w:sz w:val="12"/>
                <w:szCs w:val="12"/>
                <w:color w:val="auto"/>
              </w:rPr>
              <w:t>Basic</w:t>
            </w:r>
          </w:p>
        </w:tc>
        <w:tc>
          <w:tcPr>
            <w:tcW w:w="5560" w:type="dxa"/>
            <w:vAlign w:val="bottom"/>
            <w:gridSpan w:val="2"/>
          </w:tcPr>
          <w:p>
            <w:pPr>
              <w:jc w:val="right"/>
              <w:ind w:right="82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(0.19)</w:t>
            </w:r>
          </w:p>
        </w:tc>
        <w:tc>
          <w:tcPr>
            <w:tcW w:w="940" w:type="dxa"/>
            <w:vAlign w:val="bottom"/>
          </w:tcPr>
          <w:p>
            <w:pPr>
              <w:jc w:val="right"/>
              <w:ind w:right="828"/>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520" w:type="dxa"/>
            <w:vAlign w:val="bottom"/>
            <w:shd w:val="clear" w:color="auto" w:fill="CCFFCC"/>
          </w:tcPr>
          <w:p>
            <w:pPr>
              <w:ind w:left="180"/>
              <w:spacing w:after="0" w:line="120" w:lineRule="exact"/>
              <w:rPr>
                <w:sz w:val="20"/>
                <w:szCs w:val="20"/>
                <w:color w:val="auto"/>
              </w:rPr>
            </w:pPr>
            <w:r>
              <w:rPr>
                <w:rFonts w:ascii="Arial" w:cs="Arial" w:eastAsia="Arial" w:hAnsi="Arial"/>
                <w:sz w:val="12"/>
                <w:szCs w:val="12"/>
                <w:color w:val="auto"/>
              </w:rPr>
              <w:t>Diluted</w:t>
            </w:r>
          </w:p>
        </w:tc>
        <w:tc>
          <w:tcPr>
            <w:tcW w:w="5560" w:type="dxa"/>
            <w:vAlign w:val="bottom"/>
            <w:gridSpan w:val="2"/>
            <w:shd w:val="clear" w:color="auto" w:fill="CCFFCC"/>
          </w:tcPr>
          <w:p>
            <w:pPr>
              <w:jc w:val="right"/>
              <w:ind w:right="820"/>
              <w:spacing w:after="0" w:line="120"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FFCC"/>
          </w:tcPr>
          <w:p>
            <w:pPr>
              <w:jc w:val="right"/>
              <w:ind w:right="180"/>
              <w:spacing w:after="0" w:line="120" w:lineRule="exact"/>
              <w:rPr>
                <w:sz w:val="20"/>
                <w:szCs w:val="20"/>
                <w:color w:val="auto"/>
              </w:rPr>
            </w:pPr>
            <w:r>
              <w:rPr>
                <w:rFonts w:ascii="Arial" w:cs="Arial" w:eastAsia="Arial" w:hAnsi="Arial"/>
                <w:sz w:val="12"/>
                <w:szCs w:val="12"/>
                <w:color w:val="auto"/>
              </w:rPr>
              <w:t>(0.19)</w:t>
            </w:r>
          </w:p>
        </w:tc>
        <w:tc>
          <w:tcPr>
            <w:tcW w:w="940" w:type="dxa"/>
            <w:vAlign w:val="bottom"/>
            <w:shd w:val="clear" w:color="auto" w:fill="CCFFCC"/>
          </w:tcPr>
          <w:p>
            <w:pPr>
              <w:jc w:val="right"/>
              <w:ind w:right="828"/>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2"/>
                <w:szCs w:val="12"/>
                <w:color w:val="auto"/>
              </w:rPr>
              <w:t>0.29</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3520" w:type="dxa"/>
            <w:vAlign w:val="bottom"/>
            <w:tcBorders>
              <w:top w:val="single" w:sz="8" w:color="CCFFCC"/>
            </w:tcBorders>
          </w:tcPr>
          <w:p>
            <w:pPr>
              <w:spacing w:after="0"/>
              <w:rPr>
                <w:sz w:val="10"/>
                <w:szCs w:val="10"/>
                <w:color w:val="auto"/>
              </w:rPr>
            </w:pPr>
          </w:p>
        </w:tc>
        <w:tc>
          <w:tcPr>
            <w:tcW w:w="4620" w:type="dxa"/>
            <w:vAlign w:val="bottom"/>
            <w:tcBorders>
              <w:top w:val="single" w:sz="8" w:color="CCFFCC"/>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520" w:type="dxa"/>
            <w:vAlign w:val="bottom"/>
            <w:shd w:val="clear" w:color="auto" w:fill="CCFFCC"/>
          </w:tcPr>
          <w:p>
            <w:pPr>
              <w:spacing w:after="0"/>
              <w:rPr>
                <w:sz w:val="20"/>
                <w:szCs w:val="20"/>
                <w:color w:val="auto"/>
              </w:rPr>
            </w:pPr>
            <w:r>
              <w:rPr>
                <w:rFonts w:ascii="Arial" w:cs="Arial" w:eastAsia="Arial" w:hAnsi="Arial"/>
                <w:sz w:val="12"/>
                <w:szCs w:val="12"/>
                <w:color w:val="auto"/>
              </w:rPr>
              <w:t>Weighted average shares outstanding</w:t>
            </w:r>
          </w:p>
        </w:tc>
        <w:tc>
          <w:tcPr>
            <w:tcW w:w="46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tcPr>
          <w:p>
            <w:pPr>
              <w:ind w:left="180"/>
              <w:spacing w:after="0"/>
              <w:rPr>
                <w:sz w:val="20"/>
                <w:szCs w:val="20"/>
                <w:color w:val="auto"/>
              </w:rPr>
            </w:pPr>
            <w:r>
              <w:rPr>
                <w:rFonts w:ascii="Arial" w:cs="Arial" w:eastAsia="Arial" w:hAnsi="Arial"/>
                <w:sz w:val="12"/>
                <w:szCs w:val="12"/>
                <w:color w:val="auto"/>
              </w:rPr>
              <w:t>Basic</w:t>
            </w:r>
          </w:p>
        </w:tc>
        <w:tc>
          <w:tcPr>
            <w:tcW w:w="4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8,381,424</w:t>
            </w:r>
          </w:p>
        </w:tc>
        <w:tc>
          <w:tcPr>
            <w:tcW w:w="9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8,702,755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520" w:type="dxa"/>
            <w:vAlign w:val="bottom"/>
            <w:tcBorders>
              <w:bottom w:val="single" w:sz="8" w:color="CCFFCC"/>
            </w:tcBorders>
            <w:shd w:val="clear" w:color="auto" w:fill="CCFFCC"/>
          </w:tcPr>
          <w:p>
            <w:pPr>
              <w:ind w:left="180"/>
              <w:spacing w:after="0" w:line="120" w:lineRule="exact"/>
              <w:rPr>
                <w:sz w:val="20"/>
                <w:szCs w:val="20"/>
                <w:color w:val="auto"/>
              </w:rPr>
            </w:pPr>
            <w:r>
              <w:rPr>
                <w:rFonts w:ascii="Arial" w:cs="Arial" w:eastAsia="Arial" w:hAnsi="Arial"/>
                <w:sz w:val="12"/>
                <w:szCs w:val="12"/>
                <w:color w:val="auto"/>
              </w:rPr>
              <w:t>Diluted</w:t>
            </w:r>
          </w:p>
        </w:tc>
        <w:tc>
          <w:tcPr>
            <w:tcW w:w="4620" w:type="dxa"/>
            <w:vAlign w:val="bottom"/>
            <w:tcBorders>
              <w:bottom w:val="single" w:sz="8" w:color="CCFFCC"/>
            </w:tcBorders>
            <w:shd w:val="clear" w:color="auto" w:fill="CCFFCC"/>
          </w:tcPr>
          <w:p>
            <w:pPr>
              <w:spacing w:after="0"/>
              <w:rPr>
                <w:sz w:val="13"/>
                <w:szCs w:val="13"/>
                <w:color w:val="auto"/>
              </w:rPr>
            </w:pPr>
          </w:p>
        </w:tc>
        <w:tc>
          <w:tcPr>
            <w:tcW w:w="940" w:type="dxa"/>
            <w:vAlign w:val="bottom"/>
            <w:tcBorders>
              <w:bottom w:val="single" w:sz="8" w:color="auto"/>
            </w:tcBorders>
            <w:shd w:val="clear" w:color="auto" w:fill="CCFFCC"/>
          </w:tcPr>
          <w:p>
            <w:pPr>
              <w:spacing w:after="0"/>
              <w:rPr>
                <w:sz w:val="13"/>
                <w:szCs w:val="13"/>
                <w:color w:val="auto"/>
              </w:rPr>
            </w:pPr>
          </w:p>
        </w:tc>
        <w:tc>
          <w:tcPr>
            <w:tcW w:w="560" w:type="dxa"/>
            <w:vAlign w:val="bottom"/>
            <w:tcBorders>
              <w:bottom w:val="single" w:sz="8" w:color="auto"/>
            </w:tcBorders>
            <w:shd w:val="clear" w:color="auto" w:fill="CCFFCC"/>
          </w:tcPr>
          <w:p>
            <w:pPr>
              <w:jc w:val="right"/>
              <w:spacing w:after="0" w:line="120" w:lineRule="exact"/>
              <w:rPr>
                <w:sz w:val="20"/>
                <w:szCs w:val="20"/>
                <w:color w:val="auto"/>
              </w:rPr>
            </w:pPr>
            <w:r>
              <w:rPr>
                <w:rFonts w:ascii="Arial" w:cs="Arial" w:eastAsia="Arial" w:hAnsi="Arial"/>
                <w:sz w:val="12"/>
                <w:szCs w:val="12"/>
                <w:color w:val="auto"/>
              </w:rPr>
              <w:t>8,381,424</w:t>
            </w:r>
          </w:p>
        </w:tc>
        <w:tc>
          <w:tcPr>
            <w:tcW w:w="220" w:type="dxa"/>
            <w:vAlign w:val="bottom"/>
            <w:tcBorders>
              <w:bottom w:val="single" w:sz="8" w:color="CCFFCC"/>
            </w:tcBorders>
            <w:shd w:val="clear" w:color="auto" w:fill="CCFFCC"/>
          </w:tcPr>
          <w:p>
            <w:pPr>
              <w:spacing w:after="0"/>
              <w:rPr>
                <w:sz w:val="13"/>
                <w:szCs w:val="13"/>
                <w:color w:val="auto"/>
              </w:rPr>
            </w:pPr>
          </w:p>
        </w:tc>
        <w:tc>
          <w:tcPr>
            <w:tcW w:w="940" w:type="dxa"/>
            <w:vAlign w:val="bottom"/>
            <w:tcBorders>
              <w:bottom w:val="single" w:sz="8" w:color="auto"/>
            </w:tcBorders>
            <w:shd w:val="clear" w:color="auto" w:fill="CCFFCC"/>
          </w:tcPr>
          <w:p>
            <w:pPr>
              <w:spacing w:after="0"/>
              <w:rPr>
                <w:sz w:val="13"/>
                <w:szCs w:val="13"/>
                <w:color w:val="auto"/>
              </w:rPr>
            </w:pPr>
          </w:p>
        </w:tc>
        <w:tc>
          <w:tcPr>
            <w:tcW w:w="540" w:type="dxa"/>
            <w:vAlign w:val="bottom"/>
            <w:tcBorders>
              <w:bottom w:val="single" w:sz="8" w:color="auto"/>
            </w:tcBorders>
            <w:shd w:val="clear" w:color="auto" w:fill="CCFFCC"/>
          </w:tcPr>
          <w:p>
            <w:pPr>
              <w:jc w:val="right"/>
              <w:spacing w:after="0" w:line="120" w:lineRule="exact"/>
              <w:rPr>
                <w:sz w:val="20"/>
                <w:szCs w:val="20"/>
                <w:color w:val="auto"/>
              </w:rPr>
            </w:pPr>
            <w:r>
              <w:rPr>
                <w:rFonts w:ascii="Arial" w:cs="Arial" w:eastAsia="Arial" w:hAnsi="Arial"/>
                <w:sz w:val="12"/>
                <w:szCs w:val="12"/>
                <w:color w:val="auto"/>
                <w:w w:val="97"/>
              </w:rPr>
              <w:t>8,782,763</w:t>
            </w:r>
          </w:p>
        </w:tc>
        <w:tc>
          <w:tcPr>
            <w:tcW w:w="120" w:type="dxa"/>
            <w:vAlign w:val="bottom"/>
            <w:tcBorders>
              <w:bottom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condensed financial statements.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5740" w:type="dxa"/>
            <w:vAlign w:val="bottom"/>
            <w:gridSpan w:val="2"/>
          </w:tcPr>
          <w:p>
            <w:pPr>
              <w:jc w:val="center"/>
              <w:ind w:right="940"/>
              <w:spacing w:after="0"/>
              <w:rPr>
                <w:sz w:val="20"/>
                <w:szCs w:val="20"/>
                <w:color w:val="auto"/>
              </w:rPr>
            </w:pPr>
            <w:r>
              <w:rPr>
                <w:rFonts w:ascii="Arial" w:cs="Arial" w:eastAsia="Arial" w:hAnsi="Arial"/>
                <w:sz w:val="12"/>
                <w:szCs w:val="12"/>
                <w:color w:val="auto"/>
                <w:w w:val="94"/>
              </w:rPr>
              <w:t>FREQUENCY ELECTRONICS, INC. and SUBSIDIARIES</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740" w:type="dxa"/>
            <w:vAlign w:val="bottom"/>
            <w:gridSpan w:val="2"/>
          </w:tcPr>
          <w:p>
            <w:pPr>
              <w:jc w:val="center"/>
              <w:ind w:right="920"/>
              <w:spacing w:after="0"/>
              <w:rPr>
                <w:sz w:val="20"/>
                <w:szCs w:val="20"/>
                <w:color w:val="auto"/>
              </w:rPr>
            </w:pPr>
            <w:r>
              <w:rPr>
                <w:rFonts w:ascii="Arial" w:cs="Arial" w:eastAsia="Arial" w:hAnsi="Arial"/>
                <w:sz w:val="12"/>
                <w:szCs w:val="12"/>
                <w:color w:val="auto"/>
                <w:w w:val="88"/>
              </w:rPr>
              <w:t>Condensed Consolidated Statements of Operations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740" w:type="dxa"/>
            <w:vAlign w:val="bottom"/>
            <w:gridSpan w:val="2"/>
          </w:tcPr>
          <w:p>
            <w:pPr>
              <w:jc w:val="center"/>
              <w:ind w:right="920"/>
              <w:spacing w:after="0"/>
              <w:rPr>
                <w:sz w:val="20"/>
                <w:szCs w:val="20"/>
                <w:color w:val="auto"/>
              </w:rPr>
            </w:pPr>
            <w:r>
              <w:rPr>
                <w:rFonts w:ascii="Arial" w:cs="Arial" w:eastAsia="Arial" w:hAnsi="Arial"/>
                <w:sz w:val="12"/>
                <w:szCs w:val="12"/>
                <w:color w:val="auto"/>
                <w:w w:val="89"/>
              </w:rPr>
              <w:t>Three Months Ended January 31,</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5740" w:type="dxa"/>
            <w:vAlign w:val="bottom"/>
            <w:gridSpan w:val="2"/>
          </w:tcPr>
          <w:p>
            <w:pPr>
              <w:jc w:val="center"/>
              <w:ind w:right="940"/>
              <w:spacing w:after="0"/>
              <w:rPr>
                <w:sz w:val="20"/>
                <w:szCs w:val="20"/>
                <w:color w:val="auto"/>
              </w:rPr>
            </w:pPr>
            <w:r>
              <w:rPr>
                <w:rFonts w:ascii="Arial" w:cs="Arial" w:eastAsia="Arial" w:hAnsi="Arial"/>
                <w:sz w:val="12"/>
                <w:szCs w:val="12"/>
                <w:color w:val="auto"/>
                <w:w w:val="92"/>
              </w:rPr>
              <w:t>(Unaudited)</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2009</w:t>
            </w:r>
          </w:p>
        </w:tc>
        <w:tc>
          <w:tcPr>
            <w:tcW w:w="5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2"/>
                <w:szCs w:val="12"/>
                <w:color w:val="auto"/>
              </w:rPr>
              <w:t>2008</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660" w:type="dxa"/>
            <w:vAlign w:val="bottom"/>
            <w:gridSpan w:val="4"/>
          </w:tcPr>
          <w:p>
            <w:pPr>
              <w:jc w:val="right"/>
              <w:ind w:right="148"/>
              <w:spacing w:after="0"/>
              <w:rPr>
                <w:sz w:val="20"/>
                <w:szCs w:val="20"/>
                <w:color w:val="auto"/>
              </w:rPr>
            </w:pPr>
            <w:r>
              <w:rPr>
                <w:rFonts w:ascii="Arial" w:cs="Arial" w:eastAsia="Arial" w:hAnsi="Arial"/>
                <w:sz w:val="12"/>
                <w:szCs w:val="12"/>
                <w:color w:val="auto"/>
              </w:rPr>
              <w:t>(In thousands except per share data)</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40" w:type="dxa"/>
            <w:vAlign w:val="bottom"/>
            <w:shd w:val="clear" w:color="auto" w:fill="CCFFCC"/>
          </w:tcPr>
          <w:p>
            <w:pPr>
              <w:spacing w:after="0"/>
              <w:rPr>
                <w:sz w:val="20"/>
                <w:szCs w:val="20"/>
                <w:color w:val="auto"/>
              </w:rPr>
            </w:pPr>
            <w:r>
              <w:rPr>
                <w:rFonts w:ascii="Arial" w:cs="Arial" w:eastAsia="Arial" w:hAnsi="Arial"/>
                <w:sz w:val="12"/>
                <w:szCs w:val="12"/>
                <w:color w:val="auto"/>
              </w:rPr>
              <w:t>Revenues</w:t>
            </w:r>
          </w:p>
        </w:tc>
        <w:tc>
          <w:tcPr>
            <w:tcW w:w="5740" w:type="dxa"/>
            <w:vAlign w:val="bottom"/>
            <w:gridSpan w:val="2"/>
            <w:shd w:val="clear" w:color="auto" w:fill="CCFFCC"/>
          </w:tcPr>
          <w:p>
            <w:pPr>
              <w:jc w:val="right"/>
              <w:ind w:right="82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13,208</w:t>
            </w:r>
          </w:p>
        </w:tc>
        <w:tc>
          <w:tcPr>
            <w:tcW w:w="940" w:type="dxa"/>
            <w:vAlign w:val="bottom"/>
            <w:shd w:val="clear" w:color="auto" w:fill="CCFFCC"/>
          </w:tcPr>
          <w:p>
            <w:pPr>
              <w:jc w:val="right"/>
              <w:ind w:right="828"/>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17,055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40" w:type="dxa"/>
            <w:vAlign w:val="bottom"/>
          </w:tcPr>
          <w:p>
            <w:pPr>
              <w:spacing w:after="0"/>
              <w:rPr>
                <w:sz w:val="20"/>
                <w:szCs w:val="20"/>
                <w:color w:val="auto"/>
              </w:rPr>
            </w:pPr>
            <w:r>
              <w:rPr>
                <w:rFonts w:ascii="Arial" w:cs="Arial" w:eastAsia="Arial" w:hAnsi="Arial"/>
                <w:sz w:val="12"/>
                <w:szCs w:val="12"/>
                <w:color w:val="auto"/>
              </w:rPr>
              <w:t>Cost of revenues</w:t>
            </w:r>
          </w:p>
        </w:tc>
        <w:tc>
          <w:tcPr>
            <w:tcW w:w="480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9,749</w:t>
            </w:r>
          </w:p>
        </w:tc>
        <w:tc>
          <w:tcPr>
            <w:tcW w:w="22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shd w:val="clear" w:color="auto" w:fill="CCFFCC"/>
          </w:tcPr>
          <w:p>
            <w:pPr>
              <w:ind w:left="180"/>
              <w:spacing w:after="0"/>
              <w:rPr>
                <w:sz w:val="20"/>
                <w:szCs w:val="20"/>
                <w:color w:val="auto"/>
              </w:rPr>
            </w:pPr>
            <w:r>
              <w:rPr>
                <w:rFonts w:ascii="Arial" w:cs="Arial" w:eastAsia="Arial" w:hAnsi="Arial"/>
                <w:sz w:val="12"/>
                <w:szCs w:val="12"/>
                <w:color w:val="auto"/>
              </w:rPr>
              <w:t>Gross margin</w:t>
            </w:r>
          </w:p>
        </w:tc>
        <w:tc>
          <w:tcPr>
            <w:tcW w:w="480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3,459</w:t>
            </w:r>
          </w:p>
        </w:tc>
        <w:tc>
          <w:tcPr>
            <w:tcW w:w="94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5,455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40" w:type="dxa"/>
            <w:vAlign w:val="bottom"/>
          </w:tcPr>
          <w:p>
            <w:pPr>
              <w:spacing w:after="0"/>
              <w:rPr>
                <w:sz w:val="20"/>
                <w:szCs w:val="20"/>
                <w:color w:val="auto"/>
              </w:rPr>
            </w:pPr>
            <w:r>
              <w:rPr>
                <w:rFonts w:ascii="Arial" w:cs="Arial" w:eastAsia="Arial" w:hAnsi="Arial"/>
                <w:sz w:val="12"/>
                <w:szCs w:val="12"/>
                <w:color w:val="auto"/>
              </w:rPr>
              <w:t>Selling and administrative expenses</w:t>
            </w:r>
          </w:p>
        </w:tc>
        <w:tc>
          <w:tcPr>
            <w:tcW w:w="4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2,845</w:t>
            </w:r>
          </w:p>
        </w:tc>
        <w:tc>
          <w:tcPr>
            <w:tcW w:w="9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3,109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40" w:type="dxa"/>
            <w:vAlign w:val="bottom"/>
            <w:shd w:val="clear" w:color="auto" w:fill="CCFFCC"/>
          </w:tcPr>
          <w:p>
            <w:pPr>
              <w:spacing w:after="0"/>
              <w:rPr>
                <w:sz w:val="20"/>
                <w:szCs w:val="20"/>
                <w:color w:val="auto"/>
              </w:rPr>
            </w:pPr>
            <w:r>
              <w:rPr>
                <w:rFonts w:ascii="Arial" w:cs="Arial" w:eastAsia="Arial" w:hAnsi="Arial"/>
                <w:sz w:val="12"/>
                <w:szCs w:val="12"/>
                <w:color w:val="auto"/>
              </w:rPr>
              <w:t>Research and development expense</w:t>
            </w:r>
          </w:p>
        </w:tc>
        <w:tc>
          <w:tcPr>
            <w:tcW w:w="480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2"/>
                <w:szCs w:val="12"/>
                <w:color w:val="auto"/>
              </w:rPr>
              <w:t>829</w:t>
            </w: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1,541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shd w:val="clear" w:color="auto" w:fill="CCFFCC"/>
          </w:tcPr>
          <w:p>
            <w:pPr>
              <w:spacing w:after="0" w:line="20" w:lineRule="exact"/>
              <w:rPr>
                <w:sz w:val="1"/>
                <w:szCs w:val="1"/>
                <w:color w:val="auto"/>
              </w:rPr>
            </w:pPr>
          </w:p>
        </w:tc>
        <w:tc>
          <w:tcPr>
            <w:tcW w:w="480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ind w:left="180"/>
              <w:spacing w:after="0"/>
              <w:rPr>
                <w:sz w:val="20"/>
                <w:szCs w:val="20"/>
                <w:color w:val="auto"/>
              </w:rPr>
            </w:pPr>
            <w:r>
              <w:rPr>
                <w:rFonts w:ascii="Arial" w:cs="Arial" w:eastAsia="Arial" w:hAnsi="Arial"/>
                <w:sz w:val="12"/>
                <w:szCs w:val="12"/>
                <w:color w:val="auto"/>
              </w:rPr>
              <w:t>Operating (loss) income</w:t>
            </w:r>
          </w:p>
        </w:tc>
        <w:tc>
          <w:tcPr>
            <w:tcW w:w="4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(215)</w:t>
            </w:r>
          </w:p>
        </w:tc>
        <w:tc>
          <w:tcPr>
            <w:tcW w:w="9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805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340" w:type="dxa"/>
            <w:vAlign w:val="bottom"/>
            <w:shd w:val="clear" w:color="auto" w:fill="CCFFCC"/>
          </w:tcPr>
          <w:p>
            <w:pPr>
              <w:spacing w:after="0"/>
              <w:rPr>
                <w:sz w:val="12"/>
                <w:szCs w:val="12"/>
                <w:color w:val="auto"/>
              </w:rPr>
            </w:pPr>
          </w:p>
        </w:tc>
        <w:tc>
          <w:tcPr>
            <w:tcW w:w="480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40" w:type="dxa"/>
            <w:vAlign w:val="bottom"/>
          </w:tcPr>
          <w:p>
            <w:pPr>
              <w:spacing w:after="0"/>
              <w:rPr>
                <w:sz w:val="20"/>
                <w:szCs w:val="20"/>
                <w:color w:val="auto"/>
              </w:rPr>
            </w:pPr>
            <w:r>
              <w:rPr>
                <w:rFonts w:ascii="Arial" w:cs="Arial" w:eastAsia="Arial" w:hAnsi="Arial"/>
                <w:sz w:val="12"/>
                <w:szCs w:val="12"/>
                <w:color w:val="auto"/>
              </w:rPr>
              <w:t>Other income (expense):</w:t>
            </w:r>
          </w:p>
        </w:tc>
        <w:tc>
          <w:tcPr>
            <w:tcW w:w="4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40" w:type="dxa"/>
            <w:vAlign w:val="bottom"/>
            <w:shd w:val="clear" w:color="auto" w:fill="CCFFCC"/>
          </w:tcPr>
          <w:p>
            <w:pPr>
              <w:ind w:left="80"/>
              <w:spacing w:after="0"/>
              <w:rPr>
                <w:sz w:val="20"/>
                <w:szCs w:val="20"/>
                <w:color w:val="auto"/>
              </w:rPr>
            </w:pPr>
            <w:r>
              <w:rPr>
                <w:rFonts w:ascii="Arial" w:cs="Arial" w:eastAsia="Arial" w:hAnsi="Arial"/>
                <w:sz w:val="12"/>
                <w:szCs w:val="12"/>
                <w:color w:val="auto"/>
              </w:rPr>
              <w:t>Investment income</w:t>
            </w:r>
          </w:p>
        </w:tc>
        <w:tc>
          <w:tcPr>
            <w:tcW w:w="480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159</w:t>
            </w:r>
          </w:p>
        </w:tc>
        <w:tc>
          <w:tcPr>
            <w:tcW w:w="94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202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40" w:type="dxa"/>
            <w:vAlign w:val="bottom"/>
          </w:tcPr>
          <w:p>
            <w:pPr>
              <w:ind w:left="80"/>
              <w:spacing w:after="0"/>
              <w:rPr>
                <w:sz w:val="20"/>
                <w:szCs w:val="20"/>
                <w:color w:val="auto"/>
              </w:rPr>
            </w:pPr>
            <w:r>
              <w:rPr>
                <w:rFonts w:ascii="Arial" w:cs="Arial" w:eastAsia="Arial" w:hAnsi="Arial"/>
                <w:sz w:val="12"/>
                <w:szCs w:val="12"/>
                <w:color w:val="auto"/>
              </w:rPr>
              <w:t>Equity income</w:t>
            </w:r>
          </w:p>
        </w:tc>
        <w:tc>
          <w:tcPr>
            <w:tcW w:w="4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208</w:t>
            </w:r>
          </w:p>
        </w:tc>
        <w:tc>
          <w:tcPr>
            <w:tcW w:w="9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128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40" w:type="dxa"/>
            <w:vAlign w:val="bottom"/>
            <w:shd w:val="clear" w:color="auto" w:fill="CCFFCC"/>
          </w:tcPr>
          <w:p>
            <w:pPr>
              <w:ind w:left="80"/>
              <w:spacing w:after="0"/>
              <w:rPr>
                <w:sz w:val="20"/>
                <w:szCs w:val="20"/>
                <w:color w:val="auto"/>
              </w:rPr>
            </w:pPr>
            <w:r>
              <w:rPr>
                <w:rFonts w:ascii="Arial" w:cs="Arial" w:eastAsia="Arial" w:hAnsi="Arial"/>
                <w:sz w:val="12"/>
                <w:szCs w:val="12"/>
                <w:color w:val="auto"/>
              </w:rPr>
              <w:t>Interest expense</w:t>
            </w:r>
          </w:p>
        </w:tc>
        <w:tc>
          <w:tcPr>
            <w:tcW w:w="480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(76)</w:t>
            </w:r>
          </w:p>
        </w:tc>
        <w:tc>
          <w:tcPr>
            <w:tcW w:w="94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(110)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40" w:type="dxa"/>
            <w:vAlign w:val="bottom"/>
          </w:tcPr>
          <w:p>
            <w:pPr>
              <w:ind w:left="80"/>
              <w:spacing w:after="0"/>
              <w:rPr>
                <w:sz w:val="20"/>
                <w:szCs w:val="20"/>
                <w:color w:val="auto"/>
              </w:rPr>
            </w:pPr>
            <w:r>
              <w:rPr>
                <w:rFonts w:ascii="Arial" w:cs="Arial" w:eastAsia="Arial" w:hAnsi="Arial"/>
                <w:sz w:val="12"/>
                <w:szCs w:val="12"/>
                <w:color w:val="auto"/>
              </w:rPr>
              <w:t>Other income, net</w:t>
            </w:r>
          </w:p>
        </w:tc>
        <w:tc>
          <w:tcPr>
            <w:tcW w:w="4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366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40" w:type="dxa"/>
            <w:vAlign w:val="bottom"/>
            <w:shd w:val="clear" w:color="auto" w:fill="CCFFCC"/>
          </w:tcPr>
          <w:p>
            <w:pPr>
              <w:spacing w:after="0"/>
              <w:rPr>
                <w:sz w:val="20"/>
                <w:szCs w:val="20"/>
                <w:color w:val="auto"/>
              </w:rPr>
            </w:pPr>
            <w:r>
              <w:rPr>
                <w:rFonts w:ascii="Arial" w:cs="Arial" w:eastAsia="Arial" w:hAnsi="Arial"/>
                <w:sz w:val="12"/>
                <w:szCs w:val="12"/>
                <w:color w:val="auto"/>
              </w:rPr>
              <w:t>Income before (benefit) provision for income taxes</w:t>
            </w:r>
          </w:p>
        </w:tc>
        <w:tc>
          <w:tcPr>
            <w:tcW w:w="480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2"/>
                <w:szCs w:val="12"/>
                <w:color w:val="auto"/>
              </w:rPr>
              <w:t>80</w:t>
            </w: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1,391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40" w:type="dxa"/>
            <w:vAlign w:val="bottom"/>
          </w:tcPr>
          <w:p>
            <w:pPr>
              <w:spacing w:after="0"/>
              <w:rPr>
                <w:sz w:val="20"/>
                <w:szCs w:val="20"/>
                <w:color w:val="auto"/>
              </w:rPr>
            </w:pPr>
            <w:r>
              <w:rPr>
                <w:rFonts w:ascii="Arial" w:cs="Arial" w:eastAsia="Arial" w:hAnsi="Arial"/>
                <w:sz w:val="12"/>
                <w:szCs w:val="12"/>
                <w:color w:val="auto"/>
              </w:rPr>
              <w:t>(Benefit) Provision for income taxes</w:t>
            </w:r>
          </w:p>
        </w:tc>
        <w:tc>
          <w:tcPr>
            <w:tcW w:w="4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(19)</w:t>
            </w:r>
          </w:p>
        </w:tc>
        <w:tc>
          <w:tcPr>
            <w:tcW w:w="9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633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shd w:val="clear" w:color="auto" w:fill="CCFFCC"/>
          </w:tcPr>
          <w:p>
            <w:pPr>
              <w:ind w:left="180"/>
              <w:spacing w:after="0"/>
              <w:rPr>
                <w:sz w:val="20"/>
                <w:szCs w:val="20"/>
                <w:color w:val="auto"/>
              </w:rPr>
            </w:pPr>
            <w:r>
              <w:rPr>
                <w:rFonts w:ascii="Arial" w:cs="Arial" w:eastAsia="Arial" w:hAnsi="Arial"/>
                <w:sz w:val="12"/>
                <w:szCs w:val="12"/>
                <w:color w:val="auto"/>
              </w:rPr>
              <w:t>Net income</w:t>
            </w:r>
          </w:p>
        </w:tc>
        <w:tc>
          <w:tcPr>
            <w:tcW w:w="5740" w:type="dxa"/>
            <w:vAlign w:val="bottom"/>
            <w:gridSpan w:val="2"/>
            <w:shd w:val="clear" w:color="auto" w:fill="CCFFCC"/>
          </w:tcPr>
          <w:p>
            <w:pPr>
              <w:jc w:val="right"/>
              <w:ind w:right="82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99</w:t>
            </w:r>
          </w:p>
        </w:tc>
        <w:tc>
          <w:tcPr>
            <w:tcW w:w="940" w:type="dxa"/>
            <w:vAlign w:val="bottom"/>
            <w:shd w:val="clear" w:color="auto" w:fill="CCFFCC"/>
          </w:tcPr>
          <w:p>
            <w:pPr>
              <w:jc w:val="right"/>
              <w:ind w:right="828"/>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758</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3340" w:type="dxa"/>
            <w:vAlign w:val="bottom"/>
            <w:tcBorders>
              <w:top w:val="single" w:sz="8" w:color="CCFFCC"/>
            </w:tcBorders>
          </w:tcPr>
          <w:p>
            <w:pPr>
              <w:spacing w:after="0"/>
              <w:rPr>
                <w:sz w:val="10"/>
                <w:szCs w:val="10"/>
                <w:color w:val="auto"/>
              </w:rPr>
            </w:pPr>
          </w:p>
        </w:tc>
        <w:tc>
          <w:tcPr>
            <w:tcW w:w="4800" w:type="dxa"/>
            <w:vAlign w:val="bottom"/>
            <w:tcBorders>
              <w:top w:val="single" w:sz="8" w:color="CCFFCC"/>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40" w:type="dxa"/>
            <w:vAlign w:val="bottom"/>
            <w:shd w:val="clear" w:color="auto" w:fill="CCFFCC"/>
          </w:tcPr>
          <w:p>
            <w:pPr>
              <w:spacing w:after="0"/>
              <w:rPr>
                <w:sz w:val="20"/>
                <w:szCs w:val="20"/>
                <w:color w:val="auto"/>
              </w:rPr>
            </w:pPr>
            <w:r>
              <w:rPr>
                <w:rFonts w:ascii="Arial" w:cs="Arial" w:eastAsia="Arial" w:hAnsi="Arial"/>
                <w:sz w:val="12"/>
                <w:szCs w:val="12"/>
                <w:color w:val="auto"/>
              </w:rPr>
              <w:t>Net income per common share</w:t>
            </w:r>
          </w:p>
        </w:tc>
        <w:tc>
          <w:tcPr>
            <w:tcW w:w="480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40" w:type="dxa"/>
            <w:vAlign w:val="bottom"/>
          </w:tcPr>
          <w:p>
            <w:pPr>
              <w:ind w:left="180"/>
              <w:spacing w:after="0"/>
              <w:rPr>
                <w:sz w:val="20"/>
                <w:szCs w:val="20"/>
                <w:color w:val="auto"/>
              </w:rPr>
            </w:pPr>
            <w:r>
              <w:rPr>
                <w:rFonts w:ascii="Arial" w:cs="Arial" w:eastAsia="Arial" w:hAnsi="Arial"/>
                <w:sz w:val="12"/>
                <w:szCs w:val="12"/>
                <w:color w:val="auto"/>
              </w:rPr>
              <w:t>Basic</w:t>
            </w:r>
          </w:p>
        </w:tc>
        <w:tc>
          <w:tcPr>
            <w:tcW w:w="5740" w:type="dxa"/>
            <w:vAlign w:val="bottom"/>
            <w:gridSpan w:val="2"/>
          </w:tcPr>
          <w:p>
            <w:pPr>
              <w:jc w:val="right"/>
              <w:ind w:right="82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0.01</w:t>
            </w:r>
          </w:p>
        </w:tc>
        <w:tc>
          <w:tcPr>
            <w:tcW w:w="940" w:type="dxa"/>
            <w:vAlign w:val="bottom"/>
          </w:tcPr>
          <w:p>
            <w:pPr>
              <w:jc w:val="right"/>
              <w:ind w:right="828"/>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340" w:type="dxa"/>
            <w:vAlign w:val="bottom"/>
            <w:shd w:val="clear" w:color="auto" w:fill="CCFFCC"/>
          </w:tcPr>
          <w:p>
            <w:pPr>
              <w:ind w:left="180"/>
              <w:spacing w:after="0" w:line="120" w:lineRule="exact"/>
              <w:rPr>
                <w:sz w:val="20"/>
                <w:szCs w:val="20"/>
                <w:color w:val="auto"/>
              </w:rPr>
            </w:pPr>
            <w:r>
              <w:rPr>
                <w:rFonts w:ascii="Arial" w:cs="Arial" w:eastAsia="Arial" w:hAnsi="Arial"/>
                <w:sz w:val="12"/>
                <w:szCs w:val="12"/>
                <w:color w:val="auto"/>
              </w:rPr>
              <w:t>Diluted</w:t>
            </w:r>
          </w:p>
        </w:tc>
        <w:tc>
          <w:tcPr>
            <w:tcW w:w="5740" w:type="dxa"/>
            <w:vAlign w:val="bottom"/>
            <w:gridSpan w:val="2"/>
            <w:shd w:val="clear" w:color="auto" w:fill="CCFFCC"/>
          </w:tcPr>
          <w:p>
            <w:pPr>
              <w:jc w:val="right"/>
              <w:ind w:right="820"/>
              <w:spacing w:after="0" w:line="120"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2"/>
                <w:szCs w:val="12"/>
                <w:color w:val="auto"/>
              </w:rPr>
              <w:t>0.01</w:t>
            </w:r>
          </w:p>
        </w:tc>
        <w:tc>
          <w:tcPr>
            <w:tcW w:w="940" w:type="dxa"/>
            <w:vAlign w:val="bottom"/>
            <w:shd w:val="clear" w:color="auto" w:fill="CCFFCC"/>
          </w:tcPr>
          <w:p>
            <w:pPr>
              <w:jc w:val="right"/>
              <w:ind w:right="828"/>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2"/>
                <w:szCs w:val="12"/>
                <w:color w:val="auto"/>
              </w:rPr>
              <w:t>0.09</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3340" w:type="dxa"/>
            <w:vAlign w:val="bottom"/>
            <w:tcBorders>
              <w:top w:val="single" w:sz="8" w:color="CCFFCC"/>
            </w:tcBorders>
          </w:tcPr>
          <w:p>
            <w:pPr>
              <w:spacing w:after="0"/>
              <w:rPr>
                <w:sz w:val="10"/>
                <w:szCs w:val="10"/>
                <w:color w:val="auto"/>
              </w:rPr>
            </w:pPr>
          </w:p>
        </w:tc>
        <w:tc>
          <w:tcPr>
            <w:tcW w:w="4800" w:type="dxa"/>
            <w:vAlign w:val="bottom"/>
            <w:tcBorders>
              <w:top w:val="single" w:sz="8" w:color="CCFFCC"/>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40" w:type="dxa"/>
            <w:vAlign w:val="bottom"/>
            <w:shd w:val="clear" w:color="auto" w:fill="CCFFCC"/>
          </w:tcPr>
          <w:p>
            <w:pPr>
              <w:spacing w:after="0"/>
              <w:rPr>
                <w:sz w:val="20"/>
                <w:szCs w:val="20"/>
                <w:color w:val="auto"/>
              </w:rPr>
            </w:pPr>
            <w:r>
              <w:rPr>
                <w:rFonts w:ascii="Arial" w:cs="Arial" w:eastAsia="Arial" w:hAnsi="Arial"/>
                <w:sz w:val="12"/>
                <w:szCs w:val="12"/>
                <w:color w:val="auto"/>
              </w:rPr>
              <w:t>Weighted average shares outstanding</w:t>
            </w:r>
          </w:p>
        </w:tc>
        <w:tc>
          <w:tcPr>
            <w:tcW w:w="480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40" w:type="dxa"/>
            <w:vAlign w:val="bottom"/>
          </w:tcPr>
          <w:p>
            <w:pPr>
              <w:ind w:left="180"/>
              <w:spacing w:after="0"/>
              <w:rPr>
                <w:sz w:val="20"/>
                <w:szCs w:val="20"/>
                <w:color w:val="auto"/>
              </w:rPr>
            </w:pPr>
            <w:r>
              <w:rPr>
                <w:rFonts w:ascii="Arial" w:cs="Arial" w:eastAsia="Arial" w:hAnsi="Arial"/>
                <w:sz w:val="12"/>
                <w:szCs w:val="12"/>
                <w:color w:val="auto"/>
              </w:rPr>
              <w:t>Basic</w:t>
            </w:r>
          </w:p>
        </w:tc>
        <w:tc>
          <w:tcPr>
            <w:tcW w:w="4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8,097,899</w:t>
            </w:r>
          </w:p>
        </w:tc>
        <w:tc>
          <w:tcPr>
            <w:tcW w:w="9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8,714,104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340" w:type="dxa"/>
            <w:vAlign w:val="bottom"/>
            <w:tcBorders>
              <w:bottom w:val="single" w:sz="8" w:color="CCFFCC"/>
            </w:tcBorders>
            <w:shd w:val="clear" w:color="auto" w:fill="CCFFCC"/>
          </w:tcPr>
          <w:p>
            <w:pPr>
              <w:ind w:left="180"/>
              <w:spacing w:after="0" w:line="120" w:lineRule="exact"/>
              <w:rPr>
                <w:sz w:val="20"/>
                <w:szCs w:val="20"/>
                <w:color w:val="auto"/>
              </w:rPr>
            </w:pPr>
            <w:r>
              <w:rPr>
                <w:rFonts w:ascii="Arial" w:cs="Arial" w:eastAsia="Arial" w:hAnsi="Arial"/>
                <w:sz w:val="12"/>
                <w:szCs w:val="12"/>
                <w:color w:val="auto"/>
              </w:rPr>
              <w:t>Diluted</w:t>
            </w:r>
          </w:p>
        </w:tc>
        <w:tc>
          <w:tcPr>
            <w:tcW w:w="4800" w:type="dxa"/>
            <w:vAlign w:val="bottom"/>
            <w:tcBorders>
              <w:bottom w:val="single" w:sz="8" w:color="CCFFCC"/>
            </w:tcBorders>
            <w:shd w:val="clear" w:color="auto" w:fill="CCFFCC"/>
          </w:tcPr>
          <w:p>
            <w:pPr>
              <w:spacing w:after="0"/>
              <w:rPr>
                <w:sz w:val="13"/>
                <w:szCs w:val="13"/>
                <w:color w:val="auto"/>
              </w:rPr>
            </w:pPr>
          </w:p>
        </w:tc>
        <w:tc>
          <w:tcPr>
            <w:tcW w:w="940" w:type="dxa"/>
            <w:vAlign w:val="bottom"/>
            <w:tcBorders>
              <w:bottom w:val="single" w:sz="8" w:color="auto"/>
            </w:tcBorders>
            <w:shd w:val="clear" w:color="auto" w:fill="CCFFCC"/>
          </w:tcPr>
          <w:p>
            <w:pPr>
              <w:spacing w:after="0"/>
              <w:rPr>
                <w:sz w:val="13"/>
                <w:szCs w:val="13"/>
                <w:color w:val="auto"/>
              </w:rPr>
            </w:pPr>
          </w:p>
        </w:tc>
        <w:tc>
          <w:tcPr>
            <w:tcW w:w="560" w:type="dxa"/>
            <w:vAlign w:val="bottom"/>
            <w:tcBorders>
              <w:bottom w:val="single" w:sz="8" w:color="auto"/>
            </w:tcBorders>
            <w:shd w:val="clear" w:color="auto" w:fill="CCFFCC"/>
          </w:tcPr>
          <w:p>
            <w:pPr>
              <w:jc w:val="right"/>
              <w:spacing w:after="0" w:line="120" w:lineRule="exact"/>
              <w:rPr>
                <w:sz w:val="20"/>
                <w:szCs w:val="20"/>
                <w:color w:val="auto"/>
              </w:rPr>
            </w:pPr>
            <w:r>
              <w:rPr>
                <w:rFonts w:ascii="Arial" w:cs="Arial" w:eastAsia="Arial" w:hAnsi="Arial"/>
                <w:sz w:val="12"/>
                <w:szCs w:val="12"/>
                <w:color w:val="auto"/>
              </w:rPr>
              <w:t>8,097,899</w:t>
            </w:r>
          </w:p>
        </w:tc>
        <w:tc>
          <w:tcPr>
            <w:tcW w:w="220" w:type="dxa"/>
            <w:vAlign w:val="bottom"/>
            <w:tcBorders>
              <w:bottom w:val="single" w:sz="8" w:color="CCFFCC"/>
            </w:tcBorders>
            <w:shd w:val="clear" w:color="auto" w:fill="CCFFCC"/>
          </w:tcPr>
          <w:p>
            <w:pPr>
              <w:spacing w:after="0"/>
              <w:rPr>
                <w:sz w:val="13"/>
                <w:szCs w:val="13"/>
                <w:color w:val="auto"/>
              </w:rPr>
            </w:pPr>
          </w:p>
        </w:tc>
        <w:tc>
          <w:tcPr>
            <w:tcW w:w="940" w:type="dxa"/>
            <w:vAlign w:val="bottom"/>
            <w:tcBorders>
              <w:bottom w:val="single" w:sz="8" w:color="auto"/>
            </w:tcBorders>
            <w:shd w:val="clear" w:color="auto" w:fill="CCFFCC"/>
          </w:tcPr>
          <w:p>
            <w:pPr>
              <w:spacing w:after="0"/>
              <w:rPr>
                <w:sz w:val="13"/>
                <w:szCs w:val="13"/>
                <w:color w:val="auto"/>
              </w:rPr>
            </w:pPr>
          </w:p>
        </w:tc>
        <w:tc>
          <w:tcPr>
            <w:tcW w:w="540" w:type="dxa"/>
            <w:vAlign w:val="bottom"/>
            <w:tcBorders>
              <w:bottom w:val="single" w:sz="8" w:color="auto"/>
            </w:tcBorders>
            <w:shd w:val="clear" w:color="auto" w:fill="CCFFCC"/>
          </w:tcPr>
          <w:p>
            <w:pPr>
              <w:jc w:val="right"/>
              <w:spacing w:after="0" w:line="120" w:lineRule="exact"/>
              <w:rPr>
                <w:sz w:val="20"/>
                <w:szCs w:val="20"/>
                <w:color w:val="auto"/>
              </w:rPr>
            </w:pPr>
            <w:r>
              <w:rPr>
                <w:rFonts w:ascii="Arial" w:cs="Arial" w:eastAsia="Arial" w:hAnsi="Arial"/>
                <w:sz w:val="12"/>
                <w:szCs w:val="12"/>
                <w:color w:val="auto"/>
                <w:w w:val="97"/>
              </w:rPr>
              <w:t>8,780,308</w:t>
            </w:r>
          </w:p>
        </w:tc>
        <w:tc>
          <w:tcPr>
            <w:tcW w:w="120" w:type="dxa"/>
            <w:vAlign w:val="bottom"/>
            <w:tcBorders>
              <w:bottom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condensed consolidated financial statements.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5680" w:type="dxa"/>
            <w:vAlign w:val="bottom"/>
            <w:gridSpan w:val="2"/>
          </w:tcPr>
          <w:p>
            <w:pPr>
              <w:jc w:val="center"/>
              <w:ind w:right="1160"/>
              <w:spacing w:after="0"/>
              <w:rPr>
                <w:sz w:val="20"/>
                <w:szCs w:val="20"/>
                <w:color w:val="auto"/>
              </w:rPr>
            </w:pPr>
            <w:r>
              <w:rPr>
                <w:rFonts w:ascii="Arial" w:cs="Arial" w:eastAsia="Arial" w:hAnsi="Arial"/>
                <w:sz w:val="12"/>
                <w:szCs w:val="12"/>
                <w:color w:val="auto"/>
                <w:w w:val="94"/>
              </w:rPr>
              <w:t>FREQUENCY ELECTRONICS, INC. and SUBSIDIARIES</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680" w:type="dxa"/>
            <w:vAlign w:val="bottom"/>
            <w:gridSpan w:val="2"/>
          </w:tcPr>
          <w:p>
            <w:pPr>
              <w:jc w:val="center"/>
              <w:ind w:right="1140"/>
              <w:spacing w:after="0"/>
              <w:rPr>
                <w:sz w:val="20"/>
                <w:szCs w:val="20"/>
                <w:color w:val="auto"/>
              </w:rPr>
            </w:pPr>
            <w:r>
              <w:rPr>
                <w:rFonts w:ascii="Arial" w:cs="Arial" w:eastAsia="Arial" w:hAnsi="Arial"/>
                <w:sz w:val="12"/>
                <w:szCs w:val="12"/>
                <w:color w:val="auto"/>
                <w:w w:val="89"/>
              </w:rPr>
              <w:t>Condensed Consolidated Statements of Cash Flows</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680" w:type="dxa"/>
            <w:vAlign w:val="bottom"/>
            <w:gridSpan w:val="2"/>
          </w:tcPr>
          <w:p>
            <w:pPr>
              <w:jc w:val="center"/>
              <w:ind w:right="1160"/>
              <w:spacing w:after="0"/>
              <w:rPr>
                <w:sz w:val="20"/>
                <w:szCs w:val="20"/>
                <w:color w:val="auto"/>
              </w:rPr>
            </w:pPr>
            <w:r>
              <w:rPr>
                <w:rFonts w:ascii="Arial" w:cs="Arial" w:eastAsia="Arial" w:hAnsi="Arial"/>
                <w:sz w:val="12"/>
                <w:szCs w:val="12"/>
                <w:color w:val="auto"/>
                <w:w w:val="89"/>
              </w:rPr>
              <w:t>Nine months Ended January 31,</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5680" w:type="dxa"/>
            <w:vAlign w:val="bottom"/>
            <w:gridSpan w:val="2"/>
          </w:tcPr>
          <w:p>
            <w:pPr>
              <w:jc w:val="center"/>
              <w:ind w:right="1160"/>
              <w:spacing w:after="0"/>
              <w:rPr>
                <w:sz w:val="20"/>
                <w:szCs w:val="20"/>
                <w:color w:val="auto"/>
              </w:rPr>
            </w:pPr>
            <w:r>
              <w:rPr>
                <w:rFonts w:ascii="Arial" w:cs="Arial" w:eastAsia="Arial" w:hAnsi="Arial"/>
                <w:sz w:val="12"/>
                <w:szCs w:val="12"/>
                <w:color w:val="auto"/>
                <w:w w:val="92"/>
              </w:rPr>
              <w:t>(Unaudited)</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2009</w:t>
            </w:r>
          </w:p>
        </w:tc>
        <w:tc>
          <w:tcPr>
            <w:tcW w:w="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2008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gridSpan w:val="3"/>
          </w:tcPr>
          <w:p>
            <w:pPr>
              <w:jc w:val="right"/>
              <w:ind w:right="150"/>
              <w:spacing w:after="0"/>
              <w:rPr>
                <w:sz w:val="20"/>
                <w:szCs w:val="20"/>
                <w:color w:val="auto"/>
              </w:rPr>
            </w:pPr>
            <w:r>
              <w:rPr>
                <w:rFonts w:ascii="Arial" w:cs="Arial" w:eastAsia="Arial" w:hAnsi="Arial"/>
                <w:sz w:val="12"/>
                <w:szCs w:val="12"/>
                <w:color w:val="auto"/>
              </w:rPr>
              <w:t>(In thousands)</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2"/>
                <w:szCs w:val="12"/>
                <w:color w:val="auto"/>
              </w:rPr>
              <w:t>Cash flows from operating activities:</w:t>
            </w:r>
          </w:p>
        </w:tc>
        <w:tc>
          <w:tcPr>
            <w:tcW w:w="466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tcPr>
          <w:p>
            <w:pPr>
              <w:ind w:left="180"/>
              <w:spacing w:after="0"/>
              <w:rPr>
                <w:sz w:val="20"/>
                <w:szCs w:val="20"/>
                <w:color w:val="auto"/>
              </w:rPr>
            </w:pPr>
            <w:r>
              <w:rPr>
                <w:rFonts w:ascii="Arial" w:cs="Arial" w:eastAsia="Arial" w:hAnsi="Arial"/>
                <w:sz w:val="12"/>
                <w:szCs w:val="12"/>
                <w:color w:val="auto"/>
              </w:rPr>
              <w:t>Net (loss) income</w:t>
            </w:r>
          </w:p>
        </w:tc>
        <w:tc>
          <w:tcPr>
            <w:tcW w:w="5680" w:type="dxa"/>
            <w:vAlign w:val="bottom"/>
            <w:gridSpan w:val="2"/>
          </w:tcPr>
          <w:p>
            <w:pPr>
              <w:jc w:val="right"/>
              <w:ind w:right="90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(1,567)</w:t>
            </w: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2,547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shd w:val="clear" w:color="auto" w:fill="CCFFCC"/>
          </w:tcPr>
          <w:p>
            <w:pPr>
              <w:ind w:left="180"/>
              <w:spacing w:after="0"/>
              <w:rPr>
                <w:sz w:val="20"/>
                <w:szCs w:val="20"/>
                <w:color w:val="auto"/>
              </w:rPr>
            </w:pPr>
            <w:r>
              <w:rPr>
                <w:rFonts w:ascii="Arial" w:cs="Arial" w:eastAsia="Arial" w:hAnsi="Arial"/>
                <w:sz w:val="12"/>
                <w:szCs w:val="12"/>
                <w:color w:val="auto"/>
              </w:rPr>
              <w:t>Non-cash (income) charges to earnings, net</w:t>
            </w:r>
          </w:p>
        </w:tc>
        <w:tc>
          <w:tcPr>
            <w:tcW w:w="466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2"/>
                <w:szCs w:val="12"/>
                <w:color w:val="auto"/>
              </w:rPr>
              <w:t>3,717</w:t>
            </w:r>
          </w:p>
        </w:tc>
        <w:tc>
          <w:tcPr>
            <w:tcW w:w="22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(473)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tcPr>
          <w:p>
            <w:pPr>
              <w:ind w:left="180"/>
              <w:spacing w:after="0"/>
              <w:rPr>
                <w:sz w:val="20"/>
                <w:szCs w:val="20"/>
                <w:color w:val="auto"/>
              </w:rPr>
            </w:pPr>
            <w:r>
              <w:rPr>
                <w:rFonts w:ascii="Arial" w:cs="Arial" w:eastAsia="Arial" w:hAnsi="Arial"/>
                <w:sz w:val="12"/>
                <w:szCs w:val="12"/>
                <w:color w:val="auto"/>
              </w:rPr>
              <w:t>Net changes in operating assets and liabilities</w:t>
            </w:r>
          </w:p>
        </w:tc>
        <w:tc>
          <w:tcPr>
            <w:tcW w:w="4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3,184</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(6,028)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2"/>
                <w:szCs w:val="12"/>
                <w:color w:val="auto"/>
              </w:rPr>
              <w:t>Net cash provided by (used in) operating activities</w:t>
            </w:r>
          </w:p>
        </w:tc>
        <w:tc>
          <w:tcPr>
            <w:tcW w:w="466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2"/>
                <w:szCs w:val="12"/>
                <w:color w:val="auto"/>
              </w:rPr>
              <w:t>5,334</w:t>
            </w:r>
          </w:p>
        </w:tc>
        <w:tc>
          <w:tcPr>
            <w:tcW w:w="22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(3,954)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80" w:type="dxa"/>
            <w:vAlign w:val="bottom"/>
            <w:tcBorders>
              <w:top w:val="single" w:sz="8" w:color="CCFFCC"/>
            </w:tcBorders>
          </w:tcPr>
          <w:p>
            <w:pPr>
              <w:spacing w:after="0"/>
              <w:rPr>
                <w:sz w:val="12"/>
                <w:szCs w:val="12"/>
                <w:color w:val="auto"/>
              </w:rPr>
            </w:pPr>
          </w:p>
        </w:tc>
        <w:tc>
          <w:tcPr>
            <w:tcW w:w="4660" w:type="dxa"/>
            <w:vAlign w:val="bottom"/>
            <w:tcBorders>
              <w:top w:val="single" w:sz="8" w:color="CCFFCC"/>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2"/>
                <w:szCs w:val="12"/>
                <w:color w:val="auto"/>
              </w:rPr>
              <w:t>Cash flows from investing activities:</w:t>
            </w:r>
          </w:p>
        </w:tc>
        <w:tc>
          <w:tcPr>
            <w:tcW w:w="466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ind w:left="180"/>
              <w:spacing w:after="0" w:line="136" w:lineRule="exact"/>
              <w:rPr>
                <w:sz w:val="20"/>
                <w:szCs w:val="20"/>
                <w:color w:val="auto"/>
              </w:rPr>
            </w:pPr>
            <w:r>
              <w:rPr>
                <w:rFonts w:ascii="Arial" w:cs="Arial" w:eastAsia="Arial" w:hAnsi="Arial"/>
                <w:sz w:val="12"/>
                <w:szCs w:val="12"/>
                <w:color w:val="auto"/>
              </w:rPr>
              <w:t>Proceeds from sale of marketable securities</w:t>
            </w:r>
          </w:p>
        </w:tc>
        <w:tc>
          <w:tcPr>
            <w:tcW w:w="4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80" w:type="dxa"/>
            <w:vAlign w:val="bottom"/>
          </w:tcPr>
          <w:p>
            <w:pPr>
              <w:ind w:left="300"/>
              <w:spacing w:after="0"/>
              <w:rPr>
                <w:sz w:val="20"/>
                <w:szCs w:val="20"/>
                <w:color w:val="auto"/>
              </w:rPr>
            </w:pPr>
            <w:r>
              <w:rPr>
                <w:rFonts w:ascii="Arial" w:cs="Arial" w:eastAsia="Arial" w:hAnsi="Arial"/>
                <w:sz w:val="12"/>
                <w:szCs w:val="12"/>
                <w:color w:val="auto"/>
              </w:rPr>
              <w:t>and investments</w:t>
            </w:r>
          </w:p>
        </w:tc>
        <w:tc>
          <w:tcPr>
            <w:tcW w:w="4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1,036</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13,241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shd w:val="clear" w:color="auto" w:fill="CCFFCC"/>
          </w:tcPr>
          <w:p>
            <w:pPr>
              <w:ind w:left="180"/>
              <w:spacing w:after="0"/>
              <w:rPr>
                <w:sz w:val="20"/>
                <w:szCs w:val="20"/>
                <w:color w:val="auto"/>
              </w:rPr>
            </w:pPr>
            <w:r>
              <w:rPr>
                <w:rFonts w:ascii="Arial" w:cs="Arial" w:eastAsia="Arial" w:hAnsi="Arial"/>
                <w:sz w:val="12"/>
                <w:szCs w:val="12"/>
                <w:color w:val="auto"/>
              </w:rPr>
              <w:t>Purchase of marketable securities</w:t>
            </w:r>
          </w:p>
        </w:tc>
        <w:tc>
          <w:tcPr>
            <w:tcW w:w="466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(6,599)</w:t>
            </w:r>
          </w:p>
        </w:tc>
        <w:tc>
          <w:tcPr>
            <w:tcW w:w="42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(2,099)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tcPr>
          <w:p>
            <w:pPr>
              <w:ind w:left="180"/>
              <w:spacing w:after="0"/>
              <w:rPr>
                <w:sz w:val="20"/>
                <w:szCs w:val="20"/>
                <w:color w:val="auto"/>
              </w:rPr>
            </w:pPr>
            <w:r>
              <w:rPr>
                <w:rFonts w:ascii="Arial" w:cs="Arial" w:eastAsia="Arial" w:hAnsi="Arial"/>
                <w:sz w:val="12"/>
                <w:szCs w:val="12"/>
                <w:color w:val="auto"/>
              </w:rPr>
              <w:t>Purchase of fixed assets</w:t>
            </w:r>
          </w:p>
        </w:tc>
        <w:tc>
          <w:tcPr>
            <w:tcW w:w="4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(423)</w:t>
            </w:r>
          </w:p>
        </w:tc>
        <w:tc>
          <w:tcPr>
            <w:tcW w:w="42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(1,482)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2"/>
                <w:szCs w:val="12"/>
                <w:color w:val="auto"/>
              </w:rPr>
              <w:t>Net cash (used in) provided by investing activities</w:t>
            </w:r>
          </w:p>
        </w:tc>
        <w:tc>
          <w:tcPr>
            <w:tcW w:w="466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(5,986)</w:t>
            </w:r>
          </w:p>
        </w:tc>
        <w:tc>
          <w:tcPr>
            <w:tcW w:w="42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9,660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80" w:type="dxa"/>
            <w:vAlign w:val="bottom"/>
            <w:tcBorders>
              <w:top w:val="single" w:sz="8" w:color="CCFFCC"/>
            </w:tcBorders>
          </w:tcPr>
          <w:p>
            <w:pPr>
              <w:spacing w:after="0"/>
              <w:rPr>
                <w:sz w:val="12"/>
                <w:szCs w:val="12"/>
                <w:color w:val="auto"/>
              </w:rPr>
            </w:pPr>
          </w:p>
        </w:tc>
        <w:tc>
          <w:tcPr>
            <w:tcW w:w="4660" w:type="dxa"/>
            <w:vAlign w:val="bottom"/>
            <w:tcBorders>
              <w:top w:val="single" w:sz="8" w:color="CCFFCC"/>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2"/>
                <w:szCs w:val="12"/>
                <w:color w:val="auto"/>
              </w:rPr>
              <w:t>Cash flows from financing activities:</w:t>
            </w:r>
          </w:p>
        </w:tc>
        <w:tc>
          <w:tcPr>
            <w:tcW w:w="466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tcPr>
          <w:p>
            <w:pPr>
              <w:ind w:left="180"/>
              <w:spacing w:after="0"/>
              <w:rPr>
                <w:sz w:val="20"/>
                <w:szCs w:val="20"/>
                <w:color w:val="auto"/>
              </w:rPr>
            </w:pPr>
            <w:r>
              <w:rPr>
                <w:rFonts w:ascii="Arial" w:cs="Arial" w:eastAsia="Arial" w:hAnsi="Arial"/>
                <w:sz w:val="12"/>
                <w:szCs w:val="12"/>
                <w:color w:val="auto"/>
              </w:rPr>
              <w:t>Proceeds from short-term credit obligations</w:t>
            </w:r>
          </w:p>
        </w:tc>
        <w:tc>
          <w:tcPr>
            <w:tcW w:w="4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2,500</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shd w:val="clear" w:color="auto" w:fill="CCFFCC"/>
          </w:tcPr>
          <w:p>
            <w:pPr>
              <w:ind w:left="180"/>
              <w:spacing w:after="0"/>
              <w:rPr>
                <w:sz w:val="20"/>
                <w:szCs w:val="20"/>
                <w:color w:val="auto"/>
              </w:rPr>
            </w:pPr>
            <w:r>
              <w:rPr>
                <w:rFonts w:ascii="Arial" w:cs="Arial" w:eastAsia="Arial" w:hAnsi="Arial"/>
                <w:sz w:val="12"/>
                <w:szCs w:val="12"/>
                <w:color w:val="auto"/>
              </w:rPr>
              <w:t>Debt payments</w:t>
            </w:r>
          </w:p>
        </w:tc>
        <w:tc>
          <w:tcPr>
            <w:tcW w:w="466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(6,663)</w:t>
            </w:r>
          </w:p>
        </w:tc>
        <w:tc>
          <w:tcPr>
            <w:tcW w:w="42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tcPr>
          <w:p>
            <w:pPr>
              <w:ind w:left="180"/>
              <w:spacing w:after="0"/>
              <w:rPr>
                <w:sz w:val="20"/>
                <w:szCs w:val="20"/>
                <w:color w:val="auto"/>
              </w:rPr>
            </w:pPr>
            <w:r>
              <w:rPr>
                <w:rFonts w:ascii="Arial" w:cs="Arial" w:eastAsia="Arial" w:hAnsi="Arial"/>
                <w:sz w:val="12"/>
                <w:szCs w:val="12"/>
                <w:color w:val="auto"/>
              </w:rPr>
              <w:t>Payment of cash dividend</w:t>
            </w:r>
          </w:p>
        </w:tc>
        <w:tc>
          <w:tcPr>
            <w:tcW w:w="4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(1,748)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shd w:val="clear" w:color="auto" w:fill="CCFFCC"/>
          </w:tcPr>
          <w:p>
            <w:pPr>
              <w:ind w:left="180"/>
              <w:spacing w:after="0"/>
              <w:rPr>
                <w:sz w:val="20"/>
                <w:szCs w:val="20"/>
                <w:color w:val="auto"/>
              </w:rPr>
            </w:pPr>
            <w:r>
              <w:rPr>
                <w:rFonts w:ascii="Arial" w:cs="Arial" w:eastAsia="Arial" w:hAnsi="Arial"/>
                <w:sz w:val="12"/>
                <w:szCs w:val="12"/>
                <w:color w:val="auto"/>
              </w:rPr>
              <w:t>Proceeds from stock option exercises</w:t>
            </w:r>
          </w:p>
        </w:tc>
        <w:tc>
          <w:tcPr>
            <w:tcW w:w="466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157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tcPr>
          <w:p>
            <w:pPr>
              <w:ind w:left="180"/>
              <w:spacing w:after="0"/>
              <w:rPr>
                <w:sz w:val="20"/>
                <w:szCs w:val="20"/>
                <w:color w:val="auto"/>
              </w:rPr>
            </w:pPr>
            <w:r>
              <w:rPr>
                <w:rFonts w:ascii="Arial" w:cs="Arial" w:eastAsia="Arial" w:hAnsi="Arial"/>
                <w:sz w:val="12"/>
                <w:szCs w:val="12"/>
                <w:color w:val="auto"/>
              </w:rPr>
              <w:t>Purchase of stock for treasury</w:t>
            </w:r>
          </w:p>
        </w:tc>
        <w:tc>
          <w:tcPr>
            <w:tcW w:w="4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(3,106)</w:t>
            </w:r>
          </w:p>
        </w:tc>
        <w:tc>
          <w:tcPr>
            <w:tcW w:w="42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(233)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2"/>
                <w:szCs w:val="12"/>
                <w:color w:val="auto"/>
              </w:rPr>
              <w:t>Net cash used in financing activities</w:t>
            </w:r>
          </w:p>
        </w:tc>
        <w:tc>
          <w:tcPr>
            <w:tcW w:w="466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(7,269)</w:t>
            </w:r>
          </w:p>
        </w:tc>
        <w:tc>
          <w:tcPr>
            <w:tcW w:w="42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(1,342)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80" w:type="dxa"/>
            <w:vAlign w:val="bottom"/>
            <w:tcBorders>
              <w:top w:val="single" w:sz="8" w:color="CCFFCC"/>
            </w:tcBorders>
          </w:tcPr>
          <w:p>
            <w:pPr>
              <w:spacing w:after="0"/>
              <w:rPr>
                <w:sz w:val="12"/>
                <w:szCs w:val="12"/>
                <w:color w:val="auto"/>
              </w:rPr>
            </w:pPr>
          </w:p>
        </w:tc>
        <w:tc>
          <w:tcPr>
            <w:tcW w:w="4660" w:type="dxa"/>
            <w:vAlign w:val="bottom"/>
            <w:tcBorders>
              <w:top w:val="single" w:sz="8" w:color="CCFFCC"/>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2"/>
                <w:szCs w:val="12"/>
                <w:color w:val="auto"/>
              </w:rPr>
              <w:t>Net (decrease) increase in cash and cash equivalents</w:t>
            </w:r>
          </w:p>
        </w:tc>
        <w:tc>
          <w:tcPr>
            <w:tcW w:w="466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shd w:val="clear" w:color="auto" w:fill="CCFFCC"/>
          </w:tcPr>
          <w:p>
            <w:pPr>
              <w:ind w:left="180"/>
              <w:spacing w:after="0"/>
              <w:rPr>
                <w:sz w:val="20"/>
                <w:szCs w:val="20"/>
                <w:color w:val="auto"/>
              </w:rPr>
            </w:pPr>
            <w:r>
              <w:rPr>
                <w:rFonts w:ascii="Arial" w:cs="Arial" w:eastAsia="Arial" w:hAnsi="Arial"/>
                <w:sz w:val="12"/>
                <w:szCs w:val="12"/>
                <w:color w:val="auto"/>
              </w:rPr>
              <w:t>before effect of exchange rate changes</w:t>
            </w:r>
          </w:p>
        </w:tc>
        <w:tc>
          <w:tcPr>
            <w:tcW w:w="466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(7,921)</w:t>
            </w:r>
          </w:p>
        </w:tc>
        <w:tc>
          <w:tcPr>
            <w:tcW w:w="42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4,364</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4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2"/>
                <w:szCs w:val="12"/>
                <w:color w:val="auto"/>
              </w:rPr>
              <w:t>Effect of exchange rate changes</w:t>
            </w:r>
          </w:p>
        </w:tc>
        <w:tc>
          <w:tcPr>
            <w:tcW w:w="466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shd w:val="clear" w:color="auto" w:fill="CCFFCC"/>
          </w:tcPr>
          <w:p>
            <w:pPr>
              <w:ind w:left="180"/>
              <w:spacing w:after="0"/>
              <w:rPr>
                <w:sz w:val="20"/>
                <w:szCs w:val="20"/>
                <w:color w:val="auto"/>
              </w:rPr>
            </w:pPr>
            <w:r>
              <w:rPr>
                <w:rFonts w:ascii="Arial" w:cs="Arial" w:eastAsia="Arial" w:hAnsi="Arial"/>
                <w:sz w:val="12"/>
                <w:szCs w:val="12"/>
                <w:color w:val="auto"/>
              </w:rPr>
              <w:t>on cash and cash equivalents</w:t>
            </w:r>
          </w:p>
        </w:tc>
        <w:tc>
          <w:tcPr>
            <w:tcW w:w="466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166</w:t>
            </w:r>
          </w:p>
        </w:tc>
        <w:tc>
          <w:tcPr>
            <w:tcW w:w="22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973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Borders>
              <w:top w:val="single" w:sz="8" w:color="CCFFCC"/>
            </w:tcBorders>
          </w:tcPr>
          <w:p>
            <w:pPr>
              <w:spacing w:after="0"/>
              <w:rPr>
                <w:sz w:val="12"/>
                <w:szCs w:val="12"/>
                <w:color w:val="auto"/>
              </w:rPr>
            </w:pPr>
          </w:p>
        </w:tc>
        <w:tc>
          <w:tcPr>
            <w:tcW w:w="4660" w:type="dxa"/>
            <w:vAlign w:val="bottom"/>
            <w:tcBorders>
              <w:top w:val="single" w:sz="8" w:color="CCFFCC"/>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shd w:val="clear" w:color="auto" w:fill="CCFFCC"/>
          </w:tcPr>
          <w:p>
            <w:pPr>
              <w:ind w:left="180"/>
              <w:spacing w:after="0"/>
              <w:rPr>
                <w:sz w:val="20"/>
                <w:szCs w:val="20"/>
                <w:color w:val="auto"/>
              </w:rPr>
            </w:pPr>
            <w:r>
              <w:rPr>
                <w:rFonts w:ascii="Arial" w:cs="Arial" w:eastAsia="Arial" w:hAnsi="Arial"/>
                <w:sz w:val="12"/>
                <w:szCs w:val="12"/>
                <w:color w:val="auto"/>
              </w:rPr>
              <w:t>Net (decrease) increase in cash and cash equivalents</w:t>
            </w:r>
          </w:p>
        </w:tc>
        <w:tc>
          <w:tcPr>
            <w:tcW w:w="466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(7,755)</w:t>
            </w:r>
          </w:p>
        </w:tc>
        <w:tc>
          <w:tcPr>
            <w:tcW w:w="42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5,337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shd w:val="clear" w:color="auto" w:fill="CCFFCC"/>
          </w:tcPr>
          <w:p>
            <w:pPr>
              <w:ind w:left="180"/>
              <w:spacing w:after="0"/>
              <w:rPr>
                <w:sz w:val="20"/>
                <w:szCs w:val="20"/>
                <w:color w:val="auto"/>
              </w:rPr>
            </w:pPr>
            <w:r>
              <w:rPr>
                <w:rFonts w:ascii="Arial" w:cs="Arial" w:eastAsia="Arial" w:hAnsi="Arial"/>
                <w:sz w:val="12"/>
                <w:szCs w:val="12"/>
                <w:color w:val="auto"/>
              </w:rPr>
              <w:t>Cash and cash equivalents at beginning of period</w:t>
            </w:r>
          </w:p>
        </w:tc>
        <w:tc>
          <w:tcPr>
            <w:tcW w:w="466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11,029</w:t>
            </w:r>
          </w:p>
        </w:tc>
        <w:tc>
          <w:tcPr>
            <w:tcW w:w="22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1,336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Borders>
              <w:top w:val="single" w:sz="8" w:color="CCFFCC"/>
            </w:tcBorders>
          </w:tcPr>
          <w:p>
            <w:pPr>
              <w:spacing w:after="0"/>
              <w:rPr>
                <w:sz w:val="12"/>
                <w:szCs w:val="12"/>
                <w:color w:val="auto"/>
              </w:rPr>
            </w:pPr>
          </w:p>
        </w:tc>
        <w:tc>
          <w:tcPr>
            <w:tcW w:w="4660" w:type="dxa"/>
            <w:vAlign w:val="bottom"/>
            <w:tcBorders>
              <w:top w:val="single" w:sz="8" w:color="CCFFCC"/>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480" w:type="dxa"/>
            <w:vAlign w:val="bottom"/>
            <w:shd w:val="clear" w:color="auto" w:fill="CCFFCC"/>
          </w:tcPr>
          <w:p>
            <w:pPr>
              <w:ind w:left="180"/>
              <w:spacing w:after="0"/>
              <w:rPr>
                <w:sz w:val="20"/>
                <w:szCs w:val="20"/>
                <w:color w:val="auto"/>
              </w:rPr>
            </w:pPr>
            <w:r>
              <w:rPr>
                <w:rFonts w:ascii="Arial" w:cs="Arial" w:eastAsia="Arial" w:hAnsi="Arial"/>
                <w:sz w:val="12"/>
                <w:szCs w:val="12"/>
                <w:color w:val="auto"/>
              </w:rPr>
              <w:t>Cash and cash equivalents at end of period</w:t>
            </w:r>
          </w:p>
        </w:tc>
        <w:tc>
          <w:tcPr>
            <w:tcW w:w="5680" w:type="dxa"/>
            <w:vAlign w:val="bottom"/>
            <w:gridSpan w:val="2"/>
            <w:shd w:val="clear" w:color="auto" w:fill="CCFFCC"/>
          </w:tcPr>
          <w:p>
            <w:pPr>
              <w:jc w:val="right"/>
              <w:ind w:right="90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FFCC"/>
          </w:tcPr>
          <w:p>
            <w:pPr>
              <w:jc w:val="right"/>
              <w:spacing w:after="0"/>
              <w:rPr>
                <w:sz w:val="20"/>
                <w:szCs w:val="20"/>
                <w:color w:val="auto"/>
              </w:rPr>
            </w:pPr>
            <w:r>
              <w:rPr>
                <w:rFonts w:ascii="Arial" w:cs="Arial" w:eastAsia="Arial" w:hAnsi="Arial"/>
                <w:sz w:val="12"/>
                <w:szCs w:val="12"/>
                <w:color w:val="auto"/>
              </w:rPr>
              <w:t>3,274</w:t>
            </w:r>
          </w:p>
        </w:tc>
        <w:tc>
          <w:tcPr>
            <w:tcW w:w="220" w:type="dxa"/>
            <w:vAlign w:val="bottom"/>
            <w:shd w:val="clear" w:color="auto" w:fill="CCFFCC"/>
          </w:tcPr>
          <w:p>
            <w:pPr>
              <w:spacing w:after="0"/>
              <w:rPr>
                <w:sz w:val="16"/>
                <w:szCs w:val="16"/>
                <w:color w:val="auto"/>
              </w:rPr>
            </w:pPr>
          </w:p>
        </w:tc>
        <w:tc>
          <w:tcPr>
            <w:tcW w:w="420" w:type="dxa"/>
            <w:vAlign w:val="bottom"/>
            <w:shd w:val="clear" w:color="auto" w:fill="CCFFCC"/>
          </w:tcPr>
          <w:p>
            <w:pPr>
              <w:jc w:val="right"/>
              <w:ind w:right="31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6,673</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3480" w:type="dxa"/>
            <w:vAlign w:val="bottom"/>
            <w:tcBorders>
              <w:top w:val="single" w:sz="8" w:color="CCFFCC"/>
            </w:tcBorders>
          </w:tcPr>
          <w:p>
            <w:pPr>
              <w:spacing w:after="0"/>
              <w:rPr>
                <w:sz w:val="10"/>
                <w:szCs w:val="10"/>
                <w:color w:val="auto"/>
              </w:rPr>
            </w:pPr>
          </w:p>
        </w:tc>
        <w:tc>
          <w:tcPr>
            <w:tcW w:w="4660" w:type="dxa"/>
            <w:vAlign w:val="bottom"/>
            <w:tcBorders>
              <w:top w:val="single" w:sz="8" w:color="CCFFCC"/>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2"/>
                <w:szCs w:val="12"/>
                <w:color w:val="auto"/>
              </w:rPr>
              <w:t>Supplemental disclosures of cash flow information:</w:t>
            </w:r>
          </w:p>
        </w:tc>
        <w:tc>
          <w:tcPr>
            <w:tcW w:w="466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tcPr>
          <w:p>
            <w:pPr>
              <w:ind w:left="180"/>
              <w:spacing w:after="0"/>
              <w:rPr>
                <w:sz w:val="20"/>
                <w:szCs w:val="20"/>
                <w:color w:val="auto"/>
              </w:rPr>
            </w:pPr>
            <w:r>
              <w:rPr>
                <w:rFonts w:ascii="Arial" w:cs="Arial" w:eastAsia="Arial" w:hAnsi="Arial"/>
                <w:sz w:val="12"/>
                <w:szCs w:val="12"/>
                <w:color w:val="auto"/>
              </w:rPr>
              <w:t>Cash paid during the period for:</w:t>
            </w:r>
          </w:p>
        </w:tc>
        <w:tc>
          <w:tcPr>
            <w:tcW w:w="4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80" w:type="dxa"/>
            <w:vAlign w:val="bottom"/>
            <w:shd w:val="clear" w:color="auto" w:fill="CCFFCC"/>
          </w:tcPr>
          <w:p>
            <w:pPr>
              <w:ind w:left="400"/>
              <w:spacing w:after="0"/>
              <w:rPr>
                <w:sz w:val="20"/>
                <w:szCs w:val="20"/>
                <w:color w:val="auto"/>
              </w:rPr>
            </w:pPr>
            <w:r>
              <w:rPr>
                <w:rFonts w:ascii="Arial" w:cs="Arial" w:eastAsia="Arial" w:hAnsi="Arial"/>
                <w:sz w:val="12"/>
                <w:szCs w:val="12"/>
                <w:color w:val="auto"/>
              </w:rPr>
              <w:t>Interest</w:t>
            </w:r>
          </w:p>
        </w:tc>
        <w:tc>
          <w:tcPr>
            <w:tcW w:w="5680" w:type="dxa"/>
            <w:vAlign w:val="bottom"/>
            <w:gridSpan w:val="2"/>
            <w:shd w:val="clear" w:color="auto" w:fill="CCFFCC"/>
          </w:tcPr>
          <w:p>
            <w:pPr>
              <w:jc w:val="right"/>
              <w:ind w:right="90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FFCC"/>
          </w:tcPr>
          <w:p>
            <w:pPr>
              <w:jc w:val="right"/>
              <w:spacing w:after="0"/>
              <w:rPr>
                <w:sz w:val="20"/>
                <w:szCs w:val="20"/>
                <w:color w:val="auto"/>
              </w:rPr>
            </w:pPr>
            <w:r>
              <w:rPr>
                <w:rFonts w:ascii="Arial" w:cs="Arial" w:eastAsia="Arial" w:hAnsi="Arial"/>
                <w:sz w:val="12"/>
                <w:szCs w:val="12"/>
                <w:color w:val="auto"/>
              </w:rPr>
              <w:t>201</w:t>
            </w:r>
          </w:p>
        </w:tc>
        <w:tc>
          <w:tcPr>
            <w:tcW w:w="220" w:type="dxa"/>
            <w:vAlign w:val="bottom"/>
            <w:shd w:val="clear" w:color="auto" w:fill="CCFFCC"/>
          </w:tcPr>
          <w:p>
            <w:pPr>
              <w:spacing w:after="0"/>
              <w:rPr>
                <w:sz w:val="14"/>
                <w:szCs w:val="14"/>
                <w:color w:val="auto"/>
              </w:rPr>
            </w:pPr>
          </w:p>
        </w:tc>
        <w:tc>
          <w:tcPr>
            <w:tcW w:w="420" w:type="dxa"/>
            <w:vAlign w:val="bottom"/>
            <w:shd w:val="clear" w:color="auto" w:fill="CCFFCC"/>
          </w:tcPr>
          <w:p>
            <w:pPr>
              <w:jc w:val="right"/>
              <w:ind w:right="31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Borders>
              <w:top w:val="single" w:sz="8" w:color="CCFFCC"/>
            </w:tcBorders>
            <w:shd w:val="clear" w:color="auto" w:fill="CCFFCC"/>
          </w:tcPr>
          <w:p>
            <w:pPr>
              <w:spacing w:after="0" w:line="20" w:lineRule="exact"/>
              <w:rPr>
                <w:sz w:val="1"/>
                <w:szCs w:val="1"/>
                <w:color w:val="auto"/>
              </w:rPr>
            </w:pPr>
          </w:p>
        </w:tc>
        <w:tc>
          <w:tcPr>
            <w:tcW w:w="46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3480" w:type="dxa"/>
            <w:vAlign w:val="bottom"/>
          </w:tcPr>
          <w:p>
            <w:pPr>
              <w:ind w:left="400"/>
              <w:spacing w:after="0" w:line="120" w:lineRule="exact"/>
              <w:rPr>
                <w:sz w:val="20"/>
                <w:szCs w:val="20"/>
                <w:color w:val="auto"/>
              </w:rPr>
            </w:pPr>
            <w:r>
              <w:rPr>
                <w:rFonts w:ascii="Arial" w:cs="Arial" w:eastAsia="Arial" w:hAnsi="Arial"/>
                <w:sz w:val="12"/>
                <w:szCs w:val="12"/>
                <w:color w:val="auto"/>
              </w:rPr>
              <w:t>Income Taxes</w:t>
            </w:r>
          </w:p>
        </w:tc>
        <w:tc>
          <w:tcPr>
            <w:tcW w:w="4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condensed consolidated financial statements.</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6" w:name="page7"/>
    <w:bookmarkEnd w:id="6"/>
    <w:p>
      <w:pPr>
        <w:jc w:val="center"/>
        <w:spacing w:after="0"/>
        <w:rPr>
          <w:sz w:val="20"/>
          <w:szCs w:val="20"/>
          <w:color w:val="auto"/>
        </w:rPr>
      </w:pPr>
      <w:r>
        <w:rPr>
          <w:rFonts w:ascii="Arial" w:cs="Arial" w:eastAsia="Arial" w:hAnsi="Arial"/>
          <w:sz w:val="12"/>
          <w:szCs w:val="12"/>
          <w:color w:val="auto"/>
        </w:rPr>
        <w:t>FREQUENCY ELECTRONICS, INC.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NOTE A - CONSOLIDATED FINANCIAL STATEMENTS</w:t>
      </w:r>
    </w:p>
    <w:p>
      <w:pPr>
        <w:spacing w:after="0" w:line="16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January 31, 2009 and the results of its operations and cash flows for the nine and three months ended January 31, 2009 and 2008. The April 30, 2008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April 30, 2008 Annual Report to Stockholders on Form 10-K. The results of operations for such interim periods are not necessarily indicative of the operating results for the full fiscal year.</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000" w:type="dxa"/>
            <w:vAlign w:val="bottom"/>
            <w:gridSpan w:val="3"/>
          </w:tcPr>
          <w:p>
            <w:pPr>
              <w:spacing w:after="0"/>
              <w:rPr>
                <w:sz w:val="20"/>
                <w:szCs w:val="20"/>
                <w:color w:val="auto"/>
              </w:rPr>
            </w:pPr>
            <w:r>
              <w:rPr>
                <w:rFonts w:ascii="Arial" w:cs="Arial" w:eastAsia="Arial" w:hAnsi="Arial"/>
                <w:sz w:val="12"/>
                <w:szCs w:val="12"/>
                <w:color w:val="auto"/>
              </w:rPr>
              <w:t>NOTE B - EARNINGS PER SHARE</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06"/>
        </w:trPr>
        <w:tc>
          <w:tcPr>
            <w:tcW w:w="42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2"/>
                <w:szCs w:val="12"/>
                <w:color w:val="auto"/>
                <w:w w:val="91"/>
              </w:rPr>
              <w:t>Reconciliation of the weighted average shares outstanding for basic and diluted Earnings Per Share are as follows:</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6"/>
        </w:trPr>
        <w:tc>
          <w:tcPr>
            <w:tcW w:w="4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ind w:left="500"/>
              <w:spacing w:after="0"/>
              <w:rPr>
                <w:sz w:val="20"/>
                <w:szCs w:val="20"/>
                <w:color w:val="auto"/>
              </w:rPr>
            </w:pPr>
            <w:r>
              <w:rPr>
                <w:rFonts w:ascii="Arial" w:cs="Arial" w:eastAsia="Arial" w:hAnsi="Arial"/>
                <w:sz w:val="12"/>
                <w:szCs w:val="12"/>
                <w:color w:val="auto"/>
              </w:rPr>
              <w:t>Nine months</w:t>
            </w:r>
          </w:p>
        </w:tc>
        <w:tc>
          <w:tcPr>
            <w:tcW w:w="7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Borders>
              <w:bottom w:val="single" w:sz="8" w:color="auto"/>
            </w:tcBorders>
            <w:gridSpan w:val="3"/>
          </w:tcPr>
          <w:p>
            <w:pPr>
              <w:ind w:left="760"/>
              <w:spacing w:after="0"/>
              <w:rPr>
                <w:sz w:val="20"/>
                <w:szCs w:val="20"/>
                <w:color w:val="auto"/>
              </w:rPr>
            </w:pPr>
            <w:r>
              <w:rPr>
                <w:rFonts w:ascii="Arial" w:cs="Arial" w:eastAsia="Arial" w:hAnsi="Arial"/>
                <w:sz w:val="12"/>
                <w:szCs w:val="12"/>
                <w:color w:val="auto"/>
                <w:w w:val="97"/>
              </w:rPr>
              <w:t>Three months</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3"/>
        </w:trPr>
        <w:tc>
          <w:tcPr>
            <w:tcW w:w="4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380" w:type="dxa"/>
            <w:vAlign w:val="bottom"/>
            <w:gridSpan w:val="5"/>
          </w:tcPr>
          <w:p>
            <w:pPr>
              <w:ind w:left="160"/>
              <w:spacing w:after="0" w:line="133" w:lineRule="exact"/>
              <w:rPr>
                <w:sz w:val="20"/>
                <w:szCs w:val="20"/>
                <w:color w:val="auto"/>
              </w:rPr>
            </w:pPr>
            <w:r>
              <w:rPr>
                <w:rFonts w:ascii="Arial" w:cs="Arial" w:eastAsia="Arial" w:hAnsi="Arial"/>
                <w:sz w:val="12"/>
                <w:szCs w:val="12"/>
                <w:color w:val="auto"/>
              </w:rPr>
              <w:t>Periods ended January 31,</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4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2009</w:t>
            </w: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2008</w:t>
            </w:r>
          </w:p>
        </w:tc>
        <w:tc>
          <w:tcPr>
            <w:tcW w:w="180" w:type="dxa"/>
            <w:vAlign w:val="bottom"/>
          </w:tcPr>
          <w:p>
            <w:pPr>
              <w:spacing w:after="0"/>
              <w:rPr>
                <w:sz w:val="13"/>
                <w:szCs w:val="13"/>
                <w:color w:val="auto"/>
              </w:rPr>
            </w:pPr>
          </w:p>
        </w:tc>
        <w:tc>
          <w:tcPr>
            <w:tcW w:w="10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2009</w:t>
            </w: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rPr>
              <w:t>2008</w:t>
            </w:r>
          </w:p>
        </w:tc>
        <w:tc>
          <w:tcPr>
            <w:tcW w:w="100" w:type="dxa"/>
            <w:vAlign w:val="bottom"/>
          </w:tcPr>
          <w:p>
            <w:pPr>
              <w:spacing w:after="0"/>
              <w:rPr>
                <w:sz w:val="13"/>
                <w:szCs w:val="13"/>
                <w:color w:val="auto"/>
              </w:rPr>
            </w:pPr>
          </w:p>
        </w:tc>
      </w:tr>
      <w:tr>
        <w:trPr>
          <w:trHeight w:val="142"/>
        </w:trPr>
        <w:tc>
          <w:tcPr>
            <w:tcW w:w="420" w:type="dxa"/>
            <w:vAlign w:val="bottom"/>
          </w:tcPr>
          <w:p>
            <w:pPr>
              <w:spacing w:after="0"/>
              <w:rPr>
                <w:sz w:val="12"/>
                <w:szCs w:val="12"/>
                <w:color w:val="auto"/>
              </w:rPr>
            </w:pPr>
          </w:p>
        </w:tc>
        <w:tc>
          <w:tcPr>
            <w:tcW w:w="5300" w:type="dxa"/>
            <w:vAlign w:val="bottom"/>
          </w:tcPr>
          <w:p>
            <w:pPr>
              <w:spacing w:after="0"/>
              <w:rPr>
                <w:sz w:val="20"/>
                <w:szCs w:val="20"/>
                <w:color w:val="auto"/>
              </w:rPr>
            </w:pPr>
            <w:r>
              <w:rPr>
                <w:rFonts w:ascii="Arial" w:cs="Arial" w:eastAsia="Arial" w:hAnsi="Arial"/>
                <w:sz w:val="12"/>
                <w:szCs w:val="12"/>
                <w:color w:val="auto"/>
              </w:rPr>
              <w:t>Basic EPS Shares outstanding</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5580" w:type="dxa"/>
            <w:vAlign w:val="bottom"/>
            <w:gridSpan w:val="2"/>
            <w:shd w:val="clear" w:color="auto" w:fill="CCFFCC"/>
          </w:tcPr>
          <w:p>
            <w:pPr>
              <w:ind w:left="60"/>
              <w:spacing w:after="0"/>
              <w:rPr>
                <w:sz w:val="20"/>
                <w:szCs w:val="20"/>
                <w:color w:val="auto"/>
              </w:rPr>
            </w:pPr>
            <w:r>
              <w:rPr>
                <w:rFonts w:ascii="Arial" w:cs="Arial" w:eastAsia="Arial" w:hAnsi="Arial"/>
                <w:sz w:val="12"/>
                <w:szCs w:val="12"/>
                <w:color w:val="auto"/>
              </w:rPr>
              <w:t>(weighted average)</w:t>
            </w:r>
          </w:p>
        </w:tc>
        <w:tc>
          <w:tcPr>
            <w:tcW w:w="7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8,381,424</w:t>
            </w:r>
          </w:p>
        </w:tc>
        <w:tc>
          <w:tcPr>
            <w:tcW w:w="2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8,702,755</w:t>
            </w:r>
          </w:p>
        </w:tc>
        <w:tc>
          <w:tcPr>
            <w:tcW w:w="10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8,097,899</w:t>
            </w:r>
          </w:p>
        </w:tc>
        <w:tc>
          <w:tcPr>
            <w:tcW w:w="2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2"/>
                <w:szCs w:val="12"/>
                <w:color w:val="auto"/>
              </w:rPr>
              <w:t>8,714,104</w:t>
            </w:r>
          </w:p>
        </w:tc>
        <w:tc>
          <w:tcPr>
            <w:tcW w:w="100" w:type="dxa"/>
            <w:vAlign w:val="bottom"/>
            <w:shd w:val="clear" w:color="auto" w:fill="CCFFCC"/>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5300" w:type="dxa"/>
            <w:vAlign w:val="bottom"/>
          </w:tcPr>
          <w:p>
            <w:pPr>
              <w:spacing w:after="0"/>
              <w:rPr>
                <w:sz w:val="20"/>
                <w:szCs w:val="20"/>
                <w:color w:val="auto"/>
              </w:rPr>
            </w:pPr>
            <w:r>
              <w:rPr>
                <w:rFonts w:ascii="Arial" w:cs="Arial" w:eastAsia="Arial" w:hAnsi="Arial"/>
                <w:sz w:val="12"/>
                <w:szCs w:val="12"/>
                <w:color w:val="auto"/>
              </w:rPr>
              <w:t>Effect of Dilutive Securities</w:t>
            </w:r>
          </w:p>
        </w:tc>
        <w:tc>
          <w:tcPr>
            <w:tcW w:w="28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80,008</w:t>
            </w:r>
          </w:p>
        </w:tc>
        <w:tc>
          <w:tcPr>
            <w:tcW w:w="12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66,204</w:t>
            </w:r>
          </w:p>
        </w:tc>
      </w:tr>
      <w:tr>
        <w:trPr>
          <w:trHeight w:val="182"/>
        </w:trPr>
        <w:tc>
          <w:tcPr>
            <w:tcW w:w="420" w:type="dxa"/>
            <w:vAlign w:val="bottom"/>
          </w:tcPr>
          <w:p>
            <w:pPr>
              <w:spacing w:after="0"/>
              <w:rPr>
                <w:sz w:val="15"/>
                <w:szCs w:val="15"/>
                <w:color w:val="auto"/>
              </w:rPr>
            </w:pPr>
          </w:p>
        </w:tc>
        <w:tc>
          <w:tcPr>
            <w:tcW w:w="53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2"/>
                <w:szCs w:val="12"/>
                <w:color w:val="auto"/>
              </w:rPr>
              <w:t>Diluted EPS Shares outstanding</w:t>
            </w:r>
          </w:p>
        </w:tc>
        <w:tc>
          <w:tcPr>
            <w:tcW w:w="280" w:type="dxa"/>
            <w:vAlign w:val="bottom"/>
            <w:tcBorders>
              <w:top w:val="single" w:sz="8" w:color="auto"/>
              <w:bottom w:val="single" w:sz="8" w:color="auto"/>
            </w:tcBorders>
            <w:shd w:val="clear" w:color="auto" w:fill="CCFFCC"/>
          </w:tcPr>
          <w:p>
            <w:pPr>
              <w:spacing w:after="0"/>
              <w:rPr>
                <w:sz w:val="15"/>
                <w:szCs w:val="15"/>
                <w:color w:val="auto"/>
              </w:rPr>
            </w:pPr>
          </w:p>
        </w:tc>
        <w:tc>
          <w:tcPr>
            <w:tcW w:w="7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2"/>
                <w:szCs w:val="12"/>
                <w:color w:val="auto"/>
              </w:rPr>
              <w:t>8,381,424</w:t>
            </w:r>
          </w:p>
        </w:tc>
        <w:tc>
          <w:tcPr>
            <w:tcW w:w="200" w:type="dxa"/>
            <w:vAlign w:val="bottom"/>
            <w:tcBorders>
              <w:bottom w:val="single" w:sz="8" w:color="CCFFCC"/>
            </w:tcBorders>
            <w:shd w:val="clear" w:color="auto" w:fill="CCFFCC"/>
          </w:tcPr>
          <w:p>
            <w:pPr>
              <w:spacing w:after="0"/>
              <w:rPr>
                <w:sz w:val="15"/>
                <w:szCs w:val="15"/>
                <w:color w:val="auto"/>
              </w:rPr>
            </w:pPr>
          </w:p>
        </w:tc>
        <w:tc>
          <w:tcPr>
            <w:tcW w:w="300" w:type="dxa"/>
            <w:vAlign w:val="bottom"/>
            <w:tcBorders>
              <w:top w:val="single" w:sz="8" w:color="auto"/>
              <w:bottom w:val="single" w:sz="8" w:color="auto"/>
            </w:tcBorders>
            <w:shd w:val="clear" w:color="auto" w:fill="CCFFCC"/>
          </w:tcPr>
          <w:p>
            <w:pPr>
              <w:spacing w:after="0"/>
              <w:rPr>
                <w:sz w:val="15"/>
                <w:szCs w:val="15"/>
                <w:color w:val="auto"/>
              </w:rPr>
            </w:pPr>
          </w:p>
        </w:tc>
        <w:tc>
          <w:tcPr>
            <w:tcW w:w="7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2"/>
                <w:szCs w:val="12"/>
                <w:color w:val="auto"/>
              </w:rPr>
              <w:t>8,782,763</w:t>
            </w:r>
          </w:p>
        </w:tc>
        <w:tc>
          <w:tcPr>
            <w:tcW w:w="180" w:type="dxa"/>
            <w:vAlign w:val="bottom"/>
            <w:tcBorders>
              <w:bottom w:val="single" w:sz="8" w:color="CCFFCC"/>
            </w:tcBorders>
            <w:shd w:val="clear" w:color="auto" w:fill="CCFFCC"/>
          </w:tcPr>
          <w:p>
            <w:pPr>
              <w:spacing w:after="0"/>
              <w:rPr>
                <w:sz w:val="15"/>
                <w:szCs w:val="15"/>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2"/>
                <w:szCs w:val="12"/>
                <w:color w:val="auto"/>
              </w:rPr>
              <w:t>8,097,899</w:t>
            </w:r>
          </w:p>
        </w:tc>
        <w:tc>
          <w:tcPr>
            <w:tcW w:w="200" w:type="dxa"/>
            <w:vAlign w:val="bottom"/>
            <w:tcBorders>
              <w:bottom w:val="single" w:sz="8" w:color="CCFFCC"/>
            </w:tcBorders>
            <w:shd w:val="clear" w:color="auto" w:fill="CCFFCC"/>
          </w:tcPr>
          <w:p>
            <w:pPr>
              <w:spacing w:after="0"/>
              <w:rPr>
                <w:sz w:val="15"/>
                <w:szCs w:val="15"/>
                <w:color w:val="auto"/>
              </w:rPr>
            </w:pPr>
          </w:p>
        </w:tc>
        <w:tc>
          <w:tcPr>
            <w:tcW w:w="300" w:type="dxa"/>
            <w:vAlign w:val="bottom"/>
            <w:tcBorders>
              <w:top w:val="single" w:sz="8" w:color="auto"/>
              <w:bottom w:val="single" w:sz="8" w:color="auto"/>
            </w:tcBorders>
            <w:shd w:val="clear" w:color="auto" w:fill="CCFFCC"/>
          </w:tcPr>
          <w:p>
            <w:pPr>
              <w:spacing w:after="0"/>
              <w:rPr>
                <w:sz w:val="15"/>
                <w:szCs w:val="15"/>
                <w:color w:val="auto"/>
              </w:rPr>
            </w:pPr>
          </w:p>
        </w:tc>
        <w:tc>
          <w:tcPr>
            <w:tcW w:w="6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2"/>
                <w:szCs w:val="12"/>
                <w:color w:val="auto"/>
              </w:rPr>
              <w:t>8,780,308</w:t>
            </w:r>
          </w:p>
        </w:tc>
        <w:tc>
          <w:tcPr>
            <w:tcW w:w="100" w:type="dxa"/>
            <w:vAlign w:val="bottom"/>
            <w:tcBorders>
              <w:bottom w:val="single" w:sz="8" w:color="CCFFCC"/>
            </w:tcBorders>
            <w:shd w:val="clear" w:color="auto" w:fill="CCFFCC"/>
          </w:tcPr>
          <w:p>
            <w:pPr>
              <w:spacing w:after="0"/>
              <w:rPr>
                <w:sz w:val="15"/>
                <w:szCs w:val="15"/>
                <w:color w:val="auto"/>
              </w:rPr>
            </w:pP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***Dilutive securities are excluded for the nine and three months ended January 31, 2009 since the inclusion of such shares would be antidilutive.</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computation of diluted earnings per share excludes those options and stock appreciation rights with an exercise price in excess of the average market price of the Company’s common shares during the periods presented. The inclusion of such options in the computation of earnings per share would have been antidilutive. The number of excluded options were:</w:t>
      </w:r>
    </w:p>
    <w:p>
      <w:pPr>
        <w:spacing w:after="0" w:line="133" w:lineRule="exact"/>
        <w:rPr>
          <w:sz w:val="20"/>
          <w:szCs w:val="20"/>
          <w:color w:val="auto"/>
        </w:rPr>
      </w:pPr>
    </w:p>
    <w:tbl>
      <w:tblPr>
        <w:tblLayout w:type="fixed"/>
        <w:tblInd w:w="420" w:type="dxa"/>
        <w:tblCellMar>
          <w:top w:w="0" w:type="dxa"/>
          <w:left w:w="0" w:type="dxa"/>
          <w:bottom w:w="0" w:type="dxa"/>
          <w:right w:w="0" w:type="dxa"/>
        </w:tblCellMar>
      </w:tblPr>
      <w:tr>
        <w:trPr>
          <w:trHeight w:val="153"/>
        </w:trPr>
        <w:tc>
          <w:tcPr>
            <w:tcW w:w="5300" w:type="dxa"/>
            <w:vAlign w:val="bottom"/>
          </w:tcPr>
          <w:p>
            <w:pPr>
              <w:spacing w:after="0"/>
              <w:rPr>
                <w:sz w:val="13"/>
                <w:szCs w:val="13"/>
                <w:color w:val="auto"/>
              </w:rPr>
            </w:pPr>
          </w:p>
        </w:tc>
        <w:tc>
          <w:tcPr>
            <w:tcW w:w="1480" w:type="dxa"/>
            <w:vAlign w:val="bottom"/>
            <w:tcBorders>
              <w:bottom w:val="single" w:sz="8" w:color="auto"/>
            </w:tcBorders>
            <w:gridSpan w:val="3"/>
          </w:tcPr>
          <w:p>
            <w:pPr>
              <w:ind w:left="780"/>
              <w:spacing w:after="0"/>
              <w:rPr>
                <w:sz w:val="20"/>
                <w:szCs w:val="20"/>
                <w:color w:val="auto"/>
              </w:rPr>
            </w:pPr>
            <w:r>
              <w:rPr>
                <w:rFonts w:ascii="Arial" w:cs="Arial" w:eastAsia="Arial" w:hAnsi="Arial"/>
                <w:sz w:val="12"/>
                <w:szCs w:val="12"/>
                <w:color w:val="auto"/>
              </w:rPr>
              <w:t>Nine months</w:t>
            </w:r>
          </w:p>
        </w:tc>
        <w:tc>
          <w:tcPr>
            <w:tcW w:w="7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Borders>
              <w:bottom w:val="single" w:sz="8" w:color="auto"/>
            </w:tcBorders>
            <w:gridSpan w:val="3"/>
          </w:tcPr>
          <w:p>
            <w:pPr>
              <w:ind w:left="760"/>
              <w:spacing w:after="0"/>
              <w:rPr>
                <w:sz w:val="20"/>
                <w:szCs w:val="20"/>
                <w:color w:val="auto"/>
              </w:rPr>
            </w:pPr>
            <w:r>
              <w:rPr>
                <w:rFonts w:ascii="Arial" w:cs="Arial" w:eastAsia="Arial" w:hAnsi="Arial"/>
                <w:sz w:val="12"/>
                <w:szCs w:val="12"/>
                <w:color w:val="auto"/>
                <w:w w:val="97"/>
              </w:rPr>
              <w:t>Three months</w:t>
            </w: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3"/>
        </w:trPr>
        <w:tc>
          <w:tcPr>
            <w:tcW w:w="5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380" w:type="dxa"/>
            <w:vAlign w:val="bottom"/>
            <w:gridSpan w:val="5"/>
          </w:tcPr>
          <w:p>
            <w:pPr>
              <w:ind w:left="160"/>
              <w:spacing w:after="0" w:line="133" w:lineRule="exact"/>
              <w:rPr>
                <w:sz w:val="20"/>
                <w:szCs w:val="20"/>
                <w:color w:val="auto"/>
              </w:rPr>
            </w:pPr>
            <w:r>
              <w:rPr>
                <w:rFonts w:ascii="Arial" w:cs="Arial" w:eastAsia="Arial" w:hAnsi="Arial"/>
                <w:sz w:val="12"/>
                <w:szCs w:val="12"/>
                <w:color w:val="auto"/>
              </w:rPr>
              <w:t>Periods ended January 31,</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5300" w:type="dxa"/>
            <w:vAlign w:val="bottom"/>
          </w:tcPr>
          <w:p>
            <w:pPr>
              <w:spacing w:after="0"/>
              <w:rPr>
                <w:sz w:val="13"/>
                <w:szCs w:val="13"/>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2009</w:t>
            </w: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2008</w:t>
            </w:r>
          </w:p>
        </w:tc>
        <w:tc>
          <w:tcPr>
            <w:tcW w:w="180" w:type="dxa"/>
            <w:vAlign w:val="bottom"/>
          </w:tcPr>
          <w:p>
            <w:pPr>
              <w:spacing w:after="0"/>
              <w:rPr>
                <w:sz w:val="13"/>
                <w:szCs w:val="13"/>
                <w:color w:val="auto"/>
              </w:rPr>
            </w:pPr>
          </w:p>
        </w:tc>
        <w:tc>
          <w:tcPr>
            <w:tcW w:w="10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2009</w:t>
            </w: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rPr>
              <w:t>2008</w:t>
            </w:r>
          </w:p>
        </w:tc>
        <w:tc>
          <w:tcPr>
            <w:tcW w:w="100" w:type="dxa"/>
            <w:vAlign w:val="bottom"/>
          </w:tcPr>
          <w:p>
            <w:pPr>
              <w:spacing w:after="0"/>
              <w:rPr>
                <w:sz w:val="13"/>
                <w:szCs w:val="13"/>
                <w:color w:val="auto"/>
              </w:rPr>
            </w:pPr>
          </w:p>
        </w:tc>
      </w:tr>
      <w:tr>
        <w:trPr>
          <w:trHeight w:val="142"/>
        </w:trPr>
        <w:tc>
          <w:tcPr>
            <w:tcW w:w="53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2"/>
                <w:szCs w:val="12"/>
                <w:color w:val="auto"/>
              </w:rPr>
              <w:t>Outstanding Options excluded</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2"/>
                <w:szCs w:val="12"/>
                <w:color w:val="auto"/>
              </w:rPr>
              <w:t>1,073,719</w:t>
            </w:r>
          </w:p>
        </w:tc>
        <w:tc>
          <w:tcPr>
            <w:tcW w:w="200" w:type="dxa"/>
            <w:vAlign w:val="bottom"/>
            <w:tcBorders>
              <w:bottom w:val="single" w:sz="8" w:color="CCFFCC"/>
            </w:tcBorders>
            <w:shd w:val="clear" w:color="auto" w:fill="CCFFCC"/>
          </w:tcPr>
          <w:p>
            <w:pPr>
              <w:spacing w:after="0"/>
              <w:rPr>
                <w:sz w:val="12"/>
                <w:szCs w:val="12"/>
                <w:color w:val="auto"/>
              </w:rPr>
            </w:pPr>
          </w:p>
        </w:tc>
        <w:tc>
          <w:tcPr>
            <w:tcW w:w="300" w:type="dxa"/>
            <w:vAlign w:val="bottom"/>
            <w:tcBorders>
              <w:bottom w:val="single" w:sz="8" w:color="auto"/>
            </w:tcBorders>
            <w:shd w:val="clear" w:color="auto" w:fill="CCFFCC"/>
          </w:tcPr>
          <w:p>
            <w:pPr>
              <w:spacing w:after="0"/>
              <w:rPr>
                <w:sz w:val="12"/>
                <w:szCs w:val="12"/>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2"/>
                <w:szCs w:val="12"/>
                <w:color w:val="auto"/>
              </w:rPr>
              <w:t>850,675</w:t>
            </w:r>
          </w:p>
        </w:tc>
        <w:tc>
          <w:tcPr>
            <w:tcW w:w="180" w:type="dxa"/>
            <w:vAlign w:val="bottom"/>
            <w:tcBorders>
              <w:bottom w:val="single" w:sz="8" w:color="CCFFCC"/>
            </w:tcBorders>
            <w:shd w:val="clear" w:color="auto" w:fill="CCFFCC"/>
          </w:tcPr>
          <w:p>
            <w:pPr>
              <w:spacing w:after="0"/>
              <w:rPr>
                <w:sz w:val="12"/>
                <w:szCs w:val="12"/>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2"/>
                <w:szCs w:val="12"/>
                <w:color w:val="auto"/>
              </w:rPr>
              <w:t>1,073,719</w:t>
            </w:r>
          </w:p>
        </w:tc>
        <w:tc>
          <w:tcPr>
            <w:tcW w:w="200" w:type="dxa"/>
            <w:vAlign w:val="bottom"/>
            <w:tcBorders>
              <w:bottom w:val="single" w:sz="8" w:color="CCFFCC"/>
            </w:tcBorders>
            <w:shd w:val="clear" w:color="auto" w:fill="CCFFCC"/>
          </w:tcPr>
          <w:p>
            <w:pPr>
              <w:spacing w:after="0"/>
              <w:rPr>
                <w:sz w:val="12"/>
                <w:szCs w:val="12"/>
                <w:color w:val="auto"/>
              </w:rPr>
            </w:pPr>
          </w:p>
        </w:tc>
        <w:tc>
          <w:tcPr>
            <w:tcW w:w="300" w:type="dxa"/>
            <w:vAlign w:val="bottom"/>
            <w:tcBorders>
              <w:bottom w:val="single" w:sz="8" w:color="auto"/>
            </w:tcBorders>
            <w:shd w:val="clear" w:color="auto" w:fill="CCFFCC"/>
          </w:tcPr>
          <w:p>
            <w:pPr>
              <w:spacing w:after="0"/>
              <w:rPr>
                <w:sz w:val="12"/>
                <w:szCs w:val="12"/>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2"/>
                <w:szCs w:val="12"/>
                <w:color w:val="auto"/>
              </w:rPr>
              <w:t>1,063,175</w:t>
            </w:r>
          </w:p>
        </w:tc>
        <w:tc>
          <w:tcPr>
            <w:tcW w:w="100" w:type="dxa"/>
            <w:vAlign w:val="bottom"/>
            <w:tcBorders>
              <w:bottom w:val="single" w:sz="8" w:color="CCFFCC"/>
            </w:tcBorders>
            <w:shd w:val="clear" w:color="auto" w:fill="CCFFCC"/>
          </w:tcPr>
          <w:p>
            <w:pPr>
              <w:spacing w:after="0"/>
              <w:rPr>
                <w:sz w:val="12"/>
                <w:szCs w:val="12"/>
                <w:color w:val="auto"/>
              </w:rPr>
            </w:pPr>
          </w:p>
        </w:tc>
      </w:tr>
    </w:tbl>
    <w:p>
      <w:pPr>
        <w:spacing w:after="0" w:line="153"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During the three-month period ended January 31, 2009, the Company granted Stock Appreciation Rights (“SARS”) to officers, directors and employees of the Company based on 88,000 shares of Company common stock. When the SARS become exercisable, the Company will settle the SARS by issuing to exercising recipients the number of shares of stock equal to the appreciated value of the Company’s stock between the grant date and exercise date.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auto"/>
        </w:rPr>
        <w:t>NOTE C – COSTS AND ESTIMATED EARNINGS IN EXCESS OF BILLINGS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At January 31, 2009 and April 30, 2008 costs and estimated earnings in excess of billings on uncompleted contracts accounted for on the percentage of completion basis were approximately $1,997,000 and $9,556,000, respectively. Such amounts represent revenue recognized on long-term contracts that had not been billed at the balance sheet dates. Such amounts are billed pursuant to contract terms. During the nine and three months ended January 31, 2009, the revenue recognized under percentage of completion contracts was $14.6 million and $5.1 million, respectively. For the same periods of fiscal year 2008, the Company recognized percentage of completion revenue of $21.2 million and $6.4 million,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7" w:name="page8"/>
    <w:bookmarkEnd w:id="7"/>
    <w:tbl>
      <w:tblPr>
        <w:tblLayout w:type="fixed"/>
        <w:tblInd w:w="8" w:type="dxa"/>
        <w:tblCellMar>
          <w:top w:w="0" w:type="dxa"/>
          <w:left w:w="0" w:type="dxa"/>
          <w:bottom w:w="0" w:type="dxa"/>
          <w:right w:w="0" w:type="dxa"/>
        </w:tblCellMar>
      </w:tblPr>
      <w:tr>
        <w:trPr>
          <w:trHeight w:val="153"/>
        </w:trPr>
        <w:tc>
          <w:tcPr>
            <w:tcW w:w="4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4420" w:type="dxa"/>
            <w:vAlign w:val="bottom"/>
            <w:gridSpan w:val="2"/>
          </w:tcPr>
          <w:p>
            <w:pPr>
              <w:jc w:val="center"/>
              <w:ind w:left="540"/>
              <w:spacing w:after="0"/>
              <w:rPr>
                <w:sz w:val="20"/>
                <w:szCs w:val="20"/>
                <w:color w:val="auto"/>
              </w:rPr>
            </w:pPr>
            <w:r>
              <w:rPr>
                <w:rFonts w:ascii="Arial" w:cs="Arial" w:eastAsia="Arial" w:hAnsi="Arial"/>
                <w:sz w:val="12"/>
                <w:szCs w:val="12"/>
                <w:color w:val="auto"/>
                <w:w w:val="94"/>
              </w:rPr>
              <w:t>FREQUENCY ELECTRONICS, INC. and SUBSIDIARIES</w:t>
            </w: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420" w:type="dxa"/>
            <w:vAlign w:val="bottom"/>
            <w:gridSpan w:val="2"/>
          </w:tcPr>
          <w:p>
            <w:pPr>
              <w:jc w:val="center"/>
              <w:ind w:left="540"/>
              <w:spacing w:after="0"/>
              <w:rPr>
                <w:sz w:val="20"/>
                <w:szCs w:val="20"/>
                <w:color w:val="auto"/>
              </w:rPr>
            </w:pPr>
            <w:r>
              <w:rPr>
                <w:rFonts w:ascii="Arial" w:cs="Arial" w:eastAsia="Arial" w:hAnsi="Arial"/>
                <w:sz w:val="12"/>
                <w:szCs w:val="12"/>
                <w:color w:val="auto"/>
                <w:w w:val="89"/>
              </w:rPr>
              <w:t>Notes to Condensed Consolidated Financial Statements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220" w:type="dxa"/>
            <w:vAlign w:val="bottom"/>
            <w:gridSpan w:val="2"/>
            <w:vMerge w:val="restart"/>
          </w:tcPr>
          <w:p>
            <w:pPr>
              <w:spacing w:after="0"/>
              <w:rPr>
                <w:sz w:val="20"/>
                <w:szCs w:val="20"/>
                <w:color w:val="auto"/>
              </w:rPr>
            </w:pPr>
            <w:r>
              <w:rPr>
                <w:rFonts w:ascii="Arial" w:cs="Arial" w:eastAsia="Arial" w:hAnsi="Arial"/>
                <w:sz w:val="12"/>
                <w:szCs w:val="12"/>
                <w:color w:val="auto"/>
              </w:rPr>
              <w:t>NOTE D - INVENTORIES</w:t>
            </w:r>
          </w:p>
        </w:tc>
        <w:tc>
          <w:tcPr>
            <w:tcW w:w="4420" w:type="dxa"/>
            <w:vAlign w:val="bottom"/>
            <w:gridSpan w:val="2"/>
          </w:tcPr>
          <w:p>
            <w:pPr>
              <w:jc w:val="center"/>
              <w:ind w:left="540"/>
              <w:spacing w:after="0"/>
              <w:rPr>
                <w:sz w:val="20"/>
                <w:szCs w:val="20"/>
                <w:color w:val="auto"/>
              </w:rPr>
            </w:pPr>
            <w:r>
              <w:rPr>
                <w:rFonts w:ascii="Arial" w:cs="Arial" w:eastAsia="Arial" w:hAnsi="Arial"/>
                <w:sz w:val="12"/>
                <w:szCs w:val="12"/>
                <w:color w:val="auto"/>
                <w:w w:val="92"/>
              </w:rPr>
              <w:t>(Unaudited)</w:t>
            </w: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20" w:type="dxa"/>
            <w:vAlign w:val="bottom"/>
            <w:gridSpan w:val="2"/>
            <w:vMerge w:val="continue"/>
          </w:tcPr>
          <w:p>
            <w:pPr>
              <w:spacing w:after="0"/>
              <w:rPr>
                <w:sz w:val="12"/>
                <w:szCs w:val="12"/>
                <w:color w:val="auto"/>
              </w:rPr>
            </w:pPr>
          </w:p>
        </w:tc>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420" w:type="dxa"/>
            <w:vAlign w:val="bottom"/>
          </w:tcPr>
          <w:p>
            <w:pPr>
              <w:spacing w:after="0"/>
              <w:rPr>
                <w:sz w:val="24"/>
                <w:szCs w:val="24"/>
                <w:color w:val="auto"/>
              </w:rPr>
            </w:pPr>
          </w:p>
        </w:tc>
        <w:tc>
          <w:tcPr>
            <w:tcW w:w="8380" w:type="dxa"/>
            <w:vAlign w:val="bottom"/>
            <w:gridSpan w:val="5"/>
          </w:tcPr>
          <w:p>
            <w:pPr>
              <w:spacing w:after="0"/>
              <w:rPr>
                <w:sz w:val="20"/>
                <w:szCs w:val="20"/>
                <w:color w:val="auto"/>
              </w:rPr>
            </w:pPr>
            <w:r>
              <w:rPr>
                <w:rFonts w:ascii="Arial" w:cs="Arial" w:eastAsia="Arial" w:hAnsi="Arial"/>
                <w:sz w:val="12"/>
                <w:szCs w:val="12"/>
                <w:color w:val="auto"/>
              </w:rPr>
              <w:t>Inventories, which are reported net of reserves of $7,036,000 and $6,206,000 at January 31, 2009 and April 30, 2008, respectively, consist of the following:</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97"/>
              </w:rPr>
              <w:t>January 31, 2009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94"/>
              </w:rPr>
              <w:t>April 30, 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ind w:right="40"/>
              <w:spacing w:after="0"/>
              <w:rPr>
                <w:sz w:val="20"/>
                <w:szCs w:val="20"/>
                <w:color w:val="auto"/>
              </w:rPr>
            </w:pPr>
            <w:r>
              <w:rPr>
                <w:rFonts w:ascii="Arial" w:cs="Arial" w:eastAsia="Arial" w:hAnsi="Arial"/>
                <w:sz w:val="12"/>
                <w:szCs w:val="12"/>
                <w:color w:val="auto"/>
              </w:rPr>
              <w:t>(In</w:t>
            </w:r>
          </w:p>
        </w:tc>
        <w:tc>
          <w:tcPr>
            <w:tcW w:w="480" w:type="dxa"/>
            <w:vAlign w:val="bottom"/>
            <w:gridSpan w:val="3"/>
          </w:tcPr>
          <w:p>
            <w:pPr>
              <w:jc w:val="center"/>
              <w:ind w:right="40"/>
              <w:spacing w:after="0"/>
              <w:rPr>
                <w:sz w:val="20"/>
                <w:szCs w:val="20"/>
                <w:color w:val="auto"/>
              </w:rPr>
            </w:pPr>
            <w:r>
              <w:rPr>
                <w:rFonts w:ascii="Arial" w:cs="Arial" w:eastAsia="Arial" w:hAnsi="Arial"/>
                <w:sz w:val="12"/>
                <w:szCs w:val="12"/>
                <w:color w:val="auto"/>
                <w:w w:val="74"/>
              </w:rPr>
              <w:t>thousands)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2800" w:type="dxa"/>
            <w:vAlign w:val="bottom"/>
            <w:shd w:val="clear" w:color="auto" w:fill="CCFFCC"/>
          </w:tcPr>
          <w:p>
            <w:pPr>
              <w:spacing w:after="0"/>
              <w:rPr>
                <w:sz w:val="20"/>
                <w:szCs w:val="20"/>
                <w:color w:val="auto"/>
              </w:rPr>
            </w:pPr>
            <w:r>
              <w:rPr>
                <w:rFonts w:ascii="Arial" w:cs="Arial" w:eastAsia="Arial" w:hAnsi="Arial"/>
                <w:sz w:val="12"/>
                <w:szCs w:val="12"/>
                <w:color w:val="auto"/>
              </w:rPr>
              <w:t>Raw materials and Component parts</w:t>
            </w:r>
          </w:p>
        </w:tc>
        <w:tc>
          <w:tcPr>
            <w:tcW w:w="442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2"/>
                <w:szCs w:val="12"/>
                <w:color w:val="auto"/>
              </w:rPr>
              <w:t>15,138</w:t>
            </w:r>
          </w:p>
        </w:tc>
        <w:tc>
          <w:tcPr>
            <w:tcW w:w="460" w:type="dxa"/>
            <w:vAlign w:val="bottom"/>
            <w:gridSpan w:val="2"/>
            <w:shd w:val="clear" w:color="auto" w:fill="CCFFCC"/>
          </w:tcPr>
          <w:p>
            <w:pPr>
              <w:jc w:val="center"/>
              <w:ind w:right="40"/>
              <w:spacing w:after="0"/>
              <w:rPr>
                <w:sz w:val="20"/>
                <w:szCs w:val="20"/>
                <w:color w:val="auto"/>
              </w:rPr>
            </w:pPr>
            <w:r>
              <w:rPr>
                <w:rFonts w:ascii="Arial" w:cs="Arial" w:eastAsia="Arial" w:hAnsi="Arial"/>
                <w:sz w:val="12"/>
                <w:szCs w:val="12"/>
                <w:color w:val="auto"/>
                <w:w w:val="89"/>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12,523</w:t>
            </w: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2800" w:type="dxa"/>
            <w:vAlign w:val="bottom"/>
          </w:tcPr>
          <w:p>
            <w:pPr>
              <w:spacing w:after="0"/>
              <w:rPr>
                <w:sz w:val="20"/>
                <w:szCs w:val="20"/>
                <w:color w:val="auto"/>
              </w:rPr>
            </w:pPr>
            <w:r>
              <w:rPr>
                <w:rFonts w:ascii="Arial" w:cs="Arial" w:eastAsia="Arial" w:hAnsi="Arial"/>
                <w:sz w:val="12"/>
                <w:szCs w:val="12"/>
                <w:color w:val="auto"/>
              </w:rPr>
              <w:t>Work in progress</w:t>
            </w:r>
          </w:p>
        </w:tc>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11,986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13,938</w:t>
            </w: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28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2"/>
                <w:szCs w:val="12"/>
                <w:color w:val="auto"/>
              </w:rPr>
              <w:t>Finished Goods</w:t>
            </w:r>
          </w:p>
        </w:tc>
        <w:tc>
          <w:tcPr>
            <w:tcW w:w="4280" w:type="dxa"/>
            <w:vAlign w:val="bottom"/>
            <w:tcBorders>
              <w:bottom w:val="single" w:sz="8" w:color="CCFFCC"/>
            </w:tcBorders>
            <w:shd w:val="clear" w:color="auto" w:fill="CCFFCC"/>
          </w:tcPr>
          <w:p>
            <w:pPr>
              <w:spacing w:after="0"/>
              <w:rPr>
                <w:sz w:val="12"/>
                <w:szCs w:val="12"/>
                <w:color w:val="auto"/>
              </w:rPr>
            </w:pPr>
          </w:p>
        </w:tc>
        <w:tc>
          <w:tcPr>
            <w:tcW w:w="140" w:type="dxa"/>
            <w:vAlign w:val="bottom"/>
            <w:tcBorders>
              <w:bottom w:val="single" w:sz="8" w:color="auto"/>
            </w:tcBorders>
            <w:shd w:val="clear" w:color="auto" w:fill="CCFFCC"/>
          </w:tcPr>
          <w:p>
            <w:pPr>
              <w:spacing w:after="0"/>
              <w:rPr>
                <w:sz w:val="12"/>
                <w:szCs w:val="12"/>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2"/>
                <w:szCs w:val="12"/>
                <w:color w:val="auto"/>
              </w:rPr>
              <w:t>3,095</w:t>
            </w:r>
          </w:p>
        </w:tc>
        <w:tc>
          <w:tcPr>
            <w:tcW w:w="20" w:type="dxa"/>
            <w:vAlign w:val="bottom"/>
            <w:tcBorders>
              <w:bottom w:val="single" w:sz="8" w:color="CCFFCC"/>
            </w:tcBorders>
            <w:shd w:val="clear" w:color="auto" w:fill="CCFFCC"/>
          </w:tcPr>
          <w:p>
            <w:pPr>
              <w:spacing w:after="0"/>
              <w:rPr>
                <w:sz w:val="12"/>
                <w:szCs w:val="12"/>
                <w:color w:val="auto"/>
              </w:rPr>
            </w:pPr>
          </w:p>
        </w:tc>
        <w:tc>
          <w:tcPr>
            <w:tcW w:w="180" w:type="dxa"/>
            <w:vAlign w:val="bottom"/>
            <w:tcBorders>
              <w:bottom w:val="single" w:sz="8" w:color="CCFFCC"/>
            </w:tcBorders>
            <w:shd w:val="clear" w:color="auto" w:fill="CCFFCC"/>
          </w:tcPr>
          <w:p>
            <w:pPr>
              <w:spacing w:after="0"/>
              <w:rPr>
                <w:sz w:val="12"/>
                <w:szCs w:val="12"/>
                <w:color w:val="auto"/>
              </w:rPr>
            </w:pPr>
          </w:p>
        </w:tc>
        <w:tc>
          <w:tcPr>
            <w:tcW w:w="280" w:type="dxa"/>
            <w:vAlign w:val="bottom"/>
            <w:tcBorders>
              <w:bottom w:val="single" w:sz="8" w:color="auto"/>
            </w:tcBorders>
            <w:shd w:val="clear" w:color="auto" w:fill="CCFFCC"/>
          </w:tcPr>
          <w:p>
            <w:pPr>
              <w:spacing w:after="0"/>
              <w:rPr>
                <w:sz w:val="12"/>
                <w:szCs w:val="12"/>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2"/>
                <w:szCs w:val="12"/>
                <w:color w:val="auto"/>
              </w:rPr>
              <w:t>3,757</w:t>
            </w:r>
          </w:p>
        </w:tc>
        <w:tc>
          <w:tcPr>
            <w:tcW w:w="100" w:type="dxa"/>
            <w:vAlign w:val="bottom"/>
            <w:tcBorders>
              <w:bottom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4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spacing w:after="0"/>
              <w:rPr>
                <w:sz w:val="20"/>
                <w:szCs w:val="20"/>
                <w:color w:val="auto"/>
              </w:rPr>
            </w:pPr>
            <w:r>
              <w:rPr>
                <w:rFonts w:ascii="Arial" w:cs="Arial" w:eastAsia="Arial" w:hAnsi="Arial"/>
                <w:sz w:val="12"/>
                <w:szCs w:val="12"/>
                <w:color w:val="auto"/>
              </w:rPr>
              <w:t>30,219</w:t>
            </w:r>
          </w:p>
        </w:tc>
        <w:tc>
          <w:tcPr>
            <w:tcW w:w="460" w:type="dxa"/>
            <w:vAlign w:val="bottom"/>
            <w:gridSpan w:val="2"/>
          </w:tcPr>
          <w:p>
            <w:pPr>
              <w:jc w:val="center"/>
              <w:ind w:right="40"/>
              <w:spacing w:after="0"/>
              <w:rPr>
                <w:sz w:val="20"/>
                <w:szCs w:val="20"/>
                <w:color w:val="auto"/>
              </w:rPr>
            </w:pPr>
            <w:r>
              <w:rPr>
                <w:rFonts w:ascii="Arial" w:cs="Arial" w:eastAsia="Arial" w:hAnsi="Arial"/>
                <w:sz w:val="12"/>
                <w:szCs w:val="12"/>
                <w:color w:val="auto"/>
                <w:w w:val="89"/>
              </w:rPr>
              <w:t>$</w:t>
            </w: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30,218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As of January 31, 2009 and April 30, 2008, approximately $20.9 million and $22.9 million, respectively, of total inventory is located in the United States, approximately $7.9 million and $5.8 million, respectively, is located in Belgium and approximately $1.4 million and $1.5 million, respectively, is located in China.</w:t>
      </w:r>
    </w:p>
    <w:p>
      <w:pPr>
        <w:spacing w:after="0" w:line="133"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7500" w:type="dxa"/>
            <w:vAlign w:val="bottom"/>
            <w:gridSpan w:val="2"/>
          </w:tcPr>
          <w:p>
            <w:pPr>
              <w:spacing w:after="0"/>
              <w:rPr>
                <w:sz w:val="20"/>
                <w:szCs w:val="20"/>
                <w:color w:val="auto"/>
              </w:rPr>
            </w:pPr>
            <w:r>
              <w:rPr>
                <w:rFonts w:ascii="Arial" w:cs="Arial" w:eastAsia="Arial" w:hAnsi="Arial"/>
                <w:sz w:val="12"/>
                <w:szCs w:val="12"/>
                <w:color w:val="auto"/>
              </w:rPr>
              <w:t>NOTE E – COMPREHENSIVE (LOSS) INCOME</w:t>
            </w: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06"/>
        </w:trPr>
        <w:tc>
          <w:tcPr>
            <w:tcW w:w="420" w:type="dxa"/>
            <w:vAlign w:val="bottom"/>
          </w:tcPr>
          <w:p>
            <w:pPr>
              <w:spacing w:after="0"/>
              <w:rPr>
                <w:sz w:val="24"/>
                <w:szCs w:val="24"/>
                <w:color w:val="auto"/>
              </w:rPr>
            </w:pPr>
          </w:p>
        </w:tc>
        <w:tc>
          <w:tcPr>
            <w:tcW w:w="7080" w:type="dxa"/>
            <w:vAlign w:val="bottom"/>
          </w:tcPr>
          <w:p>
            <w:pPr>
              <w:spacing w:after="0"/>
              <w:rPr>
                <w:sz w:val="20"/>
                <w:szCs w:val="20"/>
                <w:color w:val="auto"/>
              </w:rPr>
            </w:pPr>
            <w:r>
              <w:rPr>
                <w:rFonts w:ascii="Arial" w:cs="Arial" w:eastAsia="Arial" w:hAnsi="Arial"/>
                <w:sz w:val="12"/>
                <w:szCs w:val="12"/>
                <w:color w:val="auto"/>
              </w:rPr>
              <w:t>For the nine months ended January 31, 2009 and 2008, comprehensive income (loss) is composed of:</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6"/>
        </w:trPr>
        <w:tc>
          <w:tcPr>
            <w:tcW w:w="4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3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2"/>
                <w:szCs w:val="12"/>
                <w:color w:val="auto"/>
              </w:rPr>
              <w:t>Nine months ended January 31,</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3"/>
        </w:trPr>
        <w:tc>
          <w:tcPr>
            <w:tcW w:w="42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20" w:type="dxa"/>
            <w:vAlign w:val="bottom"/>
            <w:gridSpan w:val="4"/>
          </w:tcPr>
          <w:p>
            <w:pPr>
              <w:jc w:val="right"/>
              <w:ind w:right="600"/>
              <w:spacing w:after="0" w:line="133" w:lineRule="exact"/>
              <w:rPr>
                <w:sz w:val="20"/>
                <w:szCs w:val="20"/>
                <w:color w:val="auto"/>
              </w:rPr>
            </w:pPr>
            <w:r>
              <w:rPr>
                <w:rFonts w:ascii="Arial" w:cs="Arial" w:eastAsia="Arial" w:hAnsi="Arial"/>
                <w:sz w:val="12"/>
                <w:szCs w:val="12"/>
                <w:color w:val="auto"/>
              </w:rPr>
              <w:t>(in thousands)</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420" w:type="dxa"/>
            <w:vAlign w:val="bottom"/>
          </w:tcPr>
          <w:p>
            <w:pPr>
              <w:spacing w:after="0"/>
              <w:rPr>
                <w:sz w:val="13"/>
                <w:szCs w:val="13"/>
                <w:color w:val="auto"/>
              </w:rPr>
            </w:pPr>
          </w:p>
        </w:tc>
        <w:tc>
          <w:tcPr>
            <w:tcW w:w="7080" w:type="dxa"/>
            <w:vAlign w:val="bottom"/>
          </w:tcPr>
          <w:p>
            <w:pPr>
              <w:spacing w:after="0"/>
              <w:rPr>
                <w:sz w:val="13"/>
                <w:szCs w:val="13"/>
                <w:color w:val="auto"/>
              </w:rPr>
            </w:pPr>
          </w:p>
        </w:tc>
        <w:tc>
          <w:tcPr>
            <w:tcW w:w="860" w:type="dxa"/>
            <w:vAlign w:val="bottom"/>
            <w:tcBorders>
              <w:bottom w:val="single" w:sz="8" w:color="auto"/>
            </w:tcBorders>
          </w:tcPr>
          <w:p>
            <w:pPr>
              <w:jc w:val="right"/>
              <w:ind w:right="45"/>
              <w:spacing w:after="0"/>
              <w:rPr>
                <w:sz w:val="20"/>
                <w:szCs w:val="20"/>
                <w:color w:val="auto"/>
              </w:rPr>
            </w:pPr>
            <w:r>
              <w:rPr>
                <w:rFonts w:ascii="Arial" w:cs="Arial" w:eastAsia="Arial" w:hAnsi="Arial"/>
                <w:sz w:val="12"/>
                <w:szCs w:val="12"/>
                <w:color w:val="auto"/>
              </w:rPr>
              <w:t>2009</w:t>
            </w: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2008</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420" w:type="dxa"/>
            <w:vAlign w:val="bottom"/>
          </w:tcPr>
          <w:p>
            <w:pPr>
              <w:spacing w:after="0"/>
              <w:rPr>
                <w:sz w:val="12"/>
                <w:szCs w:val="12"/>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2"/>
                <w:szCs w:val="12"/>
                <w:color w:val="auto"/>
              </w:rPr>
              <w:t>Net (loss) income</w:t>
            </w:r>
          </w:p>
        </w:tc>
        <w:tc>
          <w:tcPr>
            <w:tcW w:w="860" w:type="dxa"/>
            <w:vAlign w:val="bottom"/>
            <w:shd w:val="clear" w:color="auto" w:fill="CCFFCC"/>
          </w:tcPr>
          <w:p>
            <w:pPr>
              <w:jc w:val="right"/>
              <w:ind w:right="745"/>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(1,567)</w:t>
            </w:r>
          </w:p>
        </w:tc>
        <w:tc>
          <w:tcPr>
            <w:tcW w:w="980" w:type="dxa"/>
            <w:vAlign w:val="bottom"/>
            <w:gridSpan w:val="2"/>
            <w:shd w:val="clear" w:color="auto" w:fill="CCFFCC"/>
          </w:tcPr>
          <w:p>
            <w:pPr>
              <w:jc w:val="right"/>
              <w:ind w:right="78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FFCC"/>
          </w:tcPr>
          <w:p>
            <w:pPr>
              <w:jc w:val="right"/>
              <w:spacing w:after="0"/>
              <w:rPr>
                <w:sz w:val="20"/>
                <w:szCs w:val="20"/>
                <w:color w:val="auto"/>
              </w:rPr>
            </w:pPr>
            <w:r>
              <w:rPr>
                <w:rFonts w:ascii="Arial" w:cs="Arial" w:eastAsia="Arial" w:hAnsi="Arial"/>
                <w:sz w:val="12"/>
                <w:szCs w:val="12"/>
                <w:color w:val="auto"/>
              </w:rPr>
              <w:t>2,547</w:t>
            </w:r>
          </w:p>
        </w:tc>
        <w:tc>
          <w:tcPr>
            <w:tcW w:w="100" w:type="dxa"/>
            <w:vAlign w:val="bottom"/>
            <w:shd w:val="clear" w:color="auto" w:fill="CCFFCC"/>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7080" w:type="dxa"/>
            <w:vAlign w:val="bottom"/>
          </w:tcPr>
          <w:p>
            <w:pPr>
              <w:spacing w:after="0"/>
              <w:rPr>
                <w:sz w:val="20"/>
                <w:szCs w:val="20"/>
                <w:color w:val="auto"/>
              </w:rPr>
            </w:pPr>
            <w:r>
              <w:rPr>
                <w:rFonts w:ascii="Arial" w:cs="Arial" w:eastAsia="Arial" w:hAnsi="Arial"/>
                <w:sz w:val="12"/>
                <w:szCs w:val="12"/>
                <w:color w:val="auto"/>
              </w:rPr>
              <w:t>Foreign currency translation adjustment</w:t>
            </w:r>
          </w:p>
        </w:tc>
        <w:tc>
          <w:tcPr>
            <w:tcW w:w="86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(854)</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1,695</w:t>
            </w:r>
          </w:p>
        </w:tc>
        <w:tc>
          <w:tcPr>
            <w:tcW w:w="1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2"/>
                <w:szCs w:val="12"/>
                <w:color w:val="auto"/>
              </w:rPr>
              <w:t>Change in market value of marketable securities</w:t>
            </w:r>
          </w:p>
        </w:tc>
        <w:tc>
          <w:tcPr>
            <w:tcW w:w="860" w:type="dxa"/>
            <w:vAlign w:val="bottom"/>
            <w:shd w:val="clear" w:color="auto" w:fill="CCFFCC"/>
          </w:tcPr>
          <w:p>
            <w:pPr>
              <w:spacing w:after="0"/>
              <w:rPr>
                <w:sz w:val="12"/>
                <w:szCs w:val="12"/>
                <w:color w:val="auto"/>
              </w:rPr>
            </w:pPr>
          </w:p>
        </w:tc>
        <w:tc>
          <w:tcPr>
            <w:tcW w:w="54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(163)</w:t>
            </w:r>
          </w:p>
        </w:tc>
        <w:tc>
          <w:tcPr>
            <w:tcW w:w="8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480" w:type="dxa"/>
            <w:vAlign w:val="bottom"/>
            <w:gridSpan w:val="2"/>
            <w:shd w:val="clear" w:color="auto" w:fill="CCFFCC"/>
          </w:tcPr>
          <w:p>
            <w:pPr>
              <w:jc w:val="right"/>
              <w:ind w:right="60"/>
              <w:spacing w:after="0"/>
              <w:rPr>
                <w:sz w:val="20"/>
                <w:szCs w:val="20"/>
                <w:color w:val="auto"/>
              </w:rPr>
            </w:pPr>
            <w:r>
              <w:rPr>
                <w:rFonts w:ascii="Arial" w:cs="Arial" w:eastAsia="Arial" w:hAnsi="Arial"/>
                <w:sz w:val="12"/>
                <w:szCs w:val="12"/>
                <w:color w:val="auto"/>
              </w:rPr>
              <w:t>(190)</w:t>
            </w:r>
          </w:p>
        </w:tc>
      </w:tr>
      <w:tr>
        <w:trPr>
          <w:trHeight w:val="144"/>
        </w:trPr>
        <w:tc>
          <w:tcPr>
            <w:tcW w:w="420" w:type="dxa"/>
            <w:vAlign w:val="bottom"/>
          </w:tcPr>
          <w:p>
            <w:pPr>
              <w:spacing w:after="0"/>
              <w:rPr>
                <w:sz w:val="12"/>
                <w:szCs w:val="12"/>
                <w:color w:val="auto"/>
              </w:rPr>
            </w:pPr>
          </w:p>
        </w:tc>
        <w:tc>
          <w:tcPr>
            <w:tcW w:w="7080" w:type="dxa"/>
            <w:vAlign w:val="bottom"/>
          </w:tcPr>
          <w:p>
            <w:pPr>
              <w:spacing w:after="0"/>
              <w:rPr>
                <w:sz w:val="20"/>
                <w:szCs w:val="20"/>
                <w:color w:val="auto"/>
              </w:rPr>
            </w:pPr>
            <w:r>
              <w:rPr>
                <w:rFonts w:ascii="Arial" w:cs="Arial" w:eastAsia="Arial" w:hAnsi="Arial"/>
                <w:sz w:val="12"/>
                <w:szCs w:val="12"/>
                <w:color w:val="auto"/>
              </w:rPr>
              <w:t>Deferred tax effect of change in market value of</w:t>
            </w: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7080" w:type="dxa"/>
            <w:vAlign w:val="bottom"/>
            <w:tcBorders>
              <w:bottom w:val="single" w:sz="8" w:color="CCFFCC"/>
            </w:tcBorders>
            <w:shd w:val="clear" w:color="auto" w:fill="CCFFCC"/>
          </w:tcPr>
          <w:p>
            <w:pPr>
              <w:ind w:left="120"/>
              <w:spacing w:after="0"/>
              <w:rPr>
                <w:sz w:val="20"/>
                <w:szCs w:val="20"/>
                <w:color w:val="auto"/>
              </w:rPr>
            </w:pPr>
            <w:r>
              <w:rPr>
                <w:rFonts w:ascii="Arial" w:cs="Arial" w:eastAsia="Arial" w:hAnsi="Arial"/>
                <w:sz w:val="12"/>
                <w:szCs w:val="12"/>
                <w:color w:val="auto"/>
              </w:rPr>
              <w:t>marketable securities</w:t>
            </w:r>
          </w:p>
        </w:tc>
        <w:tc>
          <w:tcPr>
            <w:tcW w:w="860" w:type="dxa"/>
            <w:vAlign w:val="bottom"/>
            <w:tcBorders>
              <w:bottom w:val="single" w:sz="8" w:color="auto"/>
            </w:tcBorders>
            <w:shd w:val="clear" w:color="auto" w:fill="CCFFCC"/>
          </w:tcPr>
          <w:p>
            <w:pPr>
              <w:spacing w:after="0"/>
              <w:rPr>
                <w:sz w:val="12"/>
                <w:szCs w:val="12"/>
                <w:color w:val="auto"/>
              </w:rPr>
            </w:pPr>
          </w:p>
        </w:tc>
        <w:tc>
          <w:tcPr>
            <w:tcW w:w="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2"/>
                <w:szCs w:val="12"/>
                <w:color w:val="auto"/>
              </w:rPr>
              <w:t>65</w:t>
            </w:r>
          </w:p>
        </w:tc>
        <w:tc>
          <w:tcPr>
            <w:tcW w:w="120" w:type="dxa"/>
            <w:vAlign w:val="bottom"/>
            <w:tcBorders>
              <w:bottom w:val="single" w:sz="8" w:color="CCFFCC"/>
            </w:tcBorders>
            <w:shd w:val="clear" w:color="auto" w:fill="CCFFCC"/>
          </w:tcPr>
          <w:p>
            <w:pPr>
              <w:spacing w:after="0"/>
              <w:rPr>
                <w:sz w:val="12"/>
                <w:szCs w:val="12"/>
                <w:color w:val="auto"/>
              </w:rPr>
            </w:pPr>
          </w:p>
        </w:tc>
        <w:tc>
          <w:tcPr>
            <w:tcW w:w="80" w:type="dxa"/>
            <w:vAlign w:val="bottom"/>
            <w:tcBorders>
              <w:bottom w:val="single" w:sz="8" w:color="CCFFCC"/>
            </w:tcBorders>
            <w:shd w:val="clear" w:color="auto" w:fill="CCFFCC"/>
          </w:tcPr>
          <w:p>
            <w:pPr>
              <w:spacing w:after="0"/>
              <w:rPr>
                <w:sz w:val="12"/>
                <w:szCs w:val="12"/>
                <w:color w:val="auto"/>
              </w:rPr>
            </w:pPr>
          </w:p>
        </w:tc>
        <w:tc>
          <w:tcPr>
            <w:tcW w:w="900" w:type="dxa"/>
            <w:vAlign w:val="bottom"/>
            <w:tcBorders>
              <w:bottom w:val="single" w:sz="8" w:color="auto"/>
            </w:tcBorders>
            <w:shd w:val="clear" w:color="auto" w:fill="CCFFCC"/>
          </w:tcPr>
          <w:p>
            <w:pPr>
              <w:spacing w:after="0"/>
              <w:rPr>
                <w:sz w:val="12"/>
                <w:szCs w:val="12"/>
                <w:color w:val="auto"/>
              </w:rPr>
            </w:pPr>
          </w:p>
        </w:tc>
        <w:tc>
          <w:tcPr>
            <w:tcW w:w="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2"/>
                <w:szCs w:val="12"/>
                <w:color w:val="auto"/>
              </w:rPr>
              <w:t>76</w:t>
            </w:r>
          </w:p>
        </w:tc>
        <w:tc>
          <w:tcPr>
            <w:tcW w:w="100" w:type="dxa"/>
            <w:vAlign w:val="bottom"/>
            <w:tcBorders>
              <w:bottom w:val="single" w:sz="8" w:color="CCFFCC"/>
            </w:tcBorders>
            <w:shd w:val="clear" w:color="auto" w:fill="CCFFCC"/>
          </w:tcPr>
          <w:p>
            <w:pPr>
              <w:spacing w:after="0"/>
              <w:rPr>
                <w:sz w:val="12"/>
                <w:szCs w:val="12"/>
                <w:color w:val="auto"/>
              </w:rPr>
            </w:pPr>
          </w:p>
        </w:tc>
      </w:tr>
      <w:tr>
        <w:trPr>
          <w:trHeight w:val="142"/>
        </w:trPr>
        <w:tc>
          <w:tcPr>
            <w:tcW w:w="420" w:type="dxa"/>
            <w:vAlign w:val="bottom"/>
          </w:tcPr>
          <w:p>
            <w:pPr>
              <w:spacing w:after="0"/>
              <w:rPr>
                <w:sz w:val="12"/>
                <w:szCs w:val="12"/>
                <w:color w:val="auto"/>
              </w:rPr>
            </w:pPr>
          </w:p>
        </w:tc>
        <w:tc>
          <w:tcPr>
            <w:tcW w:w="7080" w:type="dxa"/>
            <w:vAlign w:val="bottom"/>
          </w:tcPr>
          <w:p>
            <w:pPr>
              <w:spacing w:after="0"/>
              <w:rPr>
                <w:sz w:val="20"/>
                <w:szCs w:val="20"/>
                <w:color w:val="auto"/>
              </w:rPr>
            </w:pPr>
            <w:r>
              <w:rPr>
                <w:rFonts w:ascii="Arial" w:cs="Arial" w:eastAsia="Arial" w:hAnsi="Arial"/>
                <w:sz w:val="12"/>
                <w:szCs w:val="12"/>
                <w:color w:val="auto"/>
              </w:rPr>
              <w:t>Comprehensive (loss) income</w:t>
            </w:r>
          </w:p>
        </w:tc>
        <w:tc>
          <w:tcPr>
            <w:tcW w:w="860" w:type="dxa"/>
            <w:vAlign w:val="bottom"/>
          </w:tcPr>
          <w:p>
            <w:pPr>
              <w:jc w:val="right"/>
              <w:ind w:right="745"/>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(2,519)</w:t>
            </w:r>
          </w:p>
        </w:tc>
        <w:tc>
          <w:tcPr>
            <w:tcW w:w="980" w:type="dxa"/>
            <w:vAlign w:val="bottom"/>
            <w:gridSpan w:val="2"/>
          </w:tcPr>
          <w:p>
            <w:pPr>
              <w:jc w:val="right"/>
              <w:ind w:right="780"/>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4,128</w:t>
            </w:r>
          </w:p>
        </w:tc>
        <w:tc>
          <w:tcPr>
            <w:tcW w:w="100" w:type="dxa"/>
            <w:vAlign w:val="bottom"/>
          </w:tcPr>
          <w:p>
            <w:pPr>
              <w:spacing w:after="0"/>
              <w:rPr>
                <w:sz w:val="12"/>
                <w:szCs w:val="12"/>
                <w:color w:val="auto"/>
              </w:rPr>
            </w:pPr>
          </w:p>
        </w:tc>
      </w:tr>
      <w:tr>
        <w:trPr>
          <w:trHeight w:val="20"/>
        </w:trPr>
        <w:tc>
          <w:tcPr>
            <w:tcW w:w="4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ind w:left="8"/>
        <w:spacing w:after="0"/>
        <w:rPr>
          <w:sz w:val="20"/>
          <w:szCs w:val="20"/>
          <w:color w:val="auto"/>
        </w:rPr>
      </w:pPr>
      <w:r>
        <w:rPr>
          <w:rFonts w:ascii="Arial" w:cs="Arial" w:eastAsia="Arial" w:hAnsi="Arial"/>
          <w:sz w:val="12"/>
          <w:szCs w:val="12"/>
          <w:color w:val="auto"/>
        </w:rPr>
        <w:t>NOTE F – TREASURY STOCK TRANSACTIONS</w:t>
      </w:r>
    </w:p>
    <w:p>
      <w:pPr>
        <w:spacing w:after="0" w:line="168"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On September 11, 2008, the Company announced that it had acquired 615,000 shares of its outstanding common stock in a block transaction with what had been its largest institutional shareholder. The Company paid approximately $2.6 million for these shares. Coupled with other purchases of common stock during the nine month period ended January 31, 2009, the Company acquired a total of 724,632 shares at an average price per share of $4.29. With these purchases, the Company has acquired approximately $4 million of its common stock out of the total authorization of $5 million. Offsetting the treasury stock transactions, the Company contributed 93,687 shares to the profit sharing plan and trust under section 401(k) of the Internal Revenue Code for the benefit of the Company’s employees.</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2"/>
          <w:szCs w:val="12"/>
          <w:color w:val="auto"/>
        </w:rPr>
        <w:t>NOTE G – SEGMENT INFORMATION</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 operates under three reportable segments:</w:t>
      </w:r>
    </w:p>
    <w:p>
      <w:pPr>
        <w:spacing w:after="0" w:line="15" w:lineRule="exact"/>
        <w:rPr>
          <w:sz w:val="20"/>
          <w:szCs w:val="20"/>
          <w:color w:val="auto"/>
        </w:rPr>
      </w:pPr>
    </w:p>
    <w:p>
      <w:pPr>
        <w:ind w:left="428" w:right="20" w:hanging="428"/>
        <w:spacing w:after="0" w:line="250" w:lineRule="auto"/>
        <w:tabs>
          <w:tab w:leader="none" w:pos="428" w:val="left"/>
        </w:tabs>
        <w:numPr>
          <w:ilvl w:val="0"/>
          <w:numId w:val="2"/>
        </w:numPr>
        <w:rPr>
          <w:rFonts w:ascii="Arial" w:cs="Arial" w:eastAsia="Arial" w:hAnsi="Arial"/>
          <w:sz w:val="12"/>
          <w:szCs w:val="12"/>
          <w:color w:val="auto"/>
        </w:rPr>
      </w:pPr>
      <w:r>
        <w:rPr>
          <w:rFonts w:ascii="Arial" w:cs="Arial" w:eastAsia="Arial" w:hAnsi="Arial"/>
          <w:sz w:val="12"/>
          <w:szCs w:val="12"/>
          <w:color w:val="auto"/>
        </w:rPr>
        <w:t>FEI-NY – consists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ind w:left="428" w:hanging="428"/>
        <w:spacing w:after="0"/>
        <w:tabs>
          <w:tab w:leader="none" w:pos="428" w:val="left"/>
        </w:tabs>
        <w:numPr>
          <w:ilvl w:val="0"/>
          <w:numId w:val="2"/>
        </w:numPr>
        <w:rPr>
          <w:rFonts w:ascii="Arial" w:cs="Arial" w:eastAsia="Arial" w:hAnsi="Arial"/>
          <w:sz w:val="12"/>
          <w:szCs w:val="12"/>
          <w:color w:val="auto"/>
        </w:rPr>
      </w:pPr>
      <w:r>
        <w:rPr>
          <w:rFonts w:ascii="Arial" w:cs="Arial" w:eastAsia="Arial" w:hAnsi="Arial"/>
          <w:sz w:val="12"/>
          <w:szCs w:val="12"/>
          <w:color w:val="auto"/>
        </w:rPr>
        <w:t>Gillam-FEI - the Company’s Belgian subsidiary primarily sells wireline synchronization and network management systems.</w:t>
      </w:r>
    </w:p>
    <w:p>
      <w:pPr>
        <w:spacing w:after="0" w:line="6" w:lineRule="exact"/>
        <w:rPr>
          <w:rFonts w:ascii="Arial" w:cs="Arial" w:eastAsia="Arial" w:hAnsi="Arial"/>
          <w:sz w:val="12"/>
          <w:szCs w:val="12"/>
          <w:color w:val="auto"/>
        </w:rPr>
      </w:pPr>
    </w:p>
    <w:p>
      <w:pPr>
        <w:ind w:left="428" w:hanging="428"/>
        <w:spacing w:after="0" w:line="261" w:lineRule="auto"/>
        <w:tabs>
          <w:tab w:leader="none" w:pos="428" w:val="left"/>
        </w:tabs>
        <w:numPr>
          <w:ilvl w:val="0"/>
          <w:numId w:val="2"/>
        </w:numPr>
        <w:rPr>
          <w:rFonts w:ascii="Arial" w:cs="Arial" w:eastAsia="Arial" w:hAnsi="Arial"/>
          <w:sz w:val="12"/>
          <w:szCs w:val="12"/>
          <w:color w:val="auto"/>
        </w:rPr>
      </w:pPr>
      <w:r>
        <w:rPr>
          <w:rFonts w:ascii="Arial" w:cs="Arial" w:eastAsia="Arial" w:hAnsi="Arial"/>
          <w:sz w:val="12"/>
          <w:szCs w:val="12"/>
          <w:color w:val="auto"/>
        </w:rPr>
        <w:t>FEI-Zyfer - the products of the Company’s subsidiary incorporate Global Positioning System (GPS) technologies into systems and subsystems for secure communications, both government and commercial, and other locator applications.</w:t>
      </w:r>
    </w:p>
    <w:p>
      <w:pPr>
        <w:spacing w:after="0" w:line="141"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The FEI-NY segment also includes the operations of the Company’s wholly-owned subsidiary, FEI-Asia, which functions primarily as a manufacturing facility for the FEI-NY segment.</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293" w:right="199" w:bottom="1440" w:gutter="0" w:footer="0" w:header="0"/>
        </w:sectPr>
      </w:pPr>
    </w:p>
    <w:bookmarkStart w:id="8" w:name="page9"/>
    <w:bookmarkEnd w:id="8"/>
    <w:p>
      <w:pPr>
        <w:jc w:val="center"/>
        <w:spacing w:after="0"/>
        <w:rPr>
          <w:sz w:val="20"/>
          <w:szCs w:val="20"/>
          <w:color w:val="auto"/>
        </w:rPr>
      </w:pPr>
      <w:r>
        <w:rPr>
          <w:rFonts w:ascii="Arial" w:cs="Arial" w:eastAsia="Arial" w:hAnsi="Arial"/>
          <w:sz w:val="12"/>
          <w:szCs w:val="12"/>
          <w:color w:val="auto"/>
        </w:rPr>
        <w:t>FREQUENCY ELECTRONICS, INC.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(Unaudited)</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Company’s Chief Executive Officer measures segment performance based on total revenues and profits generated by each geographic center rather than on the specific types of customers or end-users or types of markets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served.</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0"/>
          <w:szCs w:val="10"/>
          <w:color w:val="auto"/>
        </w:rPr>
        <w:t>The table below presents information about reported segments with reconciliation of segment amounts to consolidated amounts as reported in the statement of operations or the balance sheet for each of the periods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2"/>
                <w:szCs w:val="12"/>
                <w:color w:val="auto"/>
              </w:rPr>
              <w:t>Nine months</w:t>
            </w: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2"/>
                <w:szCs w:val="12"/>
                <w:color w:val="auto"/>
              </w:rPr>
              <w:t>Three months</w:t>
            </w: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gridSpan w:val="6"/>
          </w:tcPr>
          <w:p>
            <w:pPr>
              <w:jc w:val="right"/>
              <w:ind w:right="240"/>
              <w:spacing w:after="0" w:line="133" w:lineRule="exact"/>
              <w:rPr>
                <w:sz w:val="20"/>
                <w:szCs w:val="20"/>
                <w:color w:val="auto"/>
              </w:rPr>
            </w:pPr>
            <w:r>
              <w:rPr>
                <w:rFonts w:ascii="Arial" w:cs="Arial" w:eastAsia="Arial" w:hAnsi="Arial"/>
                <w:sz w:val="12"/>
                <w:szCs w:val="12"/>
                <w:color w:val="auto"/>
              </w:rPr>
              <w:t>Periods ended January 31,</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260" w:type="dxa"/>
            <w:vAlign w:val="bottom"/>
            <w:gridSpan w:val="4"/>
          </w:tcPr>
          <w:p>
            <w:pPr>
              <w:jc w:val="right"/>
              <w:ind w:right="400"/>
              <w:spacing w:after="0"/>
              <w:rPr>
                <w:sz w:val="20"/>
                <w:szCs w:val="20"/>
                <w:color w:val="auto"/>
              </w:rPr>
            </w:pPr>
            <w:r>
              <w:rPr>
                <w:rFonts w:ascii="Arial" w:cs="Arial" w:eastAsia="Arial" w:hAnsi="Arial"/>
                <w:sz w:val="12"/>
                <w:szCs w:val="12"/>
                <w:color w:val="auto"/>
              </w:rPr>
              <w:t>2009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381"/>
              <w:spacing w:after="0"/>
              <w:rPr>
                <w:sz w:val="20"/>
                <w:szCs w:val="20"/>
                <w:color w:val="auto"/>
              </w:rPr>
            </w:pPr>
            <w:r>
              <w:rPr>
                <w:rFonts w:ascii="Arial" w:cs="Arial" w:eastAsia="Arial" w:hAnsi="Arial"/>
                <w:sz w:val="12"/>
                <w:szCs w:val="12"/>
                <w:color w:val="auto"/>
                <w:w w:val="97"/>
              </w:rPr>
              <w:t>2008</w:t>
            </w:r>
          </w:p>
        </w:tc>
        <w:tc>
          <w:tcPr>
            <w:tcW w:w="80" w:type="dxa"/>
            <w:vAlign w:val="bottom"/>
          </w:tcPr>
          <w:p>
            <w:pPr>
              <w:spacing w:after="0"/>
              <w:rPr>
                <w:sz w:val="13"/>
                <w:szCs w:val="13"/>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2"/>
                <w:szCs w:val="12"/>
                <w:color w:val="auto"/>
              </w:rPr>
              <w:t>2009</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ind w:right="380"/>
              <w:spacing w:after="0"/>
              <w:rPr>
                <w:sz w:val="20"/>
                <w:szCs w:val="20"/>
                <w:color w:val="auto"/>
              </w:rPr>
            </w:pPr>
            <w:r>
              <w:rPr>
                <w:rFonts w:ascii="Arial" w:cs="Arial" w:eastAsia="Arial" w:hAnsi="Arial"/>
                <w:sz w:val="12"/>
                <w:szCs w:val="12"/>
                <w:color w:val="auto"/>
              </w:rPr>
              <w:t>2008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980" w:type="dxa"/>
            <w:vAlign w:val="bottom"/>
            <w:gridSpan w:val="2"/>
          </w:tcPr>
          <w:p>
            <w:pPr>
              <w:spacing w:after="0"/>
              <w:rPr>
                <w:sz w:val="20"/>
                <w:szCs w:val="20"/>
                <w:color w:val="auto"/>
              </w:rPr>
            </w:pPr>
            <w:r>
              <w:rPr>
                <w:rFonts w:ascii="Arial" w:cs="Arial" w:eastAsia="Arial" w:hAnsi="Arial"/>
                <w:sz w:val="12"/>
                <w:szCs w:val="12"/>
                <w:color w:val="auto"/>
              </w:rPr>
              <w:t>Revenues:</w:t>
            </w:r>
          </w:p>
        </w:tc>
        <w:tc>
          <w:tcPr>
            <w:tcW w:w="1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shd w:val="clear" w:color="auto" w:fill="CCFFCC"/>
          </w:tcPr>
          <w:p>
            <w:pPr>
              <w:ind w:left="180"/>
              <w:spacing w:after="0"/>
              <w:rPr>
                <w:sz w:val="20"/>
                <w:szCs w:val="20"/>
                <w:color w:val="auto"/>
              </w:rPr>
            </w:pPr>
            <w:r>
              <w:rPr>
                <w:rFonts w:ascii="Arial" w:cs="Arial" w:eastAsia="Arial" w:hAnsi="Arial"/>
                <w:sz w:val="12"/>
                <w:szCs w:val="12"/>
                <w:color w:val="auto"/>
              </w:rPr>
              <w:t>FEI-NY</w:t>
            </w:r>
          </w:p>
        </w:tc>
        <w:tc>
          <w:tcPr>
            <w:tcW w:w="560" w:type="dxa"/>
            <w:vAlign w:val="bottom"/>
            <w:gridSpan w:val="2"/>
            <w:shd w:val="clear" w:color="auto" w:fill="CCFFCC"/>
          </w:tcPr>
          <w:p>
            <w:pPr>
              <w:jc w:val="right"/>
              <w:ind w:right="35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28,104</w:t>
            </w:r>
          </w:p>
        </w:tc>
        <w:tc>
          <w:tcPr>
            <w:tcW w:w="40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37,175</w:t>
            </w:r>
          </w:p>
        </w:tc>
        <w:tc>
          <w:tcPr>
            <w:tcW w:w="380" w:type="dxa"/>
            <w:vAlign w:val="bottom"/>
            <w:gridSpan w:val="2"/>
            <w:shd w:val="clear" w:color="auto" w:fill="CCFFC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4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9,471</w:t>
            </w:r>
          </w:p>
        </w:tc>
        <w:tc>
          <w:tcPr>
            <w:tcW w:w="220" w:type="dxa"/>
            <w:vAlign w:val="bottom"/>
            <w:shd w:val="clear" w:color="auto" w:fill="CCFFCC"/>
          </w:tcPr>
          <w:p>
            <w:pPr>
              <w:spacing w:after="0"/>
              <w:rPr>
                <w:sz w:val="12"/>
                <w:szCs w:val="12"/>
                <w:color w:val="auto"/>
              </w:rPr>
            </w:pPr>
          </w:p>
        </w:tc>
        <w:tc>
          <w:tcPr>
            <w:tcW w:w="320" w:type="dxa"/>
            <w:vAlign w:val="bottom"/>
            <w:shd w:val="clear" w:color="auto" w:fill="CCFFCC"/>
          </w:tcPr>
          <w:p>
            <w:pPr>
              <w:jc w:val="right"/>
              <w:ind w:right="21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11,803</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tcPr>
          <w:p>
            <w:pPr>
              <w:ind w:left="180"/>
              <w:spacing w:after="0"/>
              <w:rPr>
                <w:sz w:val="20"/>
                <w:szCs w:val="20"/>
                <w:color w:val="auto"/>
              </w:rPr>
            </w:pPr>
            <w:r>
              <w:rPr>
                <w:rFonts w:ascii="Arial" w:cs="Arial" w:eastAsia="Arial" w:hAnsi="Arial"/>
                <w:sz w:val="12"/>
                <w:szCs w:val="12"/>
                <w:color w:val="auto"/>
              </w:rPr>
              <w:t>Gillam-FEI</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7,708</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8,058</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2,407</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3,308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shd w:val="clear" w:color="auto" w:fill="CCFFCC"/>
          </w:tcPr>
          <w:p>
            <w:pPr>
              <w:ind w:left="180"/>
              <w:spacing w:after="0"/>
              <w:rPr>
                <w:sz w:val="20"/>
                <w:szCs w:val="20"/>
                <w:color w:val="auto"/>
              </w:rPr>
            </w:pPr>
            <w:r>
              <w:rPr>
                <w:rFonts w:ascii="Arial" w:cs="Arial" w:eastAsia="Arial" w:hAnsi="Arial"/>
                <w:sz w:val="12"/>
                <w:szCs w:val="12"/>
                <w:color w:val="auto"/>
              </w:rPr>
              <w:t>FEI-Zyfer</w:t>
            </w:r>
          </w:p>
        </w:tc>
        <w:tc>
          <w:tcPr>
            <w:tcW w:w="10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6,243</w:t>
            </w:r>
          </w:p>
        </w:tc>
        <w:tc>
          <w:tcPr>
            <w:tcW w:w="1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6,733</w:t>
            </w:r>
          </w:p>
        </w:tc>
        <w:tc>
          <w:tcPr>
            <w:tcW w:w="1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6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2,116</w:t>
            </w: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2,442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tcPr>
          <w:p>
            <w:pPr>
              <w:ind w:left="180"/>
              <w:spacing w:after="0"/>
              <w:rPr>
                <w:sz w:val="20"/>
                <w:szCs w:val="20"/>
                <w:color w:val="auto"/>
              </w:rPr>
            </w:pPr>
            <w:r>
              <w:rPr>
                <w:rFonts w:ascii="Arial" w:cs="Arial" w:eastAsia="Arial" w:hAnsi="Arial"/>
                <w:sz w:val="12"/>
                <w:szCs w:val="12"/>
                <w:color w:val="auto"/>
              </w:rPr>
              <w:t>less intersegment revenues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(1,758)</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2"/>
                <w:szCs w:val="12"/>
                <w:color w:val="auto"/>
              </w:rPr>
              <w:t>(1,861)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(786)</w:t>
            </w:r>
          </w:p>
        </w:tc>
        <w:tc>
          <w:tcPr>
            <w:tcW w:w="32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960" w:type="dxa"/>
            <w:vAlign w:val="bottom"/>
            <w:shd w:val="clear" w:color="auto" w:fill="CCFFCC"/>
          </w:tcPr>
          <w:p>
            <w:pPr>
              <w:ind w:left="300"/>
              <w:spacing w:after="0"/>
              <w:rPr>
                <w:sz w:val="20"/>
                <w:szCs w:val="20"/>
                <w:color w:val="auto"/>
              </w:rPr>
            </w:pPr>
            <w:r>
              <w:rPr>
                <w:rFonts w:ascii="Arial" w:cs="Arial" w:eastAsia="Arial" w:hAnsi="Arial"/>
                <w:sz w:val="12"/>
                <w:szCs w:val="12"/>
                <w:color w:val="auto"/>
              </w:rPr>
              <w:t>Consolidated revenues</w:t>
            </w:r>
          </w:p>
        </w:tc>
        <w:tc>
          <w:tcPr>
            <w:tcW w:w="100" w:type="dxa"/>
            <w:vAlign w:val="bottom"/>
            <w:shd w:val="clear" w:color="auto" w:fill="CCFFCC"/>
          </w:tcPr>
          <w:p>
            <w:pPr>
              <w:spacing w:after="0"/>
              <w:rPr>
                <w:sz w:val="15"/>
                <w:szCs w:val="15"/>
                <w:color w:val="auto"/>
              </w:rPr>
            </w:pPr>
          </w:p>
        </w:tc>
        <w:tc>
          <w:tcPr>
            <w:tcW w:w="460" w:type="dxa"/>
            <w:vAlign w:val="bottom"/>
            <w:shd w:val="clear" w:color="auto" w:fill="CCFFCC"/>
          </w:tcPr>
          <w:p>
            <w:pPr>
              <w:jc w:val="right"/>
              <w:ind w:right="350"/>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FFCC"/>
          </w:tcPr>
          <w:p>
            <w:pPr>
              <w:spacing w:after="0"/>
              <w:rPr>
                <w:sz w:val="15"/>
                <w:szCs w:val="15"/>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40,297</w:t>
            </w:r>
          </w:p>
        </w:tc>
        <w:tc>
          <w:tcPr>
            <w:tcW w:w="40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FFCC"/>
          </w:tcPr>
          <w:p>
            <w:pPr>
              <w:spacing w:after="0"/>
              <w:rPr>
                <w:sz w:val="15"/>
                <w:szCs w:val="15"/>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50,105</w:t>
            </w:r>
          </w:p>
        </w:tc>
        <w:tc>
          <w:tcPr>
            <w:tcW w:w="380" w:type="dxa"/>
            <w:vAlign w:val="bottom"/>
            <w:gridSpan w:val="2"/>
            <w:shd w:val="clear" w:color="auto" w:fill="CCFFC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FFCC"/>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6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13,208</w:t>
            </w:r>
          </w:p>
        </w:tc>
        <w:tc>
          <w:tcPr>
            <w:tcW w:w="320" w:type="dxa"/>
            <w:vAlign w:val="bottom"/>
            <w:shd w:val="clear" w:color="auto" w:fill="CCFFCC"/>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17,055</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596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460" w:type="dxa"/>
            <w:vAlign w:val="bottom"/>
            <w:tcBorders>
              <w:top w:val="single" w:sz="8" w:color="auto"/>
            </w:tcBorders>
            <w:shd w:val="clear" w:color="auto" w:fill="CCFFCC"/>
          </w:tcPr>
          <w:p>
            <w:pPr>
              <w:spacing w:after="0"/>
              <w:rPr>
                <w:sz w:val="10"/>
                <w:szCs w:val="10"/>
                <w:color w:val="auto"/>
              </w:rPr>
            </w:pPr>
          </w:p>
        </w:tc>
        <w:tc>
          <w:tcPr>
            <w:tcW w:w="120" w:type="dxa"/>
            <w:vAlign w:val="bottom"/>
            <w:tcBorders>
              <w:top w:val="single" w:sz="8" w:color="auto"/>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160" w:type="dxa"/>
            <w:vAlign w:val="bottom"/>
            <w:tcBorders>
              <w:top w:val="single" w:sz="8" w:color="CCFFCC"/>
            </w:tcBorders>
            <w:shd w:val="clear" w:color="auto" w:fill="CCFFCC"/>
          </w:tcPr>
          <w:p>
            <w:pPr>
              <w:spacing w:after="0"/>
              <w:rPr>
                <w:sz w:val="10"/>
                <w:szCs w:val="10"/>
                <w:color w:val="auto"/>
              </w:rPr>
            </w:pPr>
          </w:p>
        </w:tc>
        <w:tc>
          <w:tcPr>
            <w:tcW w:w="240" w:type="dxa"/>
            <w:vAlign w:val="bottom"/>
            <w:tcBorders>
              <w:top w:val="single" w:sz="8" w:color="auto"/>
            </w:tcBorders>
            <w:shd w:val="clear" w:color="auto" w:fill="CCFFCC"/>
          </w:tcPr>
          <w:p>
            <w:pPr>
              <w:spacing w:after="0"/>
              <w:rPr>
                <w:sz w:val="10"/>
                <w:szCs w:val="10"/>
                <w:color w:val="auto"/>
              </w:rPr>
            </w:pPr>
          </w:p>
        </w:tc>
        <w:tc>
          <w:tcPr>
            <w:tcW w:w="180" w:type="dxa"/>
            <w:vAlign w:val="bottom"/>
            <w:tcBorders>
              <w:top w:val="single" w:sz="8" w:color="auto"/>
            </w:tcBorders>
            <w:shd w:val="clear" w:color="auto" w:fill="CCFFCC"/>
          </w:tcPr>
          <w:p>
            <w:pPr>
              <w:spacing w:after="0"/>
              <w:rPr>
                <w:sz w:val="10"/>
                <w:szCs w:val="10"/>
                <w:color w:val="auto"/>
              </w:rPr>
            </w:pPr>
          </w:p>
        </w:tc>
        <w:tc>
          <w:tcPr>
            <w:tcW w:w="72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160" w:type="dxa"/>
            <w:vAlign w:val="bottom"/>
            <w:tcBorders>
              <w:top w:val="single" w:sz="8" w:color="CCFFCC"/>
            </w:tcBorders>
            <w:shd w:val="clear" w:color="auto" w:fill="CCFFCC"/>
          </w:tcPr>
          <w:p>
            <w:pPr>
              <w:spacing w:after="0"/>
              <w:rPr>
                <w:sz w:val="10"/>
                <w:szCs w:val="10"/>
                <w:color w:val="auto"/>
              </w:rPr>
            </w:pPr>
          </w:p>
        </w:tc>
        <w:tc>
          <w:tcPr>
            <w:tcW w:w="22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auto"/>
            </w:tcBorders>
            <w:shd w:val="clear" w:color="auto" w:fill="CCFFCC"/>
          </w:tcPr>
          <w:p>
            <w:pPr>
              <w:spacing w:after="0"/>
              <w:rPr>
                <w:sz w:val="10"/>
                <w:szCs w:val="10"/>
                <w:color w:val="auto"/>
              </w:rPr>
            </w:pPr>
          </w:p>
        </w:tc>
        <w:tc>
          <w:tcPr>
            <w:tcW w:w="440" w:type="dxa"/>
            <w:vAlign w:val="bottom"/>
            <w:tcBorders>
              <w:top w:val="single" w:sz="8" w:color="auto"/>
            </w:tcBorders>
            <w:shd w:val="clear" w:color="auto" w:fill="CCFFCC"/>
          </w:tcPr>
          <w:p>
            <w:pPr>
              <w:spacing w:after="0"/>
              <w:rPr>
                <w:sz w:val="10"/>
                <w:szCs w:val="10"/>
                <w:color w:val="auto"/>
              </w:rPr>
            </w:pPr>
          </w:p>
        </w:tc>
        <w:tc>
          <w:tcPr>
            <w:tcW w:w="400" w:type="dxa"/>
            <w:vAlign w:val="bottom"/>
            <w:tcBorders>
              <w:top w:val="single" w:sz="8" w:color="auto"/>
            </w:tcBorders>
            <w:shd w:val="clear" w:color="auto" w:fill="CCFFCC"/>
          </w:tcPr>
          <w:p>
            <w:pPr>
              <w:spacing w:after="0"/>
              <w:rPr>
                <w:sz w:val="10"/>
                <w:szCs w:val="10"/>
                <w:color w:val="auto"/>
              </w:rPr>
            </w:pPr>
          </w:p>
        </w:tc>
        <w:tc>
          <w:tcPr>
            <w:tcW w:w="220" w:type="dxa"/>
            <w:vAlign w:val="bottom"/>
            <w:tcBorders>
              <w:top w:val="single" w:sz="8" w:color="CCFFCC"/>
            </w:tcBorders>
            <w:shd w:val="clear" w:color="auto" w:fill="CCFFCC"/>
          </w:tcPr>
          <w:p>
            <w:pPr>
              <w:spacing w:after="0"/>
              <w:rPr>
                <w:sz w:val="10"/>
                <w:szCs w:val="10"/>
                <w:color w:val="auto"/>
              </w:rPr>
            </w:pPr>
          </w:p>
        </w:tc>
        <w:tc>
          <w:tcPr>
            <w:tcW w:w="320" w:type="dxa"/>
            <w:vAlign w:val="bottom"/>
            <w:tcBorders>
              <w:top w:val="single" w:sz="8" w:color="auto"/>
            </w:tcBorders>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120" w:type="dxa"/>
            <w:vAlign w:val="bottom"/>
            <w:tcBorders>
              <w:top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960" w:type="dxa"/>
            <w:vAlign w:val="bottom"/>
          </w:tcPr>
          <w:p>
            <w:pPr>
              <w:spacing w:after="0"/>
              <w:rPr>
                <w:sz w:val="20"/>
                <w:szCs w:val="20"/>
                <w:color w:val="auto"/>
              </w:rPr>
            </w:pPr>
            <w:r>
              <w:rPr>
                <w:rFonts w:ascii="Arial" w:cs="Arial" w:eastAsia="Arial" w:hAnsi="Arial"/>
                <w:sz w:val="12"/>
                <w:szCs w:val="12"/>
                <w:color w:val="auto"/>
              </w:rPr>
              <w:t>Operating (loss) income:</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shd w:val="clear" w:color="auto" w:fill="CCFFCC"/>
          </w:tcPr>
          <w:p>
            <w:pPr>
              <w:ind w:left="180"/>
              <w:spacing w:after="0"/>
              <w:rPr>
                <w:sz w:val="20"/>
                <w:szCs w:val="20"/>
                <w:color w:val="auto"/>
              </w:rPr>
            </w:pPr>
            <w:r>
              <w:rPr>
                <w:rFonts w:ascii="Arial" w:cs="Arial" w:eastAsia="Arial" w:hAnsi="Arial"/>
                <w:sz w:val="12"/>
                <w:szCs w:val="12"/>
                <w:color w:val="auto"/>
              </w:rPr>
              <w:t>FEI-NY</w:t>
            </w:r>
          </w:p>
        </w:tc>
        <w:tc>
          <w:tcPr>
            <w:tcW w:w="560" w:type="dxa"/>
            <w:vAlign w:val="bottom"/>
            <w:gridSpan w:val="2"/>
            <w:shd w:val="clear" w:color="auto" w:fill="CCFFCC"/>
          </w:tcPr>
          <w:p>
            <w:pPr>
              <w:jc w:val="right"/>
              <w:ind w:right="35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40"/>
              <w:spacing w:after="0"/>
              <w:rPr>
                <w:sz w:val="20"/>
                <w:szCs w:val="20"/>
                <w:color w:val="auto"/>
              </w:rPr>
            </w:pPr>
            <w:r>
              <w:rPr>
                <w:rFonts w:ascii="Arial" w:cs="Arial" w:eastAsia="Arial" w:hAnsi="Arial"/>
                <w:sz w:val="12"/>
                <w:szCs w:val="12"/>
                <w:color w:val="auto"/>
              </w:rPr>
              <w:t>(1,748)</w:t>
            </w:r>
          </w:p>
        </w:tc>
        <w:tc>
          <w:tcPr>
            <w:tcW w:w="40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471</w:t>
            </w:r>
          </w:p>
        </w:tc>
        <w:tc>
          <w:tcPr>
            <w:tcW w:w="380" w:type="dxa"/>
            <w:vAlign w:val="bottom"/>
            <w:gridSpan w:val="2"/>
            <w:shd w:val="clear" w:color="auto" w:fill="CCFFC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4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33</w:t>
            </w:r>
          </w:p>
        </w:tc>
        <w:tc>
          <w:tcPr>
            <w:tcW w:w="220" w:type="dxa"/>
            <w:vAlign w:val="bottom"/>
            <w:shd w:val="clear" w:color="auto" w:fill="CCFFCC"/>
          </w:tcPr>
          <w:p>
            <w:pPr>
              <w:spacing w:after="0"/>
              <w:rPr>
                <w:sz w:val="12"/>
                <w:szCs w:val="12"/>
                <w:color w:val="auto"/>
              </w:rPr>
            </w:pPr>
          </w:p>
        </w:tc>
        <w:tc>
          <w:tcPr>
            <w:tcW w:w="320" w:type="dxa"/>
            <w:vAlign w:val="bottom"/>
            <w:shd w:val="clear" w:color="auto" w:fill="CCFFCC"/>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517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tcPr>
          <w:p>
            <w:pPr>
              <w:ind w:left="180"/>
              <w:spacing w:after="0"/>
              <w:rPr>
                <w:sz w:val="20"/>
                <w:szCs w:val="20"/>
                <w:color w:val="auto"/>
              </w:rPr>
            </w:pPr>
            <w:r>
              <w:rPr>
                <w:rFonts w:ascii="Arial" w:cs="Arial" w:eastAsia="Arial" w:hAnsi="Arial"/>
                <w:sz w:val="12"/>
                <w:szCs w:val="12"/>
                <w:color w:val="auto"/>
              </w:rPr>
              <w:t>Gillam-FEI</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(55)</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2"/>
                <w:szCs w:val="12"/>
                <w:color w:val="auto"/>
              </w:rPr>
              <w:t>(109)</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(45)</w:t>
            </w:r>
          </w:p>
        </w:tc>
        <w:tc>
          <w:tcPr>
            <w:tcW w:w="3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shd w:val="clear" w:color="auto" w:fill="CCFFCC"/>
          </w:tcPr>
          <w:p>
            <w:pPr>
              <w:ind w:left="180"/>
              <w:spacing w:after="0"/>
              <w:rPr>
                <w:sz w:val="20"/>
                <w:szCs w:val="20"/>
                <w:color w:val="auto"/>
              </w:rPr>
            </w:pPr>
            <w:r>
              <w:rPr>
                <w:rFonts w:ascii="Arial" w:cs="Arial" w:eastAsia="Arial" w:hAnsi="Arial"/>
                <w:sz w:val="12"/>
                <w:szCs w:val="12"/>
                <w:color w:val="auto"/>
              </w:rPr>
              <w:t>FEI-Zyfer</w:t>
            </w:r>
          </w:p>
        </w:tc>
        <w:tc>
          <w:tcPr>
            <w:tcW w:w="10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40"/>
              <w:spacing w:after="0"/>
              <w:rPr>
                <w:sz w:val="20"/>
                <w:szCs w:val="20"/>
                <w:color w:val="auto"/>
              </w:rPr>
            </w:pPr>
            <w:r>
              <w:rPr>
                <w:rFonts w:ascii="Arial" w:cs="Arial" w:eastAsia="Arial" w:hAnsi="Arial"/>
                <w:sz w:val="12"/>
                <w:szCs w:val="12"/>
                <w:color w:val="auto"/>
              </w:rPr>
              <w:t>(419)</w:t>
            </w:r>
          </w:p>
        </w:tc>
        <w:tc>
          <w:tcPr>
            <w:tcW w:w="1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410</w:t>
            </w:r>
          </w:p>
        </w:tc>
        <w:tc>
          <w:tcPr>
            <w:tcW w:w="1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62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(137)</w:t>
            </w: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317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tcPr>
          <w:p>
            <w:pPr>
              <w:ind w:left="180"/>
              <w:spacing w:after="0"/>
              <w:rPr>
                <w:sz w:val="20"/>
                <w:szCs w:val="20"/>
                <w:color w:val="auto"/>
              </w:rPr>
            </w:pPr>
            <w:r>
              <w:rPr>
                <w:rFonts w:ascii="Arial" w:cs="Arial" w:eastAsia="Arial" w:hAnsi="Arial"/>
                <w:sz w:val="12"/>
                <w:szCs w:val="12"/>
                <w:color w:val="auto"/>
              </w:rPr>
              <w:t>Corporate</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(278)</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2"/>
                <w:szCs w:val="12"/>
                <w:color w:val="auto"/>
              </w:rPr>
              <w:t>(383)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(66)</w:t>
            </w:r>
          </w:p>
        </w:tc>
        <w:tc>
          <w:tcPr>
            <w:tcW w:w="32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shd w:val="clear" w:color="auto" w:fill="CCFFCC"/>
          </w:tcPr>
          <w:p>
            <w:pPr>
              <w:ind w:left="300"/>
              <w:spacing w:after="0"/>
              <w:rPr>
                <w:sz w:val="20"/>
                <w:szCs w:val="20"/>
                <w:color w:val="auto"/>
              </w:rPr>
            </w:pPr>
            <w:r>
              <w:rPr>
                <w:rFonts w:ascii="Arial" w:cs="Arial" w:eastAsia="Arial" w:hAnsi="Arial"/>
                <w:sz w:val="12"/>
                <w:szCs w:val="12"/>
                <w:color w:val="auto"/>
              </w:rPr>
              <w:t>Consolidated operating (loss) income</w:t>
            </w:r>
          </w:p>
        </w:tc>
        <w:tc>
          <w:tcPr>
            <w:tcW w:w="100" w:type="dxa"/>
            <w:vAlign w:val="bottom"/>
            <w:shd w:val="clear" w:color="auto" w:fill="CCFFCC"/>
          </w:tcPr>
          <w:p>
            <w:pPr>
              <w:spacing w:after="0"/>
              <w:rPr>
                <w:sz w:val="14"/>
                <w:szCs w:val="14"/>
                <w:color w:val="auto"/>
              </w:rPr>
            </w:pPr>
          </w:p>
        </w:tc>
        <w:tc>
          <w:tcPr>
            <w:tcW w:w="460" w:type="dxa"/>
            <w:vAlign w:val="bottom"/>
            <w:shd w:val="clear" w:color="auto" w:fill="CCFFCC"/>
          </w:tcPr>
          <w:p>
            <w:pPr>
              <w:jc w:val="right"/>
              <w:ind w:right="350"/>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FFCC"/>
          </w:tcPr>
          <w:p>
            <w:pPr>
              <w:spacing w:after="0"/>
              <w:rPr>
                <w:sz w:val="14"/>
                <w:szCs w:val="14"/>
                <w:color w:val="auto"/>
              </w:rPr>
            </w:pPr>
          </w:p>
        </w:tc>
        <w:tc>
          <w:tcPr>
            <w:tcW w:w="660" w:type="dxa"/>
            <w:vAlign w:val="bottom"/>
            <w:gridSpan w:val="2"/>
            <w:shd w:val="clear" w:color="auto" w:fill="CCFFCC"/>
          </w:tcPr>
          <w:p>
            <w:pPr>
              <w:jc w:val="right"/>
              <w:ind w:right="40"/>
              <w:spacing w:after="0"/>
              <w:rPr>
                <w:sz w:val="20"/>
                <w:szCs w:val="20"/>
                <w:color w:val="auto"/>
              </w:rPr>
            </w:pPr>
            <w:r>
              <w:rPr>
                <w:rFonts w:ascii="Arial" w:cs="Arial" w:eastAsia="Arial" w:hAnsi="Arial"/>
                <w:sz w:val="12"/>
                <w:szCs w:val="12"/>
                <w:color w:val="auto"/>
              </w:rPr>
              <w:t>(2,500)</w:t>
            </w:r>
          </w:p>
        </w:tc>
        <w:tc>
          <w:tcPr>
            <w:tcW w:w="40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389</w:t>
            </w:r>
          </w:p>
        </w:tc>
        <w:tc>
          <w:tcPr>
            <w:tcW w:w="380" w:type="dxa"/>
            <w:vAlign w:val="bottom"/>
            <w:gridSpan w:val="2"/>
            <w:shd w:val="clear" w:color="auto" w:fill="CCFFC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62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(215)</w:t>
            </w:r>
          </w:p>
        </w:tc>
        <w:tc>
          <w:tcPr>
            <w:tcW w:w="320" w:type="dxa"/>
            <w:vAlign w:val="bottom"/>
            <w:shd w:val="clear" w:color="auto" w:fill="CCFFCC"/>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805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5"/>
          </w:tcPr>
          <w:p>
            <w:pPr>
              <w:jc w:val="right"/>
              <w:ind w:right="360"/>
              <w:spacing w:after="0"/>
              <w:rPr>
                <w:sz w:val="20"/>
                <w:szCs w:val="20"/>
                <w:color w:val="auto"/>
              </w:rPr>
            </w:pPr>
            <w:r>
              <w:rPr>
                <w:rFonts w:ascii="Arial" w:cs="Arial" w:eastAsia="Arial" w:hAnsi="Arial"/>
                <w:sz w:val="12"/>
                <w:szCs w:val="12"/>
                <w:color w:val="auto"/>
                <w:w w:val="92"/>
              </w:rPr>
              <w:t>January 31, 2009</w:t>
            </w:r>
          </w:p>
        </w:tc>
        <w:tc>
          <w:tcPr>
            <w:tcW w:w="1720" w:type="dxa"/>
            <w:vAlign w:val="bottom"/>
            <w:gridSpan w:val="6"/>
          </w:tcPr>
          <w:p>
            <w:pPr>
              <w:jc w:val="right"/>
              <w:ind w:right="780"/>
              <w:spacing w:after="0"/>
              <w:rPr>
                <w:sz w:val="20"/>
                <w:szCs w:val="20"/>
                <w:color w:val="auto"/>
              </w:rPr>
            </w:pPr>
            <w:r>
              <w:rPr>
                <w:rFonts w:ascii="Arial" w:cs="Arial" w:eastAsia="Arial" w:hAnsi="Arial"/>
                <w:sz w:val="12"/>
                <w:szCs w:val="12"/>
                <w:color w:val="auto"/>
              </w:rPr>
              <w:t>April 30, 2008</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980" w:type="dxa"/>
            <w:vAlign w:val="bottom"/>
            <w:gridSpan w:val="2"/>
          </w:tcPr>
          <w:p>
            <w:pPr>
              <w:spacing w:after="0"/>
              <w:rPr>
                <w:sz w:val="20"/>
                <w:szCs w:val="20"/>
                <w:color w:val="auto"/>
              </w:rPr>
            </w:pPr>
            <w:r>
              <w:rPr>
                <w:rFonts w:ascii="Arial" w:cs="Arial" w:eastAsia="Arial" w:hAnsi="Arial"/>
                <w:sz w:val="12"/>
                <w:szCs w:val="12"/>
                <w:color w:val="auto"/>
              </w:rPr>
              <w:t>Identifiable assets: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shd w:val="clear" w:color="auto" w:fill="CCFFCC"/>
          </w:tcPr>
          <w:p>
            <w:pPr>
              <w:ind w:left="180"/>
              <w:spacing w:after="0"/>
              <w:rPr>
                <w:sz w:val="20"/>
                <w:szCs w:val="20"/>
                <w:color w:val="auto"/>
              </w:rPr>
            </w:pPr>
            <w:r>
              <w:rPr>
                <w:rFonts w:ascii="Arial" w:cs="Arial" w:eastAsia="Arial" w:hAnsi="Arial"/>
                <w:sz w:val="12"/>
                <w:szCs w:val="12"/>
                <w:color w:val="auto"/>
              </w:rPr>
              <w:t>FEI-NY</w:t>
            </w:r>
          </w:p>
        </w:tc>
        <w:tc>
          <w:tcPr>
            <w:tcW w:w="680" w:type="dxa"/>
            <w:vAlign w:val="bottom"/>
            <w:gridSpan w:val="3"/>
            <w:shd w:val="clear" w:color="auto" w:fill="CCFFCC"/>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400" w:type="dxa"/>
            <w:vAlign w:val="bottom"/>
            <w:gridSpan w:val="2"/>
            <w:shd w:val="clear" w:color="auto" w:fill="CCFFCC"/>
          </w:tcPr>
          <w:p>
            <w:pPr>
              <w:jc w:val="right"/>
              <w:spacing w:after="0"/>
              <w:rPr>
                <w:sz w:val="20"/>
                <w:szCs w:val="20"/>
                <w:color w:val="auto"/>
              </w:rPr>
            </w:pPr>
            <w:r>
              <w:rPr>
                <w:rFonts w:ascii="Arial" w:cs="Arial" w:eastAsia="Arial" w:hAnsi="Arial"/>
                <w:sz w:val="12"/>
                <w:szCs w:val="12"/>
                <w:color w:val="auto"/>
              </w:rPr>
              <w:t>47,393</w:t>
            </w:r>
          </w:p>
        </w:tc>
        <w:tc>
          <w:tcPr>
            <w:tcW w:w="180" w:type="dxa"/>
            <w:vAlign w:val="bottom"/>
            <w:shd w:val="clear" w:color="auto" w:fill="CCFFCC"/>
          </w:tcPr>
          <w:p>
            <w:pPr>
              <w:spacing w:after="0"/>
              <w:rPr>
                <w:sz w:val="12"/>
                <w:szCs w:val="12"/>
                <w:color w:val="auto"/>
              </w:rPr>
            </w:pPr>
          </w:p>
        </w:tc>
        <w:tc>
          <w:tcPr>
            <w:tcW w:w="720" w:type="dxa"/>
            <w:vAlign w:val="bottom"/>
            <w:shd w:val="clear" w:color="auto" w:fill="CCFFCC"/>
          </w:tcPr>
          <w:p>
            <w:pPr>
              <w:jc w:val="right"/>
              <w:ind w:right="601"/>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FFCC"/>
          </w:tcPr>
          <w:p>
            <w:pPr>
              <w:spacing w:after="0"/>
              <w:rPr>
                <w:sz w:val="12"/>
                <w:szCs w:val="12"/>
                <w:color w:val="auto"/>
              </w:rPr>
            </w:pPr>
          </w:p>
        </w:tc>
        <w:tc>
          <w:tcPr>
            <w:tcW w:w="480" w:type="dxa"/>
            <w:vAlign w:val="bottom"/>
            <w:gridSpan w:val="3"/>
            <w:shd w:val="clear" w:color="auto" w:fill="CCFFCC"/>
          </w:tcPr>
          <w:p>
            <w:pPr>
              <w:jc w:val="right"/>
              <w:ind w:right="100"/>
              <w:spacing w:after="0"/>
              <w:rPr>
                <w:sz w:val="20"/>
                <w:szCs w:val="20"/>
                <w:color w:val="auto"/>
              </w:rPr>
            </w:pPr>
            <w:r>
              <w:rPr>
                <w:rFonts w:ascii="Arial" w:cs="Arial" w:eastAsia="Arial" w:hAnsi="Arial"/>
                <w:sz w:val="12"/>
                <w:szCs w:val="12"/>
                <w:color w:val="auto"/>
                <w:w w:val="97"/>
              </w:rPr>
              <w:t>54,522</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tcPr>
          <w:p>
            <w:pPr>
              <w:ind w:left="180"/>
              <w:spacing w:after="0"/>
              <w:rPr>
                <w:sz w:val="20"/>
                <w:szCs w:val="20"/>
                <w:color w:val="auto"/>
              </w:rPr>
            </w:pPr>
            <w:r>
              <w:rPr>
                <w:rFonts w:ascii="Arial" w:cs="Arial" w:eastAsia="Arial" w:hAnsi="Arial"/>
                <w:sz w:val="12"/>
                <w:szCs w:val="12"/>
                <w:color w:val="auto"/>
              </w:rPr>
              <w:t>Gillam-FEI</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19,424</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2"/>
                <w:szCs w:val="12"/>
                <w:color w:val="auto"/>
                <w:w w:val="97"/>
              </w:rPr>
              <w:t>18,611</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shd w:val="clear" w:color="auto" w:fill="CCFFCC"/>
          </w:tcPr>
          <w:p>
            <w:pPr>
              <w:ind w:left="180"/>
              <w:spacing w:after="0"/>
              <w:rPr>
                <w:sz w:val="20"/>
                <w:szCs w:val="20"/>
                <w:color w:val="auto"/>
              </w:rPr>
            </w:pPr>
            <w:r>
              <w:rPr>
                <w:rFonts w:ascii="Arial" w:cs="Arial" w:eastAsia="Arial" w:hAnsi="Arial"/>
                <w:sz w:val="12"/>
                <w:szCs w:val="12"/>
                <w:color w:val="auto"/>
              </w:rPr>
              <w:t>FEI-Zyfer</w:t>
            </w:r>
          </w:p>
        </w:tc>
        <w:tc>
          <w:tcPr>
            <w:tcW w:w="10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400" w:type="dxa"/>
            <w:vAlign w:val="bottom"/>
            <w:gridSpan w:val="2"/>
            <w:shd w:val="clear" w:color="auto" w:fill="CCFFCC"/>
          </w:tcPr>
          <w:p>
            <w:pPr>
              <w:jc w:val="right"/>
              <w:spacing w:after="0"/>
              <w:rPr>
                <w:sz w:val="20"/>
                <w:szCs w:val="20"/>
                <w:color w:val="auto"/>
              </w:rPr>
            </w:pPr>
            <w:r>
              <w:rPr>
                <w:rFonts w:ascii="Arial" w:cs="Arial" w:eastAsia="Arial" w:hAnsi="Arial"/>
                <w:sz w:val="12"/>
                <w:szCs w:val="12"/>
                <w:color w:val="auto"/>
              </w:rPr>
              <w:t>7,062</w:t>
            </w:r>
          </w:p>
        </w:tc>
        <w:tc>
          <w:tcPr>
            <w:tcW w:w="1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480" w:type="dxa"/>
            <w:vAlign w:val="bottom"/>
            <w:gridSpan w:val="3"/>
            <w:shd w:val="clear" w:color="auto" w:fill="CCFFCC"/>
          </w:tcPr>
          <w:p>
            <w:pPr>
              <w:jc w:val="right"/>
              <w:ind w:right="100"/>
              <w:spacing w:after="0"/>
              <w:rPr>
                <w:sz w:val="20"/>
                <w:szCs w:val="20"/>
                <w:color w:val="auto"/>
              </w:rPr>
            </w:pPr>
            <w:r>
              <w:rPr>
                <w:rFonts w:ascii="Arial" w:cs="Arial" w:eastAsia="Arial" w:hAnsi="Arial"/>
                <w:sz w:val="12"/>
                <w:szCs w:val="12"/>
                <w:color w:val="auto"/>
              </w:rPr>
              <w:t>6,538</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tcPr>
          <w:p>
            <w:pPr>
              <w:ind w:left="180"/>
              <w:spacing w:after="0"/>
              <w:rPr>
                <w:sz w:val="20"/>
                <w:szCs w:val="20"/>
                <w:color w:val="auto"/>
              </w:rPr>
            </w:pPr>
            <w:r>
              <w:rPr>
                <w:rFonts w:ascii="Arial" w:cs="Arial" w:eastAsia="Arial" w:hAnsi="Arial"/>
                <w:sz w:val="12"/>
                <w:szCs w:val="12"/>
                <w:color w:val="auto"/>
              </w:rPr>
              <w:t>less intercompany balances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2"/>
                <w:szCs w:val="12"/>
                <w:color w:val="auto"/>
                <w:w w:val="93"/>
              </w:rPr>
              <w:t>(16,928)</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2"/>
                <w:szCs w:val="12"/>
                <w:color w:val="auto"/>
                <w:w w:val="89"/>
              </w:rPr>
              <w:t>(17,786)</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shd w:val="clear" w:color="auto" w:fill="CCFFCC"/>
          </w:tcPr>
          <w:p>
            <w:pPr>
              <w:ind w:left="180"/>
              <w:spacing w:after="0"/>
              <w:rPr>
                <w:sz w:val="20"/>
                <w:szCs w:val="20"/>
                <w:color w:val="auto"/>
              </w:rPr>
            </w:pPr>
            <w:r>
              <w:rPr>
                <w:rFonts w:ascii="Arial" w:cs="Arial" w:eastAsia="Arial" w:hAnsi="Arial"/>
                <w:sz w:val="12"/>
                <w:szCs w:val="12"/>
                <w:color w:val="auto"/>
              </w:rPr>
              <w:t>Corporate</w:t>
            </w:r>
          </w:p>
        </w:tc>
        <w:tc>
          <w:tcPr>
            <w:tcW w:w="10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400" w:type="dxa"/>
            <w:vAlign w:val="bottom"/>
            <w:gridSpan w:val="2"/>
            <w:shd w:val="clear" w:color="auto" w:fill="CCFFCC"/>
          </w:tcPr>
          <w:p>
            <w:pPr>
              <w:jc w:val="right"/>
              <w:spacing w:after="0"/>
              <w:rPr>
                <w:sz w:val="20"/>
                <w:szCs w:val="20"/>
                <w:color w:val="auto"/>
              </w:rPr>
            </w:pPr>
            <w:r>
              <w:rPr>
                <w:rFonts w:ascii="Arial" w:cs="Arial" w:eastAsia="Arial" w:hAnsi="Arial"/>
                <w:sz w:val="12"/>
                <w:szCs w:val="12"/>
                <w:color w:val="auto"/>
              </w:rPr>
              <w:t>32,938</w:t>
            </w:r>
          </w:p>
        </w:tc>
        <w:tc>
          <w:tcPr>
            <w:tcW w:w="1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480" w:type="dxa"/>
            <w:vAlign w:val="bottom"/>
            <w:gridSpan w:val="3"/>
            <w:shd w:val="clear" w:color="auto" w:fill="CCFFCC"/>
          </w:tcPr>
          <w:p>
            <w:pPr>
              <w:jc w:val="right"/>
              <w:ind w:right="100"/>
              <w:spacing w:after="0"/>
              <w:rPr>
                <w:sz w:val="20"/>
                <w:szCs w:val="20"/>
                <w:color w:val="auto"/>
              </w:rPr>
            </w:pPr>
            <w:r>
              <w:rPr>
                <w:rFonts w:ascii="Arial" w:cs="Arial" w:eastAsia="Arial" w:hAnsi="Arial"/>
                <w:sz w:val="12"/>
                <w:szCs w:val="12"/>
                <w:color w:val="auto"/>
                <w:w w:val="97"/>
              </w:rPr>
              <w:t>35,035</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ind w:left="300"/>
              <w:spacing w:after="0"/>
              <w:rPr>
                <w:sz w:val="20"/>
                <w:szCs w:val="20"/>
                <w:color w:val="auto"/>
              </w:rPr>
            </w:pPr>
            <w:r>
              <w:rPr>
                <w:rFonts w:ascii="Arial" w:cs="Arial" w:eastAsia="Arial" w:hAnsi="Arial"/>
                <w:sz w:val="12"/>
                <w:szCs w:val="12"/>
                <w:color w:val="auto"/>
              </w:rPr>
              <w:t>Consolidated Identifiable Assets</w:t>
            </w:r>
          </w:p>
        </w:tc>
        <w:tc>
          <w:tcPr>
            <w:tcW w:w="68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89,889</w:t>
            </w:r>
          </w:p>
        </w:tc>
        <w:tc>
          <w:tcPr>
            <w:tcW w:w="180" w:type="dxa"/>
            <w:vAlign w:val="bottom"/>
          </w:tcPr>
          <w:p>
            <w:pPr>
              <w:spacing w:after="0"/>
              <w:rPr>
                <w:sz w:val="12"/>
                <w:szCs w:val="12"/>
                <w:color w:val="auto"/>
              </w:rPr>
            </w:pPr>
          </w:p>
        </w:tc>
        <w:tc>
          <w:tcPr>
            <w:tcW w:w="720" w:type="dxa"/>
            <w:vAlign w:val="bottom"/>
          </w:tcPr>
          <w:p>
            <w:pPr>
              <w:jc w:val="right"/>
              <w:ind w:right="601"/>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2"/>
                <w:szCs w:val="12"/>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2"/>
                <w:szCs w:val="12"/>
                <w:color w:val="auto"/>
                <w:w w:val="97"/>
              </w:rPr>
              <w:t>96,920</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NOTE H – RELATED PARTY TRANSACTIONS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Company has an equity interest in two strategically important companies: Elcom Technologies, Inc. (“Elcom”) and Morion Inc. (“Morion”). During the nine and three month periods ended January 31, 2009 and 2008, the Company acquired technical services from Elcom, purchased crystal oscillator products from Morion and sold certain of its products to both companies. The Company also receives interest from Elcom under a convertible note receivable. The table below summarizes these transactions: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2"/>
                <w:szCs w:val="12"/>
                <w:color w:val="auto"/>
              </w:rPr>
              <w:t>Nine months</w:t>
            </w: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2"/>
                <w:szCs w:val="12"/>
                <w:color w:val="auto"/>
                <w:w w:val="94"/>
              </w:rPr>
              <w:t>Three months</w:t>
            </w: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80" w:type="dxa"/>
            <w:vAlign w:val="bottom"/>
            <w:gridSpan w:val="3"/>
          </w:tcPr>
          <w:p>
            <w:pPr>
              <w:jc w:val="right"/>
              <w:ind w:right="100"/>
              <w:spacing w:after="0" w:line="133" w:lineRule="exact"/>
              <w:rPr>
                <w:sz w:val="20"/>
                <w:szCs w:val="20"/>
                <w:color w:val="auto"/>
              </w:rPr>
            </w:pPr>
            <w:r>
              <w:rPr>
                <w:rFonts w:ascii="Arial" w:cs="Arial" w:eastAsia="Arial" w:hAnsi="Arial"/>
                <w:sz w:val="12"/>
                <w:szCs w:val="12"/>
                <w:color w:val="auto"/>
                <w:w w:val="97"/>
              </w:rPr>
              <w:t>Periods ended January 31,</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rPr>
              <w:t>2009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2008</w:t>
            </w:r>
          </w:p>
        </w:tc>
        <w:tc>
          <w:tcPr>
            <w:tcW w:w="200" w:type="dxa"/>
            <w:vAlign w:val="bottom"/>
          </w:tcPr>
          <w:p>
            <w:pPr>
              <w:spacing w:after="0"/>
              <w:rPr>
                <w:sz w:val="13"/>
                <w:szCs w:val="13"/>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2009</w:t>
            </w:r>
          </w:p>
        </w:tc>
        <w:tc>
          <w:tcPr>
            <w:tcW w:w="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rPr>
              <w:t>2008</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60" w:type="dxa"/>
            <w:vAlign w:val="bottom"/>
            <w:gridSpan w:val="2"/>
            <w:vMerge w:val="restart"/>
          </w:tcPr>
          <w:p>
            <w:pPr>
              <w:ind w:left="540"/>
              <w:spacing w:after="0"/>
              <w:rPr>
                <w:sz w:val="20"/>
                <w:szCs w:val="20"/>
                <w:color w:val="auto"/>
              </w:rPr>
            </w:pPr>
            <w:r>
              <w:rPr>
                <w:rFonts w:ascii="Arial" w:cs="Arial" w:eastAsia="Arial" w:hAnsi="Arial"/>
                <w:sz w:val="12"/>
                <w:szCs w:val="12"/>
                <w:color w:val="auto"/>
              </w:rPr>
              <w:t>Purchases from:</w:t>
            </w:r>
          </w:p>
        </w:tc>
        <w:tc>
          <w:tcPr>
            <w:tcW w:w="1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(in</w:t>
            </w:r>
          </w:p>
        </w:tc>
        <w:tc>
          <w:tcPr>
            <w:tcW w:w="880" w:type="dxa"/>
            <w:vAlign w:val="bottom"/>
            <w:gridSpan w:val="2"/>
          </w:tcPr>
          <w:p>
            <w:pPr>
              <w:jc w:val="center"/>
              <w:ind w:right="380"/>
              <w:spacing w:after="0"/>
              <w:rPr>
                <w:sz w:val="20"/>
                <w:szCs w:val="20"/>
                <w:color w:val="auto"/>
              </w:rPr>
            </w:pPr>
            <w:r>
              <w:rPr>
                <w:rFonts w:ascii="Arial" w:cs="Arial" w:eastAsia="Arial" w:hAnsi="Arial"/>
                <w:sz w:val="12"/>
                <w:szCs w:val="12"/>
                <w:color w:val="auto"/>
                <w:w w:val="74"/>
              </w:rPr>
              <w:t>thousands)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860" w:type="dxa"/>
            <w:vAlign w:val="bottom"/>
            <w:gridSpan w:val="2"/>
            <w:vMerge w:val="continue"/>
          </w:tcPr>
          <w:p>
            <w:pPr>
              <w:spacing w:after="0"/>
              <w:rPr>
                <w:sz w:val="11"/>
                <w:szCs w:val="11"/>
                <w:color w:val="auto"/>
              </w:rPr>
            </w:pPr>
          </w:p>
        </w:tc>
        <w:tc>
          <w:tcPr>
            <w:tcW w:w="1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40" w:type="dxa"/>
            <w:vAlign w:val="bottom"/>
          </w:tcPr>
          <w:p>
            <w:pPr>
              <w:spacing w:after="0"/>
              <w:rPr>
                <w:sz w:val="12"/>
                <w:szCs w:val="12"/>
                <w:color w:val="auto"/>
              </w:rPr>
            </w:pPr>
          </w:p>
        </w:tc>
        <w:tc>
          <w:tcPr>
            <w:tcW w:w="3320" w:type="dxa"/>
            <w:vAlign w:val="bottom"/>
            <w:shd w:val="clear" w:color="auto" w:fill="CCFFCC"/>
          </w:tcPr>
          <w:p>
            <w:pPr>
              <w:ind w:left="200"/>
              <w:spacing w:after="0"/>
              <w:rPr>
                <w:sz w:val="20"/>
                <w:szCs w:val="20"/>
                <w:color w:val="auto"/>
              </w:rPr>
            </w:pPr>
            <w:r>
              <w:rPr>
                <w:rFonts w:ascii="Arial" w:cs="Arial" w:eastAsia="Arial" w:hAnsi="Arial"/>
                <w:sz w:val="12"/>
                <w:szCs w:val="12"/>
                <w:color w:val="auto"/>
              </w:rPr>
              <w:t>Elcom</w:t>
            </w:r>
          </w:p>
        </w:tc>
        <w:tc>
          <w:tcPr>
            <w:tcW w:w="216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249</w:t>
            </w:r>
          </w:p>
        </w:tc>
        <w:tc>
          <w:tcPr>
            <w:tcW w:w="400" w:type="dxa"/>
            <w:vAlign w:val="bottom"/>
            <w:gridSpan w:val="2"/>
            <w:shd w:val="clear" w:color="auto" w:fill="CCFFCC"/>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577</w:t>
            </w:r>
          </w:p>
        </w:tc>
        <w:tc>
          <w:tcPr>
            <w:tcW w:w="880" w:type="dxa"/>
            <w:vAlign w:val="bottom"/>
            <w:gridSpan w:val="2"/>
            <w:shd w:val="clear" w:color="auto" w:fill="CCFFCC"/>
          </w:tcPr>
          <w:p>
            <w:pPr>
              <w:jc w:val="center"/>
              <w:ind w:right="360"/>
              <w:spacing w:after="0"/>
              <w:rPr>
                <w:sz w:val="20"/>
                <w:szCs w:val="20"/>
                <w:color w:val="auto"/>
              </w:rPr>
            </w:pPr>
            <w:r>
              <w:rPr>
                <w:rFonts w:ascii="Arial" w:cs="Arial" w:eastAsia="Arial" w:hAnsi="Arial"/>
                <w:sz w:val="12"/>
                <w:szCs w:val="12"/>
                <w:color w:val="auto"/>
                <w:w w:val="89"/>
              </w:rPr>
              <w:t>$</w:t>
            </w:r>
          </w:p>
        </w:tc>
        <w:tc>
          <w:tcPr>
            <w:tcW w:w="40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136</w:t>
            </w:r>
          </w:p>
        </w:tc>
        <w:tc>
          <w:tcPr>
            <w:tcW w:w="400" w:type="dxa"/>
            <w:vAlign w:val="bottom"/>
            <w:gridSpan w:val="2"/>
            <w:shd w:val="clear" w:color="auto" w:fill="CCFFCC"/>
          </w:tcPr>
          <w:p>
            <w:pPr>
              <w:jc w:val="right"/>
              <w:ind w:right="24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184</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0" w:type="dxa"/>
            <w:vAlign w:val="bottom"/>
          </w:tcPr>
          <w:p>
            <w:pPr>
              <w:spacing w:after="0"/>
              <w:rPr>
                <w:sz w:val="12"/>
                <w:szCs w:val="12"/>
                <w:color w:val="auto"/>
              </w:rPr>
            </w:pPr>
          </w:p>
        </w:tc>
        <w:tc>
          <w:tcPr>
            <w:tcW w:w="3320" w:type="dxa"/>
            <w:vAlign w:val="bottom"/>
          </w:tcPr>
          <w:p>
            <w:pPr>
              <w:ind w:left="200"/>
              <w:spacing w:after="0"/>
              <w:rPr>
                <w:sz w:val="20"/>
                <w:szCs w:val="20"/>
                <w:color w:val="auto"/>
              </w:rPr>
            </w:pPr>
            <w:r>
              <w:rPr>
                <w:rFonts w:ascii="Arial" w:cs="Arial" w:eastAsia="Arial" w:hAnsi="Arial"/>
                <w:sz w:val="12"/>
                <w:szCs w:val="12"/>
                <w:color w:val="auto"/>
              </w:rPr>
              <w:t>Morion</w:t>
            </w:r>
          </w:p>
        </w:tc>
        <w:tc>
          <w:tcPr>
            <w:tcW w:w="1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814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399</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2"/>
                <w:szCs w:val="12"/>
                <w:color w:val="auto"/>
              </w:rPr>
              <w:t>345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0" w:type="dxa"/>
            <w:vAlign w:val="bottom"/>
          </w:tcPr>
          <w:p>
            <w:pPr>
              <w:spacing w:after="0"/>
              <w:rPr>
                <w:sz w:val="12"/>
                <w:szCs w:val="12"/>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2"/>
                <w:szCs w:val="12"/>
                <w:color w:val="auto"/>
              </w:rPr>
              <w:t>Sales to:</w:t>
            </w:r>
          </w:p>
        </w:tc>
        <w:tc>
          <w:tcPr>
            <w:tcW w:w="1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0" w:type="dxa"/>
            <w:vAlign w:val="bottom"/>
          </w:tcPr>
          <w:p>
            <w:pPr>
              <w:spacing w:after="0"/>
              <w:rPr>
                <w:sz w:val="12"/>
                <w:szCs w:val="12"/>
                <w:color w:val="auto"/>
              </w:rPr>
            </w:pPr>
          </w:p>
        </w:tc>
        <w:tc>
          <w:tcPr>
            <w:tcW w:w="3320" w:type="dxa"/>
            <w:vAlign w:val="bottom"/>
          </w:tcPr>
          <w:p>
            <w:pPr>
              <w:ind w:left="200"/>
              <w:spacing w:after="0"/>
              <w:rPr>
                <w:sz w:val="20"/>
                <w:szCs w:val="20"/>
                <w:color w:val="auto"/>
              </w:rPr>
            </w:pPr>
            <w:r>
              <w:rPr>
                <w:rFonts w:ascii="Arial" w:cs="Arial" w:eastAsia="Arial" w:hAnsi="Arial"/>
                <w:sz w:val="12"/>
                <w:szCs w:val="12"/>
                <w:color w:val="auto"/>
              </w:rPr>
              <w:t>Elcom</w:t>
            </w:r>
          </w:p>
        </w:tc>
        <w:tc>
          <w:tcPr>
            <w:tcW w:w="2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62</w:t>
            </w:r>
          </w:p>
        </w:tc>
        <w:tc>
          <w:tcPr>
            <w:tcW w:w="100" w:type="dxa"/>
            <w:vAlign w:val="bottom"/>
          </w:tcPr>
          <w:p>
            <w:pPr>
              <w:spacing w:after="0"/>
              <w:rPr>
                <w:sz w:val="12"/>
                <w:szCs w:val="1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w:t>
            </w:r>
          </w:p>
        </w:tc>
        <w:tc>
          <w:tcPr>
            <w:tcW w:w="400" w:type="dxa"/>
            <w:vAlign w:val="bottom"/>
            <w:gridSpan w:val="2"/>
          </w:tcPr>
          <w:p>
            <w:pPr>
              <w:jc w:val="right"/>
              <w:ind w:right="100"/>
              <w:spacing w:after="0"/>
              <w:rPr>
                <w:sz w:val="20"/>
                <w:szCs w:val="20"/>
                <w:color w:val="auto"/>
              </w:rPr>
            </w:pPr>
            <w:r>
              <w:rPr>
                <w:rFonts w:ascii="Arial" w:cs="Arial" w:eastAsia="Arial" w:hAnsi="Arial"/>
                <w:sz w:val="12"/>
                <w:szCs w:val="12"/>
                <w:color w:val="auto"/>
              </w:rPr>
              <w:t>37</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0" w:type="dxa"/>
            <w:vAlign w:val="bottom"/>
          </w:tcPr>
          <w:p>
            <w:pPr>
              <w:spacing w:after="0"/>
              <w:rPr>
                <w:sz w:val="12"/>
                <w:szCs w:val="12"/>
                <w:color w:val="auto"/>
              </w:rPr>
            </w:pPr>
          </w:p>
        </w:tc>
        <w:tc>
          <w:tcPr>
            <w:tcW w:w="3320" w:type="dxa"/>
            <w:vAlign w:val="bottom"/>
            <w:shd w:val="clear" w:color="auto" w:fill="CCFFCC"/>
          </w:tcPr>
          <w:p>
            <w:pPr>
              <w:ind w:left="200"/>
              <w:spacing w:after="0"/>
              <w:rPr>
                <w:sz w:val="20"/>
                <w:szCs w:val="20"/>
                <w:color w:val="auto"/>
              </w:rPr>
            </w:pPr>
            <w:r>
              <w:rPr>
                <w:rFonts w:ascii="Arial" w:cs="Arial" w:eastAsia="Arial" w:hAnsi="Arial"/>
                <w:sz w:val="12"/>
                <w:szCs w:val="12"/>
                <w:color w:val="auto"/>
              </w:rPr>
              <w:t>Morion</w:t>
            </w:r>
          </w:p>
        </w:tc>
        <w:tc>
          <w:tcPr>
            <w:tcW w:w="1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2"/>
                <w:szCs w:val="12"/>
                <w:color w:val="auto"/>
              </w:rPr>
              <w:t>98</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152</w:t>
            </w:r>
          </w:p>
        </w:tc>
        <w:tc>
          <w:tcPr>
            <w:tcW w:w="2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40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48</w:t>
            </w:r>
          </w:p>
        </w:tc>
        <w:tc>
          <w:tcPr>
            <w:tcW w:w="1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2"/>
                <w:szCs w:val="12"/>
                <w:color w:val="auto"/>
              </w:rPr>
              <w:t>38</w:t>
            </w:r>
          </w:p>
        </w:tc>
        <w:tc>
          <w:tcPr>
            <w:tcW w:w="100" w:type="dxa"/>
            <w:vAlign w:val="bottom"/>
            <w:shd w:val="clear" w:color="auto" w:fill="CCFFCC"/>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40" w:type="dxa"/>
            <w:vAlign w:val="bottom"/>
          </w:tcPr>
          <w:p>
            <w:pPr>
              <w:spacing w:after="0"/>
              <w:rPr>
                <w:sz w:val="13"/>
                <w:szCs w:val="13"/>
                <w:color w:val="auto"/>
              </w:rPr>
            </w:pPr>
          </w:p>
        </w:tc>
        <w:tc>
          <w:tcPr>
            <w:tcW w:w="3320" w:type="dxa"/>
            <w:vAlign w:val="bottom"/>
          </w:tcPr>
          <w:p>
            <w:pPr>
              <w:spacing w:after="0"/>
              <w:rPr>
                <w:sz w:val="20"/>
                <w:szCs w:val="20"/>
                <w:color w:val="auto"/>
              </w:rPr>
            </w:pPr>
            <w:r>
              <w:rPr>
                <w:rFonts w:ascii="Arial" w:cs="Arial" w:eastAsia="Arial" w:hAnsi="Arial"/>
                <w:sz w:val="12"/>
                <w:szCs w:val="12"/>
                <w:color w:val="auto"/>
              </w:rPr>
              <w:t>Interest on Elcom note receivable</w:t>
            </w:r>
          </w:p>
        </w:tc>
        <w:tc>
          <w:tcPr>
            <w:tcW w:w="2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53</w:t>
            </w:r>
          </w:p>
        </w:tc>
        <w:tc>
          <w:tcPr>
            <w:tcW w:w="100" w:type="dxa"/>
            <w:vAlign w:val="bottom"/>
          </w:tcPr>
          <w:p>
            <w:pPr>
              <w:spacing w:after="0"/>
              <w:rPr>
                <w:sz w:val="13"/>
                <w:szCs w:val="13"/>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89</w:t>
            </w:r>
          </w:p>
        </w:tc>
        <w:tc>
          <w:tcPr>
            <w:tcW w:w="88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w:t>
            </w:r>
          </w:p>
        </w:tc>
        <w:tc>
          <w:tcPr>
            <w:tcW w:w="400" w:type="dxa"/>
            <w:vAlign w:val="bottom"/>
            <w:gridSpan w:val="2"/>
          </w:tcPr>
          <w:p>
            <w:pPr>
              <w:jc w:val="right"/>
              <w:ind w:right="100"/>
              <w:spacing w:after="0"/>
              <w:rPr>
                <w:sz w:val="20"/>
                <w:szCs w:val="20"/>
                <w:color w:val="auto"/>
              </w:rPr>
            </w:pPr>
            <w:r>
              <w:rPr>
                <w:rFonts w:ascii="Arial" w:cs="Arial" w:eastAsia="Arial" w:hAnsi="Arial"/>
                <w:sz w:val="12"/>
                <w:szCs w:val="12"/>
                <w:color w:val="auto"/>
              </w:rPr>
              <w:t>16</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9"/>
        </w:trPr>
        <w:tc>
          <w:tcPr>
            <w:tcW w:w="5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160" w:type="dxa"/>
            <w:vAlign w:val="bottom"/>
            <w:gridSpan w:val="2"/>
          </w:tcPr>
          <w:p>
            <w:pPr>
              <w:jc w:val="right"/>
              <w:ind w:right="120"/>
              <w:spacing w:after="0"/>
              <w:rPr>
                <w:sz w:val="20"/>
                <w:szCs w:val="20"/>
                <w:color w:val="auto"/>
              </w:rPr>
            </w:pPr>
            <w:r>
              <w:rPr>
                <w:rFonts w:ascii="Arial" w:cs="Arial" w:eastAsia="Arial" w:hAnsi="Arial"/>
                <w:sz w:val="12"/>
                <w:szCs w:val="12"/>
                <w:color w:val="auto"/>
              </w:rPr>
              <w:t>9 of 19</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540" w:type="dxa"/>
            <w:vAlign w:val="bottom"/>
            <w:tcBorders>
              <w:bottom w:val="single" w:sz="8" w:color="808080"/>
            </w:tcBorders>
          </w:tcPr>
          <w:p>
            <w:pPr>
              <w:spacing w:after="0"/>
              <w:rPr>
                <w:sz w:val="6"/>
                <w:szCs w:val="6"/>
                <w:color w:val="auto"/>
              </w:rPr>
            </w:pPr>
          </w:p>
        </w:tc>
        <w:tc>
          <w:tcPr>
            <w:tcW w:w="3320" w:type="dxa"/>
            <w:vAlign w:val="bottom"/>
            <w:tcBorders>
              <w:bottom w:val="single" w:sz="8" w:color="808080"/>
            </w:tcBorders>
          </w:tcPr>
          <w:p>
            <w:pPr>
              <w:spacing w:after="0"/>
              <w:rPr>
                <w:sz w:val="6"/>
                <w:szCs w:val="6"/>
                <w:color w:val="auto"/>
              </w:rPr>
            </w:pPr>
          </w:p>
        </w:tc>
        <w:tc>
          <w:tcPr>
            <w:tcW w:w="190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1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9" w:name="page10"/>
    <w:bookmarkEnd w:id="9"/>
    <w:p>
      <w:pPr>
        <w:jc w:val="center"/>
        <w:spacing w:after="0"/>
        <w:rPr>
          <w:sz w:val="20"/>
          <w:szCs w:val="20"/>
          <w:color w:val="auto"/>
        </w:rPr>
      </w:pPr>
      <w:r>
        <w:rPr>
          <w:rFonts w:ascii="Arial" w:cs="Arial" w:eastAsia="Arial" w:hAnsi="Arial"/>
          <w:sz w:val="12"/>
          <w:szCs w:val="12"/>
          <w:color w:val="auto"/>
        </w:rPr>
        <w:t>FREQUENCY ELECTRONICS, INC.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(Unaudited)</w:t>
      </w:r>
    </w:p>
    <w:p>
      <w:pPr>
        <w:spacing w:after="0" w:line="159"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During the second quarter of fiscal 2009, the Company repurchased from Elcom 29,651 shares of the Company’s outstanding common stock at an aggregate cost of approximately $150,000. The amount paid was at the market value of the Company’s common stock on the date of purchase.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NOTE I - RECENTLY ISSUED ACCOUNTING PRONOUNCEMENTS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September 2006, the FASB issued Statement No. 157, “Fair Value Measurements.” (“FAS 157”) This statement defines fair value, establishes a framework for measuring fair value in generally accepted accounting principles (“GAAP”) and expands disclosures about fair value measurements. FAS 157 does not require any new fair value measurements but simplifies and codifies related guidance. The Company adopted FAS 157 in fiscal year 2009. Such adoption did not have a material impact on the Company’s financial statements.</w:t>
      </w:r>
    </w:p>
    <w:p>
      <w:pPr>
        <w:spacing w:after="0" w:line="141"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During calendar year 2008, the FASB issued FASB Staff Positions (“FSP FAS”) 157-1, 157-2, and 157-3. FSP FAS 157-1 amends FAS 157 to exclude FAS No. 13, “Accounting for Leases”, and its related interpretive accounting pronouncements that address leasing transactions, FSP FAS 157-2 delays the effective date of the application of FAS 157 to fiscal years beginning after November 15, 2008 for all nonfinancial assets and nonfinancial liabilities that are recognized or disclosed at fair value in the financial statements on a nonrecurring basis, and FSP FAS 157-3 clarifies how the fair value of a financial asset is determined when the market for that financial asset is inactive.</w:t>
      </w:r>
    </w:p>
    <w:p>
      <w:pPr>
        <w:spacing w:after="0" w:line="12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February 2007, the FASB issued Statement No. 159, “The Fair Value Option for Financial Assets and Financial Liabilities including an amendment of SFAS No. 115” (“FAS 159”). The new statement allows entities to choose, at specified election dates, to measure eligible financial assets and liabilities at fair value that are not otherwise required to be measured at fair value. If a company elects the fair value option for an eligible item, changes in that item’s fair value in subsequent reporting periods must be recognized in current earnings. FAS 159 is effective for fiscal years beginning after November 15, 2007. The adoption of FAS 159 in fiscal year 2009 had no impact on the Company’s financial statements since the Company elected not to measure any financial assets or liabilities at fair value other than those for which previous pronouncements required it to do so.</w:t>
      </w:r>
    </w:p>
    <w:p>
      <w:pPr>
        <w:spacing w:after="0" w:line="12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December 2007, the FASB issued Statements No. 141(R), “Business Combinations”, and No. 160, “Noncontrolling Interests in Consolidated Financial Statements, an amendment of ARB 51.” Effective for fiscal years beginning after December 15, 2008, these statements revise and converge internationally the accounting for business combinations and the reporting of noncontrolling interests in consolidated financial statements. The adoption of these statements will change the Company’s accounting treatment for business combinations on a prospective basis but will have no impact on the Company’s current financial statements.</w:t>
      </w:r>
    </w:p>
    <w:p>
      <w:pPr>
        <w:spacing w:after="0" w:line="14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March 2008, the FASB issued Statement No.161, Disclosures about Derivative Instruments and Hedging Activities - An Amendment of FASB Statement No. 133 (“FAS 161”). FAS 161 requires enhanced qualitative disclosures about objectives and strategies for using derivatives, quantitative disclosures about fair value amounts of and gains and losses on derivative instruments, and disclosures about credit-risk-related contingent features in derivative agreements. FAS 161 is effective for financial statements issued for fiscal years and interim periods beginning after November 15, 2008. The Company is currently evaluating the impact of FAS 161 on its consolidated financial statements although it does not anticipate that the statement will have a material impact since the Company has not historically engaged in hedging activities or acquired derivative instruments.</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May 2008, the FASB issued Statement of Financial Accounting Standards No. 162 (“FAS 162”), “The Hierarchy of Generally Accepted Accounting Principles.” FAS 162 identifies the sources of accounting principles and the framework for selecting the principles to be used in the preparation of financial statements of nongovernmental entities that are presented in conformity with U.S. GAAP. FAS 162 will become effective 60 days following the SEC’s approval of the Public Company Accounting Oversight Board amendments to AU Section 411, “The Meaning of Present Fairly in Conformity With Generally Accepted Accounting Principles.” This statement is not expected to change the Company’s current accounting practice.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10" w:name="page11"/>
    <w:bookmarkEnd w:id="10"/>
    <w:p>
      <w:pPr>
        <w:jc w:val="center"/>
        <w:spacing w:after="0"/>
        <w:rPr>
          <w:sz w:val="20"/>
          <w:szCs w:val="20"/>
          <w:color w:val="auto"/>
        </w:rPr>
      </w:pPr>
      <w:r>
        <w:rPr>
          <w:rFonts w:ascii="Arial" w:cs="Arial" w:eastAsia="Arial" w:hAnsi="Arial"/>
          <w:sz w:val="12"/>
          <w:szCs w:val="12"/>
          <w:color w:val="auto"/>
        </w:rPr>
        <w:t>FREQUENCY ELECTRONICS, INC.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(Unaudited)</w:t>
      </w:r>
    </w:p>
    <w:p>
      <w:pPr>
        <w:spacing w:after="0" w:line="15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April 2008, the FASB issued FSP FAS 142-3, “Determination of the Useful Life of Intangible Assets” (“FSP FAS 142-3”). FSP FAS 142-3 amends the factors that should be considered in developing a renewal or extension assumptions used for purposes of determining the useful life of a recognized intangible asset under SFAS No. 142, “Goodwill and Other Intangible Assets (“FAS 142”). FSP FAS 142-3 is intended to improve the consistency between the useful life of a recognized intangible asset under SFAS 142 and the period of expected cash flows used to measure the fair value of the asset under SFAS 141 (R) and other U.S. generally accepted accounting principles. FSP FAS 142-3 is effective for fiscal years beginning after December 15, 2008. Earlier application is not permitted. The Company will be assessing the potential effect of FSP FAS 142-3 if applicable, if it enters into a business combination.</w:t>
      </w:r>
    </w:p>
    <w:p>
      <w:pPr>
        <w:spacing w:after="0" w:line="12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On December 21, 2007, the Securities and Exchange Commission issued Staff Accounting Bulletin No. 110 ("SAB 110”) to permit entities, under certain circumstances to continue to use the "simplified" method, in developing estimates of expected term of "plain-vanilla" share options in accordance with Statement No. 123R Share-Based Payment. SAB 110 amended SAB 107 to permit the use of the "simplified" method beyond December 31, 2007. The Company believes that the adoption of SAB 110 will not have a material impact on its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140970</wp:posOffset>
            </wp:positionV>
            <wp:extent cx="183578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35785" cy="57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Item 2</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Management’s Discussion and Analysis of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“Safe Harbor” Statement under the Private Securities Litigation Reform Act of 1995</w:t>
      </w:r>
      <w:r>
        <w:rPr>
          <w:rFonts w:ascii="Arial" w:cs="Arial" w:eastAsia="Arial" w:hAnsi="Arial"/>
          <w:sz w:val="12"/>
          <w:szCs w:val="12"/>
          <w:color w:val="auto"/>
        </w:rPr>
        <w:t>:</w:t>
      </w:r>
    </w:p>
    <w:p>
      <w:pPr>
        <w:spacing w:after="0" w:line="16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By making these forward-looking statements, the Company undertakes no obligation to update these statements for revisions or changes after the date of this report.</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7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Company’s significant accounting policies are described in Note 1 to the consolidated financial statements included in the Company’s April 30, 2008 Annual Report to Stockholders.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Revenue Recognition</w:t>
      </w:r>
    </w:p>
    <w:p>
      <w:pPr>
        <w:spacing w:after="0" w:line="16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Revenues under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revenues recorded as the costs are incurred. Each month management reviews estimated contract costs through a process of aggregating actual costs incurred and updating estimated costs to completion based upon the current available information and status of the contract.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11" w:name="page12"/>
    <w:bookmarkEnd w:id="11"/>
    <w:p>
      <w:pPr>
        <w:jc w:val="center"/>
        <w:spacing w:after="0"/>
        <w:rPr>
          <w:sz w:val="20"/>
          <w:szCs w:val="20"/>
          <w:color w:val="auto"/>
        </w:rPr>
      </w:pPr>
      <w:r>
        <w:rPr>
          <w:rFonts w:ascii="Arial" w:cs="Arial" w:eastAsia="Arial" w:hAnsi="Arial"/>
          <w:sz w:val="12"/>
          <w:szCs w:val="12"/>
          <w:color w:val="auto"/>
        </w:rPr>
        <w:t>FREQUENCY ELECTRONICS,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(Continued)</w:t>
      </w:r>
    </w:p>
    <w:p>
      <w:pPr>
        <w:spacing w:after="0" w:line="159"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On production-type contracts, revenue is recorded as units are delivered with the related cost of revenues recognized on each shipment based upon a percentage of estimated final program costs. Changes in job performance may result in revisions to costs and income and are recognized in the period in which revisions are determined to be required. Provisions for anticipated losses on contracts are made in the period in which they become determinable.</w:t>
      </w:r>
    </w:p>
    <w:p>
      <w:pPr>
        <w:spacing w:after="0" w:line="11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For customer orders in the Company’s Gillam-FEI and FEI-Zyfer segments or orders in the FEI-NY segment which are not long-term contracts, revenues on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Costs and Expenses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Contract costs include all direct material, direct labor costs, manufacturing overhead and other direct costs related to contract performance. Selling, general and administrative costs are charged to expense as incurred.</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Inventory</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Inventoried costs contain amounts relating to contracts and programs with long production cycles, a portion of which will not be realized within one year. Inventory reserves are established for slow-moving and obsolete items and are based upon management’s experience and expectations for future business. Any changes in reserves are reflected in cost of revenues in the period the revision is made.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table below sets forth for the respective periods of fiscal years 2009 and 2008 the percentage of consolidated Revenues represented by certain items in the Company’s consolidated statements of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520" w:type="dxa"/>
            <w:vAlign w:val="bottom"/>
            <w:gridSpan w:val="3"/>
          </w:tcPr>
          <w:p>
            <w:pPr>
              <w:ind w:left="800"/>
              <w:spacing w:after="0"/>
              <w:rPr>
                <w:sz w:val="20"/>
                <w:szCs w:val="20"/>
                <w:color w:val="auto"/>
              </w:rPr>
            </w:pPr>
            <w:r>
              <w:rPr>
                <w:rFonts w:ascii="Arial" w:cs="Arial" w:eastAsia="Arial" w:hAnsi="Arial"/>
                <w:sz w:val="12"/>
                <w:szCs w:val="12"/>
                <w:color w:val="auto"/>
              </w:rPr>
              <w:t>Nine months</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3"/>
          </w:tcPr>
          <w:p>
            <w:pPr>
              <w:ind w:left="760"/>
              <w:spacing w:after="0"/>
              <w:rPr>
                <w:sz w:val="20"/>
                <w:szCs w:val="20"/>
                <w:color w:val="auto"/>
              </w:rPr>
            </w:pPr>
            <w:r>
              <w:rPr>
                <w:rFonts w:ascii="Arial" w:cs="Arial" w:eastAsia="Arial" w:hAnsi="Arial"/>
                <w:sz w:val="12"/>
                <w:szCs w:val="12"/>
                <w:color w:val="auto"/>
                <w:w w:val="97"/>
              </w:rPr>
              <w:t>Three months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20" w:type="dxa"/>
            <w:vAlign w:val="bottom"/>
            <w:gridSpan w:val="5"/>
          </w:tcPr>
          <w:p>
            <w:pPr>
              <w:ind w:left="180"/>
              <w:spacing w:after="0"/>
              <w:rPr>
                <w:sz w:val="20"/>
                <w:szCs w:val="20"/>
                <w:color w:val="auto"/>
              </w:rPr>
            </w:pPr>
            <w:r>
              <w:rPr>
                <w:rFonts w:ascii="Arial" w:cs="Arial" w:eastAsia="Arial" w:hAnsi="Arial"/>
                <w:sz w:val="12"/>
                <w:szCs w:val="12"/>
                <w:color w:val="auto"/>
              </w:rPr>
              <w:t>Periods ended January 31,</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53"/>
        </w:trPr>
        <w:tc>
          <w:tcPr>
            <w:tcW w:w="4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780" w:type="dxa"/>
            <w:vAlign w:val="bottom"/>
            <w:gridSpan w:val="2"/>
          </w:tcPr>
          <w:p>
            <w:pPr>
              <w:jc w:val="right"/>
              <w:ind w:right="320"/>
              <w:spacing w:after="0"/>
              <w:rPr>
                <w:sz w:val="20"/>
                <w:szCs w:val="20"/>
                <w:color w:val="auto"/>
              </w:rPr>
            </w:pPr>
            <w:r>
              <w:rPr>
                <w:rFonts w:ascii="Arial" w:cs="Arial" w:eastAsia="Arial" w:hAnsi="Arial"/>
                <w:sz w:val="12"/>
                <w:szCs w:val="12"/>
                <w:color w:val="auto"/>
              </w:rPr>
              <w:t>2009</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ind w:right="320"/>
              <w:spacing w:after="0"/>
              <w:rPr>
                <w:sz w:val="20"/>
                <w:szCs w:val="20"/>
                <w:color w:val="auto"/>
              </w:rPr>
            </w:pPr>
            <w:r>
              <w:rPr>
                <w:rFonts w:ascii="Arial" w:cs="Arial" w:eastAsia="Arial" w:hAnsi="Arial"/>
                <w:sz w:val="12"/>
                <w:szCs w:val="12"/>
                <w:color w:val="auto"/>
              </w:rPr>
              <w:t>2008</w:t>
            </w:r>
          </w:p>
        </w:tc>
        <w:tc>
          <w:tcPr>
            <w:tcW w:w="220" w:type="dxa"/>
            <w:vAlign w:val="bottom"/>
          </w:tcPr>
          <w:p>
            <w:pPr>
              <w:spacing w:after="0"/>
              <w:rPr>
                <w:sz w:val="13"/>
                <w:szCs w:val="13"/>
                <w:color w:val="auto"/>
              </w:rPr>
            </w:pPr>
          </w:p>
        </w:tc>
        <w:tc>
          <w:tcPr>
            <w:tcW w:w="980" w:type="dxa"/>
            <w:vAlign w:val="bottom"/>
          </w:tcPr>
          <w:p>
            <w:pPr>
              <w:jc w:val="right"/>
              <w:ind w:right="320"/>
              <w:spacing w:after="0"/>
              <w:rPr>
                <w:sz w:val="20"/>
                <w:szCs w:val="20"/>
                <w:color w:val="auto"/>
              </w:rPr>
            </w:pPr>
            <w:r>
              <w:rPr>
                <w:rFonts w:ascii="Arial" w:cs="Arial" w:eastAsia="Arial" w:hAnsi="Arial"/>
                <w:sz w:val="12"/>
                <w:szCs w:val="12"/>
                <w:color w:val="auto"/>
              </w:rPr>
              <w:t>2009</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jc w:val="right"/>
              <w:ind w:right="320"/>
              <w:spacing w:after="0"/>
              <w:rPr>
                <w:sz w:val="20"/>
                <w:szCs w:val="20"/>
                <w:color w:val="auto"/>
              </w:rPr>
            </w:pPr>
            <w:r>
              <w:rPr>
                <w:rFonts w:ascii="Arial" w:cs="Arial" w:eastAsia="Arial" w:hAnsi="Arial"/>
                <w:sz w:val="12"/>
                <w:szCs w:val="12"/>
                <w:color w:val="auto"/>
              </w:rPr>
              <w:t>2008</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42"/>
        </w:trPr>
        <w:tc>
          <w:tcPr>
            <w:tcW w:w="420" w:type="dxa"/>
            <w:vAlign w:val="bottom"/>
          </w:tcPr>
          <w:p>
            <w:pPr>
              <w:spacing w:after="0"/>
              <w:rPr>
                <w:sz w:val="12"/>
                <w:szCs w:val="12"/>
                <w:color w:val="auto"/>
              </w:rPr>
            </w:pPr>
          </w:p>
        </w:tc>
        <w:tc>
          <w:tcPr>
            <w:tcW w:w="3440" w:type="dxa"/>
            <w:vAlign w:val="bottom"/>
          </w:tcPr>
          <w:p>
            <w:pPr>
              <w:spacing w:after="0"/>
              <w:rPr>
                <w:sz w:val="20"/>
                <w:szCs w:val="20"/>
                <w:color w:val="auto"/>
              </w:rPr>
            </w:pPr>
            <w:r>
              <w:rPr>
                <w:rFonts w:ascii="Arial" w:cs="Arial" w:eastAsia="Arial" w:hAnsi="Arial"/>
                <w:sz w:val="12"/>
                <w:szCs w:val="12"/>
                <w:color w:val="auto"/>
              </w:rPr>
              <w:t>Revenues</w:t>
            </w:r>
          </w:p>
        </w:tc>
        <w:tc>
          <w:tcPr>
            <w:tcW w:w="17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440" w:type="dxa"/>
            <w:vAlign w:val="bottom"/>
            <w:shd w:val="clear" w:color="auto" w:fill="CCFFCC"/>
          </w:tcPr>
          <w:p>
            <w:pPr>
              <w:ind w:left="220"/>
              <w:spacing w:after="0"/>
              <w:rPr>
                <w:sz w:val="20"/>
                <w:szCs w:val="20"/>
                <w:color w:val="auto"/>
              </w:rPr>
            </w:pPr>
            <w:r>
              <w:rPr>
                <w:rFonts w:ascii="Arial" w:cs="Arial" w:eastAsia="Arial" w:hAnsi="Arial"/>
                <w:sz w:val="12"/>
                <w:szCs w:val="12"/>
                <w:color w:val="auto"/>
              </w:rPr>
              <w:t>FEI-NY</w:t>
            </w:r>
          </w:p>
        </w:tc>
        <w:tc>
          <w:tcPr>
            <w:tcW w:w="3020" w:type="dxa"/>
            <w:vAlign w:val="bottom"/>
            <w:gridSpan w:val="3"/>
            <w:shd w:val="clear" w:color="auto" w:fill="CCFFCC"/>
          </w:tcPr>
          <w:p>
            <w:pPr>
              <w:jc w:val="right"/>
              <w:ind w:right="140"/>
              <w:spacing w:after="0"/>
              <w:rPr>
                <w:sz w:val="20"/>
                <w:szCs w:val="20"/>
                <w:color w:val="auto"/>
              </w:rPr>
            </w:pPr>
            <w:r>
              <w:rPr>
                <w:rFonts w:ascii="Arial" w:cs="Arial" w:eastAsia="Arial" w:hAnsi="Arial"/>
                <w:sz w:val="12"/>
                <w:szCs w:val="12"/>
                <w:color w:val="auto"/>
              </w:rPr>
              <w:t>69.7%</w:t>
            </w:r>
          </w:p>
        </w:tc>
        <w:tc>
          <w:tcPr>
            <w:tcW w:w="28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74.2%</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71.7%</w:t>
            </w:r>
          </w:p>
        </w:tc>
        <w:tc>
          <w:tcPr>
            <w:tcW w:w="3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2"/>
                <w:szCs w:val="12"/>
                <w:color w:val="auto"/>
              </w:rPr>
              <w:t>69.2%</w:t>
            </w:r>
          </w:p>
        </w:tc>
        <w:tc>
          <w:tcPr>
            <w:tcW w:w="112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440" w:type="dxa"/>
            <w:vAlign w:val="bottom"/>
          </w:tcPr>
          <w:p>
            <w:pPr>
              <w:ind w:left="220"/>
              <w:spacing w:after="0"/>
              <w:rPr>
                <w:sz w:val="20"/>
                <w:szCs w:val="20"/>
                <w:color w:val="auto"/>
              </w:rPr>
            </w:pPr>
            <w:r>
              <w:rPr>
                <w:rFonts w:ascii="Arial" w:cs="Arial" w:eastAsia="Arial" w:hAnsi="Arial"/>
                <w:sz w:val="12"/>
                <w:szCs w:val="12"/>
                <w:color w:val="auto"/>
              </w:rPr>
              <w:t>Gillam-FEI</w:t>
            </w:r>
          </w:p>
        </w:tc>
        <w:tc>
          <w:tcPr>
            <w:tcW w:w="3020" w:type="dxa"/>
            <w:vAlign w:val="bottom"/>
            <w:gridSpan w:val="3"/>
          </w:tcPr>
          <w:p>
            <w:pPr>
              <w:jc w:val="right"/>
              <w:ind w:right="240"/>
              <w:spacing w:after="0"/>
              <w:rPr>
                <w:sz w:val="20"/>
                <w:szCs w:val="20"/>
                <w:color w:val="auto"/>
              </w:rPr>
            </w:pPr>
            <w:r>
              <w:rPr>
                <w:rFonts w:ascii="Arial" w:cs="Arial" w:eastAsia="Arial" w:hAnsi="Arial"/>
                <w:sz w:val="12"/>
                <w:szCs w:val="12"/>
                <w:color w:val="auto"/>
              </w:rPr>
              <w:t>19.1</w:t>
            </w:r>
          </w:p>
        </w:tc>
        <w:tc>
          <w:tcPr>
            <w:tcW w:w="2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16.1</w:t>
            </w: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18.2</w:t>
            </w:r>
          </w:p>
        </w:tc>
        <w:tc>
          <w:tcPr>
            <w:tcW w:w="32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19.4</w:t>
            </w:r>
          </w:p>
        </w:tc>
        <w:tc>
          <w:tcPr>
            <w:tcW w:w="112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440" w:type="dxa"/>
            <w:vAlign w:val="bottom"/>
            <w:shd w:val="clear" w:color="auto" w:fill="CCFFCC"/>
          </w:tcPr>
          <w:p>
            <w:pPr>
              <w:ind w:left="220"/>
              <w:spacing w:after="0"/>
              <w:rPr>
                <w:sz w:val="20"/>
                <w:szCs w:val="20"/>
                <w:color w:val="auto"/>
              </w:rPr>
            </w:pPr>
            <w:r>
              <w:rPr>
                <w:rFonts w:ascii="Arial" w:cs="Arial" w:eastAsia="Arial" w:hAnsi="Arial"/>
                <w:sz w:val="12"/>
                <w:szCs w:val="12"/>
                <w:color w:val="auto"/>
              </w:rPr>
              <w:t>FEI-Zyfer</w:t>
            </w:r>
          </w:p>
        </w:tc>
        <w:tc>
          <w:tcPr>
            <w:tcW w:w="3020" w:type="dxa"/>
            <w:vAlign w:val="bottom"/>
            <w:gridSpan w:val="3"/>
            <w:shd w:val="clear" w:color="auto" w:fill="CCFFCC"/>
          </w:tcPr>
          <w:p>
            <w:pPr>
              <w:jc w:val="right"/>
              <w:ind w:right="240"/>
              <w:spacing w:after="0"/>
              <w:rPr>
                <w:sz w:val="20"/>
                <w:szCs w:val="20"/>
                <w:color w:val="auto"/>
              </w:rPr>
            </w:pPr>
            <w:r>
              <w:rPr>
                <w:rFonts w:ascii="Arial" w:cs="Arial" w:eastAsia="Arial" w:hAnsi="Arial"/>
                <w:sz w:val="12"/>
                <w:szCs w:val="12"/>
                <w:color w:val="auto"/>
              </w:rPr>
              <w:t>15.5</w:t>
            </w:r>
          </w:p>
        </w:tc>
        <w:tc>
          <w:tcPr>
            <w:tcW w:w="28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13.4</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16.0</w:t>
            </w:r>
          </w:p>
        </w:tc>
        <w:tc>
          <w:tcPr>
            <w:tcW w:w="3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14.3</w:t>
            </w:r>
          </w:p>
        </w:tc>
        <w:tc>
          <w:tcPr>
            <w:tcW w:w="112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440" w:type="dxa"/>
            <w:vAlign w:val="bottom"/>
          </w:tcPr>
          <w:p>
            <w:pPr>
              <w:ind w:left="220"/>
              <w:spacing w:after="0"/>
              <w:rPr>
                <w:sz w:val="20"/>
                <w:szCs w:val="20"/>
                <w:color w:val="auto"/>
              </w:rPr>
            </w:pPr>
            <w:r>
              <w:rPr>
                <w:rFonts w:ascii="Arial" w:cs="Arial" w:eastAsia="Arial" w:hAnsi="Arial"/>
                <w:sz w:val="12"/>
                <w:szCs w:val="12"/>
                <w:color w:val="auto"/>
              </w:rPr>
              <w:t>Less intersegment revenues</w:t>
            </w:r>
          </w:p>
        </w:tc>
        <w:tc>
          <w:tcPr>
            <w:tcW w:w="178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(4.3)</w:t>
            </w:r>
          </w:p>
        </w:tc>
        <w:tc>
          <w:tcPr>
            <w:tcW w:w="2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(3.7)</w:t>
            </w: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(5.9)</w:t>
            </w:r>
          </w:p>
        </w:tc>
        <w:tc>
          <w:tcPr>
            <w:tcW w:w="32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(2.9)</w:t>
            </w:r>
          </w:p>
        </w:tc>
        <w:tc>
          <w:tcPr>
            <w:tcW w:w="1120" w:type="dxa"/>
            <w:vAlign w:val="bottom"/>
          </w:tcPr>
          <w:p>
            <w:pPr>
              <w:spacing w:after="0"/>
              <w:rPr>
                <w:sz w:val="12"/>
                <w:szCs w:val="12"/>
                <w:color w:val="auto"/>
              </w:rPr>
            </w:pPr>
          </w:p>
        </w:tc>
      </w:tr>
      <w:tr>
        <w:trPr>
          <w:trHeight w:val="20"/>
        </w:trPr>
        <w:tc>
          <w:tcPr>
            <w:tcW w:w="4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3440" w:type="dxa"/>
            <w:vAlign w:val="bottom"/>
            <w:shd w:val="clear" w:color="auto" w:fill="CCFFCC"/>
          </w:tcPr>
          <w:p>
            <w:pPr>
              <w:spacing w:after="0"/>
              <w:rPr>
                <w:sz w:val="12"/>
                <w:szCs w:val="12"/>
                <w:color w:val="auto"/>
              </w:rPr>
            </w:pPr>
          </w:p>
        </w:tc>
        <w:tc>
          <w:tcPr>
            <w:tcW w:w="1780" w:type="dxa"/>
            <w:vAlign w:val="bottom"/>
            <w:shd w:val="clear" w:color="auto" w:fill="CCFFCC"/>
          </w:tcPr>
          <w:p>
            <w:pPr>
              <w:spacing w:after="0"/>
              <w:rPr>
                <w:sz w:val="12"/>
                <w:szCs w:val="12"/>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100.0</w:t>
            </w:r>
          </w:p>
        </w:tc>
        <w:tc>
          <w:tcPr>
            <w:tcW w:w="2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100.0</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100.0</w:t>
            </w:r>
          </w:p>
        </w:tc>
        <w:tc>
          <w:tcPr>
            <w:tcW w:w="3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100.0</w:t>
            </w:r>
          </w:p>
        </w:tc>
        <w:tc>
          <w:tcPr>
            <w:tcW w:w="100" w:type="dxa"/>
            <w:vAlign w:val="bottom"/>
            <w:shd w:val="clear" w:color="auto" w:fill="CCFFCC"/>
          </w:tcPr>
          <w:p>
            <w:pPr>
              <w:spacing w:after="0"/>
              <w:rPr>
                <w:sz w:val="12"/>
                <w:szCs w:val="12"/>
                <w:color w:val="auto"/>
              </w:rPr>
            </w:pPr>
          </w:p>
        </w:tc>
        <w:tc>
          <w:tcPr>
            <w:tcW w:w="112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440" w:type="dxa"/>
            <w:vAlign w:val="bottom"/>
          </w:tcPr>
          <w:p>
            <w:pPr>
              <w:spacing w:after="0"/>
              <w:rPr>
                <w:sz w:val="20"/>
                <w:szCs w:val="20"/>
                <w:color w:val="auto"/>
              </w:rPr>
            </w:pPr>
            <w:r>
              <w:rPr>
                <w:rFonts w:ascii="Arial" w:cs="Arial" w:eastAsia="Arial" w:hAnsi="Arial"/>
                <w:sz w:val="12"/>
                <w:szCs w:val="12"/>
                <w:color w:val="auto"/>
              </w:rPr>
              <w:t>Cost of revenues</w:t>
            </w:r>
          </w:p>
        </w:tc>
        <w:tc>
          <w:tcPr>
            <w:tcW w:w="17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76.8</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69.3</w:t>
            </w: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73.8</w:t>
            </w:r>
          </w:p>
        </w:tc>
        <w:tc>
          <w:tcPr>
            <w:tcW w:w="32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68.0</w:t>
            </w:r>
          </w:p>
        </w:tc>
        <w:tc>
          <w:tcPr>
            <w:tcW w:w="1120" w:type="dxa"/>
            <w:vAlign w:val="bottom"/>
          </w:tcPr>
          <w:p>
            <w:pPr>
              <w:spacing w:after="0"/>
              <w:rPr>
                <w:sz w:val="12"/>
                <w:szCs w:val="12"/>
                <w:color w:val="auto"/>
              </w:rPr>
            </w:pPr>
          </w:p>
        </w:tc>
      </w:tr>
      <w:tr>
        <w:trPr>
          <w:trHeight w:val="20"/>
        </w:trPr>
        <w:tc>
          <w:tcPr>
            <w:tcW w:w="4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3440" w:type="dxa"/>
            <w:vAlign w:val="bottom"/>
            <w:shd w:val="clear" w:color="auto" w:fill="CCFFCC"/>
          </w:tcPr>
          <w:p>
            <w:pPr>
              <w:ind w:left="440"/>
              <w:spacing w:after="0"/>
              <w:rPr>
                <w:sz w:val="20"/>
                <w:szCs w:val="20"/>
                <w:color w:val="auto"/>
              </w:rPr>
            </w:pPr>
            <w:r>
              <w:rPr>
                <w:rFonts w:ascii="Arial" w:cs="Arial" w:eastAsia="Arial" w:hAnsi="Arial"/>
                <w:sz w:val="12"/>
                <w:szCs w:val="12"/>
                <w:color w:val="auto"/>
              </w:rPr>
              <w:t>Gross Margin</w:t>
            </w:r>
          </w:p>
        </w:tc>
        <w:tc>
          <w:tcPr>
            <w:tcW w:w="1780" w:type="dxa"/>
            <w:vAlign w:val="bottom"/>
            <w:shd w:val="clear" w:color="auto" w:fill="CCFFCC"/>
          </w:tcPr>
          <w:p>
            <w:pPr>
              <w:spacing w:after="0"/>
              <w:rPr>
                <w:sz w:val="12"/>
                <w:szCs w:val="12"/>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23.2</w:t>
            </w:r>
          </w:p>
        </w:tc>
        <w:tc>
          <w:tcPr>
            <w:tcW w:w="2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30.7</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26.2</w:t>
            </w:r>
          </w:p>
        </w:tc>
        <w:tc>
          <w:tcPr>
            <w:tcW w:w="3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32.0</w:t>
            </w:r>
          </w:p>
        </w:tc>
        <w:tc>
          <w:tcPr>
            <w:tcW w:w="112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440" w:type="dxa"/>
            <w:vAlign w:val="bottom"/>
          </w:tcPr>
          <w:p>
            <w:pPr>
              <w:spacing w:after="0"/>
              <w:rPr>
                <w:sz w:val="20"/>
                <w:szCs w:val="20"/>
                <w:color w:val="auto"/>
              </w:rPr>
            </w:pPr>
            <w:r>
              <w:rPr>
                <w:rFonts w:ascii="Arial" w:cs="Arial" w:eastAsia="Arial" w:hAnsi="Arial"/>
                <w:sz w:val="12"/>
                <w:szCs w:val="12"/>
                <w:color w:val="auto"/>
              </w:rPr>
              <w:t>Selling and administrative expenses</w:t>
            </w:r>
          </w:p>
        </w:tc>
        <w:tc>
          <w:tcPr>
            <w:tcW w:w="3020" w:type="dxa"/>
            <w:vAlign w:val="bottom"/>
            <w:gridSpan w:val="3"/>
          </w:tcPr>
          <w:p>
            <w:pPr>
              <w:jc w:val="right"/>
              <w:ind w:right="240"/>
              <w:spacing w:after="0"/>
              <w:rPr>
                <w:sz w:val="20"/>
                <w:szCs w:val="20"/>
                <w:color w:val="auto"/>
              </w:rPr>
            </w:pPr>
            <w:r>
              <w:rPr>
                <w:rFonts w:ascii="Arial" w:cs="Arial" w:eastAsia="Arial" w:hAnsi="Arial"/>
                <w:sz w:val="12"/>
                <w:szCs w:val="12"/>
                <w:color w:val="auto"/>
              </w:rPr>
              <w:t>21.8</w:t>
            </w:r>
          </w:p>
        </w:tc>
        <w:tc>
          <w:tcPr>
            <w:tcW w:w="2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18.9</w:t>
            </w: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21.5</w:t>
            </w:r>
          </w:p>
        </w:tc>
        <w:tc>
          <w:tcPr>
            <w:tcW w:w="32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18.3</w:t>
            </w:r>
          </w:p>
        </w:tc>
        <w:tc>
          <w:tcPr>
            <w:tcW w:w="112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2"/>
                <w:szCs w:val="12"/>
                <w:color w:val="auto"/>
              </w:rPr>
              <w:t>Research and development expenses</w:t>
            </w:r>
          </w:p>
        </w:tc>
        <w:tc>
          <w:tcPr>
            <w:tcW w:w="1780" w:type="dxa"/>
            <w:vAlign w:val="bottom"/>
            <w:shd w:val="clear" w:color="auto" w:fill="CCFFCC"/>
          </w:tcPr>
          <w:p>
            <w:pPr>
              <w:spacing w:after="0"/>
              <w:rPr>
                <w:sz w:val="12"/>
                <w:szCs w:val="12"/>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7.6</w:t>
            </w:r>
          </w:p>
        </w:tc>
        <w:tc>
          <w:tcPr>
            <w:tcW w:w="2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11.0</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6.3</w:t>
            </w:r>
          </w:p>
        </w:tc>
        <w:tc>
          <w:tcPr>
            <w:tcW w:w="3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2"/>
                <w:szCs w:val="12"/>
                <w:color w:val="auto"/>
              </w:rPr>
              <w:t>9.0</w:t>
            </w:r>
          </w:p>
        </w:tc>
        <w:tc>
          <w:tcPr>
            <w:tcW w:w="100" w:type="dxa"/>
            <w:vAlign w:val="bottom"/>
            <w:shd w:val="clear" w:color="auto" w:fill="CCFFCC"/>
          </w:tcPr>
          <w:p>
            <w:pPr>
              <w:spacing w:after="0"/>
              <w:rPr>
                <w:sz w:val="12"/>
                <w:szCs w:val="12"/>
                <w:color w:val="auto"/>
              </w:rPr>
            </w:pPr>
          </w:p>
        </w:tc>
        <w:tc>
          <w:tcPr>
            <w:tcW w:w="1120" w:type="dxa"/>
            <w:vAlign w:val="bottom"/>
          </w:tcPr>
          <w:p>
            <w:pPr>
              <w:spacing w:after="0"/>
              <w:rPr>
                <w:sz w:val="12"/>
                <w:szCs w:val="12"/>
                <w:color w:val="auto"/>
              </w:rPr>
            </w:pPr>
          </w:p>
        </w:tc>
      </w:tr>
      <w:tr>
        <w:trPr>
          <w:trHeight w:val="20"/>
        </w:trPr>
        <w:tc>
          <w:tcPr>
            <w:tcW w:w="420" w:type="dxa"/>
            <w:vAlign w:val="bottom"/>
          </w:tcPr>
          <w:p>
            <w:pPr>
              <w:spacing w:after="0" w:line="20" w:lineRule="exact"/>
              <w:rPr>
                <w:sz w:val="1"/>
                <w:szCs w:val="1"/>
                <w:color w:val="auto"/>
              </w:rPr>
            </w:pPr>
          </w:p>
        </w:tc>
        <w:tc>
          <w:tcPr>
            <w:tcW w:w="3440" w:type="dxa"/>
            <w:vAlign w:val="bottom"/>
            <w:shd w:val="clear" w:color="auto" w:fill="CCFFCC"/>
          </w:tcPr>
          <w:p>
            <w:pPr>
              <w:spacing w:after="0" w:line="20" w:lineRule="exact"/>
              <w:rPr>
                <w:sz w:val="1"/>
                <w:szCs w:val="1"/>
                <w:color w:val="auto"/>
              </w:rPr>
            </w:pPr>
          </w:p>
        </w:tc>
        <w:tc>
          <w:tcPr>
            <w:tcW w:w="178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3440" w:type="dxa"/>
            <w:vAlign w:val="bottom"/>
          </w:tcPr>
          <w:p>
            <w:pPr>
              <w:ind w:left="440"/>
              <w:spacing w:after="0"/>
              <w:rPr>
                <w:sz w:val="20"/>
                <w:szCs w:val="20"/>
                <w:color w:val="auto"/>
              </w:rPr>
            </w:pPr>
            <w:r>
              <w:rPr>
                <w:rFonts w:ascii="Arial" w:cs="Arial" w:eastAsia="Arial" w:hAnsi="Arial"/>
                <w:sz w:val="12"/>
                <w:szCs w:val="12"/>
                <w:color w:val="auto"/>
              </w:rPr>
              <w:t>Operating (Loss) Income</w:t>
            </w:r>
          </w:p>
        </w:tc>
        <w:tc>
          <w:tcPr>
            <w:tcW w:w="178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(6.2)</w:t>
            </w:r>
          </w:p>
        </w:tc>
        <w:tc>
          <w:tcPr>
            <w:tcW w:w="2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0.8</w:t>
            </w: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(1.6)</w:t>
            </w: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4.7</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2"/>
                <w:szCs w:val="12"/>
                <w:color w:val="auto"/>
              </w:rPr>
              <w:t>Other income, net</w:t>
            </w:r>
          </w:p>
        </w:tc>
        <w:tc>
          <w:tcPr>
            <w:tcW w:w="1780" w:type="dxa"/>
            <w:vAlign w:val="bottom"/>
            <w:shd w:val="clear" w:color="auto" w:fill="CCFFCC"/>
          </w:tcPr>
          <w:p>
            <w:pPr>
              <w:spacing w:after="0"/>
              <w:rPr>
                <w:sz w:val="12"/>
                <w:szCs w:val="12"/>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0.6</w:t>
            </w:r>
          </w:p>
        </w:tc>
        <w:tc>
          <w:tcPr>
            <w:tcW w:w="2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8.0</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2.2</w:t>
            </w:r>
          </w:p>
        </w:tc>
        <w:tc>
          <w:tcPr>
            <w:tcW w:w="3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2"/>
                <w:szCs w:val="12"/>
                <w:color w:val="auto"/>
              </w:rPr>
              <w:t>3.4</w:t>
            </w:r>
          </w:p>
        </w:tc>
        <w:tc>
          <w:tcPr>
            <w:tcW w:w="100" w:type="dxa"/>
            <w:vAlign w:val="bottom"/>
            <w:shd w:val="clear" w:color="auto" w:fill="CCFFCC"/>
          </w:tcPr>
          <w:p>
            <w:pPr>
              <w:spacing w:after="0"/>
              <w:rPr>
                <w:sz w:val="12"/>
                <w:szCs w:val="12"/>
                <w:color w:val="auto"/>
              </w:rPr>
            </w:pPr>
          </w:p>
        </w:tc>
        <w:tc>
          <w:tcPr>
            <w:tcW w:w="1120" w:type="dxa"/>
            <w:vAlign w:val="bottom"/>
          </w:tcPr>
          <w:p>
            <w:pPr>
              <w:spacing w:after="0"/>
              <w:rPr>
                <w:sz w:val="12"/>
                <w:szCs w:val="12"/>
                <w:color w:val="auto"/>
              </w:rPr>
            </w:pPr>
          </w:p>
        </w:tc>
      </w:tr>
      <w:tr>
        <w:trPr>
          <w:trHeight w:val="20"/>
        </w:trPr>
        <w:tc>
          <w:tcPr>
            <w:tcW w:w="420" w:type="dxa"/>
            <w:vAlign w:val="bottom"/>
          </w:tcPr>
          <w:p>
            <w:pPr>
              <w:spacing w:after="0" w:line="20" w:lineRule="exact"/>
              <w:rPr>
                <w:sz w:val="1"/>
                <w:szCs w:val="1"/>
                <w:color w:val="auto"/>
              </w:rPr>
            </w:pPr>
          </w:p>
        </w:tc>
        <w:tc>
          <w:tcPr>
            <w:tcW w:w="3440" w:type="dxa"/>
            <w:vAlign w:val="bottom"/>
            <w:shd w:val="clear" w:color="auto" w:fill="CCFFCC"/>
          </w:tcPr>
          <w:p>
            <w:pPr>
              <w:spacing w:after="0" w:line="20" w:lineRule="exact"/>
              <w:rPr>
                <w:sz w:val="1"/>
                <w:szCs w:val="1"/>
                <w:color w:val="auto"/>
              </w:rPr>
            </w:pPr>
          </w:p>
        </w:tc>
        <w:tc>
          <w:tcPr>
            <w:tcW w:w="178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3440" w:type="dxa"/>
            <w:vAlign w:val="bottom"/>
          </w:tcPr>
          <w:p>
            <w:pPr>
              <w:spacing w:after="0"/>
              <w:rPr>
                <w:sz w:val="20"/>
                <w:szCs w:val="20"/>
                <w:color w:val="auto"/>
              </w:rPr>
            </w:pPr>
            <w:r>
              <w:rPr>
                <w:rFonts w:ascii="Arial" w:cs="Arial" w:eastAsia="Arial" w:hAnsi="Arial"/>
                <w:sz w:val="12"/>
                <w:szCs w:val="12"/>
                <w:color w:val="auto"/>
              </w:rPr>
              <w:t>Pretax (Loss) Income</w:t>
            </w:r>
          </w:p>
        </w:tc>
        <w:tc>
          <w:tcPr>
            <w:tcW w:w="178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(5.6)</w:t>
            </w:r>
          </w:p>
        </w:tc>
        <w:tc>
          <w:tcPr>
            <w:tcW w:w="2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8.8</w:t>
            </w: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0.6</w:t>
            </w: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8.1</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2"/>
                <w:szCs w:val="12"/>
                <w:color w:val="auto"/>
              </w:rPr>
              <w:t>(Benefit) Provision for income taxes</w:t>
            </w:r>
          </w:p>
        </w:tc>
        <w:tc>
          <w:tcPr>
            <w:tcW w:w="178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(1.7)</w:t>
            </w:r>
          </w:p>
        </w:tc>
        <w:tc>
          <w:tcPr>
            <w:tcW w:w="28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3.7</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2"/>
                <w:szCs w:val="12"/>
                <w:color w:val="auto"/>
              </w:rPr>
              <w:t>(0.1)</w:t>
            </w:r>
          </w:p>
        </w:tc>
        <w:tc>
          <w:tcPr>
            <w:tcW w:w="3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2"/>
                <w:szCs w:val="12"/>
                <w:color w:val="auto"/>
              </w:rPr>
              <w:t>3.7</w:t>
            </w:r>
          </w:p>
        </w:tc>
        <w:tc>
          <w:tcPr>
            <w:tcW w:w="100" w:type="dxa"/>
            <w:vAlign w:val="bottom"/>
            <w:shd w:val="clear" w:color="auto" w:fill="CCFFCC"/>
          </w:tcPr>
          <w:p>
            <w:pPr>
              <w:spacing w:after="0"/>
              <w:rPr>
                <w:sz w:val="12"/>
                <w:szCs w:val="12"/>
                <w:color w:val="auto"/>
              </w:rPr>
            </w:pPr>
          </w:p>
        </w:tc>
        <w:tc>
          <w:tcPr>
            <w:tcW w:w="1120" w:type="dxa"/>
            <w:vAlign w:val="bottom"/>
          </w:tcPr>
          <w:p>
            <w:pPr>
              <w:spacing w:after="0"/>
              <w:rPr>
                <w:sz w:val="12"/>
                <w:szCs w:val="12"/>
                <w:color w:val="auto"/>
              </w:rPr>
            </w:pPr>
          </w:p>
        </w:tc>
      </w:tr>
      <w:tr>
        <w:trPr>
          <w:trHeight w:val="20"/>
        </w:trPr>
        <w:tc>
          <w:tcPr>
            <w:tcW w:w="420" w:type="dxa"/>
            <w:vAlign w:val="bottom"/>
          </w:tcPr>
          <w:p>
            <w:pPr>
              <w:spacing w:after="0" w:line="20" w:lineRule="exact"/>
              <w:rPr>
                <w:sz w:val="1"/>
                <w:szCs w:val="1"/>
                <w:color w:val="auto"/>
              </w:rPr>
            </w:pPr>
          </w:p>
        </w:tc>
        <w:tc>
          <w:tcPr>
            <w:tcW w:w="3440" w:type="dxa"/>
            <w:vAlign w:val="bottom"/>
            <w:shd w:val="clear" w:color="auto" w:fill="CCFFCC"/>
          </w:tcPr>
          <w:p>
            <w:pPr>
              <w:spacing w:after="0" w:line="20" w:lineRule="exact"/>
              <w:rPr>
                <w:sz w:val="1"/>
                <w:szCs w:val="1"/>
                <w:color w:val="auto"/>
              </w:rPr>
            </w:pPr>
          </w:p>
        </w:tc>
        <w:tc>
          <w:tcPr>
            <w:tcW w:w="178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3440" w:type="dxa"/>
            <w:vAlign w:val="bottom"/>
          </w:tcPr>
          <w:p>
            <w:pPr>
              <w:ind w:left="440"/>
              <w:spacing w:after="0"/>
              <w:rPr>
                <w:sz w:val="20"/>
                <w:szCs w:val="20"/>
                <w:color w:val="auto"/>
              </w:rPr>
            </w:pPr>
            <w:r>
              <w:rPr>
                <w:rFonts w:ascii="Arial" w:cs="Arial" w:eastAsia="Arial" w:hAnsi="Arial"/>
                <w:sz w:val="12"/>
                <w:szCs w:val="12"/>
                <w:color w:val="auto"/>
              </w:rPr>
              <w:t>Net (Loss) Income</w:t>
            </w:r>
          </w:p>
        </w:tc>
        <w:tc>
          <w:tcPr>
            <w:tcW w:w="1780" w:type="dxa"/>
            <w:vAlign w:val="bottom"/>
          </w:tcPr>
          <w:p>
            <w:pPr>
              <w:spacing w:after="0"/>
              <w:rPr>
                <w:sz w:val="12"/>
                <w:szCs w:val="1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2"/>
                <w:szCs w:val="12"/>
                <w:color w:val="auto"/>
              </w:rPr>
              <w:t>(3.9)%</w:t>
            </w:r>
          </w:p>
        </w:tc>
        <w:tc>
          <w:tcPr>
            <w:tcW w:w="28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5.1%</w:t>
            </w: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0.7%</w:t>
            </w:r>
          </w:p>
        </w:tc>
        <w:tc>
          <w:tcPr>
            <w:tcW w:w="32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4.4%</w:t>
            </w:r>
          </w:p>
        </w:tc>
        <w:tc>
          <w:tcPr>
            <w:tcW w:w="1120" w:type="dxa"/>
            <w:vAlign w:val="bottom"/>
          </w:tcPr>
          <w:p>
            <w:pPr>
              <w:spacing w:after="0"/>
              <w:rPr>
                <w:sz w:val="12"/>
                <w:szCs w:val="12"/>
                <w:color w:val="auto"/>
              </w:rPr>
            </w:pPr>
          </w:p>
        </w:tc>
      </w:tr>
      <w:tr>
        <w:trPr>
          <w:trHeight w:val="20"/>
        </w:trPr>
        <w:tc>
          <w:tcPr>
            <w:tcW w:w="4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82"/>
        </w:trPr>
        <w:tc>
          <w:tcPr>
            <w:tcW w:w="4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300" w:type="dxa"/>
            <w:vAlign w:val="bottom"/>
            <w:gridSpan w:val="4"/>
          </w:tcPr>
          <w:p>
            <w:pPr>
              <w:ind w:left="1680"/>
              <w:spacing w:after="0"/>
              <w:rPr>
                <w:sz w:val="20"/>
                <w:szCs w:val="20"/>
                <w:color w:val="auto"/>
              </w:rPr>
            </w:pPr>
            <w:r>
              <w:rPr>
                <w:rFonts w:ascii="Arial" w:cs="Arial" w:eastAsia="Arial" w:hAnsi="Arial"/>
                <w:sz w:val="12"/>
                <w:szCs w:val="12"/>
                <w:color w:val="auto"/>
              </w:rPr>
              <w:t>12 of 19</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
        </w:trPr>
        <w:tc>
          <w:tcPr>
            <w:tcW w:w="420" w:type="dxa"/>
            <w:vAlign w:val="bottom"/>
            <w:tcBorders>
              <w:bottom w:val="single" w:sz="8" w:color="808080"/>
            </w:tcBorders>
          </w:tcPr>
          <w:p>
            <w:pPr>
              <w:spacing w:after="0"/>
              <w:rPr>
                <w:sz w:val="6"/>
                <w:szCs w:val="6"/>
                <w:color w:val="auto"/>
              </w:rPr>
            </w:pPr>
          </w:p>
        </w:tc>
        <w:tc>
          <w:tcPr>
            <w:tcW w:w="3440" w:type="dxa"/>
            <w:vAlign w:val="bottom"/>
            <w:tcBorders>
              <w:bottom w:val="single" w:sz="8" w:color="808080"/>
            </w:tcBorders>
          </w:tcPr>
          <w:p>
            <w:pPr>
              <w:spacing w:after="0"/>
              <w:rPr>
                <w:sz w:val="6"/>
                <w:szCs w:val="6"/>
                <w:color w:val="auto"/>
              </w:rPr>
            </w:pPr>
          </w:p>
        </w:tc>
        <w:tc>
          <w:tcPr>
            <w:tcW w:w="178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0" w:type="dxa"/>
            <w:vAlign w:val="bottom"/>
            <w:gridSpan w:val="9"/>
          </w:tcPr>
          <w:p>
            <w:pPr>
              <w:jc w:val="right"/>
              <w:ind w:right="60"/>
              <w:spacing w:after="0"/>
              <w:rPr>
                <w:sz w:val="20"/>
                <w:szCs w:val="20"/>
                <w:color w:val="auto"/>
              </w:rPr>
            </w:pPr>
            <w:r>
              <w:rPr>
                <w:rFonts w:ascii="Arial" w:cs="Arial" w:eastAsia="Arial" w:hAnsi="Arial"/>
                <w:sz w:val="12"/>
                <w:szCs w:val="12"/>
                <w:color w:val="auto"/>
                <w:w w:val="95"/>
              </w:rPr>
              <w:t>FREQUENCY ELECTRONICS, INC. and SUBSIDIARIES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w w:val="98"/>
              </w:rPr>
              <w:t>(Continued)</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40" w:type="dxa"/>
            <w:vAlign w:val="bottom"/>
            <w:gridSpan w:val="16"/>
          </w:tcPr>
          <w:p>
            <w:pPr>
              <w:jc w:val="right"/>
              <w:ind w:right="220"/>
              <w:spacing w:after="0"/>
              <w:rPr>
                <w:sz w:val="20"/>
                <w:szCs w:val="20"/>
                <w:color w:val="auto"/>
              </w:rPr>
            </w:pPr>
            <w:r>
              <w:rPr>
                <w:rFonts w:ascii="Arial" w:cs="Arial" w:eastAsia="Arial" w:hAnsi="Arial"/>
                <w:sz w:val="12"/>
                <w:szCs w:val="12"/>
                <w:color w:val="auto"/>
                <w:w w:val="93"/>
              </w:rPr>
              <w:t>(Note: All dollar amounts in following tables are in thousands, except Revenues which are in millions)</w:t>
            </w: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940" w:type="dxa"/>
            <w:vAlign w:val="bottom"/>
            <w:gridSpan w:val="2"/>
          </w:tcPr>
          <w:p>
            <w:pPr>
              <w:spacing w:after="0"/>
              <w:rPr>
                <w:sz w:val="20"/>
                <w:szCs w:val="20"/>
                <w:color w:val="auto"/>
              </w:rPr>
            </w:pPr>
            <w:r>
              <w:rPr>
                <w:rFonts w:ascii="Arial" w:cs="Arial" w:eastAsia="Arial" w:hAnsi="Arial"/>
                <w:sz w:val="12"/>
                <w:szCs w:val="12"/>
                <w:b w:val="1"/>
                <w:bCs w:val="1"/>
                <w:color w:val="auto"/>
              </w:rPr>
              <w:t>Revenues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vMerge w:val="restart"/>
          </w:tcPr>
          <w:p>
            <w:pPr>
              <w:jc w:val="right"/>
              <w:spacing w:after="0"/>
              <w:rPr>
                <w:sz w:val="20"/>
                <w:szCs w:val="20"/>
                <w:color w:val="auto"/>
              </w:rPr>
            </w:pPr>
            <w:r>
              <w:rPr>
                <w:rFonts w:ascii="Arial" w:cs="Arial" w:eastAsia="Arial" w:hAnsi="Arial"/>
                <w:sz w:val="12"/>
                <w:szCs w:val="12"/>
                <w:color w:val="auto"/>
              </w:rPr>
              <w:t>Nine months</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gridSpan w:val="3"/>
          </w:tcPr>
          <w:p>
            <w:pPr>
              <w:jc w:val="right"/>
              <w:ind w:right="307"/>
              <w:spacing w:after="0"/>
              <w:rPr>
                <w:sz w:val="20"/>
                <w:szCs w:val="20"/>
                <w:color w:val="auto"/>
              </w:rPr>
            </w:pPr>
            <w:r>
              <w:rPr>
                <w:rFonts w:ascii="Arial" w:cs="Arial" w:eastAsia="Arial" w:hAnsi="Arial"/>
                <w:sz w:val="12"/>
                <w:szCs w:val="12"/>
                <w:color w:val="auto"/>
              </w:rPr>
              <w:t>(in millions)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4"/>
            <w:vMerge w:val="restart"/>
          </w:tcPr>
          <w:p>
            <w:pPr>
              <w:jc w:val="right"/>
              <w:ind w:right="180"/>
              <w:spacing w:after="0"/>
              <w:rPr>
                <w:sz w:val="20"/>
                <w:szCs w:val="20"/>
                <w:color w:val="auto"/>
              </w:rPr>
            </w:pPr>
            <w:r>
              <w:rPr>
                <w:rFonts w:ascii="Arial" w:cs="Arial" w:eastAsia="Arial" w:hAnsi="Arial"/>
                <w:sz w:val="12"/>
                <w:szCs w:val="12"/>
                <w:color w:val="auto"/>
              </w:rPr>
              <w:t>Three months</w:t>
            </w: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vMerge w:val="continue"/>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4"/>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gridSpan w:val="3"/>
          </w:tcPr>
          <w:p>
            <w:pPr>
              <w:jc w:val="right"/>
              <w:spacing w:after="0"/>
              <w:rPr>
                <w:sz w:val="20"/>
                <w:szCs w:val="20"/>
                <w:color w:val="auto"/>
              </w:rPr>
            </w:pPr>
            <w:r>
              <w:rPr>
                <w:rFonts w:ascii="Arial" w:cs="Arial" w:eastAsia="Arial" w:hAnsi="Arial"/>
                <w:sz w:val="12"/>
                <w:szCs w:val="12"/>
                <w:color w:val="auto"/>
                <w:w w:val="94"/>
              </w:rPr>
              <w:t>Periods ended January 31,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20" w:type="dxa"/>
            <w:vAlign w:val="bottom"/>
            <w:tcBorders>
              <w:bottom w:val="single" w:sz="8" w:color="auto"/>
            </w:tcBorders>
          </w:tcPr>
          <w:p>
            <w:pPr>
              <w:ind w:left="740"/>
              <w:spacing w:after="0"/>
              <w:rPr>
                <w:sz w:val="20"/>
                <w:szCs w:val="20"/>
                <w:color w:val="auto"/>
              </w:rPr>
            </w:pPr>
            <w:r>
              <w:rPr>
                <w:rFonts w:ascii="Arial" w:cs="Arial" w:eastAsia="Arial" w:hAnsi="Arial"/>
                <w:sz w:val="12"/>
                <w:szCs w:val="12"/>
                <w:color w:val="auto"/>
              </w:rPr>
              <w:t>Segment</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2009</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2008</w:t>
            </w: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Change</w:t>
            </w:r>
          </w:p>
        </w:tc>
        <w:tc>
          <w:tcPr>
            <w:tcW w:w="6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2009</w:t>
            </w:r>
          </w:p>
        </w:tc>
        <w:tc>
          <w:tcPr>
            <w:tcW w:w="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2008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Change</w:t>
            </w:r>
          </w:p>
        </w:tc>
        <w:tc>
          <w:tcPr>
            <w:tcW w:w="4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20" w:type="dxa"/>
            <w:vAlign w:val="bottom"/>
            <w:shd w:val="clear" w:color="auto" w:fill="CCFFCC"/>
          </w:tcPr>
          <w:p>
            <w:pPr>
              <w:spacing w:after="0"/>
              <w:rPr>
                <w:sz w:val="20"/>
                <w:szCs w:val="20"/>
                <w:color w:val="auto"/>
              </w:rPr>
            </w:pPr>
            <w:r>
              <w:rPr>
                <w:rFonts w:ascii="Arial" w:cs="Arial" w:eastAsia="Arial" w:hAnsi="Arial"/>
                <w:sz w:val="12"/>
                <w:szCs w:val="12"/>
                <w:color w:val="auto"/>
              </w:rPr>
              <w:t>FEI-NY</w:t>
            </w: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28.1</w:t>
            </w:r>
          </w:p>
        </w:tc>
        <w:tc>
          <w:tcPr>
            <w:tcW w:w="160" w:type="dxa"/>
            <w:vAlign w:val="bottom"/>
            <w:shd w:val="clear" w:color="auto" w:fill="CCFFCC"/>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37.2</w:t>
            </w:r>
          </w:p>
        </w:tc>
        <w:tc>
          <w:tcPr>
            <w:tcW w:w="240" w:type="dxa"/>
            <w:vAlign w:val="bottom"/>
            <w:shd w:val="clear" w:color="auto" w:fill="CCFFCC"/>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FFCC"/>
          </w:tcPr>
          <w:p>
            <w:pPr>
              <w:jc w:val="right"/>
              <w:ind w:right="320"/>
              <w:spacing w:after="0"/>
              <w:rPr>
                <w:sz w:val="20"/>
                <w:szCs w:val="20"/>
                <w:color w:val="auto"/>
              </w:rPr>
            </w:pPr>
            <w:r>
              <w:rPr>
                <w:rFonts w:ascii="Arial" w:cs="Arial" w:eastAsia="Arial" w:hAnsi="Arial"/>
                <w:sz w:val="12"/>
                <w:szCs w:val="12"/>
                <w:color w:val="auto"/>
              </w:rPr>
              <w:t>(9.1)</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(24%)</w:t>
            </w:r>
          </w:p>
        </w:tc>
        <w:tc>
          <w:tcPr>
            <w:tcW w:w="560" w:type="dxa"/>
            <w:vAlign w:val="bottom"/>
            <w:shd w:val="clear" w:color="auto" w:fill="CCFFCC"/>
          </w:tcPr>
          <w:p>
            <w:pPr>
              <w:jc w:val="right"/>
              <w:ind w:right="447"/>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9.5</w:t>
            </w:r>
          </w:p>
        </w:tc>
        <w:tc>
          <w:tcPr>
            <w:tcW w:w="300" w:type="dxa"/>
            <w:vAlign w:val="bottom"/>
            <w:gridSpan w:val="2"/>
            <w:shd w:val="clear" w:color="auto" w:fill="CCFFCC"/>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11.8</w:t>
            </w:r>
          </w:p>
        </w:tc>
        <w:tc>
          <w:tcPr>
            <w:tcW w:w="500" w:type="dxa"/>
            <w:vAlign w:val="bottom"/>
            <w:gridSpan w:val="2"/>
            <w:shd w:val="clear" w:color="auto" w:fill="CCFFCC"/>
          </w:tcPr>
          <w:p>
            <w:pPr>
              <w:jc w:val="right"/>
              <w:ind w:right="36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FFCC"/>
          </w:tcPr>
          <w:p>
            <w:pPr>
              <w:jc w:val="right"/>
              <w:ind w:right="500"/>
              <w:spacing w:after="0"/>
              <w:rPr>
                <w:sz w:val="20"/>
                <w:szCs w:val="20"/>
                <w:color w:val="auto"/>
              </w:rPr>
            </w:pPr>
            <w:r>
              <w:rPr>
                <w:rFonts w:ascii="Arial" w:cs="Arial" w:eastAsia="Arial" w:hAnsi="Arial"/>
                <w:sz w:val="12"/>
                <w:szCs w:val="12"/>
                <w:color w:val="auto"/>
              </w:rPr>
              <w:t>(2.3)</w:t>
            </w:r>
          </w:p>
        </w:tc>
        <w:tc>
          <w:tcPr>
            <w:tcW w:w="600" w:type="dxa"/>
            <w:vAlign w:val="bottom"/>
            <w:gridSpan w:val="2"/>
            <w:shd w:val="clear" w:color="auto" w:fill="CCFFCC"/>
          </w:tcPr>
          <w:p>
            <w:pPr>
              <w:jc w:val="right"/>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20" w:type="dxa"/>
            <w:vAlign w:val="bottom"/>
          </w:tcPr>
          <w:p>
            <w:pPr>
              <w:spacing w:after="0"/>
              <w:rPr>
                <w:sz w:val="20"/>
                <w:szCs w:val="20"/>
                <w:color w:val="auto"/>
              </w:rPr>
            </w:pPr>
            <w:r>
              <w:rPr>
                <w:rFonts w:ascii="Arial" w:cs="Arial" w:eastAsia="Arial" w:hAnsi="Arial"/>
                <w:sz w:val="12"/>
                <w:szCs w:val="12"/>
                <w:color w:val="auto"/>
              </w:rPr>
              <w:t>Gillam-FEI</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(0.4)</w:t>
            </w: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(4%)</w:t>
            </w:r>
          </w:p>
        </w:tc>
        <w:tc>
          <w:tcPr>
            <w:tcW w:w="560" w:type="dxa"/>
            <w:vAlign w:val="bottom"/>
          </w:tcPr>
          <w:p>
            <w:pPr>
              <w:spacing w:after="0"/>
              <w:rPr>
                <w:sz w:val="12"/>
                <w:szCs w:val="12"/>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2"/>
                <w:szCs w:val="12"/>
                <w:color w:val="auto"/>
              </w:rPr>
              <w:t>2.4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3.3</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2"/>
                <w:szCs w:val="12"/>
                <w:color w:val="auto"/>
              </w:rPr>
              <w:t>(0.9)</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20" w:type="dxa"/>
            <w:vAlign w:val="bottom"/>
            <w:shd w:val="clear" w:color="auto" w:fill="CCFFCC"/>
          </w:tcPr>
          <w:p>
            <w:pPr>
              <w:spacing w:after="0"/>
              <w:rPr>
                <w:sz w:val="20"/>
                <w:szCs w:val="20"/>
                <w:color w:val="auto"/>
              </w:rPr>
            </w:pPr>
            <w:r>
              <w:rPr>
                <w:rFonts w:ascii="Arial" w:cs="Arial" w:eastAsia="Arial" w:hAnsi="Arial"/>
                <w:sz w:val="12"/>
                <w:szCs w:val="12"/>
                <w:color w:val="auto"/>
              </w:rPr>
              <w:t>FEI-Zyfer</w:t>
            </w: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2"/>
                <w:szCs w:val="12"/>
                <w:color w:val="auto"/>
              </w:rPr>
              <w:t>6.2</w:t>
            </w: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2"/>
                <w:szCs w:val="12"/>
                <w:color w:val="auto"/>
              </w:rPr>
              <w:t>6.7</w:t>
            </w:r>
          </w:p>
        </w:tc>
        <w:tc>
          <w:tcPr>
            <w:tcW w:w="2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320"/>
              <w:spacing w:after="0"/>
              <w:rPr>
                <w:sz w:val="20"/>
                <w:szCs w:val="20"/>
                <w:color w:val="auto"/>
              </w:rPr>
            </w:pPr>
            <w:r>
              <w:rPr>
                <w:rFonts w:ascii="Arial" w:cs="Arial" w:eastAsia="Arial" w:hAnsi="Arial"/>
                <w:sz w:val="12"/>
                <w:szCs w:val="12"/>
                <w:color w:val="auto"/>
              </w:rPr>
              <w:t>(0.5)</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(7%)</w:t>
            </w:r>
          </w:p>
        </w:tc>
        <w:tc>
          <w:tcPr>
            <w:tcW w:w="560" w:type="dxa"/>
            <w:vAlign w:val="bottom"/>
            <w:shd w:val="clear" w:color="auto" w:fill="CCFFCC"/>
          </w:tcPr>
          <w:p>
            <w:pPr>
              <w:spacing w:after="0"/>
              <w:rPr>
                <w:sz w:val="12"/>
                <w:szCs w:val="12"/>
                <w:color w:val="auto"/>
              </w:rPr>
            </w:pPr>
          </w:p>
        </w:tc>
        <w:tc>
          <w:tcPr>
            <w:tcW w:w="36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2.1</w:t>
            </w:r>
          </w:p>
        </w:tc>
        <w:tc>
          <w:tcPr>
            <w:tcW w:w="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2.4</w:t>
            </w:r>
          </w:p>
        </w:tc>
        <w:tc>
          <w:tcPr>
            <w:tcW w:w="8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500"/>
              <w:spacing w:after="0"/>
              <w:rPr>
                <w:sz w:val="20"/>
                <w:szCs w:val="20"/>
                <w:color w:val="auto"/>
              </w:rPr>
            </w:pPr>
            <w:r>
              <w:rPr>
                <w:rFonts w:ascii="Arial" w:cs="Arial" w:eastAsia="Arial" w:hAnsi="Arial"/>
                <w:sz w:val="12"/>
                <w:szCs w:val="12"/>
                <w:color w:val="auto"/>
              </w:rPr>
              <w:t>(0.3)</w:t>
            </w:r>
          </w:p>
        </w:tc>
        <w:tc>
          <w:tcPr>
            <w:tcW w:w="600" w:type="dxa"/>
            <w:vAlign w:val="bottom"/>
            <w:gridSpan w:val="2"/>
            <w:shd w:val="clear" w:color="auto" w:fill="CCFFCC"/>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20" w:type="dxa"/>
            <w:vAlign w:val="bottom"/>
          </w:tcPr>
          <w:p>
            <w:pPr>
              <w:spacing w:after="0"/>
              <w:rPr>
                <w:sz w:val="20"/>
                <w:szCs w:val="20"/>
                <w:color w:val="auto"/>
              </w:rPr>
            </w:pPr>
            <w:r>
              <w:rPr>
                <w:rFonts w:ascii="Arial" w:cs="Arial" w:eastAsia="Arial" w:hAnsi="Arial"/>
                <w:sz w:val="12"/>
                <w:szCs w:val="12"/>
                <w:color w:val="auto"/>
              </w:rPr>
              <w:t>Intersegment revenues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(1.7)</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(1.9)</w:t>
            </w:r>
          </w:p>
        </w:tc>
        <w:tc>
          <w:tcPr>
            <w:tcW w:w="24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0.2</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2"/>
                <w:szCs w:val="12"/>
                <w:color w:val="auto"/>
              </w:rPr>
              <w:t>(0.8)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(0.5)</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2"/>
                <w:szCs w:val="12"/>
                <w:color w:val="auto"/>
              </w:rPr>
              <w:t>(0.3)</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40.3</w:t>
            </w:r>
          </w:p>
        </w:tc>
        <w:tc>
          <w:tcPr>
            <w:tcW w:w="160" w:type="dxa"/>
            <w:vAlign w:val="bottom"/>
            <w:shd w:val="clear" w:color="auto" w:fill="CCFFCC"/>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50.1</w:t>
            </w:r>
          </w:p>
        </w:tc>
        <w:tc>
          <w:tcPr>
            <w:tcW w:w="240" w:type="dxa"/>
            <w:vAlign w:val="bottom"/>
            <w:shd w:val="clear" w:color="auto" w:fill="CCFFCC"/>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FFCC"/>
          </w:tcPr>
          <w:p>
            <w:pPr>
              <w:jc w:val="right"/>
              <w:ind w:right="320"/>
              <w:spacing w:after="0"/>
              <w:rPr>
                <w:sz w:val="20"/>
                <w:szCs w:val="20"/>
                <w:color w:val="auto"/>
              </w:rPr>
            </w:pPr>
            <w:r>
              <w:rPr>
                <w:rFonts w:ascii="Arial" w:cs="Arial" w:eastAsia="Arial" w:hAnsi="Arial"/>
                <w:sz w:val="12"/>
                <w:szCs w:val="12"/>
                <w:color w:val="auto"/>
              </w:rPr>
              <w:t>(9.8)</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(20%)</w:t>
            </w:r>
          </w:p>
        </w:tc>
        <w:tc>
          <w:tcPr>
            <w:tcW w:w="560" w:type="dxa"/>
            <w:vAlign w:val="bottom"/>
            <w:shd w:val="clear" w:color="auto" w:fill="CCFFCC"/>
          </w:tcPr>
          <w:p>
            <w:pPr>
              <w:jc w:val="right"/>
              <w:ind w:right="447"/>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w w:val="93"/>
              </w:rPr>
              <w:t>13.2</w:t>
            </w:r>
          </w:p>
        </w:tc>
        <w:tc>
          <w:tcPr>
            <w:tcW w:w="300" w:type="dxa"/>
            <w:vAlign w:val="bottom"/>
            <w:gridSpan w:val="2"/>
            <w:shd w:val="clear" w:color="auto" w:fill="CCFFCC"/>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17.0</w:t>
            </w:r>
          </w:p>
        </w:tc>
        <w:tc>
          <w:tcPr>
            <w:tcW w:w="500" w:type="dxa"/>
            <w:vAlign w:val="bottom"/>
            <w:gridSpan w:val="2"/>
            <w:shd w:val="clear" w:color="auto" w:fill="CCFFCC"/>
          </w:tcPr>
          <w:p>
            <w:pPr>
              <w:jc w:val="right"/>
              <w:ind w:right="36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FFCC"/>
          </w:tcPr>
          <w:p>
            <w:pPr>
              <w:jc w:val="right"/>
              <w:ind w:right="500"/>
              <w:spacing w:after="0"/>
              <w:rPr>
                <w:sz w:val="20"/>
                <w:szCs w:val="20"/>
                <w:color w:val="auto"/>
              </w:rPr>
            </w:pPr>
            <w:r>
              <w:rPr>
                <w:rFonts w:ascii="Arial" w:cs="Arial" w:eastAsia="Arial" w:hAnsi="Arial"/>
                <w:sz w:val="12"/>
                <w:szCs w:val="12"/>
                <w:color w:val="auto"/>
              </w:rPr>
              <w:t>(3.8)</w:t>
            </w:r>
          </w:p>
        </w:tc>
        <w:tc>
          <w:tcPr>
            <w:tcW w:w="600" w:type="dxa"/>
            <w:vAlign w:val="bottom"/>
            <w:gridSpan w:val="2"/>
            <w:shd w:val="clear" w:color="auto" w:fill="CCFFCC"/>
          </w:tcPr>
          <w:p>
            <w:pPr>
              <w:jc w:val="right"/>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For the nine and three month periods ended January 31, 2009, revenues declined in all major market areas and in each segment of the Company, compared to the same periods of fiscal year 2008. Revenues from telecommunications customers, which are recorded in each of the Company’s operating segments, were 16% lower for the nine month period and 38% lower in the third quarter of fiscal year 2009 compared to the same periods of fiscal year 2008. The Company expects wireless telecommunication revenues to remain soft for the near term but expects an increase in wireline product sales during the fourth quarter of fiscal year 2009 based on current backlog. Revenues from satellite payloads, which are recorded in the FEI-NY segment, remained relatively constant over each of the three quarters of fiscal year 2009 but are lower by 35% and 18%, respectively, for the nine and three month periods ended January 31, 2009, compared to the same periods of fiscal year 2008. These results reflect the conclusion of certain long-term programs and the lower level of recent contract awards partially as a result of current macroeconomic conditions. With its current backlog and potential new contracts, the Company expects satellite payload revenue to continue at the current pace. For the nine and three month periods ended January 31, 2009, revenues from non-space U.S. Government customers which are recorded in the FEI-NY and FEI-Zyfer segments, were lower by 9% and 23%, respectively. This is primarily the result of temporary delays in the awarding of certain orders. The Company anticipates that revenues for this market area will be higher in the last quarter of the current fiscal year.</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80" w:type="dxa"/>
            <w:vAlign w:val="bottom"/>
            <w:gridSpan w:val="4"/>
          </w:tcPr>
          <w:p>
            <w:pPr>
              <w:jc w:val="right"/>
              <w:ind w:right="1880"/>
              <w:spacing w:after="0"/>
              <w:rPr>
                <w:sz w:val="20"/>
                <w:szCs w:val="20"/>
                <w:color w:val="auto"/>
              </w:rPr>
            </w:pPr>
            <w:r>
              <w:rPr>
                <w:rFonts w:ascii="Arial" w:cs="Arial" w:eastAsia="Arial" w:hAnsi="Arial"/>
                <w:sz w:val="12"/>
                <w:szCs w:val="12"/>
                <w:b w:val="1"/>
                <w:bCs w:val="1"/>
                <w:color w:val="auto"/>
                <w:w w:val="87"/>
              </w:rPr>
              <w:t>Gross margin</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331"/>
        </w:trPr>
        <w:tc>
          <w:tcPr>
            <w:tcW w:w="4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2"/>
                <w:szCs w:val="12"/>
                <w:color w:val="auto"/>
              </w:rPr>
              <w:t>Nine months</w:t>
            </w:r>
          </w:p>
        </w:tc>
        <w:tc>
          <w:tcPr>
            <w:tcW w:w="8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2"/>
                <w:szCs w:val="12"/>
                <w:color w:val="auto"/>
              </w:rPr>
              <w:t>Three months</w:t>
            </w:r>
          </w:p>
        </w:tc>
        <w:tc>
          <w:tcPr>
            <w:tcW w:w="9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60"/>
        </w:trPr>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700" w:type="dxa"/>
            <w:vAlign w:val="bottom"/>
            <w:gridSpan w:val="6"/>
          </w:tcPr>
          <w:p>
            <w:pPr>
              <w:jc w:val="right"/>
              <w:ind w:right="360"/>
              <w:spacing w:after="0"/>
              <w:rPr>
                <w:sz w:val="20"/>
                <w:szCs w:val="20"/>
                <w:color w:val="auto"/>
              </w:rPr>
            </w:pPr>
            <w:r>
              <w:rPr>
                <w:rFonts w:ascii="Arial" w:cs="Arial" w:eastAsia="Arial" w:hAnsi="Arial"/>
                <w:sz w:val="12"/>
                <w:szCs w:val="12"/>
                <w:color w:val="auto"/>
                <w:w w:val="92"/>
              </w:rPr>
              <w:t>Periods ended January 31,</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2"/>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2009</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2008</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Change</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2009</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2008</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Change</w:t>
            </w: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20" w:type="dxa"/>
            <w:vAlign w:val="bottom"/>
          </w:tcPr>
          <w:p>
            <w:pPr>
              <w:spacing w:after="0"/>
              <w:rPr>
                <w:sz w:val="12"/>
                <w:szCs w:val="12"/>
                <w:color w:val="auto"/>
              </w:rPr>
            </w:pPr>
          </w:p>
        </w:tc>
        <w:tc>
          <w:tcPr>
            <w:tcW w:w="2160" w:type="dxa"/>
            <w:vAlign w:val="bottom"/>
            <w:gridSpan w:val="3"/>
            <w:shd w:val="clear" w:color="auto" w:fill="CCFFCC"/>
          </w:tcPr>
          <w:p>
            <w:pPr>
              <w:jc w:val="right"/>
              <w:ind w:right="12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2"/>
                <w:szCs w:val="12"/>
                <w:color w:val="auto"/>
              </w:rPr>
              <w:t>9,365</w:t>
            </w:r>
          </w:p>
        </w:tc>
        <w:tc>
          <w:tcPr>
            <w:tcW w:w="22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15,395</w:t>
            </w:r>
          </w:p>
        </w:tc>
        <w:tc>
          <w:tcPr>
            <w:tcW w:w="340" w:type="dxa"/>
            <w:vAlign w:val="bottom"/>
            <w:shd w:val="clear" w:color="auto" w:fill="CCFFCC"/>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FFCC"/>
          </w:tcPr>
          <w:p>
            <w:pPr>
              <w:jc w:val="right"/>
              <w:ind w:right="280"/>
              <w:spacing w:after="0"/>
              <w:rPr>
                <w:sz w:val="20"/>
                <w:szCs w:val="20"/>
                <w:color w:val="auto"/>
              </w:rPr>
            </w:pPr>
            <w:r>
              <w:rPr>
                <w:rFonts w:ascii="Arial" w:cs="Arial" w:eastAsia="Arial" w:hAnsi="Arial"/>
                <w:sz w:val="12"/>
                <w:szCs w:val="12"/>
                <w:color w:val="auto"/>
              </w:rPr>
              <w:t>(6,030)</w:t>
            </w:r>
          </w:p>
        </w:tc>
        <w:tc>
          <w:tcPr>
            <w:tcW w:w="740" w:type="dxa"/>
            <w:vAlign w:val="bottom"/>
            <w:gridSpan w:val="2"/>
            <w:shd w:val="clear" w:color="auto" w:fill="CCFFCC"/>
          </w:tcPr>
          <w:p>
            <w:pPr>
              <w:jc w:val="right"/>
              <w:ind w:right="40"/>
              <w:spacing w:after="0"/>
              <w:rPr>
                <w:sz w:val="20"/>
                <w:szCs w:val="20"/>
                <w:color w:val="auto"/>
              </w:rPr>
            </w:pPr>
            <w:r>
              <w:rPr>
                <w:rFonts w:ascii="Arial" w:cs="Arial" w:eastAsia="Arial" w:hAnsi="Arial"/>
                <w:sz w:val="12"/>
                <w:szCs w:val="12"/>
                <w:color w:val="auto"/>
              </w:rPr>
              <w:t>(39%)</w:t>
            </w:r>
          </w:p>
        </w:tc>
        <w:tc>
          <w:tcPr>
            <w:tcW w:w="22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2"/>
                <w:szCs w:val="12"/>
                <w:color w:val="auto"/>
              </w:rPr>
              <w:t>3,459</w:t>
            </w:r>
          </w:p>
        </w:tc>
        <w:tc>
          <w:tcPr>
            <w:tcW w:w="2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FFCC"/>
          </w:tcPr>
          <w:p>
            <w:pPr>
              <w:jc w:val="right"/>
              <w:spacing w:after="0"/>
              <w:rPr>
                <w:sz w:val="20"/>
                <w:szCs w:val="20"/>
                <w:color w:val="auto"/>
              </w:rPr>
            </w:pPr>
            <w:r>
              <w:rPr>
                <w:rFonts w:ascii="Arial" w:cs="Arial" w:eastAsia="Arial" w:hAnsi="Arial"/>
                <w:sz w:val="12"/>
                <w:szCs w:val="12"/>
                <w:color w:val="auto"/>
              </w:rPr>
              <w:t>5,455</w:t>
            </w:r>
          </w:p>
        </w:tc>
        <w:tc>
          <w:tcPr>
            <w:tcW w:w="200" w:type="dxa"/>
            <w:vAlign w:val="bottom"/>
            <w:shd w:val="clear" w:color="auto" w:fill="CCFFCC"/>
          </w:tcPr>
          <w:p>
            <w:pPr>
              <w:spacing w:after="0"/>
              <w:rPr>
                <w:sz w:val="12"/>
                <w:szCs w:val="12"/>
                <w:color w:val="auto"/>
              </w:rPr>
            </w:pPr>
          </w:p>
        </w:tc>
        <w:tc>
          <w:tcPr>
            <w:tcW w:w="360" w:type="dxa"/>
            <w:vAlign w:val="bottom"/>
            <w:shd w:val="clear" w:color="auto" w:fill="CCFFCC"/>
          </w:tcPr>
          <w:p>
            <w:pPr>
              <w:jc w:val="right"/>
              <w:ind w:right="25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FFCC"/>
          </w:tcPr>
          <w:p>
            <w:pPr>
              <w:jc w:val="right"/>
              <w:ind w:right="440"/>
              <w:spacing w:after="0"/>
              <w:rPr>
                <w:sz w:val="20"/>
                <w:szCs w:val="20"/>
                <w:color w:val="auto"/>
              </w:rPr>
            </w:pPr>
            <w:r>
              <w:rPr>
                <w:rFonts w:ascii="Arial" w:cs="Arial" w:eastAsia="Arial" w:hAnsi="Arial"/>
                <w:sz w:val="12"/>
                <w:szCs w:val="12"/>
                <w:color w:val="auto"/>
              </w:rPr>
              <w:t>(1,996)</w:t>
            </w:r>
          </w:p>
        </w:tc>
        <w:tc>
          <w:tcPr>
            <w:tcW w:w="540" w:type="dxa"/>
            <w:vAlign w:val="bottom"/>
            <w:gridSpan w:val="2"/>
            <w:shd w:val="clear" w:color="auto" w:fill="CCFFCC"/>
          </w:tcPr>
          <w:p>
            <w:pPr>
              <w:jc w:val="right"/>
              <w:spacing w:after="0"/>
              <w:rPr>
                <w:sz w:val="20"/>
                <w:szCs w:val="20"/>
                <w:color w:val="auto"/>
              </w:rPr>
            </w:pPr>
            <w:r>
              <w:rPr>
                <w:rFonts w:ascii="Arial" w:cs="Arial" w:eastAsia="Arial" w:hAnsi="Arial"/>
                <w:sz w:val="12"/>
                <w:szCs w:val="12"/>
                <w:color w:val="auto"/>
              </w:rPr>
              <w:t>(37%)</w:t>
            </w:r>
          </w:p>
        </w:tc>
      </w:tr>
      <w:tr>
        <w:trPr>
          <w:trHeight w:val="153"/>
        </w:trPr>
        <w:tc>
          <w:tcPr>
            <w:tcW w:w="420" w:type="dxa"/>
            <w:vAlign w:val="bottom"/>
          </w:tcPr>
          <w:p>
            <w:pPr>
              <w:spacing w:after="0"/>
              <w:rPr>
                <w:sz w:val="13"/>
                <w:szCs w:val="13"/>
                <w:color w:val="auto"/>
              </w:rPr>
            </w:pPr>
          </w:p>
        </w:tc>
        <w:tc>
          <w:tcPr>
            <w:tcW w:w="2160" w:type="dxa"/>
            <w:vAlign w:val="bottom"/>
            <w:gridSpan w:val="3"/>
          </w:tcPr>
          <w:p>
            <w:pPr>
              <w:jc w:val="right"/>
              <w:ind w:right="1720"/>
              <w:spacing w:after="0"/>
              <w:rPr>
                <w:sz w:val="20"/>
                <w:szCs w:val="20"/>
                <w:color w:val="auto"/>
              </w:rPr>
            </w:pPr>
            <w:r>
              <w:rPr>
                <w:rFonts w:ascii="Arial" w:cs="Arial" w:eastAsia="Arial" w:hAnsi="Arial"/>
                <w:sz w:val="12"/>
                <w:szCs w:val="12"/>
                <w:color w:val="auto"/>
                <w:w w:val="87"/>
              </w:rPr>
              <w:t>GM Rate</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23.2%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30.7%</w:t>
            </w: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26.2%</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32.0%</w:t>
            </w: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r>
    </w:tbl>
    <w:p>
      <w:pPr>
        <w:spacing w:after="0" w:line="306"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The 39% and 37% decreases in gross margin for the nine and three months ended January 31, 2009, respectively, are due primarily to lower revenues, higher levels of engineering and manufacturing costs on certain satellite payload programs that the Company began to experience in late fiscal year 2008 and higher overhead costs. The gross margin rates of 23.2% and 26.2% for the nine and three-month periods ended January 31, 2009, respectively, also reflect the impact of recording higher reserves for slow moving inventory. Such reserve increases reduced gross margins by approximately 3.6% and 4.9%, respectively. With the completion of the challenging satellite programs in the first half of fiscal year 2009, the gross margin rate improved from 22% to 26%. The Company expects the rate to continue to improve moderately based on the future revenue mix.</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Selling and administrative expenses</w:t>
      </w:r>
    </w:p>
    <w:p>
      <w:pPr>
        <w:spacing w:after="0" w:line="190" w:lineRule="exact"/>
        <w:rPr>
          <w:sz w:val="20"/>
          <w:szCs w:val="20"/>
          <w:color w:val="auto"/>
        </w:rPr>
      </w:pPr>
    </w:p>
    <w:tbl>
      <w:tblPr>
        <w:tblLayout w:type="fixed"/>
        <w:tblInd w:w="420" w:type="dxa"/>
        <w:tblCellMar>
          <w:top w:w="0" w:type="dxa"/>
          <w:left w:w="0" w:type="dxa"/>
          <w:bottom w:w="0" w:type="dxa"/>
          <w:right w:w="0" w:type="dxa"/>
        </w:tblCellMar>
      </w:tblPr>
      <w:tr>
        <w:trPr>
          <w:trHeight w:val="153"/>
        </w:trPr>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2"/>
                <w:szCs w:val="12"/>
                <w:color w:val="auto"/>
              </w:rPr>
              <w:t>Nine months</w:t>
            </w:r>
          </w:p>
        </w:tc>
        <w:tc>
          <w:tcPr>
            <w:tcW w:w="10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2"/>
                <w:szCs w:val="12"/>
                <w:color w:val="auto"/>
              </w:rPr>
              <w:t>Three months</w:t>
            </w:r>
          </w:p>
        </w:tc>
        <w:tc>
          <w:tcPr>
            <w:tcW w:w="1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r>
      <w:tr>
        <w:trPr>
          <w:trHeight w:val="160"/>
        </w:trPr>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80" w:type="dxa"/>
            <w:vAlign w:val="bottom"/>
            <w:gridSpan w:val="4"/>
          </w:tcPr>
          <w:p>
            <w:pPr>
              <w:jc w:val="right"/>
              <w:ind w:right="120"/>
              <w:spacing w:after="0"/>
              <w:rPr>
                <w:sz w:val="20"/>
                <w:szCs w:val="20"/>
                <w:color w:val="auto"/>
              </w:rPr>
            </w:pPr>
            <w:r>
              <w:rPr>
                <w:rFonts w:ascii="Arial" w:cs="Arial" w:eastAsia="Arial" w:hAnsi="Arial"/>
                <w:sz w:val="12"/>
                <w:szCs w:val="12"/>
                <w:color w:val="auto"/>
              </w:rPr>
              <w:t>Periods ended January 31,</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2009</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rPr>
              <w:t>2008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Change</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2009</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rPr>
              <w:t>2008</w:t>
            </w: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Change</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20" w:type="dxa"/>
            <w:vAlign w:val="bottom"/>
            <w:shd w:val="clear" w:color="auto" w:fill="CCFFCC"/>
          </w:tcPr>
          <w:p>
            <w:pPr>
              <w:jc w:val="right"/>
              <w:ind w:right="11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8,797</w:t>
            </w:r>
          </w:p>
        </w:tc>
        <w:tc>
          <w:tcPr>
            <w:tcW w:w="220" w:type="dxa"/>
            <w:vAlign w:val="bottom"/>
            <w:shd w:val="clear" w:color="auto" w:fill="CCFFCC"/>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9,480</w:t>
            </w:r>
          </w:p>
        </w:tc>
        <w:tc>
          <w:tcPr>
            <w:tcW w:w="580" w:type="dxa"/>
            <w:vAlign w:val="bottom"/>
            <w:gridSpan w:val="2"/>
            <w:shd w:val="clear" w:color="auto" w:fill="CCFFCC"/>
          </w:tcPr>
          <w:p>
            <w:pPr>
              <w:jc w:val="right"/>
              <w:ind w:right="40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FFCC"/>
          </w:tcPr>
          <w:p>
            <w:pPr>
              <w:jc w:val="right"/>
              <w:ind w:right="440"/>
              <w:spacing w:after="0"/>
              <w:rPr>
                <w:sz w:val="20"/>
                <w:szCs w:val="20"/>
                <w:color w:val="auto"/>
              </w:rPr>
            </w:pPr>
            <w:r>
              <w:rPr>
                <w:rFonts w:ascii="Arial" w:cs="Arial" w:eastAsia="Arial" w:hAnsi="Arial"/>
                <w:sz w:val="12"/>
                <w:szCs w:val="12"/>
                <w:color w:val="auto"/>
              </w:rPr>
              <w:t>(683)</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(7%)</w:t>
            </w:r>
          </w:p>
        </w:tc>
        <w:tc>
          <w:tcPr>
            <w:tcW w:w="760" w:type="dxa"/>
            <w:vAlign w:val="bottom"/>
            <w:gridSpan w:val="2"/>
            <w:shd w:val="clear" w:color="auto" w:fill="CCFFCC"/>
          </w:tcPr>
          <w:p>
            <w:pPr>
              <w:jc w:val="right"/>
              <w:ind w:right="5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FFCC"/>
          </w:tcPr>
          <w:p>
            <w:pPr>
              <w:jc w:val="right"/>
              <w:spacing w:after="0"/>
              <w:rPr>
                <w:sz w:val="20"/>
                <w:szCs w:val="20"/>
                <w:color w:val="auto"/>
              </w:rPr>
            </w:pPr>
            <w:r>
              <w:rPr>
                <w:rFonts w:ascii="Arial" w:cs="Arial" w:eastAsia="Arial" w:hAnsi="Arial"/>
                <w:sz w:val="12"/>
                <w:szCs w:val="12"/>
                <w:color w:val="auto"/>
              </w:rPr>
              <w:t>2,845</w:t>
            </w:r>
          </w:p>
        </w:tc>
        <w:tc>
          <w:tcPr>
            <w:tcW w:w="460" w:type="dxa"/>
            <w:vAlign w:val="bottom"/>
            <w:gridSpan w:val="2"/>
            <w:shd w:val="clear" w:color="auto" w:fill="CCFFCC"/>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3,109</w:t>
            </w:r>
          </w:p>
        </w:tc>
        <w:tc>
          <w:tcPr>
            <w:tcW w:w="720" w:type="dxa"/>
            <w:vAlign w:val="bottom"/>
            <w:gridSpan w:val="2"/>
            <w:shd w:val="clear" w:color="auto" w:fill="CCFFCC"/>
          </w:tcPr>
          <w:p>
            <w:pPr>
              <w:jc w:val="right"/>
              <w:ind w:right="42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FFCC"/>
          </w:tcPr>
          <w:p>
            <w:pPr>
              <w:jc w:val="right"/>
              <w:ind w:right="620"/>
              <w:spacing w:after="0"/>
              <w:rPr>
                <w:sz w:val="20"/>
                <w:szCs w:val="20"/>
                <w:color w:val="auto"/>
              </w:rPr>
            </w:pPr>
            <w:r>
              <w:rPr>
                <w:rFonts w:ascii="Arial" w:cs="Arial" w:eastAsia="Arial" w:hAnsi="Arial"/>
                <w:sz w:val="12"/>
                <w:szCs w:val="12"/>
                <w:color w:val="auto"/>
              </w:rPr>
              <w:t>(264)</w:t>
            </w:r>
          </w:p>
        </w:tc>
        <w:tc>
          <w:tcPr>
            <w:tcW w:w="700" w:type="dxa"/>
            <w:vAlign w:val="bottom"/>
            <w:gridSpan w:val="2"/>
            <w:shd w:val="clear" w:color="auto" w:fill="CCFFCC"/>
          </w:tcPr>
          <w:p>
            <w:pPr>
              <w:jc w:val="right"/>
              <w:ind w:right="20"/>
              <w:spacing w:after="0"/>
              <w:rPr>
                <w:sz w:val="20"/>
                <w:szCs w:val="20"/>
                <w:color w:val="auto"/>
              </w:rPr>
            </w:pPr>
            <w:r>
              <w:rPr>
                <w:rFonts w:ascii="Arial" w:cs="Arial" w:eastAsia="Arial" w:hAnsi="Arial"/>
                <w:sz w:val="12"/>
                <w:szCs w:val="12"/>
                <w:color w:val="auto"/>
              </w:rPr>
              <w:t>(8%)</w:t>
            </w:r>
          </w:p>
        </w:tc>
      </w:tr>
    </w:tbl>
    <w:p>
      <w:pPr>
        <w:spacing w:after="0" w:line="3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For the nine and three months ended January 31, 2009, selling and administrative expenses were 21.8% and 21.5%, respectively, of consolidated revenues. This is compared to 18.9% and 18.3%, respectively, for the same periods of fiscal year 2008. The Company’s target for such expenses is not to exceed 20% of revenues but this ratio was not achieved in the fiscal year 2009 periods primarily due to a lower level of revenues. Selling and administrative expenses declined in the fiscal year 2009 periods due to decreases in personnel costs including reduced incentive compensation and decreased employee benefits resulting from a reduction in personnel. For the balance of fiscal year 2009, the Company expects selling and administrative expenses to be incurred at approximately the same level.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13" w:name="page14"/>
    <w:bookmarkEnd w:id="13"/>
    <w:p>
      <w:pPr>
        <w:jc w:val="center"/>
        <w:ind w:right="500"/>
        <w:spacing w:after="0"/>
        <w:rPr>
          <w:sz w:val="20"/>
          <w:szCs w:val="20"/>
          <w:color w:val="auto"/>
        </w:rPr>
      </w:pPr>
      <w:r>
        <w:rPr>
          <w:rFonts w:ascii="Arial" w:cs="Arial" w:eastAsia="Arial" w:hAnsi="Arial"/>
          <w:sz w:val="12"/>
          <w:szCs w:val="12"/>
          <w:color w:val="auto"/>
        </w:rPr>
        <w:t>FREQUENCY ELECTRONICS, INC. and SUBSIDIARIES</w:t>
      </w:r>
    </w:p>
    <w:p>
      <w:pPr>
        <w:spacing w:after="0" w:line="15" w:lineRule="exact"/>
        <w:rPr>
          <w:sz w:val="20"/>
          <w:szCs w:val="20"/>
          <w:color w:val="auto"/>
        </w:rPr>
      </w:pPr>
    </w:p>
    <w:p>
      <w:pPr>
        <w:jc w:val="center"/>
        <w:ind w:right="500"/>
        <w:spacing w:after="0"/>
        <w:rPr>
          <w:sz w:val="20"/>
          <w:szCs w:val="20"/>
          <w:color w:val="auto"/>
        </w:rPr>
      </w:pPr>
      <w:r>
        <w:rPr>
          <w:rFonts w:ascii="Arial" w:cs="Arial" w:eastAsia="Arial" w:hAnsi="Arial"/>
          <w:sz w:val="12"/>
          <w:szCs w:val="12"/>
          <w:color w:val="auto"/>
        </w:rPr>
        <w:t>(Continued)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900" w:type="dxa"/>
            <w:vAlign w:val="bottom"/>
            <w:gridSpan w:val="6"/>
          </w:tcPr>
          <w:p>
            <w:pPr>
              <w:jc w:val="center"/>
              <w:ind w:right="100"/>
              <w:spacing w:after="0"/>
              <w:rPr>
                <w:sz w:val="20"/>
                <w:szCs w:val="20"/>
                <w:color w:val="auto"/>
              </w:rPr>
            </w:pPr>
            <w:r>
              <w:rPr>
                <w:rFonts w:ascii="Arial" w:cs="Arial" w:eastAsia="Arial" w:hAnsi="Arial"/>
                <w:sz w:val="12"/>
                <w:szCs w:val="12"/>
                <w:b w:val="1"/>
                <w:bCs w:val="1"/>
                <w:color w:val="auto"/>
                <w:w w:val="86"/>
              </w:rPr>
              <w:t>Research and development expense</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331"/>
        </w:trPr>
        <w:tc>
          <w:tcPr>
            <w:tcW w:w="420" w:type="dxa"/>
            <w:vAlign w:val="bottom"/>
            <w:tcBorders>
              <w:top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2"/>
                <w:szCs w:val="12"/>
                <w:color w:val="auto"/>
              </w:rPr>
              <w:t>Nine months</w:t>
            </w:r>
          </w:p>
        </w:tc>
        <w:tc>
          <w:tcPr>
            <w:tcW w:w="1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2"/>
                <w:szCs w:val="12"/>
                <w:color w:val="auto"/>
              </w:rPr>
              <w:t>Three months</w:t>
            </w:r>
          </w:p>
        </w:tc>
        <w:tc>
          <w:tcPr>
            <w:tcW w:w="1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60"/>
        </w:trPr>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20" w:type="dxa"/>
            <w:vAlign w:val="bottom"/>
            <w:gridSpan w:val="4"/>
          </w:tcPr>
          <w:p>
            <w:pPr>
              <w:jc w:val="right"/>
              <w:ind w:right="140"/>
              <w:spacing w:after="0"/>
              <w:rPr>
                <w:sz w:val="20"/>
                <w:szCs w:val="20"/>
                <w:color w:val="auto"/>
              </w:rPr>
            </w:pPr>
            <w:r>
              <w:rPr>
                <w:rFonts w:ascii="Arial" w:cs="Arial" w:eastAsia="Arial" w:hAnsi="Arial"/>
                <w:sz w:val="12"/>
                <w:szCs w:val="12"/>
                <w:color w:val="auto"/>
              </w:rPr>
              <w:t>Periods ended January 31,</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rPr>
              <w:t>2009</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rPr>
              <w:t>2008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Change</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2009</w:t>
            </w: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rPr>
              <w:t>2008</w:t>
            </w:r>
          </w:p>
        </w:tc>
        <w:tc>
          <w:tcPr>
            <w:tcW w:w="2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Change</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20" w:type="dxa"/>
            <w:vAlign w:val="bottom"/>
          </w:tcPr>
          <w:p>
            <w:pPr>
              <w:spacing w:after="0"/>
              <w:rPr>
                <w:sz w:val="12"/>
                <w:szCs w:val="12"/>
                <w:color w:val="auto"/>
              </w:rPr>
            </w:pPr>
          </w:p>
        </w:tc>
        <w:tc>
          <w:tcPr>
            <w:tcW w:w="220" w:type="dxa"/>
            <w:vAlign w:val="bottom"/>
            <w:shd w:val="clear" w:color="auto" w:fill="CCFFCC"/>
          </w:tcPr>
          <w:p>
            <w:pPr>
              <w:jc w:val="right"/>
              <w:ind w:right="11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3,068</w:t>
            </w:r>
          </w:p>
        </w:tc>
        <w:tc>
          <w:tcPr>
            <w:tcW w:w="160" w:type="dxa"/>
            <w:vAlign w:val="bottom"/>
            <w:shd w:val="clear" w:color="auto" w:fill="CCFFCC"/>
          </w:tcPr>
          <w:p>
            <w:pPr>
              <w:jc w:val="right"/>
              <w:ind w:right="50"/>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5,526</w:t>
            </w:r>
          </w:p>
        </w:tc>
        <w:tc>
          <w:tcPr>
            <w:tcW w:w="540" w:type="dxa"/>
            <w:vAlign w:val="bottom"/>
            <w:gridSpan w:val="2"/>
            <w:shd w:val="clear" w:color="auto" w:fill="CCFFCC"/>
          </w:tcPr>
          <w:p>
            <w:pPr>
              <w:jc w:val="right"/>
              <w:ind w:right="36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FFCC"/>
          </w:tcPr>
          <w:p>
            <w:pPr>
              <w:jc w:val="right"/>
              <w:ind w:right="440"/>
              <w:spacing w:after="0"/>
              <w:rPr>
                <w:sz w:val="20"/>
                <w:szCs w:val="20"/>
                <w:color w:val="auto"/>
              </w:rPr>
            </w:pPr>
            <w:r>
              <w:rPr>
                <w:rFonts w:ascii="Arial" w:cs="Arial" w:eastAsia="Arial" w:hAnsi="Arial"/>
                <w:sz w:val="12"/>
                <w:szCs w:val="12"/>
                <w:color w:val="auto"/>
              </w:rPr>
              <w:t>(2,458)</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(44%)</w:t>
            </w:r>
          </w:p>
        </w:tc>
        <w:tc>
          <w:tcPr>
            <w:tcW w:w="800" w:type="dxa"/>
            <w:vAlign w:val="bottom"/>
            <w:gridSpan w:val="2"/>
            <w:shd w:val="clear" w:color="auto" w:fill="CCFFCC"/>
          </w:tcPr>
          <w:p>
            <w:pPr>
              <w:jc w:val="right"/>
              <w:ind w:right="60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829</w:t>
            </w:r>
          </w:p>
        </w:tc>
        <w:tc>
          <w:tcPr>
            <w:tcW w:w="340" w:type="dxa"/>
            <w:vAlign w:val="bottom"/>
            <w:gridSpan w:val="2"/>
            <w:shd w:val="clear" w:color="auto" w:fill="CCFFCC"/>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1,541</w:t>
            </w:r>
          </w:p>
        </w:tc>
        <w:tc>
          <w:tcPr>
            <w:tcW w:w="740" w:type="dxa"/>
            <w:vAlign w:val="bottom"/>
            <w:gridSpan w:val="2"/>
            <w:shd w:val="clear" w:color="auto" w:fill="CCFFCC"/>
          </w:tcPr>
          <w:p>
            <w:pPr>
              <w:jc w:val="right"/>
              <w:ind w:right="44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FFCC"/>
          </w:tcPr>
          <w:p>
            <w:pPr>
              <w:jc w:val="right"/>
              <w:ind w:right="600"/>
              <w:spacing w:after="0"/>
              <w:rPr>
                <w:sz w:val="20"/>
                <w:szCs w:val="20"/>
                <w:color w:val="auto"/>
              </w:rPr>
            </w:pPr>
            <w:r>
              <w:rPr>
                <w:rFonts w:ascii="Arial" w:cs="Arial" w:eastAsia="Arial" w:hAnsi="Arial"/>
                <w:sz w:val="12"/>
                <w:szCs w:val="12"/>
                <w:color w:val="auto"/>
              </w:rPr>
              <w:t>(712)</w:t>
            </w:r>
          </w:p>
        </w:tc>
        <w:tc>
          <w:tcPr>
            <w:tcW w:w="720" w:type="dxa"/>
            <w:vAlign w:val="bottom"/>
            <w:gridSpan w:val="2"/>
            <w:shd w:val="clear" w:color="auto" w:fill="CCFFCC"/>
          </w:tcPr>
          <w:p>
            <w:pPr>
              <w:jc w:val="right"/>
              <w:ind w:right="20"/>
              <w:spacing w:after="0"/>
              <w:rPr>
                <w:sz w:val="20"/>
                <w:szCs w:val="20"/>
                <w:color w:val="auto"/>
              </w:rPr>
            </w:pPr>
            <w:r>
              <w:rPr>
                <w:rFonts w:ascii="Arial" w:cs="Arial" w:eastAsia="Arial" w:hAnsi="Arial"/>
                <w:sz w:val="12"/>
                <w:szCs w:val="12"/>
                <w:color w:val="auto"/>
              </w:rPr>
              <w:t>(46%)</w:t>
            </w:r>
          </w:p>
        </w:tc>
      </w:tr>
    </w:tbl>
    <w:p>
      <w:pPr>
        <w:spacing w:after="0" w:line="153" w:lineRule="exact"/>
        <w:rPr>
          <w:sz w:val="20"/>
          <w:szCs w:val="20"/>
          <w:color w:val="auto"/>
        </w:rPr>
      </w:pPr>
    </w:p>
    <w:p>
      <w:pPr>
        <w:jc w:val="both"/>
        <w:ind w:right="60" w:firstLine="432"/>
        <w:spacing w:after="0" w:line="254" w:lineRule="auto"/>
        <w:rPr>
          <w:sz w:val="20"/>
          <w:szCs w:val="20"/>
          <w:color w:val="auto"/>
        </w:rPr>
      </w:pPr>
      <w:r>
        <w:rPr>
          <w:rFonts w:ascii="Arial" w:cs="Arial" w:eastAsia="Arial" w:hAnsi="Arial"/>
          <w:sz w:val="12"/>
          <w:szCs w:val="12"/>
          <w:color w:val="auto"/>
        </w:rPr>
        <w:t>Research and development expenditures represent investments that keep the Company’s products at the leading edge of time and frequency technology and enhance competitiveness for future revenues. Research and development spending for the nine and three-month periods ended January 31, 2009, was 7.6% and 6.3% of revenues, respectively, compared to 11.0% and 9.0% of revenues for the same periods of fiscal year 2008, respectively. The decreased spending in fiscal year 2009 is a result of many of the Company’s development resources being applied to certain cost-plus-fee satellite payload programs. As a consequence, some of the Company’s development expenditures will be customer-funded and the costs will appear in cost of revenues, thus reducing the level of internal research and development spending. In the nine and three-month periods ended January 31, 2008, the Company incurred exceptional levels of engineering spending and development work on its satellite payload products. This effort abated throughout fiscal year 2008. The Company targets research and development spending at approximately 10% of revenues, but the rate of spending can increase or decrease from quarter to quarter as new projects are identified and others are concluded. The number of such projects, their size and duration can vary widely depending on the intermediate and long-term needs of the Company. The Company expects to continue to devote significant resources to develop new products, enhance existing products and implement efficient manufacturing processes. Internally generated cash and cash reserves are adequate to fund these development efforts.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Operating (Loss) Income</w:t>
      </w:r>
    </w:p>
    <w:p>
      <w:pPr>
        <w:spacing w:after="0" w:line="190" w:lineRule="exact"/>
        <w:rPr>
          <w:sz w:val="20"/>
          <w:szCs w:val="20"/>
          <w:color w:val="auto"/>
        </w:rPr>
      </w:pPr>
    </w:p>
    <w:tbl>
      <w:tblPr>
        <w:tblLayout w:type="fixed"/>
        <w:tblInd w:w="420" w:type="dxa"/>
        <w:tblCellMar>
          <w:top w:w="0" w:type="dxa"/>
          <w:left w:w="0" w:type="dxa"/>
          <w:bottom w:w="0" w:type="dxa"/>
          <w:right w:w="0" w:type="dxa"/>
        </w:tblCellMar>
      </w:tblPr>
      <w:tr>
        <w:trPr>
          <w:trHeight w:val="153"/>
        </w:trPr>
        <w:tc>
          <w:tcPr>
            <w:tcW w:w="8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right"/>
              <w:ind w:right="900"/>
              <w:spacing w:after="0"/>
              <w:rPr>
                <w:sz w:val="20"/>
                <w:szCs w:val="20"/>
                <w:color w:val="auto"/>
              </w:rPr>
            </w:pPr>
            <w:r>
              <w:rPr>
                <w:rFonts w:ascii="Arial" w:cs="Arial" w:eastAsia="Arial" w:hAnsi="Arial"/>
                <w:sz w:val="12"/>
                <w:szCs w:val="12"/>
                <w:color w:val="auto"/>
                <w:w w:val="94"/>
              </w:rPr>
              <w:t>Nine month</w:t>
            </w:r>
          </w:p>
        </w:tc>
        <w:tc>
          <w:tcPr>
            <w:tcW w:w="6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color w:val="auto"/>
              </w:rPr>
              <w:t>Three months</w:t>
            </w:r>
          </w:p>
        </w:tc>
      </w:tr>
      <w:tr>
        <w:trPr>
          <w:trHeight w:val="160"/>
        </w:trPr>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60" w:type="dxa"/>
            <w:vAlign w:val="bottom"/>
            <w:gridSpan w:val="3"/>
          </w:tcPr>
          <w:p>
            <w:pPr>
              <w:ind w:left="240"/>
              <w:spacing w:after="0"/>
              <w:rPr>
                <w:sz w:val="20"/>
                <w:szCs w:val="20"/>
                <w:color w:val="auto"/>
              </w:rPr>
            </w:pPr>
            <w:r>
              <w:rPr>
                <w:rFonts w:ascii="Arial" w:cs="Arial" w:eastAsia="Arial" w:hAnsi="Arial"/>
                <w:sz w:val="12"/>
                <w:szCs w:val="12"/>
                <w:color w:val="auto"/>
                <w:w w:val="97"/>
              </w:rPr>
              <w:t>Periods ended January 31,</w:t>
            </w: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2"/>
        </w:trPr>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2009</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2008</w:t>
            </w:r>
          </w:p>
        </w:tc>
        <w:tc>
          <w:tcPr>
            <w:tcW w:w="9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rPr>
              <w:t>Change</w:t>
            </w:r>
          </w:p>
        </w:tc>
        <w:tc>
          <w:tcPr>
            <w:tcW w:w="460" w:type="dxa"/>
            <w:vAlign w:val="bottom"/>
            <w:tcBorders>
              <w:bottom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2009</w:t>
            </w: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2"/>
                <w:szCs w:val="12"/>
                <w:color w:val="auto"/>
              </w:rPr>
              <w:t>2008</w:t>
            </w:r>
          </w:p>
        </w:tc>
        <w:tc>
          <w:tcPr>
            <w:tcW w:w="820" w:type="dxa"/>
            <w:vAlign w:val="bottom"/>
          </w:tcPr>
          <w:p>
            <w:pPr>
              <w:spacing w:after="0"/>
              <w:rPr>
                <w:sz w:val="14"/>
                <w:szCs w:val="14"/>
                <w:color w:val="auto"/>
              </w:rPr>
            </w:pPr>
          </w:p>
        </w:tc>
      </w:tr>
      <w:tr>
        <w:trPr>
          <w:trHeight w:val="142"/>
        </w:trPr>
        <w:tc>
          <w:tcPr>
            <w:tcW w:w="840" w:type="dxa"/>
            <w:vAlign w:val="bottom"/>
            <w:shd w:val="clear" w:color="auto" w:fill="CCFFCC"/>
          </w:tcPr>
          <w:p>
            <w:pPr>
              <w:jc w:val="right"/>
              <w:ind w:right="28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(2,500</w:t>
            </w:r>
          </w:p>
        </w:tc>
        <w:tc>
          <w:tcPr>
            <w:tcW w:w="740" w:type="dxa"/>
            <w:vAlign w:val="bottom"/>
            <w:shd w:val="clear" w:color="auto" w:fill="CCFFCC"/>
          </w:tcPr>
          <w:p>
            <w:pPr>
              <w:jc w:val="right"/>
              <w:ind w:right="4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FFCC"/>
          </w:tcPr>
          <w:p>
            <w:pPr>
              <w:jc w:val="right"/>
              <w:spacing w:after="0"/>
              <w:rPr>
                <w:sz w:val="20"/>
                <w:szCs w:val="20"/>
                <w:color w:val="auto"/>
              </w:rPr>
            </w:pPr>
            <w:r>
              <w:rPr>
                <w:rFonts w:ascii="Arial" w:cs="Arial" w:eastAsia="Arial" w:hAnsi="Arial"/>
                <w:sz w:val="12"/>
                <w:szCs w:val="12"/>
                <w:color w:val="auto"/>
              </w:rPr>
              <w:t>$</w:t>
            </w:r>
          </w:p>
        </w:tc>
        <w:tc>
          <w:tcPr>
            <w:tcW w:w="1500" w:type="dxa"/>
            <w:vAlign w:val="bottom"/>
            <w:gridSpan w:val="2"/>
            <w:shd w:val="clear" w:color="auto" w:fill="CCFFCC"/>
          </w:tcPr>
          <w:p>
            <w:pPr>
              <w:jc w:val="right"/>
              <w:ind w:right="940"/>
              <w:spacing w:after="0"/>
              <w:rPr>
                <w:sz w:val="20"/>
                <w:szCs w:val="20"/>
                <w:color w:val="auto"/>
              </w:rPr>
            </w:pPr>
            <w:r>
              <w:rPr>
                <w:rFonts w:ascii="Arial" w:cs="Arial" w:eastAsia="Arial" w:hAnsi="Arial"/>
                <w:sz w:val="12"/>
                <w:szCs w:val="12"/>
                <w:color w:val="auto"/>
              </w:rPr>
              <w:t>389</w:t>
            </w:r>
          </w:p>
        </w:tc>
        <w:tc>
          <w:tcPr>
            <w:tcW w:w="620" w:type="dxa"/>
            <w:vAlign w:val="bottom"/>
            <w:shd w:val="clear" w:color="auto" w:fill="CCFFCC"/>
          </w:tcPr>
          <w:p>
            <w:pPr>
              <w:jc w:val="right"/>
              <w:ind w:right="6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FFCC"/>
          </w:tcPr>
          <w:p>
            <w:pPr>
              <w:jc w:val="right"/>
              <w:ind w:right="160"/>
              <w:spacing w:after="0"/>
              <w:rPr>
                <w:sz w:val="20"/>
                <w:szCs w:val="20"/>
                <w:color w:val="auto"/>
              </w:rPr>
            </w:pPr>
            <w:r>
              <w:rPr>
                <w:rFonts w:ascii="Arial" w:cs="Arial" w:eastAsia="Arial" w:hAnsi="Arial"/>
                <w:sz w:val="12"/>
                <w:szCs w:val="12"/>
                <w:color w:val="auto"/>
              </w:rPr>
              <w:t>(2,889</w:t>
            </w:r>
          </w:p>
        </w:tc>
        <w:tc>
          <w:tcPr>
            <w:tcW w:w="1660" w:type="dxa"/>
            <w:vAlign w:val="bottom"/>
            <w:gridSpan w:val="3"/>
            <w:shd w:val="clear" w:color="auto" w:fill="CCFFCC"/>
          </w:tcPr>
          <w:p>
            <w:pPr>
              <w:ind w:left="220"/>
              <w:spacing w:after="0"/>
              <w:rPr>
                <w:sz w:val="20"/>
                <w:szCs w:val="20"/>
                <w:color w:val="auto"/>
              </w:rPr>
            </w:pPr>
            <w:r>
              <w:rPr>
                <w:rFonts w:ascii="Arial" w:cs="Arial" w:eastAsia="Arial" w:hAnsi="Arial"/>
                <w:sz w:val="12"/>
                <w:szCs w:val="12"/>
                <w:color w:val="auto"/>
              </w:rPr>
              <w:t>)NM</w:t>
            </w:r>
          </w:p>
        </w:tc>
        <w:tc>
          <w:tcPr>
            <w:tcW w:w="540" w:type="dxa"/>
            <w:vAlign w:val="bottom"/>
            <w:shd w:val="clear" w:color="auto" w:fill="CCFFCC"/>
          </w:tcPr>
          <w:p>
            <w:pPr>
              <w:ind w:left="16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(215</w:t>
            </w:r>
          </w:p>
        </w:tc>
        <w:tc>
          <w:tcPr>
            <w:tcW w:w="740" w:type="dxa"/>
            <w:vAlign w:val="bottom"/>
            <w:shd w:val="clear" w:color="auto" w:fill="CCFFCC"/>
          </w:tcPr>
          <w:p>
            <w:pPr>
              <w:jc w:val="right"/>
              <w:ind w:right="42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FFCC"/>
          </w:tcPr>
          <w:p>
            <w:pPr>
              <w:jc w:val="right"/>
              <w:ind w:right="820"/>
              <w:spacing w:after="0"/>
              <w:rPr>
                <w:sz w:val="20"/>
                <w:szCs w:val="20"/>
                <w:color w:val="auto"/>
              </w:rPr>
            </w:pPr>
            <w:r>
              <w:rPr>
                <w:rFonts w:ascii="Arial" w:cs="Arial" w:eastAsia="Arial" w:hAnsi="Arial"/>
                <w:sz w:val="12"/>
                <w:szCs w:val="12"/>
                <w:color w:val="auto"/>
              </w:rPr>
              <w:t>805</w:t>
            </w:r>
          </w:p>
        </w:tc>
      </w:tr>
    </w:tbl>
    <w:p>
      <w:pPr>
        <w:spacing w:after="0" w:line="315"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2"/>
          <w:szCs w:val="12"/>
          <w:color w:val="auto"/>
        </w:rPr>
        <w:t>Lower revenues, the higher level of engineering and manufacturing effort related to satellite payload programs during the first half of the year, higher overhead costs and recording a higher level of inventory reserves resulted in operating losses for the nine and three-month periods ended January 31, 2009, compared to the same periods of fiscal year 2008. Although fiscal year 2009 revenues have been relatively flat during the year, the operating loss in the third quarter has decreased significantly from the first half of the year as the Company has made adjustments to the lower level of business. The Company anticipates that the combination of cost reductions and improving revenues will enable it to generate an operating profit in the last quarter of fiscal year 2009.</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40" w:type="dxa"/>
            <w:vAlign w:val="bottom"/>
            <w:gridSpan w:val="2"/>
          </w:tcPr>
          <w:p>
            <w:pPr>
              <w:spacing w:after="0"/>
              <w:rPr>
                <w:sz w:val="20"/>
                <w:szCs w:val="20"/>
                <w:color w:val="auto"/>
              </w:rPr>
            </w:pPr>
            <w:r>
              <w:rPr>
                <w:rFonts w:ascii="Arial" w:cs="Arial" w:eastAsia="Arial" w:hAnsi="Arial"/>
                <w:sz w:val="12"/>
                <w:szCs w:val="12"/>
                <w:b w:val="1"/>
                <w:bCs w:val="1"/>
                <w:color w:val="auto"/>
              </w:rPr>
              <w:t>Other income (expense)</w:t>
            </w: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313"/>
        </w:trPr>
        <w:tc>
          <w:tcPr>
            <w:tcW w:w="12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2"/>
                <w:szCs w:val="12"/>
                <w:color w:val="auto"/>
              </w:rPr>
              <w:t>Nine months</w:t>
            </w:r>
          </w:p>
        </w:tc>
        <w:tc>
          <w:tcPr>
            <w:tcW w:w="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2"/>
                <w:szCs w:val="12"/>
                <w:color w:val="auto"/>
              </w:rPr>
              <w:t>Three months</w:t>
            </w:r>
          </w:p>
        </w:tc>
        <w:tc>
          <w:tcPr>
            <w:tcW w:w="4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33"/>
        </w:trPr>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60" w:type="dxa"/>
            <w:vAlign w:val="bottom"/>
            <w:gridSpan w:val="4"/>
          </w:tcPr>
          <w:p>
            <w:pPr>
              <w:jc w:val="right"/>
              <w:ind w:right="20"/>
              <w:spacing w:after="0" w:line="133" w:lineRule="exact"/>
              <w:rPr>
                <w:sz w:val="20"/>
                <w:szCs w:val="20"/>
                <w:color w:val="auto"/>
              </w:rPr>
            </w:pPr>
            <w:r>
              <w:rPr>
                <w:rFonts w:ascii="Arial" w:cs="Arial" w:eastAsia="Arial" w:hAnsi="Arial"/>
                <w:sz w:val="12"/>
                <w:szCs w:val="12"/>
                <w:color w:val="auto"/>
                <w:w w:val="94"/>
              </w:rPr>
              <w:t>Periods ended January 31,</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53"/>
        </w:trPr>
        <w:tc>
          <w:tcPr>
            <w:tcW w:w="1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2009</w:t>
            </w:r>
          </w:p>
        </w:tc>
        <w:tc>
          <w:tcPr>
            <w:tcW w:w="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2008</w:t>
            </w:r>
          </w:p>
        </w:tc>
        <w:tc>
          <w:tcPr>
            <w:tcW w:w="2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Change</w:t>
            </w:r>
          </w:p>
        </w:tc>
        <w:tc>
          <w:tcPr>
            <w:tcW w:w="6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2009</w:t>
            </w:r>
          </w:p>
        </w:tc>
        <w:tc>
          <w:tcPr>
            <w:tcW w:w="2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2008</w:t>
            </w:r>
          </w:p>
        </w:tc>
        <w:tc>
          <w:tcPr>
            <w:tcW w:w="2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Change</w:t>
            </w:r>
          </w:p>
        </w:tc>
        <w:tc>
          <w:tcPr>
            <w:tcW w:w="4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42"/>
        </w:trPr>
        <w:tc>
          <w:tcPr>
            <w:tcW w:w="1640" w:type="dxa"/>
            <w:vAlign w:val="bottom"/>
            <w:gridSpan w:val="2"/>
            <w:shd w:val="clear" w:color="auto" w:fill="CCFFCC"/>
          </w:tcPr>
          <w:p>
            <w:pPr>
              <w:spacing w:after="0"/>
              <w:rPr>
                <w:sz w:val="20"/>
                <w:szCs w:val="20"/>
                <w:color w:val="auto"/>
              </w:rPr>
            </w:pPr>
            <w:r>
              <w:rPr>
                <w:rFonts w:ascii="Arial" w:cs="Arial" w:eastAsia="Arial" w:hAnsi="Arial"/>
                <w:sz w:val="12"/>
                <w:szCs w:val="12"/>
                <w:color w:val="auto"/>
              </w:rPr>
              <w:t>Investment income</w:t>
            </w:r>
          </w:p>
        </w:tc>
        <w:tc>
          <w:tcPr>
            <w:tcW w:w="960" w:type="dxa"/>
            <w:vAlign w:val="bottom"/>
            <w:gridSpan w:val="2"/>
            <w:shd w:val="clear" w:color="auto" w:fill="CCFFCC"/>
          </w:tcPr>
          <w:p>
            <w:pPr>
              <w:jc w:val="right"/>
              <w:ind w:right="42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526</w:t>
            </w:r>
          </w:p>
        </w:tc>
        <w:tc>
          <w:tcPr>
            <w:tcW w:w="26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2"/>
                <w:szCs w:val="12"/>
                <w:color w:val="auto"/>
              </w:rPr>
              <w:t>3,965</w:t>
            </w:r>
          </w:p>
        </w:tc>
        <w:tc>
          <w:tcPr>
            <w:tcW w:w="200" w:type="dxa"/>
            <w:vAlign w:val="bottom"/>
            <w:shd w:val="clear" w:color="auto" w:fill="CCFFCC"/>
          </w:tcPr>
          <w:p>
            <w:pPr>
              <w:spacing w:after="0"/>
              <w:rPr>
                <w:sz w:val="12"/>
                <w:szCs w:val="12"/>
                <w:color w:val="auto"/>
              </w:rPr>
            </w:pPr>
          </w:p>
        </w:tc>
        <w:tc>
          <w:tcPr>
            <w:tcW w:w="360" w:type="dxa"/>
            <w:vAlign w:val="bottom"/>
            <w:shd w:val="clear" w:color="auto" w:fill="CCFFCC"/>
          </w:tcPr>
          <w:p>
            <w:pPr>
              <w:jc w:val="right"/>
              <w:ind w:right="25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FFCC"/>
          </w:tcPr>
          <w:p>
            <w:pPr>
              <w:jc w:val="right"/>
              <w:ind w:right="360"/>
              <w:spacing w:after="0"/>
              <w:rPr>
                <w:sz w:val="20"/>
                <w:szCs w:val="20"/>
                <w:color w:val="auto"/>
              </w:rPr>
            </w:pPr>
            <w:r>
              <w:rPr>
                <w:rFonts w:ascii="Arial" w:cs="Arial" w:eastAsia="Arial" w:hAnsi="Arial"/>
                <w:sz w:val="12"/>
                <w:szCs w:val="12"/>
                <w:color w:val="auto"/>
              </w:rPr>
              <w:t>(3,439)</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(87%)</w:t>
            </w:r>
          </w:p>
        </w:tc>
        <w:tc>
          <w:tcPr>
            <w:tcW w:w="640" w:type="dxa"/>
            <w:vAlign w:val="bottom"/>
            <w:gridSpan w:val="2"/>
            <w:shd w:val="clear" w:color="auto" w:fill="CCFFCC"/>
          </w:tcPr>
          <w:p>
            <w:pPr>
              <w:jc w:val="right"/>
              <w:ind w:right="440"/>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159</w:t>
            </w:r>
          </w:p>
        </w:tc>
        <w:tc>
          <w:tcPr>
            <w:tcW w:w="160" w:type="dxa"/>
            <w:vAlign w:val="bottom"/>
            <w:shd w:val="clear" w:color="auto" w:fill="CCFFCC"/>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2"/>
                <w:szCs w:val="12"/>
                <w:color w:val="auto"/>
              </w:rPr>
              <w:t>202</w:t>
            </w:r>
          </w:p>
        </w:tc>
        <w:tc>
          <w:tcPr>
            <w:tcW w:w="200" w:type="dxa"/>
            <w:vAlign w:val="bottom"/>
            <w:shd w:val="clear" w:color="auto" w:fill="CCFFCC"/>
          </w:tcPr>
          <w:p>
            <w:pPr>
              <w:spacing w:after="0"/>
              <w:rPr>
                <w:sz w:val="12"/>
                <w:szCs w:val="12"/>
                <w:color w:val="auto"/>
              </w:rPr>
            </w:pPr>
          </w:p>
        </w:tc>
        <w:tc>
          <w:tcPr>
            <w:tcW w:w="400" w:type="dxa"/>
            <w:vAlign w:val="bottom"/>
            <w:shd w:val="clear" w:color="auto" w:fill="CCFFCC"/>
          </w:tcPr>
          <w:p>
            <w:pPr>
              <w:jc w:val="right"/>
              <w:ind w:right="29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FFCC"/>
          </w:tcPr>
          <w:p>
            <w:pPr>
              <w:jc w:val="right"/>
              <w:ind w:right="520"/>
              <w:spacing w:after="0"/>
              <w:rPr>
                <w:sz w:val="20"/>
                <w:szCs w:val="20"/>
                <w:color w:val="auto"/>
              </w:rPr>
            </w:pPr>
            <w:r>
              <w:rPr>
                <w:rFonts w:ascii="Arial" w:cs="Arial" w:eastAsia="Arial" w:hAnsi="Arial"/>
                <w:sz w:val="12"/>
                <w:szCs w:val="12"/>
                <w:color w:val="auto"/>
              </w:rPr>
              <w:t>(43)</w:t>
            </w:r>
          </w:p>
        </w:tc>
        <w:tc>
          <w:tcPr>
            <w:tcW w:w="580" w:type="dxa"/>
            <w:vAlign w:val="bottom"/>
            <w:gridSpan w:val="2"/>
            <w:shd w:val="clear" w:color="auto" w:fill="CCFFCC"/>
          </w:tcPr>
          <w:p>
            <w:pPr>
              <w:jc w:val="right"/>
              <w:spacing w:after="0"/>
              <w:rPr>
                <w:sz w:val="20"/>
                <w:szCs w:val="20"/>
                <w:color w:val="auto"/>
              </w:rPr>
            </w:pPr>
            <w:r>
              <w:rPr>
                <w:rFonts w:ascii="Arial" w:cs="Arial" w:eastAsia="Arial" w:hAnsi="Arial"/>
                <w:sz w:val="12"/>
                <w:szCs w:val="12"/>
                <w:color w:val="auto"/>
              </w:rPr>
              <w:t>(21%)</w:t>
            </w:r>
          </w:p>
        </w:tc>
      </w:tr>
      <w:tr>
        <w:trPr>
          <w:trHeight w:val="144"/>
        </w:trPr>
        <w:tc>
          <w:tcPr>
            <w:tcW w:w="1640" w:type="dxa"/>
            <w:vAlign w:val="bottom"/>
            <w:gridSpan w:val="2"/>
          </w:tcPr>
          <w:p>
            <w:pPr>
              <w:spacing w:after="0"/>
              <w:rPr>
                <w:sz w:val="20"/>
                <w:szCs w:val="20"/>
                <w:color w:val="auto"/>
              </w:rPr>
            </w:pPr>
            <w:r>
              <w:rPr>
                <w:rFonts w:ascii="Arial" w:cs="Arial" w:eastAsia="Arial" w:hAnsi="Arial"/>
                <w:sz w:val="12"/>
                <w:szCs w:val="12"/>
                <w:color w:val="auto"/>
              </w:rPr>
              <w:t>Equity (loss) income</w:t>
            </w: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2"/>
                <w:szCs w:val="12"/>
                <w:color w:val="auto"/>
                <w:w w:val="92"/>
              </w:rPr>
              <w:t>(100)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(17)</w:t>
            </w:r>
          </w:p>
        </w:tc>
        <w:tc>
          <w:tcPr>
            <w:tcW w:w="360" w:type="dxa"/>
            <w:vAlign w:val="bottom"/>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2"/>
                <w:szCs w:val="12"/>
                <w:color w:val="auto"/>
              </w:rPr>
              <w:t>(83)</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(488%)</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2"/>
                <w:szCs w:val="12"/>
                <w:color w:val="auto"/>
              </w:rPr>
              <w:t>208</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128</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2"/>
                <w:szCs w:val="12"/>
                <w:color w:val="auto"/>
              </w:rPr>
              <w:t>80</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62%</w:t>
            </w:r>
          </w:p>
        </w:tc>
      </w:tr>
      <w:tr>
        <w:trPr>
          <w:trHeight w:val="144"/>
        </w:trPr>
        <w:tc>
          <w:tcPr>
            <w:tcW w:w="1640" w:type="dxa"/>
            <w:vAlign w:val="bottom"/>
            <w:gridSpan w:val="2"/>
            <w:shd w:val="clear" w:color="auto" w:fill="CCFFCC"/>
          </w:tcPr>
          <w:p>
            <w:pPr>
              <w:spacing w:after="0"/>
              <w:rPr>
                <w:sz w:val="20"/>
                <w:szCs w:val="20"/>
                <w:color w:val="auto"/>
              </w:rPr>
            </w:pPr>
            <w:r>
              <w:rPr>
                <w:rFonts w:ascii="Arial" w:cs="Arial" w:eastAsia="Arial" w:hAnsi="Arial"/>
                <w:sz w:val="12"/>
                <w:szCs w:val="12"/>
                <w:color w:val="auto"/>
              </w:rPr>
              <w:t>Interest expense</w:t>
            </w:r>
          </w:p>
        </w:tc>
        <w:tc>
          <w:tcPr>
            <w:tcW w:w="42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36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w w:val="92"/>
              </w:rPr>
              <w:t>(269)</w:t>
            </w:r>
          </w:p>
        </w:tc>
        <w:tc>
          <w:tcPr>
            <w:tcW w:w="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2"/>
                <w:szCs w:val="12"/>
                <w:color w:val="auto"/>
              </w:rPr>
              <w:t>(402)</w:t>
            </w:r>
          </w:p>
        </w:tc>
        <w:tc>
          <w:tcPr>
            <w:tcW w:w="360" w:type="dxa"/>
            <w:vAlign w:val="bottom"/>
            <w:shd w:val="clear" w:color="auto" w:fill="CCFFCC"/>
          </w:tcPr>
          <w:p>
            <w:pPr>
              <w:spacing w:after="0"/>
              <w:rPr>
                <w:sz w:val="12"/>
                <w:szCs w:val="12"/>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133</w:t>
            </w:r>
          </w:p>
        </w:tc>
        <w:tc>
          <w:tcPr>
            <w:tcW w:w="4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33%</w:t>
            </w:r>
          </w:p>
        </w:tc>
        <w:tc>
          <w:tcPr>
            <w:tcW w:w="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440" w:type="dxa"/>
            <w:vAlign w:val="bottom"/>
            <w:gridSpan w:val="2"/>
            <w:shd w:val="clear" w:color="auto" w:fill="CCFFCC"/>
          </w:tcPr>
          <w:p>
            <w:pPr>
              <w:jc w:val="right"/>
              <w:ind w:right="160"/>
              <w:spacing w:after="0"/>
              <w:rPr>
                <w:sz w:val="20"/>
                <w:szCs w:val="20"/>
                <w:color w:val="auto"/>
              </w:rPr>
            </w:pPr>
            <w:r>
              <w:rPr>
                <w:rFonts w:ascii="Arial" w:cs="Arial" w:eastAsia="Arial" w:hAnsi="Arial"/>
                <w:sz w:val="12"/>
                <w:szCs w:val="12"/>
                <w:color w:val="auto"/>
              </w:rPr>
              <w:t>(76)</w:t>
            </w:r>
          </w:p>
        </w:tc>
        <w:tc>
          <w:tcPr>
            <w:tcW w:w="16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2"/>
                <w:szCs w:val="12"/>
                <w:color w:val="auto"/>
              </w:rPr>
              <w:t>(110)</w:t>
            </w:r>
          </w:p>
        </w:tc>
        <w:tc>
          <w:tcPr>
            <w:tcW w:w="40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560"/>
              <w:spacing w:after="0"/>
              <w:rPr>
                <w:sz w:val="20"/>
                <w:szCs w:val="20"/>
                <w:color w:val="auto"/>
              </w:rPr>
            </w:pPr>
            <w:r>
              <w:rPr>
                <w:rFonts w:ascii="Arial" w:cs="Arial" w:eastAsia="Arial" w:hAnsi="Arial"/>
                <w:sz w:val="12"/>
                <w:szCs w:val="12"/>
                <w:color w:val="auto"/>
              </w:rPr>
              <w:t>34</w:t>
            </w:r>
          </w:p>
        </w:tc>
        <w:tc>
          <w:tcPr>
            <w:tcW w:w="580" w:type="dxa"/>
            <w:vAlign w:val="bottom"/>
            <w:gridSpan w:val="2"/>
            <w:shd w:val="clear" w:color="auto" w:fill="CCFFCC"/>
          </w:tcPr>
          <w:p>
            <w:pPr>
              <w:jc w:val="right"/>
              <w:ind w:right="40"/>
              <w:spacing w:after="0"/>
              <w:rPr>
                <w:sz w:val="20"/>
                <w:szCs w:val="20"/>
                <w:color w:val="auto"/>
              </w:rPr>
            </w:pPr>
            <w:r>
              <w:rPr>
                <w:rFonts w:ascii="Arial" w:cs="Arial" w:eastAsia="Arial" w:hAnsi="Arial"/>
                <w:sz w:val="12"/>
                <w:szCs w:val="12"/>
                <w:color w:val="auto"/>
              </w:rPr>
              <w:t>31%</w:t>
            </w:r>
          </w:p>
        </w:tc>
      </w:tr>
      <w:tr>
        <w:trPr>
          <w:trHeight w:val="144"/>
        </w:trPr>
        <w:tc>
          <w:tcPr>
            <w:tcW w:w="1640" w:type="dxa"/>
            <w:vAlign w:val="bottom"/>
            <w:gridSpan w:val="2"/>
          </w:tcPr>
          <w:p>
            <w:pPr>
              <w:spacing w:after="0"/>
              <w:rPr>
                <w:sz w:val="20"/>
                <w:szCs w:val="20"/>
                <w:color w:val="auto"/>
              </w:rPr>
            </w:pPr>
            <w:r>
              <w:rPr>
                <w:rFonts w:ascii="Arial" w:cs="Arial" w:eastAsia="Arial" w:hAnsi="Arial"/>
                <w:sz w:val="12"/>
                <w:szCs w:val="12"/>
                <w:color w:val="auto"/>
              </w:rPr>
              <w:t>Other income, net</w:t>
            </w: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80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449</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2"/>
                <w:szCs w:val="12"/>
                <w:color w:val="auto"/>
              </w:rPr>
              <w:t>(369)</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(82%)</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2"/>
                <w:szCs w:val="12"/>
                <w:color w:val="auto"/>
              </w:rPr>
              <w:t>4</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366</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2"/>
                <w:szCs w:val="12"/>
                <w:color w:val="auto"/>
              </w:rPr>
              <w:t>(362)</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(99%)</w:t>
            </w:r>
          </w:p>
        </w:tc>
      </w:tr>
      <w:tr>
        <w:trPr>
          <w:trHeight w:val="20"/>
        </w:trPr>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120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42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237</w:t>
            </w:r>
          </w:p>
        </w:tc>
        <w:tc>
          <w:tcPr>
            <w:tcW w:w="26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2"/>
                <w:szCs w:val="12"/>
                <w:color w:val="auto"/>
              </w:rPr>
              <w:t>3,995</w:t>
            </w:r>
          </w:p>
        </w:tc>
        <w:tc>
          <w:tcPr>
            <w:tcW w:w="200" w:type="dxa"/>
            <w:vAlign w:val="bottom"/>
            <w:shd w:val="clear" w:color="auto" w:fill="CCFFCC"/>
          </w:tcPr>
          <w:p>
            <w:pPr>
              <w:spacing w:after="0"/>
              <w:rPr>
                <w:sz w:val="12"/>
                <w:szCs w:val="12"/>
                <w:color w:val="auto"/>
              </w:rPr>
            </w:pPr>
          </w:p>
        </w:tc>
        <w:tc>
          <w:tcPr>
            <w:tcW w:w="360" w:type="dxa"/>
            <w:vAlign w:val="bottom"/>
            <w:shd w:val="clear" w:color="auto" w:fill="CCFFCC"/>
          </w:tcPr>
          <w:p>
            <w:pPr>
              <w:jc w:val="right"/>
              <w:ind w:right="25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FFCC"/>
          </w:tcPr>
          <w:p>
            <w:pPr>
              <w:jc w:val="right"/>
              <w:ind w:right="360"/>
              <w:spacing w:after="0"/>
              <w:rPr>
                <w:sz w:val="20"/>
                <w:szCs w:val="20"/>
                <w:color w:val="auto"/>
              </w:rPr>
            </w:pPr>
            <w:r>
              <w:rPr>
                <w:rFonts w:ascii="Arial" w:cs="Arial" w:eastAsia="Arial" w:hAnsi="Arial"/>
                <w:sz w:val="12"/>
                <w:szCs w:val="12"/>
                <w:color w:val="auto"/>
              </w:rPr>
              <w:t>(3,758)</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(94%)</w:t>
            </w:r>
          </w:p>
        </w:tc>
        <w:tc>
          <w:tcPr>
            <w:tcW w:w="640" w:type="dxa"/>
            <w:vAlign w:val="bottom"/>
            <w:gridSpan w:val="2"/>
            <w:shd w:val="clear" w:color="auto" w:fill="CCFFCC"/>
          </w:tcPr>
          <w:p>
            <w:pPr>
              <w:jc w:val="right"/>
              <w:ind w:right="440"/>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295</w:t>
            </w:r>
          </w:p>
        </w:tc>
        <w:tc>
          <w:tcPr>
            <w:tcW w:w="160" w:type="dxa"/>
            <w:vAlign w:val="bottom"/>
            <w:shd w:val="clear" w:color="auto" w:fill="CCFFCC"/>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2"/>
                <w:szCs w:val="12"/>
                <w:color w:val="auto"/>
              </w:rPr>
              <w:t>586</w:t>
            </w:r>
          </w:p>
        </w:tc>
        <w:tc>
          <w:tcPr>
            <w:tcW w:w="200" w:type="dxa"/>
            <w:vAlign w:val="bottom"/>
            <w:shd w:val="clear" w:color="auto" w:fill="CCFFCC"/>
          </w:tcPr>
          <w:p>
            <w:pPr>
              <w:spacing w:after="0"/>
              <w:rPr>
                <w:sz w:val="12"/>
                <w:szCs w:val="12"/>
                <w:color w:val="auto"/>
              </w:rPr>
            </w:pPr>
          </w:p>
        </w:tc>
        <w:tc>
          <w:tcPr>
            <w:tcW w:w="400" w:type="dxa"/>
            <w:vAlign w:val="bottom"/>
            <w:shd w:val="clear" w:color="auto" w:fill="CCFFCC"/>
          </w:tcPr>
          <w:p>
            <w:pPr>
              <w:jc w:val="right"/>
              <w:ind w:right="29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FFCC"/>
          </w:tcPr>
          <w:p>
            <w:pPr>
              <w:jc w:val="right"/>
              <w:ind w:right="520"/>
              <w:spacing w:after="0"/>
              <w:rPr>
                <w:sz w:val="20"/>
                <w:szCs w:val="20"/>
                <w:color w:val="auto"/>
              </w:rPr>
            </w:pPr>
            <w:r>
              <w:rPr>
                <w:rFonts w:ascii="Arial" w:cs="Arial" w:eastAsia="Arial" w:hAnsi="Arial"/>
                <w:sz w:val="12"/>
                <w:szCs w:val="12"/>
                <w:color w:val="auto"/>
              </w:rPr>
              <w:t>(291)</w:t>
            </w:r>
          </w:p>
        </w:tc>
        <w:tc>
          <w:tcPr>
            <w:tcW w:w="580" w:type="dxa"/>
            <w:vAlign w:val="bottom"/>
            <w:gridSpan w:val="2"/>
            <w:shd w:val="clear" w:color="auto" w:fill="CCFFCC"/>
          </w:tcPr>
          <w:p>
            <w:pPr>
              <w:jc w:val="right"/>
              <w:spacing w:after="0"/>
              <w:rPr>
                <w:sz w:val="20"/>
                <w:szCs w:val="20"/>
                <w:color w:val="auto"/>
              </w:rPr>
            </w:pPr>
            <w:r>
              <w:rPr>
                <w:rFonts w:ascii="Arial" w:cs="Arial" w:eastAsia="Arial" w:hAnsi="Arial"/>
                <w:sz w:val="12"/>
                <w:szCs w:val="12"/>
                <w:color w:val="auto"/>
              </w:rPr>
              <w:t>(50%)</w:t>
            </w:r>
          </w:p>
        </w:tc>
      </w:tr>
    </w:tbl>
    <w:p>
      <w:pPr>
        <w:spacing w:after="0" w:line="153" w:lineRule="exact"/>
        <w:rPr>
          <w:sz w:val="20"/>
          <w:szCs w:val="20"/>
          <w:color w:val="auto"/>
        </w:rPr>
      </w:pPr>
    </w:p>
    <w:p>
      <w:pPr>
        <w:jc w:val="both"/>
        <w:ind w:right="60" w:firstLine="432"/>
        <w:spacing w:after="0" w:line="298" w:lineRule="auto"/>
        <w:rPr>
          <w:sz w:val="20"/>
          <w:szCs w:val="20"/>
          <w:color w:val="auto"/>
        </w:rPr>
      </w:pPr>
      <w:r>
        <w:rPr>
          <w:rFonts w:ascii="Arial" w:cs="Arial" w:eastAsia="Arial" w:hAnsi="Arial"/>
          <w:sz w:val="11"/>
          <w:szCs w:val="11"/>
          <w:color w:val="auto"/>
        </w:rPr>
        <w:t>During the nine months ended January 31, 2008, the Company reduced its investment in Morion, Inc. from 36.6% to 8% by selling shares to a Russian government majority-owned bank. The Company received proceeds of approximately $5.8 million and realized a book gain of approximately $3.0 million. Such gain was included in investment income for the first quarter of fiscal year 2008. Comparable gains were not recorded during the fiscal year 2009 periods. In addition, investment income from interest and dividends was reduced in the fiscal year 2009 period due to a lower level of marketable securities than in the same periods of the prior year.</w:t>
      </w:r>
    </w:p>
    <w:p>
      <w:pPr>
        <w:spacing w:after="0" w:line="123"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14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540"/>
          </w:cols>
          <w:pgMar w:left="220" w:top="293" w:right="139" w:bottom="1440" w:gutter="0" w:footer="0" w:header="0"/>
        </w:sectPr>
      </w:pPr>
    </w:p>
    <w:bookmarkStart w:id="14" w:name="page15"/>
    <w:bookmarkEnd w:id="14"/>
    <w:p>
      <w:pPr>
        <w:jc w:val="center"/>
        <w:spacing w:after="0"/>
        <w:rPr>
          <w:sz w:val="20"/>
          <w:szCs w:val="20"/>
          <w:color w:val="auto"/>
        </w:rPr>
      </w:pPr>
      <w:r>
        <w:rPr>
          <w:rFonts w:ascii="Arial" w:cs="Arial" w:eastAsia="Arial" w:hAnsi="Arial"/>
          <w:sz w:val="12"/>
          <w:szCs w:val="12"/>
          <w:color w:val="auto"/>
        </w:rPr>
        <w:t>FREQUENCY ELECTRONICS,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(Continued)</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equity (loss) income in the fiscal year 2009 and 2008 periods represent the Company’s share of the quarterly results recorded by Elcom Technologies in which the Company owns a 25% interest.</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decrease in interest expense for the nine and three month periods ended January 31, 2009, resulted from both a decrease in borrowings under the Company’s line of credit as well as a lower rate of interest charged on such borrowings compared to the same periods ended January 31, 2008.</w:t>
      </w:r>
    </w:p>
    <w:p>
      <w:pPr>
        <w:spacing w:after="0" w:line="13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Under the provisions of sale and leaseback accounting, a portion of the capital gain realized on a fiscal year 2005 real estate transaction is deferred and recognized in income over the initial lease term. Under the caption “Other income, net” the Company recognized deferred gain of $236,000 and $59,000 for the nine and three months ended January 31, 2009, respectively. The deferred gain was fully amortized during the third quarter of fiscal year 2009. In the same periods of fiscal 2008, deferred gain was $265,000 and $88,000, respectively. These gains were partially offset by certain nonrecurring expenses at the FEI-NY and Gillam-FEI segments, including certain foreign currency exchange losses, settlement of European insurance claims and business interruption costs. Other insignificant income and expense items are also recorded under this caption.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60" w:type="dxa"/>
            <w:vAlign w:val="bottom"/>
            <w:gridSpan w:val="3"/>
          </w:tcPr>
          <w:p>
            <w:pPr>
              <w:spacing w:after="0"/>
              <w:rPr>
                <w:sz w:val="20"/>
                <w:szCs w:val="20"/>
                <w:color w:val="auto"/>
              </w:rPr>
            </w:pPr>
            <w:r>
              <w:rPr>
                <w:rFonts w:ascii="Arial" w:cs="Arial" w:eastAsia="Arial" w:hAnsi="Arial"/>
                <w:sz w:val="12"/>
                <w:szCs w:val="12"/>
                <w:b w:val="1"/>
                <w:bCs w:val="1"/>
                <w:color w:val="auto"/>
                <w:w w:val="99"/>
              </w:rPr>
              <w:t>Net (Loss) income</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313"/>
        </w:trPr>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2"/>
                <w:szCs w:val="12"/>
                <w:color w:val="auto"/>
              </w:rPr>
              <w:t>Nine months</w:t>
            </w:r>
          </w:p>
        </w:tc>
        <w:tc>
          <w:tcPr>
            <w:tcW w:w="9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2"/>
                <w:szCs w:val="12"/>
                <w:color w:val="auto"/>
              </w:rPr>
              <w:t>Three months</w:t>
            </w:r>
          </w:p>
        </w:tc>
        <w:tc>
          <w:tcPr>
            <w:tcW w:w="1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33"/>
        </w:trPr>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80" w:type="dxa"/>
            <w:vAlign w:val="bottom"/>
            <w:gridSpan w:val="3"/>
          </w:tcPr>
          <w:p>
            <w:pPr>
              <w:jc w:val="right"/>
              <w:ind w:right="40"/>
              <w:spacing w:after="0" w:line="133" w:lineRule="exact"/>
              <w:rPr>
                <w:sz w:val="20"/>
                <w:szCs w:val="20"/>
                <w:color w:val="auto"/>
              </w:rPr>
            </w:pPr>
            <w:r>
              <w:rPr>
                <w:rFonts w:ascii="Arial" w:cs="Arial" w:eastAsia="Arial" w:hAnsi="Arial"/>
                <w:sz w:val="12"/>
                <w:szCs w:val="12"/>
                <w:color w:val="auto"/>
              </w:rPr>
              <w:t>Periods ended January 31,</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3"/>
        </w:trPr>
        <w:tc>
          <w:tcPr>
            <w:tcW w:w="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2009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2008</w:t>
            </w:r>
          </w:p>
        </w:tc>
        <w:tc>
          <w:tcPr>
            <w:tcW w:w="2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Change</w:t>
            </w: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2009</w:t>
            </w:r>
          </w:p>
        </w:tc>
        <w:tc>
          <w:tcPr>
            <w:tcW w:w="2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2008</w:t>
            </w:r>
          </w:p>
        </w:tc>
        <w:tc>
          <w:tcPr>
            <w:tcW w:w="2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rPr>
              <w:t>Change</w:t>
            </w:r>
          </w:p>
        </w:tc>
        <w:tc>
          <w:tcPr>
            <w:tcW w:w="5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42"/>
        </w:trPr>
        <w:tc>
          <w:tcPr>
            <w:tcW w:w="820" w:type="dxa"/>
            <w:vAlign w:val="bottom"/>
          </w:tcPr>
          <w:p>
            <w:pPr>
              <w:spacing w:after="0"/>
              <w:rPr>
                <w:sz w:val="12"/>
                <w:szCs w:val="12"/>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(1,567)</w:t>
            </w:r>
          </w:p>
        </w:tc>
        <w:tc>
          <w:tcPr>
            <w:tcW w:w="300" w:type="dxa"/>
            <w:vAlign w:val="bottom"/>
            <w:gridSpan w:val="2"/>
            <w:shd w:val="clear" w:color="auto" w:fill="CCFFCC"/>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2,547</w:t>
            </w:r>
          </w:p>
        </w:tc>
        <w:tc>
          <w:tcPr>
            <w:tcW w:w="600" w:type="dxa"/>
            <w:vAlign w:val="bottom"/>
            <w:gridSpan w:val="2"/>
            <w:shd w:val="clear" w:color="auto" w:fill="CCFFCC"/>
          </w:tcPr>
          <w:p>
            <w:pPr>
              <w:jc w:val="right"/>
              <w:ind w:right="3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FFCC"/>
          </w:tcPr>
          <w:p>
            <w:pPr>
              <w:jc w:val="right"/>
              <w:ind w:right="220"/>
              <w:spacing w:after="0"/>
              <w:rPr>
                <w:sz w:val="20"/>
                <w:szCs w:val="20"/>
                <w:color w:val="auto"/>
              </w:rPr>
            </w:pPr>
            <w:r>
              <w:rPr>
                <w:rFonts w:ascii="Arial" w:cs="Arial" w:eastAsia="Arial" w:hAnsi="Arial"/>
                <w:sz w:val="12"/>
                <w:szCs w:val="12"/>
                <w:color w:val="auto"/>
              </w:rPr>
              <w:t>(4,114)</w:t>
            </w:r>
          </w:p>
        </w:tc>
        <w:tc>
          <w:tcPr>
            <w:tcW w:w="700" w:type="dxa"/>
            <w:vAlign w:val="bottom"/>
            <w:shd w:val="clear" w:color="auto" w:fill="CCFFCC"/>
          </w:tcPr>
          <w:p>
            <w:pPr>
              <w:ind w:left="140"/>
              <w:spacing w:after="0"/>
              <w:rPr>
                <w:sz w:val="20"/>
                <w:szCs w:val="20"/>
                <w:color w:val="auto"/>
              </w:rPr>
            </w:pPr>
            <w:r>
              <w:rPr>
                <w:rFonts w:ascii="Arial" w:cs="Arial" w:eastAsia="Arial" w:hAnsi="Arial"/>
                <w:sz w:val="12"/>
                <w:szCs w:val="12"/>
                <w:color w:val="auto"/>
              </w:rPr>
              <w:t>NM</w:t>
            </w:r>
          </w:p>
        </w:tc>
        <w:tc>
          <w:tcPr>
            <w:tcW w:w="880" w:type="dxa"/>
            <w:vAlign w:val="bottom"/>
            <w:gridSpan w:val="2"/>
            <w:shd w:val="clear" w:color="auto" w:fill="CCFFCC"/>
          </w:tcPr>
          <w:p>
            <w:pPr>
              <w:jc w:val="right"/>
              <w:ind w:right="6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FFCC"/>
          </w:tcPr>
          <w:p>
            <w:pPr>
              <w:jc w:val="right"/>
              <w:spacing w:after="0"/>
              <w:rPr>
                <w:sz w:val="20"/>
                <w:szCs w:val="20"/>
                <w:color w:val="auto"/>
              </w:rPr>
            </w:pPr>
            <w:r>
              <w:rPr>
                <w:rFonts w:ascii="Arial" w:cs="Arial" w:eastAsia="Arial" w:hAnsi="Arial"/>
                <w:sz w:val="12"/>
                <w:szCs w:val="12"/>
                <w:color w:val="auto"/>
              </w:rPr>
              <w:t>99</w:t>
            </w:r>
          </w:p>
        </w:tc>
        <w:tc>
          <w:tcPr>
            <w:tcW w:w="42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2"/>
                <w:szCs w:val="12"/>
                <w:color w:val="auto"/>
              </w:rPr>
              <w:t>758</w:t>
            </w:r>
          </w:p>
        </w:tc>
        <w:tc>
          <w:tcPr>
            <w:tcW w:w="720" w:type="dxa"/>
            <w:vAlign w:val="bottom"/>
            <w:gridSpan w:val="2"/>
            <w:shd w:val="clear" w:color="auto" w:fill="CCFFCC"/>
          </w:tcPr>
          <w:p>
            <w:pPr>
              <w:jc w:val="right"/>
              <w:ind w:right="46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FFCC"/>
          </w:tcPr>
          <w:p>
            <w:pPr>
              <w:jc w:val="right"/>
              <w:ind w:right="580"/>
              <w:spacing w:after="0"/>
              <w:rPr>
                <w:sz w:val="20"/>
                <w:szCs w:val="20"/>
                <w:color w:val="auto"/>
              </w:rPr>
            </w:pPr>
            <w:r>
              <w:rPr>
                <w:rFonts w:ascii="Arial" w:cs="Arial" w:eastAsia="Arial" w:hAnsi="Arial"/>
                <w:sz w:val="12"/>
                <w:szCs w:val="12"/>
                <w:color w:val="auto"/>
              </w:rPr>
              <w:t>(659)</w:t>
            </w:r>
          </w:p>
        </w:tc>
        <w:tc>
          <w:tcPr>
            <w:tcW w:w="700" w:type="dxa"/>
            <w:vAlign w:val="bottom"/>
            <w:gridSpan w:val="2"/>
            <w:shd w:val="clear" w:color="auto" w:fill="CCFFCC"/>
          </w:tcPr>
          <w:p>
            <w:pPr>
              <w:jc w:val="right"/>
              <w:ind w:right="20"/>
              <w:spacing w:after="0"/>
              <w:rPr>
                <w:sz w:val="20"/>
                <w:szCs w:val="20"/>
                <w:color w:val="auto"/>
              </w:rPr>
            </w:pPr>
            <w:r>
              <w:rPr>
                <w:rFonts w:ascii="Arial" w:cs="Arial" w:eastAsia="Arial" w:hAnsi="Arial"/>
                <w:sz w:val="12"/>
                <w:szCs w:val="12"/>
                <w:color w:val="auto"/>
              </w:rPr>
              <w:t>(87%)</w:t>
            </w:r>
          </w:p>
        </w:tc>
      </w:tr>
    </w:tbl>
    <w:p>
      <w:pPr>
        <w:spacing w:after="0" w:line="3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decline in profitability for the nine and three month periods ended January 31, 2009, compared to the same periods of fiscal year 2008, resulted from the decrease in revenues, higher engineering and production costs on certain satellite programs, higher overhead costs and increases to inventory reserves as discussed above. The results for the nine month period of fiscal year 2008 were positively impacted by the investment gain recorded on the sale of a portion of the Company’s investment in Morion. The Company expects to realize improved gross and operating margins in the last quarter of fiscal year 2009.</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Income Taxes</w:t>
      </w:r>
    </w:p>
    <w:p>
      <w:pPr>
        <w:spacing w:after="0" w:line="17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Company is subject to taxation in several countries as well as the states of New York and California. The statutory federal rates vary from 34% in the United States to 35% in Europe. The effective rate is impacted by the income or loss of certain of the Company’s European and Asian subsidiaries which are currently not taxed. In addition, the Company utilizes the availability of research and development tax credits in the United States to lower its tax rate. As of April 30, 2008, the Company’s European subsidiaries had available net operating loss carryforwards of approximately $1.2 million, which may be used to offset future taxable income. The Company’s effective tax rate for fiscal year 2008 was higher than in prior years as a result of the gain recognized on the Morion transaction. The Company’s tax basis in its Morion investment was less than its book basis resulting in greater taxable income than that recorded for financial reporting purposes.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LIQUIDITY AND CAPITAL RESOURCES</w:t>
      </w:r>
    </w:p>
    <w:p>
      <w:pPr>
        <w:spacing w:after="0" w:line="168"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The Company’s balance sheet continues to reflect a strong working capital position of $55 million at January 31, 2009, which is compared to working capital of $59 million at April 30, 2008. Included in working capital at January 31, 2009 is $13.1 million of cash, cash equivalents and marketable securities which are offset by $1.1 million in borrowings under its bank line of credit. The Company’s current ratio at January 31, 2009 is 6.6 to 1.</w:t>
      </w:r>
    </w:p>
    <w:p>
      <w:pPr>
        <w:spacing w:after="0" w:line="11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For the nine months ended January 31, 2009, the Company had positive cash flow from operating activities of $5.3 million compared to $4.0 million used by operations in the comparable fiscal year 2008 period. The primary source of cash in the fiscal year 2009 period was the collection of accounts receivable. As the Company achieved milestones on certain large satellite programs, it was contractually permitted to issue invoices to its customers and a significant portion of the receivables were collected by the end of the fiscal quarter. In the nine month period ended January 31, 2008, the decrease in operating cash flow was due primarily to increases in unbilled accounts receivable, inventory and payments against accounts payable. For the balance of fiscal year 2009, the Company expects to generate positive cash flow from operating activities.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15" w:name="page16"/>
    <w:bookmarkEnd w:id="15"/>
    <w:p>
      <w:pPr>
        <w:jc w:val="center"/>
        <w:spacing w:after="0"/>
        <w:rPr>
          <w:sz w:val="20"/>
          <w:szCs w:val="20"/>
          <w:color w:val="auto"/>
        </w:rPr>
      </w:pPr>
      <w:r>
        <w:rPr>
          <w:rFonts w:ascii="Arial" w:cs="Arial" w:eastAsia="Arial" w:hAnsi="Arial"/>
          <w:sz w:val="12"/>
          <w:szCs w:val="12"/>
          <w:color w:val="auto"/>
        </w:rPr>
        <w:t>FREQUENCY ELECTRONICS,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(Continued)</w:t>
      </w:r>
    </w:p>
    <w:p>
      <w:pPr>
        <w:spacing w:after="0" w:line="15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Net cash used in investing activities for the nine months ended January 31, 2009, was $6.0 million compared to cash provided by investing activities of $9.7 million for the same period of fiscal year 2008. During the fiscal year 2009 period, the Company invested $5.6 million in marketable securities, net of $1.0 million in proceeds from the sale of certain marketable securities, and acquired additional fixed assets for $423,000. In the prior fiscal year, the Company received net proceeds of $5.6 million from the sale of a portion of its investment in Morion and the net proceeds from the redemption and purchase of marketable securities for $5.5 million. This cash inflow was partially offset by fixed asset acquisitions of $1.5 million. The Company may continue to acquire or sell marketable securities as dictated by its liquidity requirements. Capital equipment purchases for all of fiscal year 2009 are expected to aggregate less than $1.0 million. Internally generated cash is adequate to acquire this level of capital equipment.</w:t>
      </w:r>
    </w:p>
    <w:p>
      <w:pPr>
        <w:spacing w:after="0" w:line="144"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2"/>
          <w:szCs w:val="12"/>
          <w:color w:val="auto"/>
        </w:rPr>
        <w:t>Net cash used in financing activities for the nine months ended January 31, 2009, was $7.3 million compared to $1.3 million used during the comparable fiscal year 2008 period. During the first nine months of fiscal year 2009, the Company repurchased approximately 725,000 shares of its common stock at an average per share price of $4.29, or approximately $3.1 million, compared to treasury stock purchases of $233,000 for the same period of fiscal year 2008. During fiscal year 2009, the Company had repaid $4.0 million against its line of credit and made principle payments of $163,000 against a long-term capital lease. During the nine months ended January 31, 2008, the Company paid a cash dividend of $1.7 million and repaid $3.0 million of the $3.5 million borrowed under its line of credit.</w:t>
      </w:r>
    </w:p>
    <w:p>
      <w:pPr>
        <w:spacing w:after="0" w:line="143"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As of the end of the most recent fiscal quarter, the Company has repurchased approximately $4 million of its common stock out of the $5 million authorization.</w:t>
      </w:r>
    </w:p>
    <w:p>
      <w:pPr>
        <w:spacing w:after="0" w:line="11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Company will continue to expend resources to develop and improve products for space applications, guidance and targeting systems, wireless networks and wireline communication systems which management believes will result in future growth and continued profitability. During fiscal year 2009, the Company intends to make investments in more efficient product designs, automatic test equipment, employee training and improved manufacturing processes. For the current fiscal year and for the foreseeable future, the Company has been awarded several cost-plus-fee development contracts for satellite payloads. Such customer-funded programs will enable the Company to conduct important development activities and the Company will be reimbursed by its customers for its efforts. Thus, the Company expects to spend its own funds at a lower rate than it has historically to achieve its development goals. Internally generated cash will be adequate to fund these internal research and development efforts.</w:t>
      </w:r>
    </w:p>
    <w:p>
      <w:pPr>
        <w:spacing w:after="0" w:line="14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As of January 31, 2009, the Company's consolidated backlog amounted to approximately $39 million. Approximately 70% of this backlog is expected to be realized in the next twelve months. Included in the backlog at January 31, 2009 is approximately $12.8 million under cost-plus-fee contracts which represent firm commitments from its customers for which the Company has not yet received full funding. The Company excludes from backlog any contracts or awards for which it has not received authorization to proceed.</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2"/>
          <w:szCs w:val="12"/>
          <w:b w:val="1"/>
          <w:bCs w:val="1"/>
          <w:u w:val="single" w:color="auto"/>
          <w:color w:val="auto"/>
        </w:rPr>
        <w:t>Off-Balance Sheet Arrangements</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2620010</wp:posOffset>
            </wp:positionH>
            <wp:positionV relativeFrom="paragraph">
              <wp:posOffset>135890</wp:posOffset>
            </wp:positionV>
            <wp:extent cx="176720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67205" cy="57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16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02500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25005" cy="18415"/>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16" w:name="page17"/>
    <w:bookmarkEnd w:id="16"/>
    <w:p>
      <w:pPr>
        <w:jc w:val="center"/>
        <w:ind w:right="440"/>
        <w:spacing w:after="0"/>
        <w:rPr>
          <w:sz w:val="20"/>
          <w:szCs w:val="20"/>
          <w:color w:val="auto"/>
        </w:rPr>
      </w:pPr>
      <w:r>
        <w:rPr>
          <w:rFonts w:ascii="Arial" w:cs="Arial" w:eastAsia="Arial" w:hAnsi="Arial"/>
          <w:sz w:val="12"/>
          <w:szCs w:val="12"/>
          <w:color w:val="auto"/>
        </w:rPr>
        <w:t>FREQUENCY ELECTRONICS, INC. and SUBSIDIARIES</w:t>
      </w:r>
    </w:p>
    <w:p>
      <w:pPr>
        <w:spacing w:after="0" w:line="15"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(Continued)</w:t>
      </w:r>
    </w:p>
    <w:p>
      <w:pPr>
        <w:spacing w:after="0" w:line="155" w:lineRule="exact"/>
        <w:rPr>
          <w:sz w:val="20"/>
          <w:szCs w:val="20"/>
          <w:color w:val="auto"/>
        </w:rPr>
      </w:pPr>
    </w:p>
    <w:p>
      <w:pPr>
        <w:jc w:val="center"/>
        <w:ind w:right="440"/>
        <w:spacing w:after="0"/>
        <w:rPr>
          <w:sz w:val="20"/>
          <w:szCs w:val="20"/>
          <w:color w:val="auto"/>
        </w:rPr>
      </w:pPr>
      <w:r>
        <w:rPr>
          <w:rFonts w:ascii="Arial" w:cs="Arial" w:eastAsia="Arial" w:hAnsi="Arial"/>
          <w:sz w:val="12"/>
          <w:szCs w:val="12"/>
          <w:b w:val="1"/>
          <w:bCs w:val="1"/>
          <w:color w:val="auto"/>
        </w:rPr>
        <w:t>Item 4T.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Controls and Procedures</w:t>
      </w:r>
    </w:p>
    <w:p>
      <w:pPr>
        <w:spacing w:after="0" w:line="159"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u w:val="single" w:color="auto"/>
          <w:color w:val="auto"/>
        </w:rPr>
        <w:t>Disclosure Controls and Procedures</w:t>
      </w:r>
      <w:r>
        <w:rPr>
          <w:rFonts w:ascii="Arial" w:cs="Arial" w:eastAsia="Arial" w:hAnsi="Arial"/>
          <w:sz w:val="11"/>
          <w:szCs w:val="11"/>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as of January 31, 2009, the Company’s disclosure controls and procedures were not effective for the reasons discussed below,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2"/>
          <w:szCs w:val="12"/>
          <w:u w:val="single" w:color="auto"/>
          <w:color w:val="auto"/>
        </w:rPr>
        <w:t>Management’s Report on Internal Control over Financial Reporting</w:t>
      </w:r>
    </w:p>
    <w:p>
      <w:pPr>
        <w:spacing w:after="0" w:line="168"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Management of Frequency Electronics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generally accepted accounting principles.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At the end of fiscal year 2008, management assessed the effectiveness of the Company’s internal control over financial reporting. In making this assessment, management used the criteria established in Internal Control—Integrated Framework issued by the Committee of Sponsoring Organizations of the Treadway Commission (COSO). As of January 31, 2009, management reviewed its original assessment and the current status of its internal controls over financial reporting. Based on this review, management has concluded that the Company’s internal control over financial reporting was not effective as of January 31, 2009. The Company’s chief executive officer and chief financial officer have concluded that the Company has material weaknesses in its internal control over financial reporting.</w:t>
      </w:r>
    </w:p>
    <w:p>
      <w:pPr>
        <w:spacing w:after="0" w:line="14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2"/>
          <w:szCs w:val="12"/>
          <w:u w:val="single" w:color="auto"/>
          <w:color w:val="auto"/>
        </w:rPr>
        <w:t>Financial Reporting</w:t>
      </w:r>
    </w:p>
    <w:p>
      <w:pPr>
        <w:spacing w:after="0" w:line="168"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The Company had inadequate resources and an insufficient number of personnel having adequate knowledge, experience and training to provide effective oversight and review of our internal controls within the prescribed timeframe. As a result, as of January 31, 2009, there was a material weakness in the Company’s internal control because management has not performed a self-assessment or the necessary documentation and testing of the internal controls at two of the Company’s subsidiaries, Gillam-FEI and FEI-Zyfer. The lack of documentation and testing of these subsidiaries constitutes a material weakness. In order to remediate this material weakness, management expects to establish policies and procedures to provide for the necessary documentation and testing of such internal controls over the coming year. During fiscal year 2009, the Company began to document the internal controls over financial reporting at its Gillam-FEI and FEI-Zyfer subsidiaries. The Company expects to conduct tests of such controls and, if this process identifies material weaknesses or significant deficiencies over such internal controls, the Company intends to implement appropriate remediation efforts.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17" w:name="page18"/>
    <w:bookmarkEnd w:id="17"/>
    <w:p>
      <w:pPr>
        <w:jc w:val="center"/>
        <w:ind w:right="440"/>
        <w:spacing w:after="0"/>
        <w:rPr>
          <w:sz w:val="20"/>
          <w:szCs w:val="20"/>
          <w:color w:val="auto"/>
        </w:rPr>
      </w:pPr>
      <w:r>
        <w:rPr>
          <w:rFonts w:ascii="Arial" w:cs="Arial" w:eastAsia="Arial" w:hAnsi="Arial"/>
          <w:sz w:val="12"/>
          <w:szCs w:val="12"/>
          <w:color w:val="auto"/>
        </w:rPr>
        <w:t>FREQUENCY ELECTRONICS, INC. and SUBSIDIARIES</w:t>
      </w:r>
    </w:p>
    <w:p>
      <w:pPr>
        <w:spacing w:after="0" w:line="15"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(Continued)</w:t>
      </w:r>
    </w:p>
    <w:p>
      <w:pPr>
        <w:spacing w:after="0" w:line="159"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Due to the Company’s small size and lack of resources and staffing, the Chief Financial Officer is actively involved in the preparation of the financial statements and therefore, cannot provide an independent review and quality assurance function within the accounting and financial reporting group. The limited number of accounting personnel results in an inability to have independent review and approval by the Chief Financial Officer of financial accounting entries. There is a risk that a material misstatement of the financial statements could be caused, or at least not be detected in a timely manner, due to this insufficient segregation of duties. During fiscal year 2009, the Company plans to remediate this material weakness by engaging third-party accounting advisors and by creating processes whereby personnel in its Accounting Department (other than the Chief Financial Officer) will create analysis and original accounting entries, which will subsequently be reviewed and approved by the Chief Financial Officer.</w:t>
      </w:r>
    </w:p>
    <w:p>
      <w:pPr>
        <w:spacing w:after="0" w:line="144"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u w:val="single" w:color="auto"/>
          <w:color w:val="auto"/>
        </w:rPr>
        <w:t>Changes in Internal Control Over Financial Reporting</w:t>
      </w:r>
      <w:r>
        <w:rPr>
          <w:rFonts w:ascii="Arial" w:cs="Arial" w:eastAsia="Arial" w:hAnsi="Arial"/>
          <w:sz w:val="12"/>
          <w:szCs w:val="12"/>
          <w:color w:val="auto"/>
        </w:rPr>
        <w:t>. There were no changes in the Company’s internal control over financial reporting (as such term is defined in Rules 13a-15(f) and 15d-15(f) under the Exchange Act) during the quarter ending January 31, 2009 to which this report relates that have materially affected, or are reasonably likely to materially affect, the Company’s internal control over financial reporting.</w:t>
      </w:r>
    </w:p>
    <w:p>
      <w:pPr>
        <w:spacing w:after="0" w:line="133"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PART II</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ITEMS 1, 1A, 2, 3, 4 and 5 are omitted because they are not applicable.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ITEM 6 - Exhibits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31.1- Certification by the Chief Executive Officer Pursuant to Section 302 of the Sarbanes-Oxley Act of 2002.</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31.2- Certification by the Chief Financial Officer Pursuant to Section 302 of the Sarbanes-Oxley Act of 2002.</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32.1- Certification by the Chief Executive Officer Pursuant to 18 U.S.C. Section 1350 Adopted Pursuant to Section 906 of the Sarbanes-Oxley Act of 2002.</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32.2- Certification by the Chief Financial Officer Pursuant to 18 U.S.C. Section 1350 Adopted Pursuant to Section 906 of the Sarbanes-Oxley Act of 2002.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18" w:name="page19"/>
    <w:bookmarkEnd w:id="18"/>
    <w:p>
      <w:pPr>
        <w:ind w:left="5360"/>
        <w:spacing w:after="0"/>
        <w:rPr>
          <w:sz w:val="20"/>
          <w:szCs w:val="20"/>
          <w:color w:val="auto"/>
        </w:rPr>
      </w:pPr>
      <w:r>
        <w:rPr>
          <w:rFonts w:ascii="Arial" w:cs="Arial" w:eastAsia="Arial" w:hAnsi="Arial"/>
          <w:sz w:val="12"/>
          <w:szCs w:val="12"/>
          <w:color w:val="auto"/>
        </w:rPr>
        <w:t>SIGNATURES</w:t>
      </w:r>
    </w:p>
    <w:p>
      <w:pPr>
        <w:spacing w:after="0" w:line="330"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p>
      <w:pPr>
        <w:ind w:left="5520"/>
        <w:spacing w:after="0"/>
        <w:rPr>
          <w:sz w:val="20"/>
          <w:szCs w:val="20"/>
          <w:color w:val="auto"/>
        </w:rPr>
      </w:pPr>
      <w:r>
        <w:rPr>
          <w:rFonts w:ascii="Arial" w:cs="Arial" w:eastAsia="Arial" w:hAnsi="Arial"/>
          <w:sz w:val="12"/>
          <w:szCs w:val="12"/>
          <w:color w:val="auto"/>
        </w:rPr>
        <w:t>FREQUENCY ELECTRONICS, INC.</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2"/>
          <w:szCs w:val="12"/>
          <w:color w:val="auto"/>
        </w:rPr>
        <w:t>(Registrant)</w:t>
      </w:r>
    </w:p>
    <w:p>
      <w:pPr>
        <w:spacing w:after="0" w:line="141" w:lineRule="exact"/>
        <w:rPr>
          <w:sz w:val="20"/>
          <w:szCs w:val="20"/>
          <w:color w:val="auto"/>
        </w:rPr>
      </w:pPr>
    </w:p>
    <w:p>
      <w:pPr>
        <w:spacing w:after="0"/>
        <w:tabs>
          <w:tab w:leader="none" w:pos="5500" w:val="left"/>
          <w:tab w:leader="none" w:pos="5840" w:val="left"/>
        </w:tabs>
        <w:rPr>
          <w:sz w:val="20"/>
          <w:szCs w:val="20"/>
          <w:color w:val="auto"/>
        </w:rPr>
      </w:pPr>
      <w:r>
        <w:rPr>
          <w:rFonts w:ascii="Arial" w:cs="Arial" w:eastAsia="Arial" w:hAnsi="Arial"/>
          <w:sz w:val="12"/>
          <w:szCs w:val="12"/>
          <w:color w:val="auto"/>
        </w:rPr>
        <w:t>Date: March 17, 2009</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Alan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15240</wp:posOffset>
            </wp:positionV>
            <wp:extent cx="245364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53640" cy="11430"/>
                    </a:xfrm>
                    <a:prstGeom prst="rect">
                      <a:avLst/>
                    </a:prstGeom>
                    <a:noFill/>
                  </pic:spPr>
                </pic:pic>
              </a:graphicData>
            </a:graphic>
          </wp:anchor>
        </w:drawing>
      </w:r>
    </w:p>
    <w:p>
      <w:pPr>
        <w:spacing w:after="0" w:line="13" w:lineRule="exact"/>
        <w:rPr>
          <w:sz w:val="20"/>
          <w:szCs w:val="20"/>
          <w:color w:val="auto"/>
        </w:rPr>
      </w:pPr>
    </w:p>
    <w:p>
      <w:pPr>
        <w:ind w:left="5860"/>
        <w:spacing w:after="0"/>
        <w:rPr>
          <w:sz w:val="20"/>
          <w:szCs w:val="20"/>
          <w:color w:val="auto"/>
        </w:rPr>
      </w:pPr>
      <w:r>
        <w:rPr>
          <w:rFonts w:ascii="Arial" w:cs="Arial" w:eastAsia="Arial" w:hAnsi="Arial"/>
          <w:sz w:val="12"/>
          <w:szCs w:val="12"/>
          <w:color w:val="auto"/>
        </w:rPr>
        <w:t>Alan Miller</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2"/>
          <w:szCs w:val="12"/>
          <w:color w:val="auto"/>
        </w:rPr>
        <w:t>Chief Financial Officer</w:t>
      </w:r>
    </w:p>
    <w:p>
      <w:pPr>
        <w:spacing w:after="0" w:line="6" w:lineRule="exact"/>
        <w:rPr>
          <w:sz w:val="20"/>
          <w:szCs w:val="20"/>
          <w:color w:val="auto"/>
        </w:rPr>
      </w:pPr>
    </w:p>
    <w:p>
      <w:pPr>
        <w:ind w:left="5860"/>
        <w:spacing w:after="0"/>
        <w:rPr>
          <w:sz w:val="20"/>
          <w:szCs w:val="20"/>
          <w:color w:val="auto"/>
        </w:rPr>
      </w:pPr>
      <w:r>
        <w:rPr>
          <w:rFonts w:ascii="Arial" w:cs="Arial" w:eastAsia="Arial" w:hAnsi="Arial"/>
          <w:sz w:val="12"/>
          <w:szCs w:val="12"/>
          <w:color w:val="auto"/>
        </w:rPr>
        <w:t>and Treasurer</w:t>
      </w:r>
    </w:p>
    <w:p>
      <w:pPr>
        <w:spacing w:after="0" w:line="30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19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293" w:right="1440" w:bottom="1440" w:gutter="0" w:footer="0" w:header="0"/>
        </w:sectPr>
      </w:pPr>
    </w:p>
    <w:bookmarkStart w:id="19" w:name="page20"/>
    <w:bookmarkEnd w:id="19"/>
    <w:p>
      <w:pPr>
        <w:jc w:val="right"/>
        <w:spacing w:after="0"/>
        <w:rPr>
          <w:sz w:val="20"/>
          <w:szCs w:val="20"/>
          <w:color w:val="auto"/>
        </w:rPr>
      </w:pPr>
      <w:r>
        <w:rPr>
          <w:rFonts w:ascii="Arial" w:cs="Arial" w:eastAsia="Arial" w:hAnsi="Arial"/>
          <w:sz w:val="12"/>
          <w:szCs w:val="12"/>
          <w:color w:val="auto"/>
        </w:rPr>
        <w:t>Exhibit 31.1</w:t>
      </w:r>
    </w:p>
    <w:p>
      <w:pPr>
        <w:spacing w:after="0" w:line="164" w:lineRule="exact"/>
        <w:rPr>
          <w:sz w:val="20"/>
          <w:szCs w:val="20"/>
          <w:color w:val="auto"/>
        </w:rPr>
      </w:pPr>
    </w:p>
    <w:p>
      <w:pPr>
        <w:jc w:val="center"/>
        <w:ind w:right="432"/>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ind w:right="432"/>
        <w:spacing w:after="0"/>
        <w:rPr>
          <w:sz w:val="20"/>
          <w:szCs w:val="20"/>
          <w:color w:val="auto"/>
        </w:rPr>
      </w:pPr>
      <w:r>
        <w:rPr>
          <w:rFonts w:ascii="Arial" w:cs="Arial" w:eastAsia="Arial" w:hAnsi="Arial"/>
          <w:sz w:val="12"/>
          <w:szCs w:val="12"/>
          <w:b w:val="1"/>
          <w:bCs w:val="1"/>
          <w:color w:val="auto"/>
        </w:rPr>
        <w:t>SECTION 302 OF</w:t>
      </w:r>
    </w:p>
    <w:p>
      <w:pPr>
        <w:spacing w:after="0" w:line="6" w:lineRule="exact"/>
        <w:rPr>
          <w:sz w:val="20"/>
          <w:szCs w:val="20"/>
          <w:color w:val="auto"/>
        </w:rPr>
      </w:pPr>
    </w:p>
    <w:p>
      <w:pPr>
        <w:jc w:val="center"/>
        <w:ind w:right="432"/>
        <w:spacing w:after="0"/>
        <w:rPr>
          <w:sz w:val="20"/>
          <w:szCs w:val="20"/>
          <w:color w:val="auto"/>
        </w:rPr>
      </w:pPr>
      <w:r>
        <w:rPr>
          <w:rFonts w:ascii="Arial" w:cs="Arial" w:eastAsia="Arial" w:hAnsi="Arial"/>
          <w:sz w:val="12"/>
          <w:szCs w:val="12"/>
          <w:b w:val="1"/>
          <w:bCs w:val="1"/>
          <w:color w:val="auto"/>
        </w:rPr>
        <w:t>THE SARBANES-OXLEY ACT OF 2002</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Certification of CEO</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Martin B. Bloch, certify that:</w:t>
      </w:r>
    </w:p>
    <w:p>
      <w:pPr>
        <w:spacing w:after="0" w:line="168" w:lineRule="exact"/>
        <w:rPr>
          <w:sz w:val="20"/>
          <w:szCs w:val="20"/>
          <w:color w:val="auto"/>
        </w:rPr>
      </w:pPr>
    </w:p>
    <w:p>
      <w:pPr>
        <w:ind w:left="148" w:hanging="148"/>
        <w:spacing w:after="0"/>
        <w:tabs>
          <w:tab w:leader="none" w:pos="148" w:val="left"/>
        </w:tabs>
        <w:numPr>
          <w:ilvl w:val="0"/>
          <w:numId w:val="3"/>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Frequency Electronics, Inc.;</w:t>
      </w:r>
    </w:p>
    <w:p>
      <w:pPr>
        <w:spacing w:after="0" w:line="168" w:lineRule="exact"/>
        <w:rPr>
          <w:rFonts w:ascii="Arial" w:cs="Arial" w:eastAsia="Arial" w:hAnsi="Arial"/>
          <w:sz w:val="12"/>
          <w:szCs w:val="12"/>
          <w:color w:val="auto"/>
        </w:rPr>
      </w:pPr>
    </w:p>
    <w:p>
      <w:pPr>
        <w:ind w:left="8" w:right="20" w:hanging="8"/>
        <w:spacing w:after="0" w:line="276"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2"/>
          <w:szCs w:val="12"/>
          <w:color w:val="auto"/>
        </w:rPr>
      </w:pPr>
    </w:p>
    <w:p>
      <w:pPr>
        <w:ind w:left="8" w:hanging="8"/>
        <w:spacing w:after="0" w:line="276" w:lineRule="auto"/>
        <w:tabs>
          <w:tab w:leader="none" w:pos="165" w:val="left"/>
        </w:tabs>
        <w:numPr>
          <w:ilvl w:val="0"/>
          <w:numId w:val="3"/>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8" w:hanging="8"/>
        <w:spacing w:after="0" w:line="276" w:lineRule="auto"/>
        <w:tabs>
          <w:tab w:leader="none" w:pos="161"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2"/>
          <w:szCs w:val="12"/>
          <w:color w:val="auto"/>
        </w:rPr>
      </w:pPr>
    </w:p>
    <w:p>
      <w:pPr>
        <w:ind w:left="428" w:firstLine="4"/>
        <w:spacing w:after="0" w:line="276" w:lineRule="auto"/>
        <w:tabs>
          <w:tab w:leader="none" w:pos="621" w:val="left"/>
        </w:tabs>
        <w:numPr>
          <w:ilvl w:val="1"/>
          <w:numId w:val="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2"/>
          <w:szCs w:val="12"/>
          <w:color w:val="auto"/>
        </w:rPr>
      </w:pPr>
    </w:p>
    <w:p>
      <w:pPr>
        <w:ind w:left="428" w:firstLine="4"/>
        <w:spacing w:after="0" w:line="276" w:lineRule="auto"/>
        <w:tabs>
          <w:tab w:leader="none" w:pos="653" w:val="left"/>
        </w:tabs>
        <w:numPr>
          <w:ilvl w:val="1"/>
          <w:numId w:val="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2"/>
          <w:szCs w:val="12"/>
          <w:color w:val="auto"/>
        </w:rPr>
      </w:pPr>
    </w:p>
    <w:p>
      <w:pPr>
        <w:ind w:left="428" w:right="20" w:firstLine="4"/>
        <w:spacing w:after="0" w:line="276" w:lineRule="auto"/>
        <w:tabs>
          <w:tab w:leader="none" w:pos="621" w:val="left"/>
        </w:tabs>
        <w:numPr>
          <w:ilvl w:val="1"/>
          <w:numId w:val="3"/>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2"/>
          <w:szCs w:val="12"/>
          <w:color w:val="auto"/>
        </w:rPr>
      </w:pPr>
    </w:p>
    <w:p>
      <w:pPr>
        <w:ind w:left="428" w:right="20" w:firstLine="4"/>
        <w:spacing w:after="0" w:line="276" w:lineRule="auto"/>
        <w:tabs>
          <w:tab w:leader="none" w:pos="633" w:val="left"/>
        </w:tabs>
        <w:numPr>
          <w:ilvl w:val="1"/>
          <w:numId w:val="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2"/>
          <w:szCs w:val="12"/>
          <w:color w:val="auto"/>
        </w:rPr>
      </w:pPr>
    </w:p>
    <w:p>
      <w:pPr>
        <w:ind w:left="8" w:right="20" w:hanging="8"/>
        <w:spacing w:after="0" w:line="276" w:lineRule="auto"/>
        <w:tabs>
          <w:tab w:leader="none" w:pos="159"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2"/>
          <w:szCs w:val="12"/>
          <w:color w:val="auto"/>
        </w:rPr>
      </w:pPr>
    </w:p>
    <w:p>
      <w:pPr>
        <w:ind w:left="428" w:firstLine="4"/>
        <w:spacing w:after="0" w:line="276" w:lineRule="auto"/>
        <w:tabs>
          <w:tab w:leader="none" w:pos="616" w:val="left"/>
        </w:tabs>
        <w:numPr>
          <w:ilvl w:val="1"/>
          <w:numId w:val="3"/>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2"/>
          <w:szCs w:val="12"/>
          <w:color w:val="auto"/>
        </w:rPr>
      </w:pPr>
    </w:p>
    <w:p>
      <w:pPr>
        <w:ind w:left="628" w:hanging="196"/>
        <w:spacing w:after="0"/>
        <w:tabs>
          <w:tab w:leader="none" w:pos="628" w:val="left"/>
        </w:tabs>
        <w:numPr>
          <w:ilvl w:val="1"/>
          <w:numId w:val="3"/>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asignificant role in the registrant’s internal control over financial reporting.</w:t>
      </w:r>
    </w:p>
    <w:p>
      <w:pPr>
        <w:spacing w:after="0" w:line="150" w:lineRule="exact"/>
        <w:rPr>
          <w:sz w:val="20"/>
          <w:szCs w:val="20"/>
          <w:color w:val="auto"/>
        </w:rPr>
      </w:pPr>
    </w:p>
    <w:p>
      <w:pPr>
        <w:ind w:left="68"/>
        <w:spacing w:after="0"/>
        <w:tabs>
          <w:tab w:leader="none" w:pos="7628" w:val="left"/>
        </w:tabs>
        <w:rPr>
          <w:sz w:val="20"/>
          <w:szCs w:val="20"/>
          <w:color w:val="auto"/>
        </w:rPr>
      </w:pPr>
      <w:r>
        <w:rPr>
          <w:rFonts w:ascii="Arial" w:cs="Arial" w:eastAsia="Arial" w:hAnsi="Arial"/>
          <w:sz w:val="12"/>
          <w:szCs w:val="12"/>
          <w:color w:val="auto"/>
        </w:rPr>
        <w:t>/s/  Martin Bloch</w:t>
      </w:r>
      <w:r>
        <w:rPr>
          <w:sz w:val="20"/>
          <w:szCs w:val="20"/>
          <w:color w:val="auto"/>
        </w:rPr>
        <w:tab/>
      </w:r>
      <w:r>
        <w:rPr>
          <w:rFonts w:ascii="Arial" w:cs="Arial" w:eastAsia="Arial" w:hAnsi="Arial"/>
          <w:sz w:val="11"/>
          <w:szCs w:val="11"/>
          <w:color w:val="auto"/>
        </w:rPr>
        <w:t>March 17,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243078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30780" cy="11430"/>
                    </a:xfrm>
                    <a:prstGeom prst="rect">
                      <a:avLst/>
                    </a:prstGeom>
                    <a:noFill/>
                  </pic:spPr>
                </pic:pic>
              </a:graphicData>
            </a:graphic>
          </wp:anchor>
        </w:drawing>
      </w:r>
    </w:p>
    <w:p>
      <w:pPr>
        <w:spacing w:after="0" w:line="4" w:lineRule="exact"/>
        <w:rPr>
          <w:sz w:val="20"/>
          <w:szCs w:val="20"/>
          <w:color w:val="auto"/>
        </w:rPr>
      </w:pPr>
    </w:p>
    <w:p>
      <w:pPr>
        <w:ind w:left="8"/>
        <w:spacing w:after="0"/>
        <w:rPr>
          <w:sz w:val="20"/>
          <w:szCs w:val="20"/>
          <w:color w:val="auto"/>
        </w:rPr>
      </w:pPr>
      <w:r>
        <w:rPr>
          <w:rFonts w:ascii="Arial" w:cs="Arial" w:eastAsia="Arial" w:hAnsi="Arial"/>
          <w:sz w:val="12"/>
          <w:szCs w:val="12"/>
          <w:color w:val="auto"/>
        </w:rPr>
        <w:t>Martin B. Bloch</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149225</wp:posOffset>
            </wp:positionV>
            <wp:extent cx="729932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1" w:right="199" w:bottom="1440" w:gutter="0" w:footer="0" w:header="0"/>
        </w:sectPr>
      </w:pPr>
    </w:p>
    <w:bookmarkStart w:id="20" w:name="page21"/>
    <w:bookmarkEnd w:id="20"/>
    <w:p>
      <w:pPr>
        <w:jc w:val="right"/>
        <w:spacing w:after="0"/>
        <w:rPr>
          <w:sz w:val="20"/>
          <w:szCs w:val="20"/>
          <w:color w:val="auto"/>
        </w:rPr>
      </w:pPr>
      <w:r>
        <w:rPr>
          <w:rFonts w:ascii="Arial" w:cs="Arial" w:eastAsia="Arial" w:hAnsi="Arial"/>
          <w:sz w:val="12"/>
          <w:szCs w:val="12"/>
          <w:color w:val="auto"/>
        </w:rPr>
        <w:t>Exhibit 31.2</w:t>
      </w:r>
    </w:p>
    <w:p>
      <w:pPr>
        <w:spacing w:after="0" w:line="164" w:lineRule="exact"/>
        <w:rPr>
          <w:sz w:val="20"/>
          <w:szCs w:val="20"/>
          <w:color w:val="auto"/>
        </w:rPr>
      </w:pPr>
    </w:p>
    <w:p>
      <w:pPr>
        <w:jc w:val="center"/>
        <w:ind w:right="432"/>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ind w:right="432"/>
        <w:spacing w:after="0"/>
        <w:rPr>
          <w:sz w:val="20"/>
          <w:szCs w:val="20"/>
          <w:color w:val="auto"/>
        </w:rPr>
      </w:pPr>
      <w:r>
        <w:rPr>
          <w:rFonts w:ascii="Arial" w:cs="Arial" w:eastAsia="Arial" w:hAnsi="Arial"/>
          <w:sz w:val="12"/>
          <w:szCs w:val="12"/>
          <w:b w:val="1"/>
          <w:bCs w:val="1"/>
          <w:color w:val="auto"/>
        </w:rPr>
        <w:t>SECTION 302 OF</w:t>
      </w:r>
    </w:p>
    <w:p>
      <w:pPr>
        <w:spacing w:after="0" w:line="6" w:lineRule="exact"/>
        <w:rPr>
          <w:sz w:val="20"/>
          <w:szCs w:val="20"/>
          <w:color w:val="auto"/>
        </w:rPr>
      </w:pPr>
    </w:p>
    <w:p>
      <w:pPr>
        <w:jc w:val="center"/>
        <w:ind w:right="432"/>
        <w:spacing w:after="0"/>
        <w:rPr>
          <w:sz w:val="20"/>
          <w:szCs w:val="20"/>
          <w:color w:val="auto"/>
        </w:rPr>
      </w:pPr>
      <w:r>
        <w:rPr>
          <w:rFonts w:ascii="Arial" w:cs="Arial" w:eastAsia="Arial" w:hAnsi="Arial"/>
          <w:sz w:val="12"/>
          <w:szCs w:val="12"/>
          <w:b w:val="1"/>
          <w:bCs w:val="1"/>
          <w:color w:val="auto"/>
        </w:rPr>
        <w:t>THE SARBANES-OXLEY ACT OF 2002</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Certification of CFO</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I, Alan L. Miller, certify that</w:t>
      </w:r>
    </w:p>
    <w:p>
      <w:pPr>
        <w:spacing w:after="0" w:line="168" w:lineRule="exact"/>
        <w:rPr>
          <w:sz w:val="20"/>
          <w:szCs w:val="20"/>
          <w:color w:val="auto"/>
        </w:rPr>
      </w:pPr>
    </w:p>
    <w:p>
      <w:pPr>
        <w:ind w:left="148" w:hanging="148"/>
        <w:spacing w:after="0"/>
        <w:tabs>
          <w:tab w:leader="none" w:pos="148" w:val="left"/>
        </w:tabs>
        <w:numPr>
          <w:ilvl w:val="0"/>
          <w:numId w:val="4"/>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Frequency Electronics, Inc.;</w:t>
      </w:r>
    </w:p>
    <w:p>
      <w:pPr>
        <w:spacing w:after="0" w:line="168" w:lineRule="exact"/>
        <w:rPr>
          <w:rFonts w:ascii="Arial" w:cs="Arial" w:eastAsia="Arial" w:hAnsi="Arial"/>
          <w:sz w:val="12"/>
          <w:szCs w:val="12"/>
          <w:color w:val="auto"/>
        </w:rPr>
      </w:pPr>
    </w:p>
    <w:p>
      <w:pPr>
        <w:ind w:left="8" w:right="20" w:hanging="8"/>
        <w:spacing w:after="0" w:line="276"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2"/>
          <w:szCs w:val="12"/>
          <w:color w:val="auto"/>
        </w:rPr>
      </w:pPr>
    </w:p>
    <w:p>
      <w:pPr>
        <w:ind w:left="8" w:hanging="8"/>
        <w:spacing w:after="0" w:line="276" w:lineRule="auto"/>
        <w:tabs>
          <w:tab w:leader="none" w:pos="165" w:val="left"/>
        </w:tabs>
        <w:numPr>
          <w:ilvl w:val="0"/>
          <w:numId w:val="4"/>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8" w:hanging="8"/>
        <w:spacing w:after="0" w:line="276" w:lineRule="auto"/>
        <w:tabs>
          <w:tab w:leader="none" w:pos="161"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2"/>
          <w:szCs w:val="12"/>
          <w:color w:val="auto"/>
        </w:rPr>
      </w:pPr>
    </w:p>
    <w:p>
      <w:pPr>
        <w:ind w:left="428" w:firstLine="4"/>
        <w:spacing w:after="0" w:line="276" w:lineRule="auto"/>
        <w:tabs>
          <w:tab w:leader="none" w:pos="621" w:val="left"/>
        </w:tabs>
        <w:numPr>
          <w:ilvl w:val="1"/>
          <w:numId w:val="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2"/>
          <w:szCs w:val="12"/>
          <w:color w:val="auto"/>
        </w:rPr>
      </w:pPr>
    </w:p>
    <w:p>
      <w:pPr>
        <w:ind w:left="428" w:firstLine="4"/>
        <w:spacing w:after="0" w:line="276" w:lineRule="auto"/>
        <w:tabs>
          <w:tab w:leader="none" w:pos="653" w:val="left"/>
        </w:tabs>
        <w:numPr>
          <w:ilvl w:val="1"/>
          <w:numId w:val="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2"/>
          <w:szCs w:val="12"/>
          <w:color w:val="auto"/>
        </w:rPr>
      </w:pPr>
    </w:p>
    <w:p>
      <w:pPr>
        <w:ind w:left="428" w:right="20" w:firstLine="4"/>
        <w:spacing w:after="0" w:line="276" w:lineRule="auto"/>
        <w:tabs>
          <w:tab w:leader="none" w:pos="621" w:val="left"/>
        </w:tabs>
        <w:numPr>
          <w:ilvl w:val="1"/>
          <w:numId w:val="4"/>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2"/>
          <w:szCs w:val="12"/>
          <w:color w:val="auto"/>
        </w:rPr>
      </w:pPr>
    </w:p>
    <w:p>
      <w:pPr>
        <w:ind w:left="428" w:right="20" w:firstLine="4"/>
        <w:spacing w:after="0" w:line="276" w:lineRule="auto"/>
        <w:tabs>
          <w:tab w:leader="none" w:pos="633" w:val="left"/>
        </w:tabs>
        <w:numPr>
          <w:ilvl w:val="1"/>
          <w:numId w:val="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2"/>
          <w:szCs w:val="12"/>
          <w:color w:val="auto"/>
        </w:rPr>
      </w:pPr>
    </w:p>
    <w:p>
      <w:pPr>
        <w:ind w:left="8" w:right="20" w:hanging="8"/>
        <w:spacing w:after="0" w:line="276" w:lineRule="auto"/>
        <w:tabs>
          <w:tab w:leader="none" w:pos="159"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2"/>
          <w:szCs w:val="12"/>
          <w:color w:val="auto"/>
        </w:rPr>
      </w:pPr>
    </w:p>
    <w:p>
      <w:pPr>
        <w:ind w:left="428" w:firstLine="4"/>
        <w:spacing w:after="0" w:line="276" w:lineRule="auto"/>
        <w:tabs>
          <w:tab w:leader="none" w:pos="616" w:val="left"/>
        </w:tabs>
        <w:numPr>
          <w:ilvl w:val="1"/>
          <w:numId w:val="4"/>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2"/>
          <w:szCs w:val="12"/>
          <w:color w:val="auto"/>
        </w:rPr>
      </w:pPr>
    </w:p>
    <w:p>
      <w:pPr>
        <w:ind w:left="628" w:hanging="196"/>
        <w:spacing w:after="0"/>
        <w:tabs>
          <w:tab w:leader="none" w:pos="628" w:val="left"/>
        </w:tabs>
        <w:numPr>
          <w:ilvl w:val="1"/>
          <w:numId w:val="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asignificant role in the registrant’s internal control over financial reporting.</w:t>
      </w:r>
    </w:p>
    <w:p>
      <w:pPr>
        <w:spacing w:after="0" w:line="150" w:lineRule="exact"/>
        <w:rPr>
          <w:sz w:val="20"/>
          <w:szCs w:val="20"/>
          <w:color w:val="auto"/>
        </w:rPr>
      </w:pPr>
    </w:p>
    <w:p>
      <w:pPr>
        <w:ind w:left="68"/>
        <w:spacing w:after="0"/>
        <w:tabs>
          <w:tab w:leader="none" w:pos="7628" w:val="left"/>
        </w:tabs>
        <w:rPr>
          <w:sz w:val="20"/>
          <w:szCs w:val="20"/>
          <w:color w:val="auto"/>
        </w:rPr>
      </w:pPr>
      <w:r>
        <w:rPr>
          <w:rFonts w:ascii="Arial" w:cs="Arial" w:eastAsia="Arial" w:hAnsi="Arial"/>
          <w:sz w:val="12"/>
          <w:szCs w:val="12"/>
          <w:color w:val="auto"/>
        </w:rPr>
        <w:t>/s/  Alan Miller</w:t>
      </w:r>
      <w:r>
        <w:rPr>
          <w:sz w:val="20"/>
          <w:szCs w:val="20"/>
          <w:color w:val="auto"/>
        </w:rPr>
        <w:tab/>
      </w:r>
      <w:r>
        <w:rPr>
          <w:rFonts w:ascii="Arial" w:cs="Arial" w:eastAsia="Arial" w:hAnsi="Arial"/>
          <w:sz w:val="11"/>
          <w:szCs w:val="11"/>
          <w:color w:val="auto"/>
        </w:rPr>
        <w:t>March 17,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243078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30780" cy="11430"/>
                    </a:xfrm>
                    <a:prstGeom prst="rect">
                      <a:avLst/>
                    </a:prstGeom>
                    <a:noFill/>
                  </pic:spPr>
                </pic:pic>
              </a:graphicData>
            </a:graphic>
          </wp:anchor>
        </w:drawing>
      </w:r>
    </w:p>
    <w:p>
      <w:pPr>
        <w:spacing w:after="0" w:line="4" w:lineRule="exact"/>
        <w:rPr>
          <w:sz w:val="20"/>
          <w:szCs w:val="20"/>
          <w:color w:val="auto"/>
        </w:rPr>
      </w:pPr>
    </w:p>
    <w:p>
      <w:pPr>
        <w:ind w:left="8"/>
        <w:spacing w:after="0"/>
        <w:rPr>
          <w:sz w:val="20"/>
          <w:szCs w:val="20"/>
          <w:color w:val="auto"/>
        </w:rPr>
      </w:pPr>
      <w:r>
        <w:rPr>
          <w:rFonts w:ascii="Arial" w:cs="Arial" w:eastAsia="Arial" w:hAnsi="Arial"/>
          <w:sz w:val="12"/>
          <w:szCs w:val="12"/>
          <w:color w:val="auto"/>
        </w:rPr>
        <w:t>Alan L. Miller</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149225</wp:posOffset>
            </wp:positionV>
            <wp:extent cx="729932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1" w:right="199" w:bottom="1440" w:gutter="0" w:footer="0" w:header="0"/>
        </w:sectPr>
      </w:pPr>
    </w:p>
    <w:bookmarkStart w:id="21" w:name="page22"/>
    <w:bookmarkEnd w:id="21"/>
    <w:p>
      <w:pPr>
        <w:jc w:val="right"/>
        <w:spacing w:after="0"/>
        <w:rPr>
          <w:sz w:val="20"/>
          <w:szCs w:val="20"/>
          <w:color w:val="auto"/>
        </w:rPr>
      </w:pPr>
      <w:r>
        <w:rPr>
          <w:rFonts w:ascii="Arial" w:cs="Arial" w:eastAsia="Arial" w:hAnsi="Arial"/>
          <w:sz w:val="12"/>
          <w:szCs w:val="12"/>
          <w:color w:val="auto"/>
        </w:rPr>
        <w:t>Exhibit 32.1</w:t>
      </w:r>
    </w:p>
    <w:p>
      <w:pPr>
        <w:spacing w:after="0" w:line="164" w:lineRule="exact"/>
        <w:rPr>
          <w:sz w:val="20"/>
          <w:szCs w:val="20"/>
          <w:color w:val="auto"/>
        </w:rPr>
      </w:pPr>
    </w:p>
    <w:p>
      <w:pPr>
        <w:jc w:val="center"/>
        <w:ind w:right="440"/>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ind w:right="440"/>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ind w:right="440"/>
        <w:spacing w:after="0"/>
        <w:rPr>
          <w:sz w:val="20"/>
          <w:szCs w:val="20"/>
          <w:color w:val="auto"/>
        </w:rPr>
      </w:pPr>
      <w:r>
        <w:rPr>
          <w:rFonts w:ascii="Arial" w:cs="Arial" w:eastAsia="Arial" w:hAnsi="Arial"/>
          <w:sz w:val="12"/>
          <w:szCs w:val="12"/>
          <w:b w:val="1"/>
          <w:bCs w:val="1"/>
          <w:color w:val="auto"/>
        </w:rPr>
        <w:t>ADOPTED PURSUANT TO</w:t>
      </w:r>
    </w:p>
    <w:p>
      <w:pPr>
        <w:spacing w:after="0" w:line="6" w:lineRule="exact"/>
        <w:rPr>
          <w:sz w:val="20"/>
          <w:szCs w:val="20"/>
          <w:color w:val="auto"/>
        </w:rPr>
      </w:pPr>
    </w:p>
    <w:p>
      <w:pPr>
        <w:jc w:val="center"/>
        <w:ind w:right="440"/>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31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Certification of CEO</w:t>
      </w:r>
    </w:p>
    <w:p>
      <w:pPr>
        <w:spacing w:after="0" w:line="172"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In connection with the Quarterly Report of Frequency Electronics, Inc. (the “Company”) on Form 10-Q for the period ended January 31, 2009 as filed with the Securities and Exchange Commission on the date hereof (the “Report”), I, Martin B. Bloch, Chief Executive Officer of the Company, certify, pursuant to 18 U.S.C. Section 1350, as adopted pursuant to Section 906 of the Sarbanes-Oxley Act of 2002, that to my knowledge:</w:t>
      </w:r>
    </w:p>
    <w:p>
      <w:pPr>
        <w:spacing w:after="0" w:line="133" w:lineRule="exact"/>
        <w:rPr>
          <w:sz w:val="20"/>
          <w:szCs w:val="20"/>
          <w:color w:val="auto"/>
        </w:rPr>
      </w:pPr>
    </w:p>
    <w:p>
      <w:pPr>
        <w:ind w:left="640" w:hanging="199"/>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68" w:lineRule="exact"/>
        <w:rPr>
          <w:rFonts w:ascii="Arial" w:cs="Arial" w:eastAsia="Arial" w:hAnsi="Arial"/>
          <w:sz w:val="12"/>
          <w:szCs w:val="12"/>
          <w:color w:val="auto"/>
        </w:rPr>
      </w:pPr>
    </w:p>
    <w:p>
      <w:pPr>
        <w:ind w:left="640" w:hanging="199"/>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ind w:left="60"/>
        <w:spacing w:after="0"/>
        <w:tabs>
          <w:tab w:leader="none" w:pos="7620" w:val="left"/>
        </w:tabs>
        <w:rPr>
          <w:sz w:val="20"/>
          <w:szCs w:val="20"/>
          <w:color w:val="auto"/>
        </w:rPr>
      </w:pPr>
      <w:r>
        <w:rPr>
          <w:rFonts w:ascii="Arial" w:cs="Arial" w:eastAsia="Arial" w:hAnsi="Arial"/>
          <w:sz w:val="12"/>
          <w:szCs w:val="12"/>
          <w:color w:val="auto"/>
        </w:rPr>
        <w:t>/s/  Martin Bloch</w:t>
      </w:r>
      <w:r>
        <w:rPr>
          <w:sz w:val="20"/>
          <w:szCs w:val="20"/>
          <w:color w:val="auto"/>
        </w:rPr>
        <w:tab/>
      </w:r>
      <w:r>
        <w:rPr>
          <w:rFonts w:ascii="Arial" w:cs="Arial" w:eastAsia="Arial" w:hAnsi="Arial"/>
          <w:sz w:val="11"/>
          <w:szCs w:val="11"/>
          <w:color w:val="auto"/>
        </w:rPr>
        <w:t>March 17,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243078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30780" cy="1143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Martin B. Bloch</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Chief Executive Officer</w:t>
      </w:r>
    </w:p>
    <w:p>
      <w:pPr>
        <w:spacing w:after="0" w:line="200" w:lineRule="exact"/>
        <w:rPr>
          <w:sz w:val="20"/>
          <w:szCs w:val="20"/>
          <w:color w:val="auto"/>
        </w:rPr>
      </w:pPr>
    </w:p>
    <w:p>
      <w:pPr>
        <w:spacing w:after="0" w:line="284" w:lineRule="exact"/>
        <w:rPr>
          <w:sz w:val="20"/>
          <w:szCs w:val="20"/>
          <w:color w:val="auto"/>
        </w:rPr>
      </w:pPr>
    </w:p>
    <w:p>
      <w:pPr>
        <w:jc w:val="both"/>
        <w:ind w:left="420" w:right="780"/>
        <w:spacing w:after="0" w:line="323" w:lineRule="auto"/>
        <w:rPr>
          <w:sz w:val="20"/>
          <w:szCs w:val="20"/>
          <w:color w:val="auto"/>
        </w:rPr>
      </w:pPr>
      <w:r>
        <w:rPr>
          <w:rFonts w:ascii="Arial" w:cs="Arial" w:eastAsia="Arial" w:hAnsi="Arial"/>
          <w:sz w:val="11"/>
          <w:szCs w:val="1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1"/>
          <w:szCs w:val="11"/>
          <w:b w:val="1"/>
          <w:bCs w:val="1"/>
          <w:color w:val="auto"/>
        </w:rPr>
        <w:t>.</w:t>
      </w:r>
    </w:p>
    <w:p>
      <w:pPr>
        <w:spacing w:after="0" w:line="272" w:lineRule="exact"/>
        <w:rPr>
          <w:sz w:val="20"/>
          <w:szCs w:val="20"/>
          <w:color w:val="auto"/>
        </w:rPr>
      </w:pPr>
    </w:p>
    <w:p>
      <w:pPr>
        <w:jc w:val="both"/>
        <w:ind w:left="420" w:right="780"/>
        <w:spacing w:after="0" w:line="263" w:lineRule="auto"/>
        <w:rPr>
          <w:sz w:val="20"/>
          <w:szCs w:val="20"/>
          <w:color w:val="auto"/>
        </w:rPr>
      </w:pPr>
      <w:r>
        <w:rPr>
          <w:rFonts w:ascii="Arial" w:cs="Arial" w:eastAsia="Arial" w:hAnsi="Arial"/>
          <w:sz w:val="12"/>
          <w:szCs w:val="12"/>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343535</wp:posOffset>
            </wp:positionV>
            <wp:extent cx="729932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2" w:name="page23"/>
    <w:bookmarkEnd w:id="22"/>
    <w:p>
      <w:pPr>
        <w:jc w:val="right"/>
        <w:spacing w:after="0"/>
        <w:rPr>
          <w:sz w:val="20"/>
          <w:szCs w:val="20"/>
          <w:color w:val="auto"/>
        </w:rPr>
      </w:pPr>
      <w:r>
        <w:rPr>
          <w:rFonts w:ascii="Arial" w:cs="Arial" w:eastAsia="Arial" w:hAnsi="Arial"/>
          <w:sz w:val="12"/>
          <w:szCs w:val="12"/>
          <w:color w:val="auto"/>
        </w:rPr>
        <w:t>Exhibit 32.2</w:t>
      </w:r>
    </w:p>
    <w:p>
      <w:pPr>
        <w:spacing w:after="0" w:line="164" w:lineRule="exact"/>
        <w:rPr>
          <w:sz w:val="20"/>
          <w:szCs w:val="20"/>
          <w:color w:val="auto"/>
        </w:rPr>
      </w:pPr>
    </w:p>
    <w:p>
      <w:pPr>
        <w:jc w:val="center"/>
        <w:ind w:right="440"/>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ind w:right="440"/>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ind w:right="440"/>
        <w:spacing w:after="0"/>
        <w:rPr>
          <w:sz w:val="20"/>
          <w:szCs w:val="20"/>
          <w:color w:val="auto"/>
        </w:rPr>
      </w:pPr>
      <w:r>
        <w:rPr>
          <w:rFonts w:ascii="Arial" w:cs="Arial" w:eastAsia="Arial" w:hAnsi="Arial"/>
          <w:sz w:val="12"/>
          <w:szCs w:val="12"/>
          <w:b w:val="1"/>
          <w:bCs w:val="1"/>
          <w:color w:val="auto"/>
        </w:rPr>
        <w:t>ADOPTED PURSUANT TO</w:t>
      </w:r>
    </w:p>
    <w:p>
      <w:pPr>
        <w:spacing w:after="0" w:line="6" w:lineRule="exact"/>
        <w:rPr>
          <w:sz w:val="20"/>
          <w:szCs w:val="20"/>
          <w:color w:val="auto"/>
        </w:rPr>
      </w:pPr>
    </w:p>
    <w:p>
      <w:pPr>
        <w:jc w:val="center"/>
        <w:ind w:right="440"/>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31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Certification of CFO</w:t>
      </w:r>
    </w:p>
    <w:p>
      <w:pPr>
        <w:spacing w:after="0" w:line="172" w:lineRule="exact"/>
        <w:rPr>
          <w:sz w:val="20"/>
          <w:szCs w:val="20"/>
          <w:color w:val="auto"/>
        </w:rPr>
      </w:pPr>
    </w:p>
    <w:p>
      <w:pPr>
        <w:ind w:right="440"/>
        <w:spacing w:after="0" w:line="323" w:lineRule="auto"/>
        <w:rPr>
          <w:sz w:val="20"/>
          <w:szCs w:val="20"/>
          <w:color w:val="auto"/>
        </w:rPr>
      </w:pPr>
      <w:r>
        <w:rPr>
          <w:rFonts w:ascii="Arial" w:cs="Arial" w:eastAsia="Arial" w:hAnsi="Arial"/>
          <w:sz w:val="11"/>
          <w:szCs w:val="11"/>
          <w:color w:val="auto"/>
        </w:rPr>
        <w:t>In connection with the Quarterly Report of Frequency Electronics, Inc. (the “Company”) on Form 10-Q for the period ended January 31, 2009 as filed with the Securities and Exchange Commission on the date hereof (the “Report”), I, Alan L. Miller, Chief Financial Officer of the Company, certify, pursuant to 18 U.S.C. Section 1350, as adopted pursuant to Section 906 of the Sarbanes-Oxley Act of 2002, that to my knowledge:</w:t>
      </w:r>
    </w:p>
    <w:p>
      <w:pPr>
        <w:spacing w:after="0" w:line="110" w:lineRule="exact"/>
        <w:rPr>
          <w:sz w:val="20"/>
          <w:szCs w:val="20"/>
          <w:color w:val="auto"/>
        </w:rPr>
      </w:pPr>
    </w:p>
    <w:p>
      <w:pPr>
        <w:ind w:left="540" w:hanging="208"/>
        <w:spacing w:after="0"/>
        <w:tabs>
          <w:tab w:leader="none" w:pos="54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68" w:lineRule="exact"/>
        <w:rPr>
          <w:rFonts w:ascii="Arial" w:cs="Arial" w:eastAsia="Arial" w:hAnsi="Arial"/>
          <w:sz w:val="12"/>
          <w:szCs w:val="12"/>
          <w:color w:val="auto"/>
        </w:rPr>
      </w:pPr>
    </w:p>
    <w:p>
      <w:pPr>
        <w:ind w:left="540" w:hanging="208"/>
        <w:spacing w:after="0"/>
        <w:tabs>
          <w:tab w:leader="none" w:pos="54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ind w:left="60"/>
        <w:spacing w:after="0"/>
        <w:tabs>
          <w:tab w:leader="none" w:pos="7620" w:val="left"/>
        </w:tabs>
        <w:rPr>
          <w:sz w:val="20"/>
          <w:szCs w:val="20"/>
          <w:color w:val="auto"/>
        </w:rPr>
      </w:pPr>
      <w:r>
        <w:rPr>
          <w:rFonts w:ascii="Arial" w:cs="Arial" w:eastAsia="Arial" w:hAnsi="Arial"/>
          <w:sz w:val="12"/>
          <w:szCs w:val="12"/>
          <w:color w:val="auto"/>
        </w:rPr>
        <w:t>/s/  Alan Miller</w:t>
      </w:r>
      <w:r>
        <w:rPr>
          <w:sz w:val="20"/>
          <w:szCs w:val="20"/>
          <w:color w:val="auto"/>
        </w:rPr>
        <w:tab/>
      </w:r>
      <w:r>
        <w:rPr>
          <w:rFonts w:ascii="Arial" w:cs="Arial" w:eastAsia="Arial" w:hAnsi="Arial"/>
          <w:sz w:val="11"/>
          <w:szCs w:val="11"/>
          <w:color w:val="auto"/>
        </w:rPr>
        <w:t>March 17,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243078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30780" cy="1143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Alan L. Miller</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Chief Financial Officer</w:t>
      </w:r>
    </w:p>
    <w:p>
      <w:pPr>
        <w:spacing w:after="0" w:line="200" w:lineRule="exact"/>
        <w:rPr>
          <w:sz w:val="20"/>
          <w:szCs w:val="20"/>
          <w:color w:val="auto"/>
        </w:rPr>
      </w:pPr>
    </w:p>
    <w:p>
      <w:pPr>
        <w:spacing w:after="0" w:line="284" w:lineRule="exact"/>
        <w:rPr>
          <w:sz w:val="20"/>
          <w:szCs w:val="20"/>
          <w:color w:val="auto"/>
        </w:rPr>
      </w:pPr>
    </w:p>
    <w:p>
      <w:pPr>
        <w:jc w:val="both"/>
        <w:ind w:left="420" w:right="780"/>
        <w:spacing w:after="0" w:line="323" w:lineRule="auto"/>
        <w:rPr>
          <w:sz w:val="20"/>
          <w:szCs w:val="20"/>
          <w:color w:val="auto"/>
        </w:rPr>
      </w:pPr>
      <w:r>
        <w:rPr>
          <w:rFonts w:ascii="Arial" w:cs="Arial" w:eastAsia="Arial" w:hAnsi="Arial"/>
          <w:sz w:val="11"/>
          <w:szCs w:val="1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1"/>
          <w:szCs w:val="11"/>
          <w:b w:val="1"/>
          <w:bCs w:val="1"/>
          <w:color w:val="auto"/>
        </w:rPr>
        <w:t>.</w:t>
      </w:r>
    </w:p>
    <w:p>
      <w:pPr>
        <w:spacing w:after="0" w:line="272" w:lineRule="exact"/>
        <w:rPr>
          <w:sz w:val="20"/>
          <w:szCs w:val="20"/>
          <w:color w:val="auto"/>
        </w:rPr>
      </w:pPr>
    </w:p>
    <w:p>
      <w:pPr>
        <w:jc w:val="both"/>
        <w:ind w:left="420" w:right="780"/>
        <w:spacing w:after="0" w:line="263" w:lineRule="auto"/>
        <w:rPr>
          <w:sz w:val="20"/>
          <w:szCs w:val="20"/>
          <w:color w:val="auto"/>
        </w:rPr>
      </w:pPr>
      <w:r>
        <w:rPr>
          <w:rFonts w:ascii="Arial" w:cs="Arial" w:eastAsia="Arial" w:hAnsi="Arial"/>
          <w:sz w:val="12"/>
          <w:szCs w:val="12"/>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343535</wp:posOffset>
            </wp:positionV>
            <wp:extent cx="7299325"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sectPr>
      <w:pgSz w:w="11900" w:h="16838" w:orient="portrait"/>
      <w:cols w:equalWidth="0" w:num="1">
        <w:col w:w="11480"/>
      </w:cols>
      <w:pgMar w:left="220" w:top="13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2019-12-10T00:40:53Z</dcterms:created>
  <dcterms:modified xsi:type="dcterms:W3CDTF">2019-12-10T00:40:53Z</dcterms:modified>
</cp:coreProperties>
</file>