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1"/>
        <w:gridCol w:w="3063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Bernstein Steven Lawrence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FREQUENCY ELECTRONICS,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 CHARLES LINDBERGH BLVD.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MITCHEL FIELD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NY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11553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1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FREQUENCY ELECTRONICS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FEIM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3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1"/>
              <w:gridCol w:w="1030"/>
              <w:gridCol w:w="441"/>
              <w:gridCol w:w="1031"/>
            </w:tblGrid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3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CFO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306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3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3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64"/>
        <w:gridCol w:w="905"/>
        <w:gridCol w:w="774"/>
        <w:gridCol w:w="601"/>
        <w:gridCol w:w="348"/>
        <w:gridCol w:w="888"/>
        <w:gridCol w:w="454"/>
        <w:gridCol w:w="755"/>
        <w:gridCol w:w="1195"/>
        <w:gridCol w:w="997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6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9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6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6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07/31/2026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9,022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57.97</w:t>
            </w:r>
          </w:p>
        </w:tc>
        <w:tc>
          <w:tcPr>
            <w:tcW w:w="119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114,570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withheld by the Company to cover tax obligations upon vesting of previously granted equity awards.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Reflects reporting person's beneficial ownership as of 08/04/2026.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Steven Bernstein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08/04/2026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82629" TargetMode="External"/><Relationship Id="rId5" Type="http://schemas.openxmlformats.org/officeDocument/2006/relationships/hyperlink" Target="http://www.sec.gov/cgi-bin/browse-edgar?action=getcompany&amp;CIK=00000390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591</Words>
  <Characters>3249</Characters>
  <CharactersWithSpaces>3771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