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135890</wp:posOffset>
            </wp:positionH>
            <wp:positionV relativeFrom="page">
              <wp:posOffset>104140</wp:posOffset>
            </wp:positionV>
            <wp:extent cx="729043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0435" cy="3111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3191510</wp:posOffset>
            </wp:positionH>
            <wp:positionV relativeFrom="paragraph">
              <wp:posOffset>150495</wp:posOffset>
            </wp:positionV>
            <wp:extent cx="89916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9160" cy="1905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3191510</wp:posOffset>
            </wp:positionH>
            <wp:positionV relativeFrom="paragraph">
              <wp:posOffset>177165</wp:posOffset>
            </wp:positionV>
            <wp:extent cx="89916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9160" cy="1905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08" w:lineRule="exact"/>
        <w:rPr>
          <w:sz w:val="24"/>
          <w:szCs w:val="24"/>
          <w:color w:val="auto"/>
        </w:rPr>
      </w:pPr>
    </w:p>
    <w:p>
      <w:pPr>
        <w:ind w:left="360"/>
        <w:spacing w:after="0"/>
        <w:rPr>
          <w:sz w:val="20"/>
          <w:szCs w:val="20"/>
          <w:color w:val="auto"/>
        </w:rPr>
      </w:pPr>
      <w:r>
        <w:rPr>
          <w:rFonts w:ascii="Arial" w:cs="Arial" w:eastAsia="Arial" w:hAnsi="Arial"/>
          <w:sz w:val="13"/>
          <w:szCs w:val="13"/>
          <w:color w:val="auto"/>
        </w:rPr>
        <w:t>x QUARTERLY REPORT PURSUANT TO SECTION 13 or 15 (d)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 the Quarterly Period ended October 31, 2015</w:t>
      </w:r>
    </w:p>
    <w:p>
      <w:pPr>
        <w:spacing w:after="0" w:line="181" w:lineRule="exact"/>
        <w:rPr>
          <w:sz w:val="24"/>
          <w:szCs w:val="24"/>
          <w:color w:val="auto"/>
        </w:rPr>
      </w:pPr>
    </w:p>
    <w:p>
      <w:pPr>
        <w:ind w:left="5640"/>
        <w:spacing w:after="0"/>
        <w:rPr>
          <w:sz w:val="20"/>
          <w:szCs w:val="20"/>
          <w:color w:val="auto"/>
        </w:rPr>
      </w:pPr>
      <w:r>
        <w:rPr>
          <w:rFonts w:ascii="Arial" w:cs="Arial" w:eastAsia="Arial" w:hAnsi="Arial"/>
          <w:sz w:val="13"/>
          <w:szCs w:val="13"/>
          <w:b w:val="1"/>
          <w:bCs w:val="1"/>
          <w:color w:val="auto"/>
        </w:rPr>
        <w:t>OR</w:t>
      </w:r>
    </w:p>
    <w:p>
      <w:pPr>
        <w:spacing w:after="0" w:line="31" w:lineRule="exact"/>
        <w:rPr>
          <w:sz w:val="24"/>
          <w:szCs w:val="24"/>
          <w:color w:val="auto"/>
        </w:rPr>
      </w:pPr>
    </w:p>
    <w:p>
      <w:pPr>
        <w:ind w:left="360"/>
        <w:spacing w:after="0"/>
        <w:rPr>
          <w:sz w:val="20"/>
          <w:szCs w:val="20"/>
          <w:color w:val="auto"/>
        </w:rPr>
      </w:pPr>
      <w:r>
        <w:rPr>
          <w:rFonts w:ascii="Arial" w:cs="Arial" w:eastAsia="Arial" w:hAnsi="Arial"/>
          <w:sz w:val="13"/>
          <w:szCs w:val="13"/>
          <w:color w:val="auto"/>
        </w:rPr>
        <w:t>o TRANSITION REPORT PURSUANT TO SECTION 13 or 15 (d) OF THE SECURITIES EXCHANGE ACT OF 1934</w:t>
      </w:r>
    </w:p>
    <w:p>
      <w:pPr>
        <w:spacing w:after="0" w:line="185" w:lineRule="exact"/>
        <w:rPr>
          <w:sz w:val="24"/>
          <w:szCs w:val="24"/>
          <w:color w:val="auto"/>
        </w:rPr>
      </w:pPr>
    </w:p>
    <w:p>
      <w:pPr>
        <w:ind w:left="4200"/>
        <w:spacing w:after="0"/>
        <w:rPr>
          <w:sz w:val="20"/>
          <w:szCs w:val="20"/>
          <w:color w:val="auto"/>
        </w:rPr>
      </w:pPr>
      <w:r>
        <w:rPr>
          <w:rFonts w:ascii="Arial" w:cs="Arial" w:eastAsia="Arial" w:hAnsi="Arial"/>
          <w:sz w:val="13"/>
          <w:szCs w:val="13"/>
          <w:color w:val="auto"/>
        </w:rPr>
        <w:t>For the transition period from __________ to 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Commission File No. 1-8061</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FREQUENCY ELECTRONICS,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Delaware</w:t>
            </w:r>
          </w:p>
        </w:tc>
        <w:tc>
          <w:tcPr>
            <w:tcW w:w="3000" w:type="dxa"/>
            <w:vAlign w:val="bottom"/>
            <w:gridSpan w:val="2"/>
          </w:tcPr>
          <w:p>
            <w:pPr>
              <w:spacing w:after="0"/>
              <w:rPr>
                <w:sz w:val="13"/>
                <w:szCs w:val="13"/>
                <w:color w:val="auto"/>
              </w:rPr>
            </w:pPr>
          </w:p>
        </w:tc>
        <w:tc>
          <w:tcPr>
            <w:tcW w:w="342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11-1986657</w:t>
            </w:r>
          </w:p>
        </w:tc>
      </w:tr>
      <w:tr>
        <w:trPr>
          <w:trHeight w:val="20"/>
        </w:trPr>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58"/>
        </w:trPr>
        <w:tc>
          <w:tcPr>
            <w:tcW w:w="1120" w:type="dxa"/>
            <w:vAlign w:val="bottom"/>
          </w:tcPr>
          <w:p>
            <w:pPr>
              <w:spacing w:after="0"/>
              <w:rPr>
                <w:sz w:val="13"/>
                <w:szCs w:val="13"/>
                <w:color w:val="auto"/>
              </w:rPr>
            </w:pPr>
          </w:p>
        </w:tc>
        <w:tc>
          <w:tcPr>
            <w:tcW w:w="5020" w:type="dxa"/>
            <w:vAlign w:val="bottom"/>
            <w:gridSpan w:val="4"/>
          </w:tcPr>
          <w:p>
            <w:pPr>
              <w:jc w:val="center"/>
              <w:ind w:right="1540"/>
              <w:spacing w:after="0"/>
              <w:rPr>
                <w:sz w:val="20"/>
                <w:szCs w:val="20"/>
                <w:color w:val="auto"/>
              </w:rPr>
            </w:pPr>
            <w:r>
              <w:rPr>
                <w:rFonts w:ascii="Arial" w:cs="Arial" w:eastAsia="Arial" w:hAnsi="Arial"/>
                <w:sz w:val="13"/>
                <w:szCs w:val="13"/>
                <w:color w:val="auto"/>
                <w:w w:val="93"/>
              </w:rPr>
              <w:t>(State or other jurisdiction of</w:t>
            </w:r>
          </w:p>
        </w:tc>
        <w:tc>
          <w:tcPr>
            <w:tcW w:w="3420" w:type="dxa"/>
            <w:vAlign w:val="bottom"/>
            <w:gridSpan w:val="5"/>
          </w:tcPr>
          <w:p>
            <w:pPr>
              <w:jc w:val="center"/>
              <w:ind w:left="1454"/>
              <w:spacing w:after="0"/>
              <w:rPr>
                <w:sz w:val="20"/>
                <w:szCs w:val="20"/>
                <w:color w:val="auto"/>
              </w:rPr>
            </w:pPr>
            <w:r>
              <w:rPr>
                <w:rFonts w:ascii="Arial" w:cs="Arial" w:eastAsia="Arial" w:hAnsi="Arial"/>
                <w:sz w:val="13"/>
                <w:szCs w:val="13"/>
                <w:color w:val="auto"/>
                <w:w w:val="94"/>
              </w:rPr>
              <w:t>(I.R.S. Employer Identification No.)</w:t>
            </w:r>
          </w:p>
        </w:tc>
      </w:tr>
      <w:tr>
        <w:trPr>
          <w:trHeight w:val="165"/>
        </w:trPr>
        <w:tc>
          <w:tcPr>
            <w:tcW w:w="1120" w:type="dxa"/>
            <w:vAlign w:val="bottom"/>
          </w:tcPr>
          <w:p>
            <w:pPr>
              <w:spacing w:after="0"/>
              <w:rPr>
                <w:sz w:val="14"/>
                <w:szCs w:val="14"/>
                <w:color w:val="auto"/>
              </w:rPr>
            </w:pPr>
          </w:p>
        </w:tc>
        <w:tc>
          <w:tcPr>
            <w:tcW w:w="5020" w:type="dxa"/>
            <w:vAlign w:val="bottom"/>
            <w:gridSpan w:val="4"/>
          </w:tcPr>
          <w:p>
            <w:pPr>
              <w:jc w:val="center"/>
              <w:ind w:right="1520"/>
              <w:spacing w:after="0"/>
              <w:rPr>
                <w:sz w:val="20"/>
                <w:szCs w:val="20"/>
                <w:color w:val="auto"/>
              </w:rPr>
            </w:pPr>
            <w:r>
              <w:rPr>
                <w:rFonts w:ascii="Arial" w:cs="Arial" w:eastAsia="Arial" w:hAnsi="Arial"/>
                <w:sz w:val="13"/>
                <w:szCs w:val="13"/>
                <w:color w:val="auto"/>
                <w:w w:val="93"/>
              </w:rPr>
              <w:t>incorporation or organization)</w:t>
            </w: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86"/>
        </w:trPr>
        <w:tc>
          <w:tcPr>
            <w:tcW w:w="1120" w:type="dxa"/>
            <w:vAlign w:val="bottom"/>
          </w:tcPr>
          <w:p>
            <w:pPr>
              <w:spacing w:after="0"/>
              <w:rPr>
                <w:sz w:val="24"/>
                <w:szCs w:val="24"/>
                <w:color w:val="auto"/>
              </w:rPr>
            </w:pPr>
          </w:p>
        </w:tc>
        <w:tc>
          <w:tcPr>
            <w:tcW w:w="3500" w:type="dxa"/>
            <w:vAlign w:val="bottom"/>
            <w:gridSpan w:val="3"/>
          </w:tcPr>
          <w:p>
            <w:pPr>
              <w:jc w:val="center"/>
              <w:spacing w:after="0"/>
              <w:rPr>
                <w:sz w:val="20"/>
                <w:szCs w:val="20"/>
                <w:color w:val="auto"/>
              </w:rPr>
            </w:pPr>
            <w:r>
              <w:rPr>
                <w:rFonts w:ascii="Arial" w:cs="Arial" w:eastAsia="Arial" w:hAnsi="Arial"/>
                <w:sz w:val="13"/>
                <w:szCs w:val="13"/>
                <w:b w:val="1"/>
                <w:bCs w:val="1"/>
                <w:color w:val="auto"/>
              </w:rPr>
              <w:t>55 CHARLES LINDBERGH BLVD., MITCHEL FIELD, N.Y.</w:t>
            </w:r>
          </w:p>
        </w:tc>
        <w:tc>
          <w:tcPr>
            <w:tcW w:w="1520" w:type="dxa"/>
            <w:vAlign w:val="bottom"/>
          </w:tcPr>
          <w:p>
            <w:pPr>
              <w:spacing w:after="0"/>
              <w:rPr>
                <w:sz w:val="24"/>
                <w:szCs w:val="24"/>
                <w:color w:val="auto"/>
              </w:rPr>
            </w:pPr>
          </w:p>
        </w:tc>
        <w:tc>
          <w:tcPr>
            <w:tcW w:w="2300" w:type="dxa"/>
            <w:vAlign w:val="bottom"/>
            <w:gridSpan w:val="2"/>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2"/>
              </w:rPr>
              <w:t>11553</w:t>
            </w:r>
          </w:p>
        </w:tc>
        <w:tc>
          <w:tcPr>
            <w:tcW w:w="6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65"/>
        </w:trPr>
        <w:tc>
          <w:tcPr>
            <w:tcW w:w="1120" w:type="dxa"/>
            <w:vAlign w:val="bottom"/>
          </w:tcPr>
          <w:p>
            <w:pPr>
              <w:spacing w:after="0"/>
              <w:rPr>
                <w:sz w:val="14"/>
                <w:szCs w:val="14"/>
                <w:color w:val="auto"/>
              </w:rPr>
            </w:pPr>
          </w:p>
        </w:tc>
        <w:tc>
          <w:tcPr>
            <w:tcW w:w="3500" w:type="dxa"/>
            <w:vAlign w:val="bottom"/>
            <w:gridSpan w:val="3"/>
          </w:tcPr>
          <w:p>
            <w:pPr>
              <w:jc w:val="center"/>
              <w:ind w:right="20"/>
              <w:spacing w:after="0"/>
              <w:rPr>
                <w:sz w:val="20"/>
                <w:szCs w:val="20"/>
                <w:color w:val="auto"/>
              </w:rPr>
            </w:pPr>
            <w:r>
              <w:rPr>
                <w:rFonts w:ascii="Arial" w:cs="Arial" w:eastAsia="Arial" w:hAnsi="Arial"/>
                <w:sz w:val="13"/>
                <w:szCs w:val="13"/>
                <w:color w:val="auto"/>
                <w:w w:val="93"/>
              </w:rPr>
              <w:t>(Address of principal executive offices)</w:t>
            </w:r>
          </w:p>
        </w:tc>
        <w:tc>
          <w:tcPr>
            <w:tcW w:w="1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gridSpan w:val="4"/>
          </w:tcPr>
          <w:p>
            <w:pPr>
              <w:jc w:val="center"/>
              <w:ind w:right="640"/>
              <w:spacing w:after="0"/>
              <w:rPr>
                <w:sz w:val="20"/>
                <w:szCs w:val="20"/>
                <w:color w:val="auto"/>
              </w:rPr>
            </w:pPr>
            <w:r>
              <w:rPr>
                <w:rFonts w:ascii="Arial" w:cs="Arial" w:eastAsia="Arial" w:hAnsi="Arial"/>
                <w:sz w:val="13"/>
                <w:szCs w:val="13"/>
                <w:color w:val="auto"/>
                <w:w w:val="94"/>
              </w:rPr>
              <w:t>(Zip Code)</w:t>
            </w:r>
          </w:p>
        </w:tc>
      </w:tr>
      <w:tr>
        <w:trPr>
          <w:trHeight w:val="334"/>
        </w:trPr>
        <w:tc>
          <w:tcPr>
            <w:tcW w:w="6140" w:type="dxa"/>
            <w:vAlign w:val="bottom"/>
            <w:gridSpan w:val="5"/>
          </w:tcPr>
          <w:p>
            <w:pP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516-794-4500</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69" w:lineRule="exact"/>
        <w:rPr>
          <w:sz w:val="24"/>
          <w:szCs w:val="24"/>
          <w:color w:val="auto"/>
        </w:rPr>
      </w:pPr>
    </w:p>
    <w:p>
      <w:pPr>
        <w:spacing w:after="0" w:line="276"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48" w:lineRule="exact"/>
        <w:rPr>
          <w:sz w:val="24"/>
          <w:szCs w:val="24"/>
          <w:color w:val="auto"/>
        </w:rPr>
      </w:pPr>
    </w:p>
    <w:p>
      <w:pPr>
        <w:spacing w:after="0" w:line="276"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48" w:lineRule="exact"/>
        <w:rPr>
          <w:sz w:val="24"/>
          <w:szCs w:val="24"/>
          <w:color w:val="auto"/>
        </w:rPr>
      </w:pPr>
    </w:p>
    <w:p>
      <w:pPr>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2720" w:type="dxa"/>
            <w:vAlign w:val="bottom"/>
          </w:tcPr>
          <w:p>
            <w:pPr>
              <w:ind w:left="680"/>
              <w:spacing w:after="0"/>
              <w:rPr>
                <w:sz w:val="20"/>
                <w:szCs w:val="20"/>
                <w:color w:val="auto"/>
              </w:rPr>
            </w:pPr>
            <w:r>
              <w:rPr>
                <w:rFonts w:ascii="Arial" w:cs="Arial" w:eastAsia="Arial" w:hAnsi="Arial"/>
                <w:sz w:val="13"/>
                <w:szCs w:val="13"/>
                <w:color w:val="auto"/>
              </w:rPr>
              <w:t>Large accelerated filer o</w:t>
            </w:r>
          </w:p>
        </w:tc>
        <w:tc>
          <w:tcPr>
            <w:tcW w:w="3660" w:type="dxa"/>
            <w:vAlign w:val="bottom"/>
          </w:tcPr>
          <w:p>
            <w:pPr>
              <w:ind w:left="760"/>
              <w:spacing w:after="0"/>
              <w:rPr>
                <w:sz w:val="20"/>
                <w:szCs w:val="20"/>
                <w:color w:val="auto"/>
              </w:rPr>
            </w:pPr>
            <w:r>
              <w:rPr>
                <w:rFonts w:ascii="Arial" w:cs="Arial" w:eastAsia="Arial" w:hAnsi="Arial"/>
                <w:sz w:val="13"/>
                <w:szCs w:val="13"/>
                <w:color w:val="auto"/>
              </w:rPr>
              <w:t>Accelerated filer o</w:t>
            </w:r>
          </w:p>
        </w:tc>
        <w:tc>
          <w:tcPr>
            <w:tcW w:w="2420" w:type="dxa"/>
            <w:vAlign w:val="bottom"/>
          </w:tcPr>
          <w:p>
            <w:pPr>
              <w:jc w:val="center"/>
              <w:ind w:right="994"/>
              <w:spacing w:after="0"/>
              <w:rPr>
                <w:sz w:val="20"/>
                <w:szCs w:val="20"/>
                <w:color w:val="auto"/>
              </w:rPr>
            </w:pPr>
            <w:r>
              <w:rPr>
                <w:rFonts w:ascii="Arial" w:cs="Arial" w:eastAsia="Arial" w:hAnsi="Arial"/>
                <w:sz w:val="13"/>
                <w:szCs w:val="13"/>
                <w:color w:val="auto"/>
                <w:w w:val="91"/>
              </w:rPr>
              <w:t>Non-accelerated filer o</w:t>
            </w:r>
          </w:p>
        </w:tc>
        <w:tc>
          <w:tcPr>
            <w:tcW w:w="2660" w:type="dxa"/>
            <w:vAlign w:val="bottom"/>
          </w:tcPr>
          <w:p>
            <w:pPr>
              <w:ind w:left="560"/>
              <w:spacing w:after="0"/>
              <w:rPr>
                <w:sz w:val="20"/>
                <w:szCs w:val="20"/>
                <w:color w:val="auto"/>
              </w:rPr>
            </w:pPr>
            <w:r>
              <w:rPr>
                <w:rFonts w:ascii="Arial" w:cs="Arial" w:eastAsia="Arial" w:hAnsi="Arial"/>
                <w:sz w:val="13"/>
                <w:szCs w:val="13"/>
                <w:color w:val="auto"/>
              </w:rPr>
              <w:t>Smaller Reporting Company x</w:t>
            </w:r>
          </w:p>
        </w:tc>
      </w:tr>
      <w:tr>
        <w:trPr>
          <w:trHeight w:val="165"/>
        </w:trPr>
        <w:tc>
          <w:tcPr>
            <w:tcW w:w="2720" w:type="dxa"/>
            <w:vAlign w:val="bottom"/>
          </w:tcPr>
          <w:p>
            <w:pPr>
              <w:spacing w:after="0"/>
              <w:rPr>
                <w:sz w:val="14"/>
                <w:szCs w:val="14"/>
                <w:color w:val="auto"/>
              </w:rPr>
            </w:pPr>
          </w:p>
        </w:tc>
        <w:tc>
          <w:tcPr>
            <w:tcW w:w="6080" w:type="dxa"/>
            <w:vAlign w:val="bottom"/>
            <w:gridSpan w:val="2"/>
          </w:tcPr>
          <w:p>
            <w:pPr>
              <w:jc w:val="center"/>
              <w:ind w:left="2534"/>
              <w:spacing w:after="0"/>
              <w:rPr>
                <w:sz w:val="20"/>
                <w:szCs w:val="20"/>
                <w:color w:val="auto"/>
              </w:rPr>
            </w:pPr>
            <w:r>
              <w:rPr>
                <w:rFonts w:ascii="Arial" w:cs="Arial" w:eastAsia="Arial" w:hAnsi="Arial"/>
                <w:sz w:val="13"/>
                <w:szCs w:val="13"/>
                <w:color w:val="auto"/>
                <w:w w:val="92"/>
              </w:rPr>
              <w:t>(do not check if a smaller reporting company)</w:t>
            </w:r>
          </w:p>
        </w:tc>
        <w:tc>
          <w:tcPr>
            <w:tcW w:w="2660" w:type="dxa"/>
            <w:vAlign w:val="bottom"/>
          </w:tcPr>
          <w:p>
            <w:pPr>
              <w:spacing w:after="0"/>
              <w:rPr>
                <w:sz w:val="14"/>
                <w:szCs w:val="14"/>
                <w:color w:val="auto"/>
              </w:rPr>
            </w:pPr>
          </w:p>
        </w:tc>
      </w:tr>
      <w:tr>
        <w:trPr>
          <w:trHeight w:val="334"/>
        </w:trPr>
        <w:tc>
          <w:tcPr>
            <w:tcW w:w="6380" w:type="dxa"/>
            <w:vAlign w:val="bottom"/>
            <w:gridSpan w:val="2"/>
          </w:tcPr>
          <w:p>
            <w:pPr>
              <w:spacing w:after="0"/>
              <w:rPr>
                <w:sz w:val="20"/>
                <w:szCs w:val="20"/>
                <w:color w:val="auto"/>
              </w:rPr>
            </w:pPr>
            <w:r>
              <w:rPr>
                <w:rFonts w:ascii="Arial" w:cs="Arial" w:eastAsia="Arial" w:hAnsi="Arial"/>
                <w:sz w:val="13"/>
                <w:szCs w:val="13"/>
                <w:color w:val="auto"/>
                <w:w w:val="92"/>
              </w:rPr>
              <w:t>Indicate by check mark whether the registrant is a shell company (as defined in Rule 12b-2 of the Exchange Act).  Yes o</w:t>
            </w:r>
          </w:p>
        </w:tc>
        <w:tc>
          <w:tcPr>
            <w:tcW w:w="2420" w:type="dxa"/>
            <w:vAlign w:val="bottom"/>
          </w:tcPr>
          <w:p>
            <w:pPr>
              <w:ind w:left="60"/>
              <w:spacing w:after="0"/>
              <w:rPr>
                <w:sz w:val="20"/>
                <w:szCs w:val="20"/>
                <w:color w:val="auto"/>
              </w:rPr>
            </w:pPr>
            <w:r>
              <w:rPr>
                <w:rFonts w:ascii="Arial" w:cs="Arial" w:eastAsia="Arial" w:hAnsi="Arial"/>
                <w:sz w:val="13"/>
                <w:szCs w:val="13"/>
                <w:color w:val="auto"/>
              </w:rPr>
              <w:t>No x</w:t>
            </w:r>
          </w:p>
        </w:tc>
        <w:tc>
          <w:tcPr>
            <w:tcW w:w="2660" w:type="dxa"/>
            <w:vAlign w:val="bottom"/>
          </w:tcPr>
          <w:p>
            <w:pPr>
              <w:spacing w:after="0"/>
              <w:rPr>
                <w:sz w:val="24"/>
                <w:szCs w:val="24"/>
                <w:color w:val="auto"/>
              </w:rPr>
            </w:pPr>
          </w:p>
        </w:tc>
      </w:tr>
      <w:tr>
        <w:trPr>
          <w:trHeight w:val="334"/>
        </w:trPr>
        <w:tc>
          <w:tcPr>
            <w:tcW w:w="2720" w:type="dxa"/>
            <w:vAlign w:val="bottom"/>
          </w:tcPr>
          <w:p>
            <w:pPr>
              <w:spacing w:after="0"/>
              <w:rPr>
                <w:sz w:val="24"/>
                <w:szCs w:val="24"/>
                <w:color w:val="auto"/>
              </w:rPr>
            </w:pPr>
          </w:p>
        </w:tc>
        <w:tc>
          <w:tcPr>
            <w:tcW w:w="6080" w:type="dxa"/>
            <w:vAlign w:val="bottom"/>
            <w:gridSpan w:val="2"/>
          </w:tcPr>
          <w:p>
            <w:pPr>
              <w:ind w:left="1620"/>
              <w:spacing w:after="0"/>
              <w:rPr>
                <w:sz w:val="20"/>
                <w:szCs w:val="20"/>
                <w:color w:val="auto"/>
              </w:rPr>
            </w:pPr>
            <w:r>
              <w:rPr>
                <w:rFonts w:ascii="Arial" w:cs="Arial" w:eastAsia="Arial" w:hAnsi="Arial"/>
                <w:sz w:val="13"/>
                <w:szCs w:val="13"/>
                <w:color w:val="auto"/>
              </w:rPr>
              <w:t>APPLICABLE ONLY TO CORPORATE ISSUERS:</w:t>
            </w:r>
          </w:p>
        </w:tc>
        <w:tc>
          <w:tcPr>
            <w:tcW w:w="2660" w:type="dxa"/>
            <w:vAlign w:val="bottom"/>
          </w:tcPr>
          <w:p>
            <w:pPr>
              <w:spacing w:after="0"/>
              <w:rPr>
                <w:sz w:val="24"/>
                <w:szCs w:val="24"/>
                <w:color w:val="auto"/>
              </w:rPr>
            </w:pPr>
          </w:p>
        </w:tc>
      </w:tr>
      <w:tr>
        <w:trPr>
          <w:trHeight w:val="334"/>
        </w:trPr>
        <w:tc>
          <w:tcPr>
            <w:tcW w:w="6380" w:type="dxa"/>
            <w:vAlign w:val="bottom"/>
            <w:gridSpan w:val="2"/>
          </w:tcPr>
          <w:p>
            <w:pPr>
              <w:spacing w:after="0"/>
              <w:rPr>
                <w:sz w:val="20"/>
                <w:szCs w:val="20"/>
                <w:color w:val="auto"/>
              </w:rPr>
            </w:pPr>
            <w:r>
              <w:rPr>
                <w:rFonts w:ascii="Arial" w:cs="Arial" w:eastAsia="Arial" w:hAnsi="Arial"/>
                <w:sz w:val="13"/>
                <w:szCs w:val="13"/>
                <w:color w:val="auto"/>
                <w:w w:val="92"/>
              </w:rPr>
              <w:t>The number of shares outstanding of Registrant's Common Stock, par value $1.00 as of December 8, 2015 – 8,729,682</w:t>
            </w:r>
          </w:p>
        </w:tc>
        <w:tc>
          <w:tcPr>
            <w:tcW w:w="24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78"/>
        </w:trPr>
        <w:tc>
          <w:tcPr>
            <w:tcW w:w="272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253"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15"/>
        </w:trPr>
        <w:tc>
          <w:tcPr>
            <w:tcW w:w="10240" w:type="dxa"/>
            <w:vAlign w:val="bottom"/>
            <w:gridSpan w:val="14"/>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323"/>
        </w:trPr>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60" w:type="dxa"/>
            <w:vAlign w:val="bottom"/>
            <w:gridSpan w:val="7"/>
          </w:tcPr>
          <w:p>
            <w:pPr>
              <w:jc w:val="center"/>
              <w:ind w:right="1320"/>
              <w:spacing w:after="0"/>
              <w:rPr>
                <w:sz w:val="20"/>
                <w:szCs w:val="20"/>
                <w:color w:val="auto"/>
              </w:rPr>
            </w:pPr>
            <w:r>
              <w:rPr>
                <w:rFonts w:ascii="Arial" w:cs="Arial" w:eastAsia="Arial" w:hAnsi="Arial"/>
                <w:sz w:val="13"/>
                <w:szCs w:val="13"/>
                <w:b w:val="1"/>
                <w:bCs w:val="1"/>
                <w:color w:val="auto"/>
              </w:rPr>
              <w:t>FREQUENCY ELECTRONICS, INC. and SUBSIDIARIES</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4"/>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80" w:type="dxa"/>
            <w:vAlign w:val="bottom"/>
            <w:gridSpan w:val="5"/>
          </w:tcPr>
          <w:p>
            <w:pPr>
              <w:jc w:val="center"/>
              <w:ind w:right="3500"/>
              <w:spacing w:after="0"/>
              <w:rPr>
                <w:sz w:val="20"/>
                <w:szCs w:val="20"/>
                <w:color w:val="auto"/>
              </w:rPr>
            </w:pPr>
            <w:r>
              <w:rPr>
                <w:rFonts w:ascii="Arial" w:cs="Arial" w:eastAsia="Arial" w:hAnsi="Arial"/>
                <w:sz w:val="13"/>
                <w:szCs w:val="13"/>
                <w:b w:val="1"/>
                <w:bCs w:val="1"/>
                <w:color w:val="auto"/>
                <w:w w:val="99"/>
              </w:rPr>
              <w:t>TABLE OF CONTENTS</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5"/>
        </w:trPr>
        <w:tc>
          <w:tcPr>
            <w:tcW w:w="10240" w:type="dxa"/>
            <w:vAlign w:val="bottom"/>
            <w:gridSpan w:val="14"/>
          </w:tcPr>
          <w:p>
            <w:pPr>
              <w:spacing w:after="0"/>
              <w:rPr>
                <w:sz w:val="20"/>
                <w:szCs w:val="20"/>
                <w:color w:val="auto"/>
              </w:rPr>
            </w:pPr>
            <w:r>
              <w:rPr>
                <w:rFonts w:ascii="Arial" w:cs="Arial" w:eastAsia="Arial" w:hAnsi="Arial"/>
                <w:sz w:val="13"/>
                <w:szCs w:val="13"/>
                <w:b w:val="1"/>
                <w:bCs w:val="1"/>
                <w:color w:val="auto"/>
              </w:rPr>
              <w:t>Part I. Financial Information:</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Page No.</w:t>
            </w:r>
          </w:p>
        </w:tc>
        <w:tc>
          <w:tcPr>
            <w:tcW w:w="460" w:type="dxa"/>
            <w:vAlign w:val="bottom"/>
          </w:tcPr>
          <w:p>
            <w:pPr>
              <w:spacing w:after="0"/>
              <w:rPr>
                <w:sz w:val="24"/>
                <w:szCs w:val="24"/>
                <w:color w:val="auto"/>
              </w:rPr>
            </w:pPr>
          </w:p>
        </w:tc>
      </w:tr>
      <w:tr>
        <w:trPr>
          <w:trHeight w:val="285"/>
        </w:trPr>
        <w:tc>
          <w:tcPr>
            <w:tcW w:w="36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rFonts w:ascii="Arial" w:cs="Arial" w:eastAsia="Arial" w:hAnsi="Arial"/>
                <w:sz w:val="13"/>
                <w:szCs w:val="13"/>
                <w:color w:val="0000EE"/>
                <w:w w:val="90"/>
              </w:rPr>
            </w:pPr>
            <w:hyperlink w:anchor="page3">
              <w:r>
                <w:rPr>
                  <w:rFonts w:ascii="Arial" w:cs="Arial" w:eastAsia="Arial" w:hAnsi="Arial"/>
                  <w:sz w:val="13"/>
                  <w:szCs w:val="13"/>
                  <w:color w:val="0000EE"/>
                  <w:w w:val="90"/>
                </w:rPr>
                <w:t>Item 1 - Financial Statements:</w:t>
              </w:r>
            </w:hyperlink>
          </w:p>
        </w:tc>
        <w:tc>
          <w:tcPr>
            <w:tcW w:w="830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5"/>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40" w:type="dxa"/>
            <w:vAlign w:val="bottom"/>
            <w:gridSpan w:val="12"/>
          </w:tcPr>
          <w:p>
            <w:pPr>
              <w:spacing w:after="0"/>
              <w:rPr>
                <w:rFonts w:ascii="Arial" w:cs="Arial" w:eastAsia="Arial" w:hAnsi="Arial"/>
                <w:sz w:val="13"/>
                <w:szCs w:val="13"/>
                <w:color w:val="0000EE"/>
              </w:rPr>
            </w:pPr>
            <w:hyperlink w:anchor="page3">
              <w:r>
                <w:rPr>
                  <w:rFonts w:ascii="Arial" w:cs="Arial" w:eastAsia="Arial" w:hAnsi="Arial"/>
                  <w:sz w:val="13"/>
                  <w:szCs w:val="13"/>
                  <w:color w:val="0000EE"/>
                </w:rPr>
                <w:t>Condensed Consolidated Balance Sheets - October 31, 2015 (unaudited) and April 30, 2015</w:t>
              </w:r>
            </w:hyperlink>
          </w:p>
        </w:tc>
        <w:tc>
          <w:tcPr>
            <w:tcW w:w="76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4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5"/>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00" w:type="dxa"/>
            <w:vAlign w:val="bottom"/>
            <w:tcBorders>
              <w:bottom w:val="single" w:sz="8" w:color="0000EE"/>
            </w:tcBorders>
            <w:gridSpan w:val="10"/>
          </w:tcPr>
          <w:p>
            <w:pPr>
              <w:spacing w:after="0"/>
              <w:rPr>
                <w:rFonts w:ascii="Arial" w:cs="Arial" w:eastAsia="Arial" w:hAnsi="Arial"/>
                <w:sz w:val="13"/>
                <w:szCs w:val="13"/>
                <w:color w:val="0000EE"/>
                <w:w w:val="90"/>
              </w:rPr>
            </w:pPr>
            <w:hyperlink w:anchor="page4">
              <w:r>
                <w:rPr>
                  <w:rFonts w:ascii="Arial" w:cs="Arial" w:eastAsia="Arial" w:hAnsi="Arial"/>
                  <w:sz w:val="13"/>
                  <w:szCs w:val="13"/>
                  <w:color w:val="0000EE"/>
                  <w:w w:val="90"/>
                </w:rPr>
                <w:t>Condensed Consolidated Statements of Income and Comprehensive Income (unaudited) Six Months Ended October 31, 2015 and 2014</w:t>
              </w:r>
            </w:hyperlink>
          </w:p>
        </w:tc>
        <w:tc>
          <w:tcPr>
            <w:tcW w:w="2440" w:type="dxa"/>
            <w:vAlign w:val="bottom"/>
            <w:gridSpan w:val="2"/>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4</w:t>
            </w:r>
          </w:p>
        </w:tc>
        <w:tc>
          <w:tcPr>
            <w:tcW w:w="460" w:type="dxa"/>
            <w:vAlign w:val="bottom"/>
          </w:tcPr>
          <w:p>
            <w:pPr>
              <w:spacing w:after="0"/>
              <w:rPr>
                <w:sz w:val="24"/>
                <w:szCs w:val="24"/>
                <w:color w:val="auto"/>
              </w:rPr>
            </w:pPr>
          </w:p>
        </w:tc>
      </w:tr>
      <w:tr>
        <w:trPr>
          <w:trHeight w:val="295"/>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40" w:type="dxa"/>
            <w:vAlign w:val="bottom"/>
            <w:gridSpan w:val="12"/>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Condensed Consolidated Statements of Income and Comprehensive Income (unaudited) Three Months Ended October 31, 2015 and 2014</w:t>
              </w:r>
            </w:hyperlink>
          </w:p>
        </w:tc>
        <w:tc>
          <w:tcPr>
            <w:tcW w:w="76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460" w:type="dxa"/>
            <w:vAlign w:val="bottom"/>
          </w:tcPr>
          <w:p>
            <w:pPr>
              <w:spacing w:after="0"/>
              <w:rPr>
                <w:sz w:val="24"/>
                <w:szCs w:val="24"/>
                <w:color w:val="auto"/>
              </w:rPr>
            </w:pPr>
          </w:p>
        </w:tc>
      </w:tr>
      <w:tr>
        <w:trPr>
          <w:trHeight w:val="295"/>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20" w:type="dxa"/>
            <w:vAlign w:val="bottom"/>
            <w:tcBorders>
              <w:top w:val="single" w:sz="8" w:color="0000EE"/>
              <w:bottom w:val="single" w:sz="8" w:color="0000EE"/>
            </w:tcBorders>
            <w:gridSpan w:val="9"/>
          </w:tcPr>
          <w:p>
            <w:pPr>
              <w:spacing w:after="0"/>
              <w:rPr>
                <w:rFonts w:ascii="Arial" w:cs="Arial" w:eastAsia="Arial" w:hAnsi="Arial"/>
                <w:sz w:val="13"/>
                <w:szCs w:val="13"/>
                <w:color w:val="0000EE"/>
                <w:w w:val="90"/>
              </w:rPr>
            </w:pPr>
            <w:hyperlink w:anchor="page6">
              <w:r>
                <w:rPr>
                  <w:rFonts w:ascii="Arial" w:cs="Arial" w:eastAsia="Arial" w:hAnsi="Arial"/>
                  <w:sz w:val="13"/>
                  <w:szCs w:val="13"/>
                  <w:color w:val="0000EE"/>
                  <w:w w:val="90"/>
                </w:rPr>
                <w:t>Condensed Consolidated Statements of Cash Flows (unaudited) Six Months Ended October 31, 2015 and 2014</w:t>
              </w:r>
            </w:hyperlink>
          </w:p>
        </w:tc>
        <w:tc>
          <w:tcPr>
            <w:tcW w:w="1400" w:type="dxa"/>
            <w:vAlign w:val="bottom"/>
            <w:tcBorders>
              <w:top w:val="single" w:sz="8" w:color="0000EE"/>
            </w:tcBorders>
            <w:gridSpan w:val="2"/>
          </w:tcPr>
          <w:p>
            <w:pPr>
              <w:spacing w:after="0"/>
              <w:rPr>
                <w:sz w:val="24"/>
                <w:szCs w:val="24"/>
                <w:color w:val="auto"/>
              </w:rPr>
            </w:pPr>
          </w:p>
        </w:tc>
        <w:tc>
          <w:tcPr>
            <w:tcW w:w="23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460" w:type="dxa"/>
            <w:vAlign w:val="bottom"/>
          </w:tcPr>
          <w:p>
            <w:pPr>
              <w:spacing w:after="0"/>
              <w:rPr>
                <w:sz w:val="24"/>
                <w:szCs w:val="24"/>
                <w:color w:val="auto"/>
              </w:rPr>
            </w:pPr>
          </w:p>
        </w:tc>
      </w:tr>
      <w:tr>
        <w:trPr>
          <w:trHeight w:val="295"/>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7"/>
          </w:tcPr>
          <w:p>
            <w:pPr>
              <w:spacing w:after="0"/>
              <w:rPr>
                <w:rFonts w:ascii="Arial" w:cs="Arial" w:eastAsia="Arial" w:hAnsi="Arial"/>
                <w:sz w:val="13"/>
                <w:szCs w:val="13"/>
                <w:color w:val="0000EE"/>
                <w:w w:val="90"/>
              </w:rPr>
            </w:pPr>
            <w:hyperlink w:anchor="page7">
              <w:r>
                <w:rPr>
                  <w:rFonts w:ascii="Arial" w:cs="Arial" w:eastAsia="Arial" w:hAnsi="Arial"/>
                  <w:sz w:val="13"/>
                  <w:szCs w:val="13"/>
                  <w:color w:val="0000EE"/>
                  <w:w w:val="90"/>
                </w:rPr>
                <w:t>Notes to Condensed Consolidated Financial Statements (unaudited)</w:t>
              </w:r>
            </w:hyperlink>
          </w:p>
        </w:tc>
        <w:tc>
          <w:tcPr>
            <w:tcW w:w="5980" w:type="dxa"/>
            <w:vAlign w:val="bottom"/>
            <w:gridSpan w:val="5"/>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7-12</w:t>
            </w:r>
          </w:p>
        </w:tc>
        <w:tc>
          <w:tcPr>
            <w:tcW w:w="460" w:type="dxa"/>
            <w:vAlign w:val="bottom"/>
          </w:tcPr>
          <w:p>
            <w:pPr>
              <w:spacing w:after="0"/>
              <w:rPr>
                <w:sz w:val="24"/>
                <w:szCs w:val="24"/>
                <w:color w:val="auto"/>
              </w:rPr>
            </w:pPr>
          </w:p>
        </w:tc>
      </w:tr>
      <w:tr>
        <w:trPr>
          <w:trHeight w:val="295"/>
        </w:trPr>
        <w:tc>
          <w:tcPr>
            <w:tcW w:w="360" w:type="dxa"/>
            <w:vAlign w:val="bottom"/>
          </w:tcPr>
          <w:p>
            <w:pPr>
              <w:spacing w:after="0"/>
              <w:rPr>
                <w:sz w:val="24"/>
                <w:szCs w:val="24"/>
                <w:color w:val="auto"/>
              </w:rPr>
            </w:pPr>
          </w:p>
        </w:tc>
        <w:tc>
          <w:tcPr>
            <w:tcW w:w="340" w:type="dxa"/>
            <w:vAlign w:val="bottom"/>
          </w:tcPr>
          <w:p>
            <w:pPr>
              <w:spacing w:after="0"/>
              <w:rPr>
                <w:rFonts w:ascii="Arial" w:cs="Arial" w:eastAsia="Arial" w:hAnsi="Arial"/>
                <w:sz w:val="13"/>
                <w:szCs w:val="13"/>
                <w:color w:val="0000EE"/>
                <w:w w:val="88"/>
              </w:rPr>
            </w:pPr>
            <w:hyperlink w:anchor="page13">
              <w:r>
                <w:rPr>
                  <w:rFonts w:ascii="Arial" w:cs="Arial" w:eastAsia="Arial" w:hAnsi="Arial"/>
                  <w:sz w:val="13"/>
                  <w:szCs w:val="13"/>
                  <w:color w:val="0000EE"/>
                  <w:w w:val="88"/>
                </w:rPr>
                <w:t>Item 2</w:t>
              </w:r>
            </w:hyperlink>
          </w:p>
        </w:tc>
        <w:tc>
          <w:tcPr>
            <w:tcW w:w="9540" w:type="dxa"/>
            <w:vAlign w:val="bottom"/>
            <w:gridSpan w:val="12"/>
          </w:tcPr>
          <w:p>
            <w:pPr>
              <w:ind w:left="20"/>
              <w:spacing w:after="0"/>
              <w:rPr>
                <w:rFonts w:ascii="Arial" w:cs="Arial" w:eastAsia="Arial" w:hAnsi="Arial"/>
                <w:sz w:val="13"/>
                <w:szCs w:val="13"/>
                <w:color w:val="0000EE"/>
              </w:rPr>
            </w:pPr>
            <w:hyperlink w:anchor="page13">
              <w:r>
                <w:rPr>
                  <w:rFonts w:ascii="Arial" w:cs="Arial" w:eastAsia="Arial" w:hAnsi="Arial"/>
                  <w:sz w:val="13"/>
                  <w:szCs w:val="13"/>
                  <w:color w:val="0000EE"/>
                </w:rPr>
                <w:t>- Management's Discussion and Analysis of Financial Condition and Results of Operations</w:t>
              </w:r>
            </w:hyperlink>
          </w:p>
        </w:tc>
        <w:tc>
          <w:tcPr>
            <w:tcW w:w="760" w:type="dxa"/>
            <w:vAlign w:val="bottom"/>
          </w:tcPr>
          <w:p>
            <w:pPr>
              <w:jc w:val="center"/>
              <w:spacing w:after="0"/>
              <w:rPr>
                <w:sz w:val="20"/>
                <w:szCs w:val="20"/>
                <w:color w:val="auto"/>
              </w:rPr>
            </w:pPr>
            <w:r>
              <w:rPr>
                <w:rFonts w:ascii="Arial" w:cs="Arial" w:eastAsia="Arial" w:hAnsi="Arial"/>
                <w:sz w:val="13"/>
                <w:szCs w:val="13"/>
                <w:color w:val="auto"/>
                <w:w w:val="90"/>
              </w:rPr>
              <w:t>13-19</w:t>
            </w:r>
          </w:p>
        </w:tc>
        <w:tc>
          <w:tcPr>
            <w:tcW w:w="460" w:type="dxa"/>
            <w:vAlign w:val="bottom"/>
          </w:tcPr>
          <w:p>
            <w:pPr>
              <w:spacing w:after="0"/>
              <w:rPr>
                <w:sz w:val="24"/>
                <w:szCs w:val="24"/>
                <w:color w:val="auto"/>
              </w:rPr>
            </w:pPr>
          </w:p>
        </w:tc>
      </w:tr>
      <w:tr>
        <w:trPr>
          <w:trHeight w:val="295"/>
        </w:trPr>
        <w:tc>
          <w:tcPr>
            <w:tcW w:w="360" w:type="dxa"/>
            <w:vAlign w:val="bottom"/>
          </w:tcPr>
          <w:p>
            <w:pPr>
              <w:spacing w:after="0"/>
              <w:rPr>
                <w:sz w:val="24"/>
                <w:szCs w:val="24"/>
                <w:color w:val="auto"/>
              </w:rPr>
            </w:pPr>
          </w:p>
        </w:tc>
        <w:tc>
          <w:tcPr>
            <w:tcW w:w="340" w:type="dxa"/>
            <w:vAlign w:val="bottom"/>
            <w:tcBorders>
              <w:top w:val="single" w:sz="8" w:color="0000EE"/>
              <w:bottom w:val="single" w:sz="8" w:color="0000EE"/>
            </w:tcBorders>
          </w:tcPr>
          <w:p>
            <w:pPr>
              <w:spacing w:after="0"/>
              <w:rPr>
                <w:rFonts w:ascii="Arial" w:cs="Arial" w:eastAsia="Arial" w:hAnsi="Arial"/>
                <w:sz w:val="13"/>
                <w:szCs w:val="13"/>
                <w:color w:val="0000EE"/>
                <w:w w:val="88"/>
              </w:rPr>
            </w:pPr>
            <w:hyperlink w:anchor="page19">
              <w:r>
                <w:rPr>
                  <w:rFonts w:ascii="Arial" w:cs="Arial" w:eastAsia="Arial" w:hAnsi="Arial"/>
                  <w:sz w:val="13"/>
                  <w:szCs w:val="13"/>
                  <w:color w:val="0000EE"/>
                  <w:w w:val="88"/>
                </w:rPr>
                <w:t>Item 3</w:t>
              </w:r>
            </w:hyperlink>
          </w:p>
        </w:tc>
        <w:tc>
          <w:tcPr>
            <w:tcW w:w="3280" w:type="dxa"/>
            <w:vAlign w:val="bottom"/>
            <w:tcBorders>
              <w:top w:val="single" w:sz="8" w:color="0000EE"/>
              <w:bottom w:val="single" w:sz="8" w:color="0000EE"/>
            </w:tcBorders>
            <w:gridSpan w:val="6"/>
          </w:tcPr>
          <w:p>
            <w:pPr>
              <w:ind w:left="20"/>
              <w:spacing w:after="0"/>
              <w:rPr>
                <w:rFonts w:ascii="Arial" w:cs="Arial" w:eastAsia="Arial" w:hAnsi="Arial"/>
                <w:sz w:val="13"/>
                <w:szCs w:val="13"/>
                <w:color w:val="0000EE"/>
                <w:w w:val="93"/>
              </w:rPr>
            </w:pPr>
            <w:hyperlink w:anchor="page19">
              <w:r>
                <w:rPr>
                  <w:rFonts w:ascii="Arial" w:cs="Arial" w:eastAsia="Arial" w:hAnsi="Arial"/>
                  <w:sz w:val="13"/>
                  <w:szCs w:val="13"/>
                  <w:color w:val="0000EE"/>
                  <w:w w:val="93"/>
                </w:rPr>
                <w:t>- Quantitative and Qualitative Disclosures About Market Risk</w:t>
              </w:r>
            </w:hyperlink>
          </w:p>
        </w:tc>
        <w:tc>
          <w:tcPr>
            <w:tcW w:w="1540" w:type="dxa"/>
            <w:vAlign w:val="bottom"/>
            <w:tcBorders>
              <w:top w:val="single" w:sz="8" w:color="0000EE"/>
            </w:tcBorders>
            <w:gridSpan w:val="2"/>
          </w:tcPr>
          <w:p>
            <w:pPr>
              <w:spacing w:after="0"/>
              <w:rPr>
                <w:sz w:val="24"/>
                <w:szCs w:val="24"/>
                <w:color w:val="auto"/>
              </w:rPr>
            </w:pPr>
          </w:p>
        </w:tc>
        <w:tc>
          <w:tcPr>
            <w:tcW w:w="472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w:t>
            </w:r>
          </w:p>
        </w:tc>
        <w:tc>
          <w:tcPr>
            <w:tcW w:w="460" w:type="dxa"/>
            <w:vAlign w:val="bottom"/>
          </w:tcPr>
          <w:p>
            <w:pPr>
              <w:spacing w:after="0"/>
              <w:rPr>
                <w:sz w:val="24"/>
                <w:szCs w:val="24"/>
                <w:color w:val="auto"/>
              </w:rPr>
            </w:pPr>
          </w:p>
        </w:tc>
      </w:tr>
      <w:tr>
        <w:trPr>
          <w:trHeight w:val="295"/>
        </w:trPr>
        <w:tc>
          <w:tcPr>
            <w:tcW w:w="360" w:type="dxa"/>
            <w:vAlign w:val="bottom"/>
          </w:tcPr>
          <w:p>
            <w:pPr>
              <w:spacing w:after="0"/>
              <w:rPr>
                <w:sz w:val="24"/>
                <w:szCs w:val="24"/>
                <w:color w:val="auto"/>
              </w:rPr>
            </w:pPr>
          </w:p>
        </w:tc>
        <w:tc>
          <w:tcPr>
            <w:tcW w:w="340" w:type="dxa"/>
            <w:vAlign w:val="bottom"/>
          </w:tcPr>
          <w:p>
            <w:pPr>
              <w:spacing w:after="0"/>
              <w:rPr>
                <w:rFonts w:ascii="Arial" w:cs="Arial" w:eastAsia="Arial" w:hAnsi="Arial"/>
                <w:sz w:val="13"/>
                <w:szCs w:val="13"/>
                <w:color w:val="0000EE"/>
                <w:w w:val="88"/>
              </w:rPr>
            </w:pPr>
            <w:hyperlink w:anchor="page19">
              <w:r>
                <w:rPr>
                  <w:rFonts w:ascii="Arial" w:cs="Arial" w:eastAsia="Arial" w:hAnsi="Arial"/>
                  <w:sz w:val="13"/>
                  <w:szCs w:val="13"/>
                  <w:color w:val="0000EE"/>
                  <w:w w:val="88"/>
                </w:rPr>
                <w:t>Item 4</w:t>
              </w:r>
            </w:hyperlink>
          </w:p>
        </w:tc>
        <w:tc>
          <w:tcPr>
            <w:tcW w:w="9540" w:type="dxa"/>
            <w:vAlign w:val="bottom"/>
            <w:gridSpan w:val="12"/>
          </w:tcPr>
          <w:p>
            <w:pPr>
              <w:ind w:left="20"/>
              <w:spacing w:after="0"/>
              <w:rPr>
                <w:rFonts w:ascii="Arial" w:cs="Arial" w:eastAsia="Arial" w:hAnsi="Arial"/>
                <w:sz w:val="13"/>
                <w:szCs w:val="13"/>
                <w:color w:val="0000EE"/>
              </w:rPr>
            </w:pPr>
            <w:hyperlink w:anchor="page19">
              <w:r>
                <w:rPr>
                  <w:rFonts w:ascii="Arial" w:cs="Arial" w:eastAsia="Arial" w:hAnsi="Arial"/>
                  <w:sz w:val="13"/>
                  <w:szCs w:val="13"/>
                  <w:color w:val="0000EE"/>
                </w:rPr>
                <w:t>- Controls and Procedures</w:t>
              </w:r>
            </w:hyperlink>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19</w:t>
            </w:r>
          </w:p>
        </w:tc>
        <w:tc>
          <w:tcPr>
            <w:tcW w:w="4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23"/>
        </w:trPr>
        <w:tc>
          <w:tcPr>
            <w:tcW w:w="10240" w:type="dxa"/>
            <w:vAlign w:val="bottom"/>
            <w:gridSpan w:val="14"/>
          </w:tcPr>
          <w:p>
            <w:pPr>
              <w:spacing w:after="0"/>
              <w:rPr>
                <w:sz w:val="20"/>
                <w:szCs w:val="20"/>
                <w:color w:val="auto"/>
              </w:rPr>
            </w:pPr>
            <w:r>
              <w:rPr>
                <w:rFonts w:ascii="Arial" w:cs="Arial" w:eastAsia="Arial" w:hAnsi="Arial"/>
                <w:sz w:val="13"/>
                <w:szCs w:val="13"/>
                <w:b w:val="1"/>
                <w:bCs w:val="1"/>
                <w:color w:val="auto"/>
              </w:rPr>
              <w:t>Part II. Other Information:</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6"/>
        </w:trPr>
        <w:tc>
          <w:tcPr>
            <w:tcW w:w="360" w:type="dxa"/>
            <w:vAlign w:val="bottom"/>
          </w:tcPr>
          <w:p>
            <w:pPr>
              <w:spacing w:after="0"/>
              <w:rPr>
                <w:sz w:val="24"/>
                <w:szCs w:val="24"/>
                <w:color w:val="auto"/>
              </w:rPr>
            </w:pPr>
          </w:p>
        </w:tc>
        <w:tc>
          <w:tcPr>
            <w:tcW w:w="340" w:type="dxa"/>
            <w:vAlign w:val="bottom"/>
            <w:tcBorders>
              <w:bottom w:val="single" w:sz="8" w:color="0000EE"/>
            </w:tcBorders>
          </w:tcPr>
          <w:p>
            <w:pPr>
              <w:spacing w:after="0"/>
              <w:rPr>
                <w:rFonts w:ascii="Arial" w:cs="Arial" w:eastAsia="Arial" w:hAnsi="Arial"/>
                <w:sz w:val="13"/>
                <w:szCs w:val="13"/>
                <w:color w:val="0000EE"/>
                <w:w w:val="88"/>
              </w:rPr>
            </w:pPr>
            <w:hyperlink w:anchor="page20">
              <w:r>
                <w:rPr>
                  <w:rFonts w:ascii="Arial" w:cs="Arial" w:eastAsia="Arial" w:hAnsi="Arial"/>
                  <w:sz w:val="13"/>
                  <w:szCs w:val="13"/>
                  <w:color w:val="0000EE"/>
                  <w:w w:val="88"/>
                </w:rPr>
                <w:t>Item 6</w:t>
              </w:r>
            </w:hyperlink>
          </w:p>
        </w:tc>
        <w:tc>
          <w:tcPr>
            <w:tcW w:w="540" w:type="dxa"/>
            <w:vAlign w:val="bottom"/>
            <w:tcBorders>
              <w:bottom w:val="single" w:sz="8" w:color="0000EE"/>
            </w:tcBorders>
            <w:gridSpan w:val="3"/>
          </w:tcPr>
          <w:p>
            <w:pPr>
              <w:ind w:left="20"/>
              <w:spacing w:after="0"/>
              <w:rPr>
                <w:rFonts w:ascii="Arial" w:cs="Arial" w:eastAsia="Arial" w:hAnsi="Arial"/>
                <w:sz w:val="13"/>
                <w:szCs w:val="13"/>
                <w:color w:val="0000EE"/>
                <w:w w:val="93"/>
              </w:rPr>
            </w:pPr>
            <w:hyperlink w:anchor="page20">
              <w:r>
                <w:rPr>
                  <w:rFonts w:ascii="Arial" w:cs="Arial" w:eastAsia="Arial" w:hAnsi="Arial"/>
                  <w:sz w:val="13"/>
                  <w:szCs w:val="13"/>
                  <w:color w:val="0000EE"/>
                  <w:w w:val="93"/>
                </w:rPr>
                <w:t>- Exhibits</w:t>
              </w:r>
            </w:hyperlink>
          </w:p>
        </w:tc>
        <w:tc>
          <w:tcPr>
            <w:tcW w:w="9000" w:type="dxa"/>
            <w:vAlign w:val="bottom"/>
            <w:gridSpan w:val="9"/>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20</w:t>
            </w:r>
          </w:p>
        </w:tc>
        <w:tc>
          <w:tcPr>
            <w:tcW w:w="460" w:type="dxa"/>
            <w:vAlign w:val="bottom"/>
          </w:tcPr>
          <w:p>
            <w:pPr>
              <w:spacing w:after="0"/>
              <w:rPr>
                <w:sz w:val="24"/>
                <w:szCs w:val="24"/>
                <w:color w:val="auto"/>
              </w:rPr>
            </w:pPr>
          </w:p>
        </w:tc>
      </w:tr>
      <w:tr>
        <w:trPr>
          <w:trHeight w:val="295"/>
        </w:trPr>
        <w:tc>
          <w:tcPr>
            <w:tcW w:w="360" w:type="dxa"/>
            <w:vAlign w:val="bottom"/>
          </w:tcPr>
          <w:p>
            <w:pPr>
              <w:spacing w:after="0"/>
              <w:rPr>
                <w:sz w:val="24"/>
                <w:szCs w:val="24"/>
                <w:color w:val="auto"/>
              </w:rPr>
            </w:pPr>
          </w:p>
        </w:tc>
        <w:tc>
          <w:tcPr>
            <w:tcW w:w="9880" w:type="dxa"/>
            <w:vAlign w:val="bottom"/>
            <w:gridSpan w:val="13"/>
          </w:tcPr>
          <w:p>
            <w:pPr>
              <w:spacing w:after="0"/>
              <w:rPr>
                <w:rFonts w:ascii="Arial" w:cs="Arial" w:eastAsia="Arial" w:hAnsi="Arial"/>
                <w:sz w:val="13"/>
                <w:szCs w:val="13"/>
                <w:color w:val="0000EE"/>
              </w:rPr>
            </w:pPr>
            <w:hyperlink w:anchor="page21">
              <w:r>
                <w:rPr>
                  <w:rFonts w:ascii="Arial" w:cs="Arial" w:eastAsia="Arial" w:hAnsi="Arial"/>
                  <w:sz w:val="13"/>
                  <w:szCs w:val="13"/>
                  <w:color w:val="0000EE"/>
                </w:rPr>
                <w:t>Signatures</w:t>
              </w:r>
            </w:hyperlink>
          </w:p>
        </w:tc>
        <w:tc>
          <w:tcPr>
            <w:tcW w:w="760" w:type="dxa"/>
            <w:vAlign w:val="bottom"/>
          </w:tcPr>
          <w:p>
            <w:pPr>
              <w:jc w:val="center"/>
              <w:spacing w:after="0"/>
              <w:rPr>
                <w:sz w:val="20"/>
                <w:szCs w:val="20"/>
                <w:color w:val="auto"/>
              </w:rPr>
            </w:pPr>
            <w:r>
              <w:rPr>
                <w:rFonts w:ascii="Arial" w:cs="Arial" w:eastAsia="Arial" w:hAnsi="Arial"/>
                <w:sz w:val="13"/>
                <w:szCs w:val="13"/>
                <w:color w:val="auto"/>
                <w:w w:val="96"/>
              </w:rPr>
              <w:t>21</w:t>
            </w:r>
          </w:p>
        </w:tc>
        <w:tc>
          <w:tcPr>
            <w:tcW w:w="460" w:type="dxa"/>
            <w:vAlign w:val="bottom"/>
          </w:tcPr>
          <w:p>
            <w:pPr>
              <w:spacing w:after="0"/>
              <w:rPr>
                <w:sz w:val="24"/>
                <w:szCs w:val="24"/>
                <w:color w:val="auto"/>
              </w:rPr>
            </w:pPr>
          </w:p>
        </w:tc>
      </w:tr>
      <w:tr>
        <w:trPr>
          <w:trHeight w:val="820"/>
        </w:trPr>
        <w:tc>
          <w:tcPr>
            <w:tcW w:w="360" w:type="dxa"/>
            <w:vAlign w:val="bottom"/>
            <w:tcBorders>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15"/>
        </w:trPr>
        <w:tc>
          <w:tcPr>
            <w:tcW w:w="8380" w:type="dxa"/>
            <w:vAlign w:val="bottom"/>
            <w:gridSpan w:val="5"/>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6740" w:type="dxa"/>
            <w:vAlign w:val="bottom"/>
          </w:tcPr>
          <w:p>
            <w:pPr>
              <w:ind w:left="2940"/>
              <w:spacing w:after="0"/>
              <w:rPr>
                <w:sz w:val="20"/>
                <w:szCs w:val="20"/>
                <w:color w:val="auto"/>
              </w:rPr>
            </w:pPr>
            <w:r>
              <w:rPr>
                <w:rFonts w:ascii="Arial" w:cs="Arial" w:eastAsia="Arial" w:hAnsi="Arial"/>
                <w:sz w:val="13"/>
                <w:szCs w:val="13"/>
                <w:b w:val="1"/>
                <w:bCs w:val="1"/>
                <w:color w:val="auto"/>
              </w:rPr>
              <w:t>PART I. FINANCIAL INFORMATION</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80" w:type="dxa"/>
            <w:vAlign w:val="bottom"/>
            <w:gridSpan w:val="5"/>
          </w:tcPr>
          <w:p>
            <w:pPr>
              <w:spacing w:after="0"/>
              <w:rPr>
                <w:sz w:val="20"/>
                <w:szCs w:val="20"/>
                <w:color w:val="auto"/>
              </w:rPr>
            </w:pPr>
            <w:r>
              <w:rPr>
                <w:rFonts w:ascii="Arial" w:cs="Arial" w:eastAsia="Arial" w:hAnsi="Arial"/>
                <w:sz w:val="13"/>
                <w:szCs w:val="13"/>
                <w:b w:val="1"/>
                <w:bCs w:val="1"/>
                <w:color w:val="auto"/>
              </w:rPr>
              <w:t>Item 1. 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740" w:type="dxa"/>
            <w:vAlign w:val="bottom"/>
          </w:tcPr>
          <w:p>
            <w:pPr>
              <w:jc w:val="center"/>
              <w:ind w:left="914"/>
              <w:spacing w:after="0"/>
              <w:rPr>
                <w:sz w:val="20"/>
                <w:szCs w:val="20"/>
                <w:color w:val="auto"/>
              </w:rPr>
            </w:pPr>
            <w:r>
              <w:rPr>
                <w:rFonts w:ascii="Arial" w:cs="Arial" w:eastAsia="Arial" w:hAnsi="Arial"/>
                <w:sz w:val="13"/>
                <w:szCs w:val="13"/>
                <w:b w:val="1"/>
                <w:bCs w:val="1"/>
                <w:color w:val="auto"/>
              </w:rPr>
              <w:t>FREQUENCY ELECTRONICS, INC. and SUBSIDIARIES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40" w:type="dxa"/>
            <w:vAlign w:val="bottom"/>
          </w:tcPr>
          <w:p>
            <w:pPr>
              <w:jc w:val="center"/>
              <w:ind w:left="914"/>
              <w:spacing w:after="0"/>
              <w:rPr>
                <w:sz w:val="20"/>
                <w:szCs w:val="20"/>
                <w:color w:val="auto"/>
              </w:rPr>
            </w:pPr>
            <w:r>
              <w:rPr>
                <w:rFonts w:ascii="Arial" w:cs="Arial" w:eastAsia="Arial" w:hAnsi="Arial"/>
                <w:sz w:val="13"/>
                <w:szCs w:val="13"/>
                <w:color w:val="auto"/>
                <w:w w:val="88"/>
              </w:rPr>
              <w:t>Condensed Consolidated Balance Sheets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October 31,</w:t>
            </w:r>
          </w:p>
        </w:tc>
        <w:tc>
          <w:tcPr>
            <w:tcW w:w="24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April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89"/>
              </w:rPr>
              <w:t>2015</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94"/>
              <w:spacing w:after="0" w:line="149" w:lineRule="exact"/>
              <w:rPr>
                <w:sz w:val="20"/>
                <w:szCs w:val="20"/>
                <w:color w:val="auto"/>
              </w:rPr>
            </w:pPr>
            <w:r>
              <w:rPr>
                <w:rFonts w:ascii="Arial" w:cs="Arial" w:eastAsia="Arial" w:hAnsi="Arial"/>
                <w:sz w:val="13"/>
                <w:szCs w:val="13"/>
                <w:color w:val="auto"/>
              </w:rPr>
              <w:t>(UNAUDITED)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740" w:type="dxa"/>
            <w:vAlign w:val="bottom"/>
            <w:vMerge w:val="restart"/>
          </w:tcPr>
          <w:p>
            <w:pPr>
              <w:jc w:val="center"/>
              <w:ind w:right="1694"/>
              <w:spacing w:after="0"/>
              <w:rPr>
                <w:sz w:val="20"/>
                <w:szCs w:val="20"/>
                <w:color w:val="auto"/>
              </w:rPr>
            </w:pPr>
            <w:r>
              <w:rPr>
                <w:rFonts w:ascii="Arial" w:cs="Arial" w:eastAsia="Arial" w:hAnsi="Arial"/>
                <w:sz w:val="13"/>
                <w:szCs w:val="13"/>
                <w:b w:val="1"/>
                <w:bCs w:val="1"/>
                <w:color w:val="auto"/>
                <w:w w:val="95"/>
              </w:rPr>
              <w:t>ASSETS:</w:t>
            </w:r>
          </w:p>
        </w:tc>
        <w:tc>
          <w:tcPr>
            <w:tcW w:w="160" w:type="dxa"/>
            <w:vAlign w:val="bottom"/>
          </w:tcPr>
          <w:p>
            <w:pPr>
              <w:spacing w:after="0"/>
              <w:rPr>
                <w:sz w:val="14"/>
                <w:szCs w:val="14"/>
                <w:color w:val="auto"/>
              </w:rPr>
            </w:pPr>
          </w:p>
        </w:tc>
        <w:tc>
          <w:tcPr>
            <w:tcW w:w="2920" w:type="dxa"/>
            <w:vAlign w:val="bottom"/>
            <w:gridSpan w:val="5"/>
          </w:tcPr>
          <w:p>
            <w:pPr>
              <w:jc w:val="right"/>
              <w:ind w:right="760"/>
              <w:spacing w:after="0"/>
              <w:rPr>
                <w:sz w:val="20"/>
                <w:szCs w:val="20"/>
                <w:color w:val="auto"/>
              </w:rPr>
            </w:pPr>
            <w:r>
              <w:rPr>
                <w:rFonts w:ascii="Arial" w:cs="Arial" w:eastAsia="Arial" w:hAnsi="Arial"/>
                <w:sz w:val="13"/>
                <w:szCs w:val="13"/>
                <w:color w:val="auto"/>
              </w:rPr>
              <w:t>(In thousands except par value)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380" w:type="dxa"/>
            <w:vAlign w:val="bottom"/>
            <w:gridSpan w:val="5"/>
          </w:tcPr>
          <w:p>
            <w:pPr>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3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4,108</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ind w:left="100"/>
              <w:spacing w:after="0"/>
              <w:rPr>
                <w:sz w:val="20"/>
                <w:szCs w:val="20"/>
                <w:color w:val="auto"/>
              </w:rPr>
            </w:pPr>
            <w:r>
              <w:rPr>
                <w:rFonts w:ascii="Arial" w:cs="Arial" w:eastAsia="Arial" w:hAnsi="Arial"/>
                <w:sz w:val="13"/>
                <w:szCs w:val="13"/>
                <w:color w:val="auto"/>
              </w:rPr>
              <w:t>Marketable securities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10,201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11,186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3"/>
                <w:szCs w:val="13"/>
                <w:color w:val="auto"/>
              </w:rPr>
              <w:t>Accounts receivable, net of allowance for doubtful accounts</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36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of $189 at October 31, 2015 and at April 30, 2015</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12,522</w:t>
            </w:r>
          </w:p>
        </w:tc>
        <w:tc>
          <w:tcPr>
            <w:tcW w:w="2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ind w:left="100"/>
              <w:spacing w:after="0"/>
              <w:rPr>
                <w:sz w:val="20"/>
                <w:szCs w:val="20"/>
                <w:color w:val="auto"/>
              </w:rPr>
            </w:pPr>
            <w:r>
              <w:rPr>
                <w:rFonts w:ascii="Arial" w:cs="Arial" w:eastAsia="Arial" w:hAnsi="Arial"/>
                <w:sz w:val="13"/>
                <w:szCs w:val="13"/>
                <w:color w:val="auto"/>
              </w:rPr>
              <w:t>Costs and estimated earnings in excess of billings, net</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13,730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12,929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Inventories</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38,822</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38,239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ind w:left="100"/>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3,197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3,063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3"/>
                <w:szCs w:val="13"/>
                <w:color w:val="auto"/>
              </w:rPr>
              <w:t>Prepaid expenses and other</w:t>
            </w: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1,334</w:t>
            </w:r>
          </w:p>
        </w:tc>
        <w:tc>
          <w:tcPr>
            <w:tcW w:w="240" w:type="dxa"/>
            <w:vAlign w:val="bottom"/>
            <w:tcBorders>
              <w:left w:val="single" w:sz="8" w:color="CCEEFF"/>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1,271</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ind w:left="340"/>
              <w:spacing w:after="0"/>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83,914</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83,599</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360" w:type="dxa"/>
            <w:vAlign w:val="bottom"/>
            <w:gridSpan w:val="4"/>
          </w:tcPr>
          <w:p>
            <w:pPr>
              <w:spacing w:after="0"/>
              <w:rPr>
                <w:sz w:val="20"/>
                <w:szCs w:val="20"/>
                <w:color w:val="auto"/>
              </w:rPr>
            </w:pPr>
            <w:r>
              <w:rPr>
                <w:rFonts w:ascii="Arial" w:cs="Arial" w:eastAsia="Arial" w:hAnsi="Arial"/>
                <w:sz w:val="13"/>
                <w:szCs w:val="13"/>
                <w:color w:val="auto"/>
              </w:rPr>
              <w:t>Property, plant and equipment, net</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12,751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12,686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7,360</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spacing w:after="0"/>
              <w:rPr>
                <w:sz w:val="20"/>
                <w:szCs w:val="20"/>
                <w:color w:val="auto"/>
              </w:rPr>
            </w:pPr>
            <w:r>
              <w:rPr>
                <w:rFonts w:ascii="Arial" w:cs="Arial" w:eastAsia="Arial" w:hAnsi="Arial"/>
                <w:sz w:val="13"/>
                <w:szCs w:val="13"/>
                <w:color w:val="auto"/>
              </w:rPr>
              <w:t>Goodwill and other intangible assets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617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Cash surrender value of life insurance and cash held in trust</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12,463</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1,716</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gridSpan w:val="4"/>
            <w:shd w:val="clear" w:color="auto" w:fill="CCEEFF"/>
          </w:tcPr>
          <w:p>
            <w:pPr>
              <w:ind w:left="22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118,821</w:t>
            </w:r>
          </w:p>
        </w:tc>
        <w:tc>
          <w:tcPr>
            <w:tcW w:w="24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117,825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6740" w:type="dxa"/>
            <w:vAlign w:val="bottom"/>
            <w:tcBorders>
              <w:top w:val="single" w:sz="8" w:color="CCEEFF"/>
            </w:tcBorders>
          </w:tcPr>
          <w:p>
            <w:pPr>
              <w:jc w:val="center"/>
              <w:ind w:right="1694"/>
              <w:spacing w:after="0"/>
              <w:rPr>
                <w:sz w:val="20"/>
                <w:szCs w:val="20"/>
                <w:color w:val="auto"/>
              </w:rPr>
            </w:pPr>
            <w:r>
              <w:rPr>
                <w:rFonts w:ascii="Arial" w:cs="Arial" w:eastAsia="Arial" w:hAnsi="Arial"/>
                <w:sz w:val="13"/>
                <w:szCs w:val="13"/>
                <w:b w:val="1"/>
                <w:bCs w:val="1"/>
                <w:color w:val="auto"/>
              </w:rPr>
              <w:t>LIABILITIES AND STOCKHOLDERS' EQUITY:</w:t>
            </w: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380" w:type="dxa"/>
            <w:vAlign w:val="bottom"/>
            <w:gridSpan w:val="5"/>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3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Accounts payable - trade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1,246</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ind w:left="100"/>
              <w:spacing w:after="0"/>
              <w:rPr>
                <w:sz w:val="20"/>
                <w:szCs w:val="20"/>
                <w:color w:val="auto"/>
              </w:rPr>
            </w:pPr>
            <w:r>
              <w:rPr>
                <w:rFonts w:ascii="Arial" w:cs="Arial" w:eastAsia="Arial" w:hAnsi="Arial"/>
                <w:sz w:val="13"/>
                <w:szCs w:val="13"/>
                <w:color w:val="auto"/>
              </w:rPr>
              <w:t>Accrued liabilities and income taxes payable</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5,846</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ind w:left="340"/>
              <w:spacing w:after="0"/>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7,092</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spacing w:after="0"/>
              <w:rPr>
                <w:sz w:val="20"/>
                <w:szCs w:val="20"/>
                <w:color w:val="auto"/>
              </w:rPr>
            </w:pPr>
            <w:r>
              <w:rPr>
                <w:rFonts w:ascii="Arial" w:cs="Arial" w:eastAsia="Arial" w:hAnsi="Arial"/>
                <w:sz w:val="13"/>
                <w:szCs w:val="13"/>
                <w:color w:val="auto"/>
              </w:rPr>
              <w:t>Long term debt- noncurrent</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6,000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Deferred compensation</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11,563</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spacing w:after="0"/>
              <w:rPr>
                <w:sz w:val="20"/>
                <w:szCs w:val="20"/>
                <w:color w:val="auto"/>
              </w:rPr>
            </w:pPr>
            <w:r>
              <w:rPr>
                <w:rFonts w:ascii="Arial" w:cs="Arial" w:eastAsia="Arial" w:hAnsi="Arial"/>
                <w:sz w:val="13"/>
                <w:szCs w:val="13"/>
                <w:color w:val="auto"/>
              </w:rPr>
              <w:t>Deferred rent and other liabilities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375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ind w:left="340"/>
              <w:spacing w:after="0"/>
              <w:rPr>
                <w:sz w:val="20"/>
                <w:szCs w:val="20"/>
                <w:color w:val="auto"/>
              </w:rPr>
            </w:pPr>
            <w:r>
              <w:rPr>
                <w:rFonts w:ascii="Arial" w:cs="Arial" w:eastAsia="Arial" w:hAnsi="Arial"/>
                <w:sz w:val="13"/>
                <w:szCs w:val="13"/>
                <w:color w:val="auto"/>
              </w:rPr>
              <w:t>Total liabilities</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25,030</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tcBorders>
              <w:top w:val="single" w:sz="8" w:color="CCEEFF"/>
            </w:tcBorders>
            <w:gridSpan w:val="4"/>
          </w:tcPr>
          <w:p>
            <w:pPr>
              <w:spacing w:after="0"/>
              <w:rPr>
                <w:sz w:val="20"/>
                <w:szCs w:val="20"/>
                <w:color w:val="auto"/>
              </w:rPr>
            </w:pPr>
            <w:r>
              <w:rPr>
                <w:rFonts w:ascii="Arial" w:cs="Arial" w:eastAsia="Arial" w:hAnsi="Arial"/>
                <w:sz w:val="13"/>
                <w:szCs w:val="13"/>
                <w:color w:val="auto"/>
              </w:rPr>
              <w:t>Commitments and contingencies</w:t>
            </w: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ind w:left="100"/>
              <w:spacing w:after="0"/>
              <w:rPr>
                <w:sz w:val="20"/>
                <w:szCs w:val="20"/>
                <w:color w:val="auto"/>
              </w:rPr>
            </w:pPr>
            <w:r>
              <w:rPr>
                <w:rFonts w:ascii="Arial" w:cs="Arial" w:eastAsia="Arial" w:hAnsi="Arial"/>
                <w:sz w:val="13"/>
                <w:szCs w:val="13"/>
                <w:color w:val="auto"/>
              </w:rPr>
              <w:t>Preferred stock - $1.00 par value</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Common stock - $1.00 par value, issued 9,164 shares</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9,164</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ind w:left="100"/>
              <w:spacing w:after="0"/>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54,964</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54,360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28,350</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92,478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91,052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6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3"/>
                <w:szCs w:val="13"/>
                <w:color w:val="auto"/>
              </w:rPr>
              <w:t>Common stock reacquired and held in treasury -</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36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at cost (434 shares at October 31, 2015 and 465 shares at April 30, 2015)</w:t>
            </w: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(1,990)</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(2,132)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tcPr>
          <w:p>
            <w:pPr>
              <w:ind w:left="100"/>
              <w:spacing w:after="0"/>
              <w:rPr>
                <w:sz w:val="20"/>
                <w:szCs w:val="20"/>
                <w:color w:val="auto"/>
              </w:rPr>
            </w:pPr>
            <w:r>
              <w:rPr>
                <w:rFonts w:ascii="Arial" w:cs="Arial" w:eastAsia="Arial" w:hAnsi="Arial"/>
                <w:sz w:val="13"/>
                <w:szCs w:val="13"/>
                <w:color w:val="auto"/>
              </w:rPr>
              <w:t>Accumulated other comprehensive income</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3,303</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gridSpan w:val="4"/>
            <w:shd w:val="clear" w:color="auto" w:fill="CCEEFF"/>
          </w:tcPr>
          <w:p>
            <w:pPr>
              <w:ind w:left="340"/>
              <w:spacing w:after="0"/>
              <w:rPr>
                <w:sz w:val="20"/>
                <w:szCs w:val="20"/>
                <w:color w:val="auto"/>
              </w:rPr>
            </w:pPr>
            <w:r>
              <w:rPr>
                <w:rFonts w:ascii="Arial" w:cs="Arial" w:eastAsia="Arial" w:hAnsi="Arial"/>
                <w:sz w:val="13"/>
                <w:szCs w:val="13"/>
                <w:color w:val="auto"/>
              </w:rPr>
              <w:t>Total stockholders' equity</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93,791</w:t>
            </w:r>
          </w:p>
        </w:tc>
        <w:tc>
          <w:tcPr>
            <w:tcW w:w="2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91,810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tcBorders>
              <w:top w:val="single" w:sz="8" w:color="CCEEFF"/>
            </w:tcBorders>
            <w:gridSpan w:val="4"/>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118,821</w:t>
            </w: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117,825</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15"/>
        </w:trPr>
        <w:tc>
          <w:tcPr>
            <w:tcW w:w="8040" w:type="dxa"/>
            <w:vAlign w:val="bottom"/>
            <w:gridSpan w:val="5"/>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20" w:type="dxa"/>
            <w:vAlign w:val="bottom"/>
          </w:tcPr>
          <w:p>
            <w:pPr>
              <w:jc w:val="center"/>
              <w:ind w:right="494"/>
              <w:spacing w:after="0"/>
              <w:rPr>
                <w:sz w:val="20"/>
                <w:szCs w:val="20"/>
                <w:color w:val="auto"/>
              </w:rPr>
            </w:pPr>
            <w:r>
              <w:rPr>
                <w:rFonts w:ascii="Arial" w:cs="Arial" w:eastAsia="Arial" w:hAnsi="Arial"/>
                <w:sz w:val="13"/>
                <w:szCs w:val="13"/>
                <w:b w:val="1"/>
                <w:bCs w:val="1"/>
                <w:color w:val="auto"/>
              </w:rPr>
              <w:t>FREQUENCY ELECTRONICS, INC. and SUBSIDIARIES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20" w:type="dxa"/>
            <w:vAlign w:val="bottom"/>
            <w:gridSpan w:val="2"/>
          </w:tcPr>
          <w:p>
            <w:pPr>
              <w:jc w:val="center"/>
              <w:ind w:left="274"/>
              <w:spacing w:after="0"/>
              <w:rPr>
                <w:sz w:val="20"/>
                <w:szCs w:val="20"/>
                <w:color w:val="auto"/>
              </w:rPr>
            </w:pPr>
            <w:r>
              <w:rPr>
                <w:rFonts w:ascii="Arial" w:cs="Arial" w:eastAsia="Arial" w:hAnsi="Arial"/>
                <w:sz w:val="13"/>
                <w:szCs w:val="13"/>
                <w:color w:val="auto"/>
                <w:w w:val="90"/>
              </w:rPr>
              <w:t>Condensed Consolidated Statements of Income and Comprehensive Income</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20" w:type="dxa"/>
            <w:vAlign w:val="bottom"/>
          </w:tcPr>
          <w:p>
            <w:pPr>
              <w:jc w:val="center"/>
              <w:ind w:right="494"/>
              <w:spacing w:after="0"/>
              <w:rPr>
                <w:sz w:val="20"/>
                <w:szCs w:val="20"/>
                <w:color w:val="auto"/>
              </w:rPr>
            </w:pPr>
            <w:r>
              <w:rPr>
                <w:rFonts w:ascii="Arial" w:cs="Arial" w:eastAsia="Arial" w:hAnsi="Arial"/>
                <w:sz w:val="13"/>
                <w:szCs w:val="13"/>
                <w:color w:val="auto"/>
                <w:w w:val="92"/>
              </w:rPr>
              <w:t>Six Months Ended October 31,</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20" w:type="dxa"/>
            <w:vAlign w:val="bottom"/>
          </w:tcPr>
          <w:p>
            <w:pPr>
              <w:jc w:val="center"/>
              <w:ind w:right="494"/>
              <w:spacing w:after="0"/>
              <w:rPr>
                <w:sz w:val="20"/>
                <w:szCs w:val="20"/>
                <w:color w:val="auto"/>
              </w:rPr>
            </w:pPr>
            <w:r>
              <w:rPr>
                <w:rFonts w:ascii="Arial" w:cs="Arial" w:eastAsia="Arial" w:hAnsi="Arial"/>
                <w:sz w:val="13"/>
                <w:szCs w:val="13"/>
                <w:color w:val="auto"/>
                <w:w w:val="94"/>
              </w:rPr>
              <w:t>(Unaudited)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2015</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2014</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04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Condensed Consolidated Statements of Income</w:t>
            </w:r>
          </w:p>
        </w:tc>
        <w:tc>
          <w:tcPr>
            <w:tcW w:w="2420" w:type="dxa"/>
            <w:vAlign w:val="bottom"/>
            <w:gridSpan w:val="4"/>
          </w:tcPr>
          <w:p>
            <w:pPr>
              <w:jc w:val="right"/>
              <w:ind w:right="9"/>
              <w:spacing w:after="0"/>
              <w:rPr>
                <w:sz w:val="20"/>
                <w:szCs w:val="20"/>
                <w:color w:val="auto"/>
              </w:rPr>
            </w:pPr>
            <w:r>
              <w:rPr>
                <w:rFonts w:ascii="Arial" w:cs="Arial" w:eastAsia="Arial" w:hAnsi="Arial"/>
                <w:sz w:val="13"/>
                <w:szCs w:val="13"/>
                <w:color w:val="auto"/>
              </w:rPr>
              <w:t>(In thousands except per share data)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040" w:type="dxa"/>
            <w:vAlign w:val="bottom"/>
            <w:gridSpan w:val="5"/>
            <w:vMerge w:val="continue"/>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5420" w:type="dxa"/>
            <w:vAlign w:val="bottom"/>
            <w:gridSpan w:val="2"/>
            <w:shd w:val="clear" w:color="auto" w:fill="CCEEFF"/>
          </w:tcPr>
          <w:p>
            <w:pPr>
              <w:spacing w:after="0"/>
              <w:rPr>
                <w:sz w:val="13"/>
                <w:szCs w:val="13"/>
                <w:color w:val="auto"/>
              </w:rPr>
            </w:pPr>
          </w:p>
        </w:tc>
        <w:tc>
          <w:tcPr>
            <w:tcW w:w="880" w:type="dxa"/>
            <w:vAlign w:val="bottom"/>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32,684</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38,983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Cost of revenues</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21,686</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26,644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Gross margin</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10,998</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Selling and administrative expenses</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6,916</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6,970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Research and development expense</w:t>
            </w:r>
          </w:p>
        </w:tc>
        <w:tc>
          <w:tcPr>
            <w:tcW w:w="8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3,093</w:t>
            </w:r>
          </w:p>
        </w:tc>
        <w:tc>
          <w:tcPr>
            <w:tcW w:w="2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2,645</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ind w:left="220"/>
              <w:spacing w:after="0"/>
              <w:rPr>
                <w:sz w:val="20"/>
                <w:szCs w:val="20"/>
                <w:color w:val="auto"/>
              </w:rPr>
            </w:pPr>
            <w:r>
              <w:rPr>
                <w:rFonts w:ascii="Arial" w:cs="Arial" w:eastAsia="Arial" w:hAnsi="Arial"/>
                <w:sz w:val="13"/>
                <w:szCs w:val="13"/>
                <w:color w:val="auto"/>
              </w:rPr>
              <w:t>Operating profit</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989</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2,724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Other income (expense):</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Investment income</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ind w:left="100"/>
              <w:spacing w:after="0"/>
              <w:rPr>
                <w:sz w:val="20"/>
                <w:szCs w:val="20"/>
                <w:color w:val="auto"/>
              </w:rPr>
            </w:pPr>
            <w:r>
              <w:rPr>
                <w:rFonts w:ascii="Arial" w:cs="Arial" w:eastAsia="Arial" w:hAnsi="Arial"/>
                <w:sz w:val="13"/>
                <w:szCs w:val="13"/>
                <w:color w:val="auto"/>
              </w:rPr>
              <w:t>Interest expense</w:t>
            </w:r>
          </w:p>
        </w:tc>
        <w:tc>
          <w:tcPr>
            <w:tcW w:w="8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(56)</w:t>
            </w:r>
          </w:p>
        </w:tc>
        <w:tc>
          <w:tcPr>
            <w:tcW w:w="8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Other income (expense), net</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tcBorders>
              <w:top w:val="single" w:sz="8" w:color="CCEEFF"/>
            </w:tcBorders>
            <w:gridSpan w:val="4"/>
          </w:tcPr>
          <w:p>
            <w:pPr>
              <w:spacing w:after="0"/>
              <w:rPr>
                <w:sz w:val="20"/>
                <w:szCs w:val="20"/>
                <w:color w:val="auto"/>
              </w:rPr>
            </w:pPr>
            <w:r>
              <w:rPr>
                <w:rFonts w:ascii="Arial" w:cs="Arial" w:eastAsia="Arial" w:hAnsi="Arial"/>
                <w:sz w:val="13"/>
                <w:szCs w:val="13"/>
                <w:color w:val="auto"/>
              </w:rPr>
              <w:t>Income before provision for income taxes</w:t>
            </w:r>
          </w:p>
        </w:tc>
        <w:tc>
          <w:tcPr>
            <w:tcW w:w="8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1,702</w:t>
            </w: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3,258</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8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2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1,250</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ind w:left="220"/>
              <w:spacing w:after="0"/>
              <w:rPr>
                <w:sz w:val="20"/>
                <w:szCs w:val="20"/>
                <w:color w:val="auto"/>
              </w:rPr>
            </w:pPr>
            <w:r>
              <w:rPr>
                <w:rFonts w:ascii="Arial" w:cs="Arial" w:eastAsia="Arial" w:hAnsi="Arial"/>
                <w:sz w:val="13"/>
                <w:szCs w:val="13"/>
                <w:color w:val="auto"/>
              </w:rPr>
              <w:t>Net income</w:t>
            </w: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restart"/>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Net income per common share</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2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880" w:type="dxa"/>
            <w:vAlign w:val="bottom"/>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20" w:type="dxa"/>
            <w:vAlign w:val="bottom"/>
            <w:gridSpan w:val="4"/>
          </w:tcPr>
          <w:p>
            <w:pPr>
              <w:ind w:left="220"/>
              <w:spacing w:after="0" w:line="137" w:lineRule="exact"/>
              <w:rPr>
                <w:sz w:val="20"/>
                <w:szCs w:val="20"/>
                <w:color w:val="auto"/>
              </w:rPr>
            </w:pPr>
            <w:r>
              <w:rPr>
                <w:rFonts w:ascii="Arial" w:cs="Arial" w:eastAsia="Arial" w:hAnsi="Arial"/>
                <w:sz w:val="13"/>
                <w:szCs w:val="13"/>
                <w:color w:val="auto"/>
              </w:rPr>
              <w:t>Diluted</w:t>
            </w:r>
          </w:p>
        </w:tc>
        <w:tc>
          <w:tcPr>
            <w:tcW w:w="880" w:type="dxa"/>
            <w:vAlign w:val="bottom"/>
          </w:tcPr>
          <w:p>
            <w:pPr>
              <w:jc w:val="right"/>
              <w:ind w:right="76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7" w:lineRule="exact"/>
              <w:rPr>
                <w:sz w:val="20"/>
                <w:szCs w:val="20"/>
                <w:color w:val="auto"/>
              </w:rPr>
            </w:pPr>
            <w:r>
              <w:rPr>
                <w:rFonts w:ascii="Arial" w:cs="Arial" w:eastAsia="Arial" w:hAnsi="Arial"/>
                <w:sz w:val="13"/>
                <w:szCs w:val="13"/>
                <w:color w:val="auto"/>
              </w:rPr>
              <w:t>0.09</w:t>
            </w:r>
          </w:p>
        </w:tc>
        <w:tc>
          <w:tcPr>
            <w:tcW w:w="220" w:type="dxa"/>
            <w:vAlign w:val="bottom"/>
          </w:tcPr>
          <w:p>
            <w:pPr>
              <w:spacing w:after="0"/>
              <w:rPr>
                <w:sz w:val="11"/>
                <w:szCs w:val="11"/>
                <w:color w:val="auto"/>
              </w:rPr>
            </w:pPr>
          </w:p>
        </w:tc>
        <w:tc>
          <w:tcPr>
            <w:tcW w:w="880" w:type="dxa"/>
            <w:vAlign w:val="bottom"/>
          </w:tcPr>
          <w:p>
            <w:pPr>
              <w:jc w:val="right"/>
              <w:ind w:right="769"/>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restart"/>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Weighted average shares outstanding</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8,716</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8,589</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20" w:type="dxa"/>
            <w:vAlign w:val="bottom"/>
            <w:gridSpan w:val="4"/>
          </w:tcPr>
          <w:p>
            <w:pPr>
              <w:ind w:left="220"/>
              <w:spacing w:after="0" w:line="137" w:lineRule="exact"/>
              <w:rPr>
                <w:sz w:val="20"/>
                <w:szCs w:val="20"/>
                <w:color w:val="auto"/>
              </w:rPr>
            </w:pPr>
            <w:r>
              <w:rPr>
                <w:rFonts w:ascii="Arial" w:cs="Arial" w:eastAsia="Arial" w:hAnsi="Arial"/>
                <w:sz w:val="13"/>
                <w:szCs w:val="13"/>
                <w:color w:val="auto"/>
              </w:rPr>
              <w:t>Diluted</w:t>
            </w:r>
          </w:p>
        </w:tc>
        <w:tc>
          <w:tcPr>
            <w:tcW w:w="8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8,959</w:t>
            </w:r>
          </w:p>
        </w:tc>
        <w:tc>
          <w:tcPr>
            <w:tcW w:w="2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3"/>
                <w:szCs w:val="13"/>
                <w:color w:val="auto"/>
              </w:rPr>
              <w:t>8,860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4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Condensed Consolidated Statements of Comprehensive Income</w:t>
            </w: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040" w:type="dxa"/>
            <w:vAlign w:val="bottom"/>
            <w:gridSpan w:val="5"/>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0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45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ind w:left="100"/>
              <w:spacing w:after="0"/>
              <w:rPr>
                <w:sz w:val="20"/>
                <w:szCs w:val="20"/>
                <w:color w:val="auto"/>
              </w:rPr>
            </w:pPr>
            <w:r>
              <w:rPr>
                <w:rFonts w:ascii="Arial" w:cs="Arial" w:eastAsia="Arial" w:hAnsi="Arial"/>
                <w:sz w:val="13"/>
                <w:szCs w:val="13"/>
                <w:color w:val="auto"/>
              </w:rPr>
              <w:t>Other comprehensive income (loss):</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Foreign currency translation adjustment</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tcBorders>
              <w:top w:val="single" w:sz="8" w:color="CCEEFF"/>
            </w:tcBorders>
            <w:gridSpan w:val="4"/>
          </w:tcPr>
          <w:p>
            <w:pPr>
              <w:ind w:left="220"/>
              <w:spacing w:after="0"/>
              <w:rPr>
                <w:sz w:val="20"/>
                <w:szCs w:val="20"/>
                <w:color w:val="auto"/>
              </w:rPr>
            </w:pPr>
            <w:r>
              <w:rPr>
                <w:rFonts w:ascii="Arial" w:cs="Arial" w:eastAsia="Arial" w:hAnsi="Arial"/>
                <w:sz w:val="13"/>
                <w:szCs w:val="13"/>
                <w:color w:val="auto"/>
              </w:rPr>
              <w:t>Unrealized gain (loss) on marketable securities:</w:t>
            </w:r>
          </w:p>
        </w:tc>
        <w:tc>
          <w:tcPr>
            <w:tcW w:w="8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20" w:type="dxa"/>
            <w:vAlign w:val="bottom"/>
            <w:gridSpan w:val="4"/>
            <w:shd w:val="clear" w:color="auto" w:fill="CCEEFF"/>
          </w:tcPr>
          <w:p>
            <w:pPr>
              <w:ind w:left="340"/>
              <w:spacing w:after="0" w:line="149" w:lineRule="exact"/>
              <w:rPr>
                <w:sz w:val="20"/>
                <w:szCs w:val="20"/>
                <w:color w:val="auto"/>
              </w:rPr>
            </w:pPr>
            <w:r>
              <w:rPr>
                <w:rFonts w:ascii="Arial" w:cs="Arial" w:eastAsia="Arial" w:hAnsi="Arial"/>
                <w:sz w:val="13"/>
                <w:szCs w:val="13"/>
                <w:color w:val="auto"/>
              </w:rPr>
              <w:t>Change in market value of marketable securities before</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reclassification, net of tax of $148 and ($186)</w:t>
            </w:r>
          </w:p>
        </w:tc>
        <w:tc>
          <w:tcPr>
            <w:tcW w:w="8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(289)</w:t>
            </w:r>
          </w:p>
        </w:tc>
        <w:tc>
          <w:tcPr>
            <w:tcW w:w="8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20" w:type="dxa"/>
            <w:vAlign w:val="bottom"/>
            <w:gridSpan w:val="4"/>
          </w:tcPr>
          <w:p>
            <w:pPr>
              <w:ind w:left="340"/>
              <w:spacing w:after="0" w:line="149" w:lineRule="exact"/>
              <w:rPr>
                <w:sz w:val="20"/>
                <w:szCs w:val="20"/>
                <w:color w:val="auto"/>
              </w:rPr>
            </w:pPr>
            <w:r>
              <w:rPr>
                <w:rFonts w:ascii="Arial" w:cs="Arial" w:eastAsia="Arial" w:hAnsi="Arial"/>
                <w:sz w:val="13"/>
                <w:szCs w:val="13"/>
                <w:color w:val="auto"/>
              </w:rPr>
              <w:t>Reclassification adjustment for realized gains included in</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40" w:type="dxa"/>
            <w:vAlign w:val="bottom"/>
            <w:gridSpan w:val="5"/>
          </w:tcPr>
          <w:p>
            <w:pPr>
              <w:spacing w:after="0"/>
              <w:rPr>
                <w:sz w:val="20"/>
                <w:szCs w:val="20"/>
                <w:color w:val="auto"/>
              </w:rPr>
            </w:pPr>
            <w:r>
              <w:rPr>
                <w:rFonts w:ascii="Arial" w:cs="Arial" w:eastAsia="Arial" w:hAnsi="Arial"/>
                <w:sz w:val="13"/>
                <w:szCs w:val="13"/>
                <w:color w:val="auto"/>
              </w:rPr>
              <w:t>net income, net of tax of $47 and $128</w:t>
            </w:r>
          </w:p>
        </w:tc>
        <w:tc>
          <w:tcPr>
            <w:tcW w:w="8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(90)</w:t>
            </w:r>
          </w:p>
        </w:tc>
        <w:tc>
          <w:tcPr>
            <w:tcW w:w="8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340"/>
              <w:spacing w:after="0"/>
              <w:rPr>
                <w:sz w:val="20"/>
                <w:szCs w:val="20"/>
                <w:color w:val="auto"/>
              </w:rPr>
            </w:pPr>
            <w:r>
              <w:rPr>
                <w:rFonts w:ascii="Arial" w:cs="Arial" w:eastAsia="Arial" w:hAnsi="Arial"/>
                <w:sz w:val="13"/>
                <w:szCs w:val="13"/>
                <w:color w:val="auto"/>
              </w:rPr>
              <w:t>Total unrealized (loss) gain on marketable securities, net of tax</w:t>
            </w:r>
          </w:p>
        </w:tc>
        <w:tc>
          <w:tcPr>
            <w:tcW w:w="8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(379)</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8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45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Total other comprehensive income (loss)</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tcBorders>
              <w:top w:val="single" w:sz="8" w:color="CCEEFF"/>
            </w:tcBorders>
            <w:gridSpan w:val="4"/>
          </w:tcPr>
          <w:p>
            <w:pPr>
              <w:ind w:left="340"/>
              <w:spacing w:after="0"/>
              <w:rPr>
                <w:sz w:val="20"/>
                <w:szCs w:val="20"/>
                <w:color w:val="auto"/>
              </w:rPr>
            </w:pPr>
            <w:r>
              <w:rPr>
                <w:rFonts w:ascii="Arial" w:cs="Arial" w:eastAsia="Arial" w:hAnsi="Arial"/>
                <w:sz w:val="13"/>
                <w:szCs w:val="13"/>
                <w:color w:val="auto"/>
              </w:rPr>
              <w:t>Comprehensive income</w:t>
            </w:r>
          </w:p>
        </w:tc>
        <w:tc>
          <w:tcPr>
            <w:tcW w:w="88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1,235</w:t>
            </w: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1,727</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condensed financial statements.</w:t>
      </w:r>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220" w:top="123" w:right="6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15"/>
        </w:trPr>
        <w:tc>
          <w:tcPr>
            <w:tcW w:w="8040" w:type="dxa"/>
            <w:vAlign w:val="bottom"/>
            <w:gridSpan w:val="5"/>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20" w:type="dxa"/>
            <w:vAlign w:val="bottom"/>
          </w:tcPr>
          <w:p>
            <w:pPr>
              <w:jc w:val="center"/>
              <w:ind w:right="494"/>
              <w:spacing w:after="0"/>
              <w:rPr>
                <w:sz w:val="20"/>
                <w:szCs w:val="20"/>
                <w:color w:val="auto"/>
              </w:rPr>
            </w:pPr>
            <w:r>
              <w:rPr>
                <w:rFonts w:ascii="Arial" w:cs="Arial" w:eastAsia="Arial" w:hAnsi="Arial"/>
                <w:sz w:val="13"/>
                <w:szCs w:val="13"/>
                <w:b w:val="1"/>
                <w:bCs w:val="1"/>
                <w:color w:val="auto"/>
              </w:rPr>
              <w:t>FREQUENCY ELECTRONICS, INC. and SUBSIDIARIES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20" w:type="dxa"/>
            <w:vAlign w:val="bottom"/>
            <w:gridSpan w:val="2"/>
          </w:tcPr>
          <w:p>
            <w:pPr>
              <w:jc w:val="center"/>
              <w:ind w:left="274"/>
              <w:spacing w:after="0"/>
              <w:rPr>
                <w:sz w:val="20"/>
                <w:szCs w:val="20"/>
                <w:color w:val="auto"/>
              </w:rPr>
            </w:pPr>
            <w:r>
              <w:rPr>
                <w:rFonts w:ascii="Arial" w:cs="Arial" w:eastAsia="Arial" w:hAnsi="Arial"/>
                <w:sz w:val="13"/>
                <w:szCs w:val="13"/>
                <w:color w:val="auto"/>
                <w:w w:val="90"/>
              </w:rPr>
              <w:t>Condensed Consolidated Statements of Income and Comprehensive Income</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20" w:type="dxa"/>
            <w:vAlign w:val="bottom"/>
          </w:tcPr>
          <w:p>
            <w:pPr>
              <w:jc w:val="center"/>
              <w:ind w:right="494"/>
              <w:spacing w:after="0"/>
              <w:rPr>
                <w:sz w:val="20"/>
                <w:szCs w:val="20"/>
                <w:color w:val="auto"/>
              </w:rPr>
            </w:pPr>
            <w:r>
              <w:rPr>
                <w:rFonts w:ascii="Arial" w:cs="Arial" w:eastAsia="Arial" w:hAnsi="Arial"/>
                <w:sz w:val="13"/>
                <w:szCs w:val="13"/>
                <w:color w:val="auto"/>
                <w:w w:val="91"/>
              </w:rPr>
              <w:t>Three Months Ended October 31,</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20" w:type="dxa"/>
            <w:vAlign w:val="bottom"/>
          </w:tcPr>
          <w:p>
            <w:pPr>
              <w:jc w:val="center"/>
              <w:ind w:right="494"/>
              <w:spacing w:after="0"/>
              <w:rPr>
                <w:sz w:val="20"/>
                <w:szCs w:val="20"/>
                <w:color w:val="auto"/>
              </w:rPr>
            </w:pPr>
            <w:r>
              <w:rPr>
                <w:rFonts w:ascii="Arial" w:cs="Arial" w:eastAsia="Arial" w:hAnsi="Arial"/>
                <w:sz w:val="13"/>
                <w:szCs w:val="13"/>
                <w:color w:val="auto"/>
                <w:w w:val="94"/>
              </w:rPr>
              <w:t>(Unaudited)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2015</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2014</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04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Condensed Consolidated Statements of Income</w:t>
            </w:r>
          </w:p>
        </w:tc>
        <w:tc>
          <w:tcPr>
            <w:tcW w:w="2420" w:type="dxa"/>
            <w:vAlign w:val="bottom"/>
            <w:gridSpan w:val="4"/>
          </w:tcPr>
          <w:p>
            <w:pPr>
              <w:jc w:val="right"/>
              <w:ind w:right="9"/>
              <w:spacing w:after="0"/>
              <w:rPr>
                <w:sz w:val="20"/>
                <w:szCs w:val="20"/>
                <w:color w:val="auto"/>
              </w:rPr>
            </w:pPr>
            <w:r>
              <w:rPr>
                <w:rFonts w:ascii="Arial" w:cs="Arial" w:eastAsia="Arial" w:hAnsi="Arial"/>
                <w:sz w:val="13"/>
                <w:szCs w:val="13"/>
                <w:color w:val="auto"/>
              </w:rPr>
              <w:t>(In thousands except per share data)</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040" w:type="dxa"/>
            <w:vAlign w:val="bottom"/>
            <w:gridSpan w:val="5"/>
            <w:vMerge w:val="continue"/>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Revenues</w:t>
            </w:r>
          </w:p>
        </w:tc>
        <w:tc>
          <w:tcPr>
            <w:tcW w:w="5420" w:type="dxa"/>
            <w:vAlign w:val="bottom"/>
            <w:gridSpan w:val="2"/>
            <w:shd w:val="clear" w:color="auto" w:fill="CCEEFF"/>
          </w:tcPr>
          <w:p>
            <w:pPr>
              <w:spacing w:after="0"/>
              <w:rPr>
                <w:sz w:val="13"/>
                <w:szCs w:val="13"/>
                <w:color w:val="auto"/>
              </w:rPr>
            </w:pPr>
          </w:p>
        </w:tc>
        <w:tc>
          <w:tcPr>
            <w:tcW w:w="880" w:type="dxa"/>
            <w:vAlign w:val="bottom"/>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16,003</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19,243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Cost of revenues</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10,779</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12,569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Gross margin</w:t>
            </w:r>
          </w:p>
        </w:tc>
        <w:tc>
          <w:tcPr>
            <w:tcW w:w="8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5,224</w:t>
            </w:r>
          </w:p>
        </w:tc>
        <w:tc>
          <w:tcPr>
            <w:tcW w:w="22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Selling and administrative expenses</w:t>
            </w:r>
          </w:p>
        </w:tc>
        <w:tc>
          <w:tcPr>
            <w:tcW w:w="8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3,230</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3,472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Research and development expense</w:t>
            </w:r>
          </w:p>
        </w:tc>
        <w:tc>
          <w:tcPr>
            <w:tcW w:w="8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1,946</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tcBorders>
              <w:top w:val="single" w:sz="8" w:color="CCEEFF"/>
            </w:tcBorders>
            <w:gridSpan w:val="4"/>
          </w:tcPr>
          <w:p>
            <w:pPr>
              <w:ind w:left="220"/>
              <w:spacing w:after="0"/>
              <w:rPr>
                <w:sz w:val="20"/>
                <w:szCs w:val="20"/>
                <w:color w:val="auto"/>
              </w:rPr>
            </w:pPr>
            <w:r>
              <w:rPr>
                <w:rFonts w:ascii="Arial" w:cs="Arial" w:eastAsia="Arial" w:hAnsi="Arial"/>
                <w:sz w:val="13"/>
                <w:szCs w:val="13"/>
                <w:color w:val="auto"/>
              </w:rPr>
              <w:t>Operating profit</w:t>
            </w:r>
          </w:p>
        </w:tc>
        <w:tc>
          <w:tcPr>
            <w:tcW w:w="8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1,796</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Other income (expense):</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Investment income</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ind w:left="100"/>
              <w:spacing w:after="0"/>
              <w:rPr>
                <w:sz w:val="20"/>
                <w:szCs w:val="20"/>
                <w:color w:val="auto"/>
              </w:rPr>
            </w:pPr>
            <w:r>
              <w:rPr>
                <w:rFonts w:ascii="Arial" w:cs="Arial" w:eastAsia="Arial" w:hAnsi="Arial"/>
                <w:sz w:val="13"/>
                <w:szCs w:val="13"/>
                <w:color w:val="auto"/>
              </w:rPr>
              <w:t>Interest expense</w:t>
            </w:r>
          </w:p>
        </w:tc>
        <w:tc>
          <w:tcPr>
            <w:tcW w:w="8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(32)</w:t>
            </w:r>
          </w:p>
        </w:tc>
        <w:tc>
          <w:tcPr>
            <w:tcW w:w="8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100"/>
              <w:spacing w:after="0"/>
              <w:rPr>
                <w:sz w:val="20"/>
                <w:szCs w:val="20"/>
                <w:color w:val="auto"/>
              </w:rPr>
            </w:pPr>
            <w:r>
              <w:rPr>
                <w:rFonts w:ascii="Arial" w:cs="Arial" w:eastAsia="Arial" w:hAnsi="Arial"/>
                <w:sz w:val="13"/>
                <w:szCs w:val="13"/>
                <w:color w:val="auto"/>
              </w:rPr>
              <w:t>Other income (expense), net</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tcBorders>
              <w:top w:val="single" w:sz="8" w:color="CCEEFF"/>
            </w:tcBorders>
            <w:gridSpan w:val="4"/>
          </w:tcPr>
          <w:p>
            <w:pPr>
              <w:spacing w:after="0"/>
              <w:rPr>
                <w:sz w:val="20"/>
                <w:szCs w:val="20"/>
                <w:color w:val="auto"/>
              </w:rPr>
            </w:pPr>
            <w:r>
              <w:rPr>
                <w:rFonts w:ascii="Arial" w:cs="Arial" w:eastAsia="Arial" w:hAnsi="Arial"/>
                <w:sz w:val="13"/>
                <w:szCs w:val="13"/>
                <w:color w:val="auto"/>
              </w:rPr>
              <w:t>Income before provision for income taxes</w:t>
            </w:r>
          </w:p>
        </w:tc>
        <w:tc>
          <w:tcPr>
            <w:tcW w:w="8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1,949</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ind w:left="220"/>
              <w:spacing w:after="0"/>
              <w:rPr>
                <w:sz w:val="20"/>
                <w:szCs w:val="20"/>
                <w:color w:val="auto"/>
              </w:rPr>
            </w:pPr>
            <w:r>
              <w:rPr>
                <w:rFonts w:ascii="Arial" w:cs="Arial" w:eastAsia="Arial" w:hAnsi="Arial"/>
                <w:sz w:val="13"/>
                <w:szCs w:val="13"/>
                <w:color w:val="auto"/>
              </w:rPr>
              <w:t>Net (loss) income</w:t>
            </w:r>
          </w:p>
        </w:tc>
        <w:tc>
          <w:tcPr>
            <w:tcW w:w="880" w:type="dxa"/>
            <w:vAlign w:val="bottom"/>
          </w:tcPr>
          <w:p>
            <w:pPr>
              <w:jc w:val="right"/>
              <w:ind w:right="76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(69)</w:t>
            </w:r>
          </w:p>
        </w:tc>
        <w:tc>
          <w:tcPr>
            <w:tcW w:w="880" w:type="dxa"/>
            <w:vAlign w:val="bottom"/>
          </w:tcPr>
          <w:p>
            <w:pPr>
              <w:jc w:val="right"/>
              <w:ind w:right="76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1,289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restart"/>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Net (loss) income per common share</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2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880" w:type="dxa"/>
            <w:vAlign w:val="bottom"/>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(0.01)</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8020" w:type="dxa"/>
            <w:vAlign w:val="bottom"/>
            <w:gridSpan w:val="4"/>
          </w:tcPr>
          <w:p>
            <w:pPr>
              <w:ind w:left="220"/>
              <w:spacing w:after="0" w:line="137" w:lineRule="exact"/>
              <w:rPr>
                <w:sz w:val="20"/>
                <w:szCs w:val="20"/>
                <w:color w:val="auto"/>
              </w:rPr>
            </w:pPr>
            <w:r>
              <w:rPr>
                <w:rFonts w:ascii="Arial" w:cs="Arial" w:eastAsia="Arial" w:hAnsi="Arial"/>
                <w:sz w:val="13"/>
                <w:szCs w:val="13"/>
                <w:color w:val="auto"/>
              </w:rPr>
              <w:t>Diluted</w:t>
            </w:r>
          </w:p>
        </w:tc>
        <w:tc>
          <w:tcPr>
            <w:tcW w:w="880" w:type="dxa"/>
            <w:vAlign w:val="bottom"/>
          </w:tcPr>
          <w:p>
            <w:pPr>
              <w:jc w:val="right"/>
              <w:ind w:right="76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line="137" w:lineRule="exact"/>
              <w:rPr>
                <w:sz w:val="20"/>
                <w:szCs w:val="20"/>
                <w:color w:val="auto"/>
              </w:rPr>
            </w:pPr>
            <w:r>
              <w:rPr>
                <w:rFonts w:ascii="Arial" w:cs="Arial" w:eastAsia="Arial" w:hAnsi="Arial"/>
                <w:sz w:val="13"/>
                <w:szCs w:val="13"/>
                <w:color w:val="auto"/>
              </w:rPr>
              <w:t>(0.01)</w:t>
            </w:r>
          </w:p>
        </w:tc>
        <w:tc>
          <w:tcPr>
            <w:tcW w:w="880" w:type="dxa"/>
            <w:vAlign w:val="bottom"/>
          </w:tcPr>
          <w:p>
            <w:pPr>
              <w:jc w:val="right"/>
              <w:ind w:right="769"/>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restart"/>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4"/>
          </w:tcPr>
          <w:p>
            <w:pPr>
              <w:spacing w:after="0"/>
              <w:rPr>
                <w:sz w:val="20"/>
                <w:szCs w:val="20"/>
                <w:color w:val="auto"/>
              </w:rPr>
            </w:pPr>
            <w:r>
              <w:rPr>
                <w:rFonts w:ascii="Arial" w:cs="Arial" w:eastAsia="Arial" w:hAnsi="Arial"/>
                <w:sz w:val="13"/>
                <w:szCs w:val="13"/>
                <w:color w:val="auto"/>
              </w:rPr>
              <w:t>Weighted average shares outstanding</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8,725</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8,598</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20" w:type="dxa"/>
            <w:vAlign w:val="bottom"/>
            <w:gridSpan w:val="4"/>
          </w:tcPr>
          <w:p>
            <w:pPr>
              <w:ind w:left="220"/>
              <w:spacing w:after="0" w:line="137" w:lineRule="exact"/>
              <w:rPr>
                <w:sz w:val="20"/>
                <w:szCs w:val="20"/>
                <w:color w:val="auto"/>
              </w:rPr>
            </w:pPr>
            <w:r>
              <w:rPr>
                <w:rFonts w:ascii="Arial" w:cs="Arial" w:eastAsia="Arial" w:hAnsi="Arial"/>
                <w:sz w:val="13"/>
                <w:szCs w:val="13"/>
                <w:color w:val="auto"/>
              </w:rPr>
              <w:t>Diluted</w:t>
            </w:r>
          </w:p>
        </w:tc>
        <w:tc>
          <w:tcPr>
            <w:tcW w:w="880" w:type="dxa"/>
            <w:vAlign w:val="bottom"/>
          </w:tcPr>
          <w:p>
            <w:pPr>
              <w:spacing w:after="0"/>
              <w:rPr>
                <w:sz w:val="11"/>
                <w:szCs w:val="11"/>
                <w:color w:val="auto"/>
              </w:rPr>
            </w:pPr>
          </w:p>
        </w:tc>
        <w:tc>
          <w:tcPr>
            <w:tcW w:w="660" w:type="dxa"/>
            <w:vAlign w:val="bottom"/>
            <w:gridSpan w:val="2"/>
          </w:tcPr>
          <w:p>
            <w:pPr>
              <w:jc w:val="right"/>
              <w:ind w:right="220"/>
              <w:spacing w:after="0" w:line="137" w:lineRule="exact"/>
              <w:rPr>
                <w:sz w:val="20"/>
                <w:szCs w:val="20"/>
                <w:color w:val="auto"/>
              </w:rPr>
            </w:pPr>
            <w:r>
              <w:rPr>
                <w:rFonts w:ascii="Arial" w:cs="Arial" w:eastAsia="Arial" w:hAnsi="Arial"/>
                <w:sz w:val="13"/>
                <w:szCs w:val="13"/>
                <w:color w:val="auto"/>
              </w:rPr>
              <w:t>8,725</w:t>
            </w:r>
          </w:p>
        </w:tc>
        <w:tc>
          <w:tcPr>
            <w:tcW w:w="88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3"/>
                <w:szCs w:val="13"/>
                <w:color w:val="auto"/>
              </w:rPr>
              <w:t>8,877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4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Condensed Consolidated Statements of Comprehensive Income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040" w:type="dxa"/>
            <w:vAlign w:val="bottom"/>
            <w:gridSpan w:val="5"/>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0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3"/>
                <w:szCs w:val="13"/>
                <w:color w:val="auto"/>
              </w:rPr>
              <w:t>Net (loss) income</w:t>
            </w:r>
          </w:p>
        </w:tc>
        <w:tc>
          <w:tcPr>
            <w:tcW w:w="45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(69)</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ind w:left="100"/>
              <w:spacing w:after="0"/>
              <w:rPr>
                <w:sz w:val="20"/>
                <w:szCs w:val="20"/>
                <w:color w:val="auto"/>
              </w:rPr>
            </w:pPr>
            <w:r>
              <w:rPr>
                <w:rFonts w:ascii="Arial" w:cs="Arial" w:eastAsia="Arial" w:hAnsi="Arial"/>
                <w:sz w:val="13"/>
                <w:szCs w:val="13"/>
                <w:color w:val="auto"/>
              </w:rPr>
              <w:t>Other comprehensive income (loss):</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220"/>
              <w:spacing w:after="0"/>
              <w:rPr>
                <w:sz w:val="20"/>
                <w:szCs w:val="20"/>
                <w:color w:val="auto"/>
              </w:rPr>
            </w:pPr>
            <w:r>
              <w:rPr>
                <w:rFonts w:ascii="Arial" w:cs="Arial" w:eastAsia="Arial" w:hAnsi="Arial"/>
                <w:sz w:val="13"/>
                <w:szCs w:val="13"/>
                <w:color w:val="auto"/>
              </w:rPr>
              <w:t>Foreign currency translation adjustment</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tcBorders>
              <w:top w:val="single" w:sz="8" w:color="CCEEFF"/>
            </w:tcBorders>
            <w:gridSpan w:val="4"/>
          </w:tcPr>
          <w:p>
            <w:pPr>
              <w:ind w:left="220"/>
              <w:spacing w:after="0"/>
              <w:rPr>
                <w:sz w:val="20"/>
                <w:szCs w:val="20"/>
                <w:color w:val="auto"/>
              </w:rPr>
            </w:pPr>
            <w:r>
              <w:rPr>
                <w:rFonts w:ascii="Arial" w:cs="Arial" w:eastAsia="Arial" w:hAnsi="Arial"/>
                <w:sz w:val="13"/>
                <w:szCs w:val="13"/>
                <w:color w:val="auto"/>
              </w:rPr>
              <w:t>Unrealized gain (loss) on marketable securities:</w:t>
            </w:r>
          </w:p>
        </w:tc>
        <w:tc>
          <w:tcPr>
            <w:tcW w:w="8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20" w:type="dxa"/>
            <w:vAlign w:val="bottom"/>
            <w:gridSpan w:val="4"/>
            <w:shd w:val="clear" w:color="auto" w:fill="CCEEFF"/>
          </w:tcPr>
          <w:p>
            <w:pPr>
              <w:ind w:left="340"/>
              <w:spacing w:after="0" w:line="149" w:lineRule="exact"/>
              <w:rPr>
                <w:sz w:val="20"/>
                <w:szCs w:val="20"/>
                <w:color w:val="auto"/>
              </w:rPr>
            </w:pPr>
            <w:r>
              <w:rPr>
                <w:rFonts w:ascii="Arial" w:cs="Arial" w:eastAsia="Arial" w:hAnsi="Arial"/>
                <w:sz w:val="13"/>
                <w:szCs w:val="13"/>
                <w:color w:val="auto"/>
              </w:rPr>
              <w:t>Change in market value of marketable securities before</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2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reclassification, net of tax of $54 and ($47)</w:t>
            </w:r>
          </w:p>
        </w:tc>
        <w:tc>
          <w:tcPr>
            <w:tcW w:w="8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(104)</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20" w:type="dxa"/>
            <w:vAlign w:val="bottom"/>
            <w:gridSpan w:val="4"/>
          </w:tcPr>
          <w:p>
            <w:pPr>
              <w:ind w:left="340"/>
              <w:spacing w:after="0" w:line="149" w:lineRule="exact"/>
              <w:rPr>
                <w:sz w:val="20"/>
                <w:szCs w:val="20"/>
                <w:color w:val="auto"/>
              </w:rPr>
            </w:pPr>
            <w:r>
              <w:rPr>
                <w:rFonts w:ascii="Arial" w:cs="Arial" w:eastAsia="Arial" w:hAnsi="Arial"/>
                <w:sz w:val="13"/>
                <w:szCs w:val="13"/>
                <w:color w:val="auto"/>
              </w:rPr>
              <w:t>Reclassification adjustment for realized gains included in</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20" w:type="dxa"/>
            <w:vAlign w:val="bottom"/>
            <w:gridSpan w:val="4"/>
          </w:tcPr>
          <w:p>
            <w:pPr>
              <w:ind w:left="460"/>
              <w:spacing w:after="0"/>
              <w:rPr>
                <w:sz w:val="20"/>
                <w:szCs w:val="20"/>
                <w:color w:val="auto"/>
              </w:rPr>
            </w:pPr>
            <w:r>
              <w:rPr>
                <w:rFonts w:ascii="Arial" w:cs="Arial" w:eastAsia="Arial" w:hAnsi="Arial"/>
                <w:sz w:val="13"/>
                <w:szCs w:val="13"/>
                <w:color w:val="auto"/>
              </w:rPr>
              <w:t>net income, net of tax of $0 and $33</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340"/>
              <w:spacing w:after="0"/>
              <w:rPr>
                <w:sz w:val="20"/>
                <w:szCs w:val="20"/>
                <w:color w:val="auto"/>
              </w:rPr>
            </w:pPr>
            <w:r>
              <w:rPr>
                <w:rFonts w:ascii="Arial" w:cs="Arial" w:eastAsia="Arial" w:hAnsi="Arial"/>
                <w:sz w:val="13"/>
                <w:szCs w:val="13"/>
                <w:color w:val="auto"/>
              </w:rPr>
              <w:t>Total unrealized gain (loss) on marketable securities, net of tax</w:t>
            </w:r>
          </w:p>
        </w:tc>
        <w:tc>
          <w:tcPr>
            <w:tcW w:w="8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(104)</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8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45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Total other comprehensive (loss)</w:t>
            </w:r>
          </w:p>
        </w:tc>
        <w:tc>
          <w:tcPr>
            <w:tcW w:w="8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w:t>
            </w:r>
          </w:p>
        </w:tc>
        <w:tc>
          <w:tcPr>
            <w:tcW w:w="8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4"/>
          </w:tcPr>
          <w:p>
            <w:pPr>
              <w:ind w:left="340"/>
              <w:spacing w:after="0"/>
              <w:rPr>
                <w:sz w:val="20"/>
                <w:szCs w:val="20"/>
                <w:color w:val="auto"/>
              </w:rPr>
            </w:pPr>
            <w:r>
              <w:rPr>
                <w:rFonts w:ascii="Arial" w:cs="Arial" w:eastAsia="Arial" w:hAnsi="Arial"/>
                <w:sz w:val="13"/>
                <w:szCs w:val="13"/>
                <w:color w:val="auto"/>
              </w:rPr>
              <w:t>Comprehensive (loss) income</w:t>
            </w:r>
          </w:p>
        </w:tc>
        <w:tc>
          <w:tcPr>
            <w:tcW w:w="880" w:type="dxa"/>
            <w:vAlign w:val="bottom"/>
          </w:tcPr>
          <w:p>
            <w:pPr>
              <w:jc w:val="right"/>
              <w:ind w:right="76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(82)</w:t>
            </w:r>
          </w:p>
        </w:tc>
        <w:tc>
          <w:tcPr>
            <w:tcW w:w="880" w:type="dxa"/>
            <w:vAlign w:val="bottom"/>
          </w:tcPr>
          <w:p>
            <w:pPr>
              <w:jc w:val="right"/>
              <w:ind w:right="769"/>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condensed financial statements.</w:t>
      </w:r>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220" w:top="123" w:right="6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15"/>
        </w:trPr>
        <w:tc>
          <w:tcPr>
            <w:tcW w:w="804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300" w:type="dxa"/>
            <w:vAlign w:val="bottom"/>
          </w:tcPr>
          <w:p>
            <w:pPr>
              <w:jc w:val="center"/>
              <w:ind w:left="2194"/>
              <w:spacing w:after="0"/>
              <w:rPr>
                <w:sz w:val="20"/>
                <w:szCs w:val="20"/>
                <w:color w:val="auto"/>
              </w:rPr>
            </w:pPr>
            <w:r>
              <w:rPr>
                <w:rFonts w:ascii="Arial" w:cs="Arial" w:eastAsia="Arial" w:hAnsi="Arial"/>
                <w:sz w:val="13"/>
                <w:szCs w:val="13"/>
                <w:b w:val="1"/>
                <w:bCs w:val="1"/>
                <w:color w:val="auto"/>
              </w:rPr>
              <w:t>FREQUENCY ELECTRONICS, INC. and SUBSIDIARIES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300" w:type="dxa"/>
            <w:vAlign w:val="bottom"/>
          </w:tcPr>
          <w:p>
            <w:pPr>
              <w:jc w:val="center"/>
              <w:ind w:left="2154"/>
              <w:spacing w:after="0"/>
              <w:rPr>
                <w:sz w:val="20"/>
                <w:szCs w:val="20"/>
                <w:color w:val="auto"/>
              </w:rPr>
            </w:pPr>
            <w:r>
              <w:rPr>
                <w:rFonts w:ascii="Arial" w:cs="Arial" w:eastAsia="Arial" w:hAnsi="Arial"/>
                <w:sz w:val="13"/>
                <w:szCs w:val="13"/>
                <w:color w:val="auto"/>
                <w:w w:val="90"/>
              </w:rPr>
              <w:t>Condensed Consolidated Statements of Cash Flows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300" w:type="dxa"/>
            <w:vAlign w:val="bottom"/>
          </w:tcPr>
          <w:p>
            <w:pPr>
              <w:jc w:val="center"/>
              <w:ind w:left="2154"/>
              <w:spacing w:after="0"/>
              <w:rPr>
                <w:sz w:val="20"/>
                <w:szCs w:val="20"/>
                <w:color w:val="auto"/>
              </w:rPr>
            </w:pPr>
            <w:r>
              <w:rPr>
                <w:rFonts w:ascii="Arial" w:cs="Arial" w:eastAsia="Arial" w:hAnsi="Arial"/>
                <w:sz w:val="13"/>
                <w:szCs w:val="13"/>
                <w:color w:val="auto"/>
                <w:w w:val="92"/>
              </w:rPr>
              <w:t>Six Months Ended October 31,</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300" w:type="dxa"/>
            <w:vAlign w:val="bottom"/>
          </w:tcPr>
          <w:p>
            <w:pPr>
              <w:jc w:val="center"/>
              <w:ind w:left="2154"/>
              <w:spacing w:after="0"/>
              <w:rPr>
                <w:sz w:val="20"/>
                <w:szCs w:val="20"/>
                <w:color w:val="auto"/>
              </w:rPr>
            </w:pPr>
            <w:r>
              <w:rPr>
                <w:rFonts w:ascii="Arial" w:cs="Arial" w:eastAsia="Arial" w:hAnsi="Arial"/>
                <w:sz w:val="13"/>
                <w:szCs w:val="13"/>
                <w:color w:val="auto"/>
                <w:w w:val="94"/>
              </w:rPr>
              <w:t>(Unaudited)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2015</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040" w:type="dxa"/>
            <w:vAlign w:val="bottom"/>
            <w:gridSpan w:val="3"/>
            <w:vMerge w:val="restart"/>
          </w:tcPr>
          <w:p>
            <w:pPr>
              <w:spacing w:after="0"/>
              <w:rPr>
                <w:sz w:val="20"/>
                <w:szCs w:val="20"/>
                <w:color w:val="auto"/>
              </w:rPr>
            </w:pPr>
            <w:r>
              <w:rPr>
                <w:rFonts w:ascii="Arial" w:cs="Arial" w:eastAsia="Arial" w:hAnsi="Arial"/>
                <w:sz w:val="13"/>
                <w:szCs w:val="13"/>
                <w:color w:val="auto"/>
              </w:rPr>
              <w:t>Cash flows from operating activities:</w:t>
            </w:r>
          </w:p>
        </w:tc>
        <w:tc>
          <w:tcPr>
            <w:tcW w:w="88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(In</w:t>
            </w:r>
          </w:p>
        </w:tc>
        <w:tc>
          <w:tcPr>
            <w:tcW w:w="620" w:type="dxa"/>
            <w:vAlign w:val="bottom"/>
            <w:gridSpan w:val="2"/>
          </w:tcPr>
          <w:p>
            <w:pPr>
              <w:jc w:val="center"/>
              <w:ind w:right="74"/>
              <w:spacing w:after="0"/>
              <w:rPr>
                <w:sz w:val="20"/>
                <w:szCs w:val="20"/>
                <w:color w:val="auto"/>
              </w:rPr>
            </w:pPr>
            <w:r>
              <w:rPr>
                <w:rFonts w:ascii="Arial" w:cs="Arial" w:eastAsia="Arial" w:hAnsi="Arial"/>
                <w:sz w:val="13"/>
                <w:szCs w:val="13"/>
                <w:color w:val="auto"/>
                <w:w w:val="74"/>
              </w:rPr>
              <w:t>thousands)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4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Net income</w:t>
            </w:r>
          </w:p>
        </w:tc>
        <w:tc>
          <w:tcPr>
            <w:tcW w:w="880" w:type="dxa"/>
            <w:vAlign w:val="bottom"/>
            <w:shd w:val="clear" w:color="auto" w:fill="CCEEFF"/>
          </w:tcPr>
          <w:p>
            <w:pPr>
              <w:jc w:val="right"/>
              <w:ind w:right="76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jc w:val="center"/>
              <w:ind w:right="27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tcPr>
          <w:p>
            <w:pPr>
              <w:ind w:left="220"/>
              <w:spacing w:after="0"/>
              <w:rPr>
                <w:sz w:val="20"/>
                <w:szCs w:val="20"/>
                <w:color w:val="auto"/>
              </w:rPr>
            </w:pPr>
            <w:r>
              <w:rPr>
                <w:rFonts w:ascii="Arial" w:cs="Arial" w:eastAsia="Arial" w:hAnsi="Arial"/>
                <w:sz w:val="13"/>
                <w:szCs w:val="13"/>
                <w:color w:val="auto"/>
              </w:rPr>
              <w:t>Non-cash charges to earnings</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2,602</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Net changes in operating assets and liabilities</w:t>
            </w:r>
          </w:p>
        </w:tc>
        <w:tc>
          <w:tcPr>
            <w:tcW w:w="8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(6,340)</w:t>
            </w:r>
          </w:p>
        </w:tc>
        <w:tc>
          <w:tcPr>
            <w:tcW w:w="4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2"/>
          </w:tcPr>
          <w:p>
            <w:pPr>
              <w:spacing w:after="0"/>
              <w:rPr>
                <w:sz w:val="20"/>
                <w:szCs w:val="20"/>
                <w:color w:val="auto"/>
              </w:rPr>
            </w:pPr>
            <w:r>
              <w:rPr>
                <w:rFonts w:ascii="Arial" w:cs="Arial" w:eastAsia="Arial" w:hAnsi="Arial"/>
                <w:sz w:val="13"/>
                <w:szCs w:val="13"/>
                <w:color w:val="auto"/>
              </w:rPr>
              <w:t>Net cash used in operating activities</w:t>
            </w:r>
          </w:p>
        </w:tc>
        <w:tc>
          <w:tcPr>
            <w:tcW w:w="880" w:type="dxa"/>
            <w:vAlign w:val="bottom"/>
          </w:tcPr>
          <w:p>
            <w:pPr>
              <w:spacing w:after="0"/>
              <w:rPr>
                <w:sz w:val="13"/>
                <w:szCs w:val="13"/>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3"/>
                <w:szCs w:val="13"/>
                <w:color w:val="auto"/>
              </w:rPr>
              <w:t>(2,916)</w:t>
            </w:r>
          </w:p>
        </w:tc>
        <w:tc>
          <w:tcPr>
            <w:tcW w:w="40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(2,506)</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3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2"/>
          </w:tcPr>
          <w:p>
            <w:pPr>
              <w:spacing w:after="0"/>
              <w:rPr>
                <w:sz w:val="20"/>
                <w:szCs w:val="20"/>
                <w:color w:val="auto"/>
              </w:rPr>
            </w:pPr>
            <w:r>
              <w:rPr>
                <w:rFonts w:ascii="Arial" w:cs="Arial" w:eastAsia="Arial" w:hAnsi="Arial"/>
                <w:sz w:val="13"/>
                <w:szCs w:val="13"/>
                <w:color w:val="auto"/>
              </w:rPr>
              <w:t>Cash flows from investing activities:</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Proceeds on redemption of marketable securities</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tcPr>
          <w:p>
            <w:pPr>
              <w:ind w:left="220"/>
              <w:spacing w:after="0"/>
              <w:rPr>
                <w:sz w:val="20"/>
                <w:szCs w:val="20"/>
                <w:color w:val="auto"/>
              </w:rPr>
            </w:pPr>
            <w:r>
              <w:rPr>
                <w:rFonts w:ascii="Arial" w:cs="Arial" w:eastAsia="Arial" w:hAnsi="Arial"/>
                <w:sz w:val="13"/>
                <w:szCs w:val="13"/>
                <w:color w:val="auto"/>
              </w:rPr>
              <w:t>Purchase of marketable securities</w:t>
            </w:r>
          </w:p>
        </w:tc>
        <w:tc>
          <w:tcPr>
            <w:tcW w:w="880" w:type="dxa"/>
            <w:vAlign w:val="bottom"/>
          </w:tcPr>
          <w:p>
            <w:pPr>
              <w:spacing w:after="0"/>
              <w:rPr>
                <w:sz w:val="13"/>
                <w:szCs w:val="13"/>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3"/>
                <w:szCs w:val="13"/>
                <w:color w:val="auto"/>
              </w:rPr>
              <w:t>(172)</w:t>
            </w:r>
          </w:p>
        </w:tc>
        <w:tc>
          <w:tcPr>
            <w:tcW w:w="40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(1,418)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Purchase of fixed assets and other assets</w:t>
            </w:r>
          </w:p>
        </w:tc>
        <w:tc>
          <w:tcPr>
            <w:tcW w:w="8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(1,308)</w:t>
            </w:r>
          </w:p>
        </w:tc>
        <w:tc>
          <w:tcPr>
            <w:tcW w:w="4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2"/>
          </w:tcPr>
          <w:p>
            <w:pPr>
              <w:spacing w:after="0"/>
              <w:rPr>
                <w:sz w:val="20"/>
                <w:szCs w:val="20"/>
                <w:color w:val="auto"/>
              </w:rPr>
            </w:pPr>
            <w:r>
              <w:rPr>
                <w:rFonts w:ascii="Arial" w:cs="Arial" w:eastAsia="Arial" w:hAnsi="Arial"/>
                <w:sz w:val="13"/>
                <w:szCs w:val="13"/>
                <w:color w:val="auto"/>
              </w:rPr>
              <w:t>Net cash used in investing activities</w:t>
            </w:r>
          </w:p>
        </w:tc>
        <w:tc>
          <w:tcPr>
            <w:tcW w:w="880" w:type="dxa"/>
            <w:vAlign w:val="bottom"/>
          </w:tcPr>
          <w:p>
            <w:pPr>
              <w:spacing w:after="0"/>
              <w:rPr>
                <w:sz w:val="13"/>
                <w:szCs w:val="13"/>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3"/>
                <w:szCs w:val="13"/>
                <w:color w:val="auto"/>
              </w:rPr>
              <w:t>(767)</w:t>
            </w:r>
          </w:p>
        </w:tc>
        <w:tc>
          <w:tcPr>
            <w:tcW w:w="40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3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2"/>
          </w:tcPr>
          <w:p>
            <w:pPr>
              <w:spacing w:after="0"/>
              <w:rPr>
                <w:sz w:val="20"/>
                <w:szCs w:val="20"/>
                <w:color w:val="auto"/>
              </w:rPr>
            </w:pPr>
            <w:r>
              <w:rPr>
                <w:rFonts w:ascii="Arial" w:cs="Arial" w:eastAsia="Arial" w:hAnsi="Arial"/>
                <w:sz w:val="13"/>
                <w:szCs w:val="13"/>
                <w:color w:val="auto"/>
              </w:rPr>
              <w:t>Cash flows from financing activities:</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Proceeds from credit line borrowings</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tcPr>
          <w:p>
            <w:pPr>
              <w:ind w:left="220"/>
              <w:spacing w:after="0"/>
              <w:rPr>
                <w:sz w:val="20"/>
                <w:szCs w:val="20"/>
                <w:color w:val="auto"/>
              </w:rPr>
            </w:pPr>
            <w:r>
              <w:rPr>
                <w:rFonts w:ascii="Arial" w:cs="Arial" w:eastAsia="Arial" w:hAnsi="Arial"/>
                <w:sz w:val="13"/>
                <w:szCs w:val="13"/>
                <w:color w:val="auto"/>
              </w:rPr>
              <w:t>Payment of credit line borrowings</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Tax benefit from exercise of stock-based compensation</w:t>
            </w:r>
          </w:p>
        </w:tc>
        <w:tc>
          <w:tcPr>
            <w:tcW w:w="8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tcPr>
          <w:p>
            <w:pPr>
              <w:spacing w:after="0"/>
              <w:rPr>
                <w:sz w:val="20"/>
                <w:szCs w:val="20"/>
                <w:color w:val="auto"/>
              </w:rPr>
            </w:pPr>
            <w:r>
              <w:rPr>
                <w:rFonts w:ascii="Arial" w:cs="Arial" w:eastAsia="Arial" w:hAnsi="Arial"/>
                <w:sz w:val="13"/>
                <w:szCs w:val="13"/>
                <w:color w:val="auto"/>
              </w:rPr>
              <w:t>Net cash provided by financing activities</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2"/>
          </w:tcPr>
          <w:p>
            <w:pPr>
              <w:spacing w:after="0"/>
              <w:rPr>
                <w:sz w:val="20"/>
                <w:szCs w:val="20"/>
                <w:color w:val="auto"/>
              </w:rPr>
            </w:pPr>
            <w:r>
              <w:rPr>
                <w:rFonts w:ascii="Arial" w:cs="Arial" w:eastAsia="Arial" w:hAnsi="Arial"/>
                <w:sz w:val="13"/>
                <w:szCs w:val="13"/>
                <w:color w:val="auto"/>
              </w:rPr>
              <w:t>Net decrease in cash and cash equivalents before effect of exchange rate changes</w:t>
            </w:r>
          </w:p>
        </w:tc>
        <w:tc>
          <w:tcPr>
            <w:tcW w:w="880" w:type="dxa"/>
            <w:vAlign w:val="bottom"/>
          </w:tcPr>
          <w:p>
            <w:pPr>
              <w:spacing w:after="0"/>
              <w:rPr>
                <w:sz w:val="13"/>
                <w:szCs w:val="13"/>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3"/>
                <w:szCs w:val="13"/>
                <w:color w:val="auto"/>
              </w:rPr>
              <w:t>(3,674)</w:t>
            </w:r>
          </w:p>
        </w:tc>
        <w:tc>
          <w:tcPr>
            <w:tcW w:w="40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(1,585)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2"/>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560</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3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tcPr>
          <w:p>
            <w:pPr>
              <w:ind w:left="220"/>
              <w:spacing w:after="0"/>
              <w:rPr>
                <w:sz w:val="20"/>
                <w:szCs w:val="20"/>
                <w:color w:val="auto"/>
              </w:rPr>
            </w:pPr>
            <w:r>
              <w:rPr>
                <w:rFonts w:ascii="Arial" w:cs="Arial" w:eastAsia="Arial" w:hAnsi="Arial"/>
                <w:sz w:val="13"/>
                <w:szCs w:val="13"/>
                <w:color w:val="auto"/>
              </w:rPr>
              <w:t>Net decrease in cash and cash equivalents</w:t>
            </w:r>
          </w:p>
        </w:tc>
        <w:tc>
          <w:tcPr>
            <w:tcW w:w="880" w:type="dxa"/>
            <w:vAlign w:val="bottom"/>
          </w:tcPr>
          <w:p>
            <w:pPr>
              <w:spacing w:after="0"/>
              <w:rPr>
                <w:sz w:val="13"/>
                <w:szCs w:val="13"/>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3"/>
                <w:szCs w:val="13"/>
                <w:color w:val="auto"/>
              </w:rPr>
              <w:t>(3,114)</w:t>
            </w:r>
          </w:p>
        </w:tc>
        <w:tc>
          <w:tcPr>
            <w:tcW w:w="40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(1,283)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tcPr>
          <w:p>
            <w:pPr>
              <w:ind w:left="220"/>
              <w:spacing w:after="0"/>
              <w:rPr>
                <w:sz w:val="20"/>
                <w:szCs w:val="20"/>
                <w:color w:val="auto"/>
              </w:rPr>
            </w:pPr>
            <w:r>
              <w:rPr>
                <w:rFonts w:ascii="Arial" w:cs="Arial" w:eastAsia="Arial" w:hAnsi="Arial"/>
                <w:sz w:val="13"/>
                <w:szCs w:val="13"/>
                <w:color w:val="auto"/>
              </w:rPr>
              <w:t>Cash and cash equivalents at beginning of period</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7,222</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tcPr>
          <w:p>
            <w:pPr>
              <w:ind w:left="220"/>
              <w:spacing w:after="0"/>
              <w:rPr>
                <w:sz w:val="20"/>
                <w:szCs w:val="20"/>
                <w:color w:val="auto"/>
              </w:rPr>
            </w:pPr>
            <w:r>
              <w:rPr>
                <w:rFonts w:ascii="Arial" w:cs="Arial" w:eastAsia="Arial" w:hAnsi="Arial"/>
                <w:sz w:val="13"/>
                <w:szCs w:val="13"/>
                <w:color w:val="auto"/>
              </w:rPr>
              <w:t>Cash and cash equivalents at end of period</w:t>
            </w:r>
          </w:p>
        </w:tc>
        <w:tc>
          <w:tcPr>
            <w:tcW w:w="880" w:type="dxa"/>
            <w:vAlign w:val="bottom"/>
            <w:tcBorders>
              <w:bottom w:val="single" w:sz="8" w:color="auto"/>
            </w:tcBorders>
          </w:tcPr>
          <w:p>
            <w:pPr>
              <w:jc w:val="right"/>
              <w:ind w:right="7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4,108</w:t>
            </w:r>
          </w:p>
        </w:tc>
        <w:tc>
          <w:tcPr>
            <w:tcW w:w="220" w:type="dxa"/>
            <w:vAlign w:val="bottom"/>
          </w:tcPr>
          <w:p>
            <w:pPr>
              <w:spacing w:after="0"/>
              <w:rPr>
                <w:sz w:val="13"/>
                <w:szCs w:val="13"/>
                <w:color w:val="auto"/>
              </w:rPr>
            </w:pPr>
          </w:p>
        </w:tc>
        <w:tc>
          <w:tcPr>
            <w:tcW w:w="400" w:type="dxa"/>
            <w:vAlign w:val="bottom"/>
            <w:tcBorders>
              <w:bottom w:val="single" w:sz="8" w:color="auto"/>
            </w:tcBorders>
          </w:tcPr>
          <w:p>
            <w:pPr>
              <w:jc w:val="center"/>
              <w:ind w:right="27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Supplemental disclosures of cash flow information:</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20" w:type="dxa"/>
            <w:vAlign w:val="bottom"/>
            <w:gridSpan w:val="2"/>
          </w:tcPr>
          <w:p>
            <w:pPr>
              <w:ind w:left="220"/>
              <w:spacing w:after="0"/>
              <w:rPr>
                <w:sz w:val="20"/>
                <w:szCs w:val="20"/>
                <w:color w:val="auto"/>
              </w:rPr>
            </w:pPr>
            <w:r>
              <w:rPr>
                <w:rFonts w:ascii="Arial" w:cs="Arial" w:eastAsia="Arial" w:hAnsi="Arial"/>
                <w:sz w:val="13"/>
                <w:szCs w:val="13"/>
                <w:color w:val="auto"/>
              </w:rPr>
              <w:t>Cash paid during the period for:</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Interest</w:t>
            </w:r>
          </w:p>
        </w:tc>
        <w:tc>
          <w:tcPr>
            <w:tcW w:w="88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ind w:right="27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20" w:type="dxa"/>
            <w:vAlign w:val="bottom"/>
            <w:gridSpan w:val="2"/>
          </w:tcPr>
          <w:p>
            <w:pPr>
              <w:ind w:left="460"/>
              <w:spacing w:after="0" w:line="137" w:lineRule="exact"/>
              <w:rPr>
                <w:sz w:val="20"/>
                <w:szCs w:val="20"/>
                <w:color w:val="auto"/>
              </w:rPr>
            </w:pPr>
            <w:r>
              <w:rPr>
                <w:rFonts w:ascii="Arial" w:cs="Arial" w:eastAsia="Arial" w:hAnsi="Arial"/>
                <w:sz w:val="13"/>
                <w:szCs w:val="13"/>
                <w:color w:val="auto"/>
              </w:rPr>
              <w:t>Income Taxes</w:t>
            </w:r>
          </w:p>
        </w:tc>
        <w:tc>
          <w:tcPr>
            <w:tcW w:w="880" w:type="dxa"/>
            <w:vAlign w:val="bottom"/>
          </w:tcPr>
          <w:p>
            <w:pPr>
              <w:jc w:val="right"/>
              <w:ind w:right="768"/>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7" w:lineRule="exact"/>
              <w:rPr>
                <w:sz w:val="20"/>
                <w:szCs w:val="20"/>
                <w:color w:val="auto"/>
              </w:rPr>
            </w:pPr>
            <w:r>
              <w:rPr>
                <w:rFonts w:ascii="Arial" w:cs="Arial" w:eastAsia="Arial" w:hAnsi="Arial"/>
                <w:sz w:val="13"/>
                <w:szCs w:val="13"/>
                <w:color w:val="auto"/>
              </w:rPr>
              <w:t>230</w:t>
            </w:r>
          </w:p>
        </w:tc>
        <w:tc>
          <w:tcPr>
            <w:tcW w:w="220" w:type="dxa"/>
            <w:vAlign w:val="bottom"/>
          </w:tcPr>
          <w:p>
            <w:pPr>
              <w:spacing w:after="0"/>
              <w:rPr>
                <w:sz w:val="11"/>
                <w:szCs w:val="11"/>
                <w:color w:val="auto"/>
              </w:rPr>
            </w:pPr>
          </w:p>
        </w:tc>
        <w:tc>
          <w:tcPr>
            <w:tcW w:w="400" w:type="dxa"/>
            <w:vAlign w:val="bottom"/>
          </w:tcPr>
          <w:p>
            <w:pPr>
              <w:jc w:val="center"/>
              <w:ind w:right="274"/>
              <w:spacing w:after="0" w:line="137"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220" w:top="123" w:right="679" w:bottom="1440" w:gutter="0" w:footer="0" w:header="0"/>
        </w:sectPr>
      </w:pPr>
    </w:p>
    <w:bookmarkStart w:id="6" w:name="page7"/>
    <w:bookmarkEnd w:id="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89"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Notes to Condensed Consolidated Financial Statements</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NOTE A – CONDENSED CONSOLIDATED FINANCIAL STATEMENTS</w:t>
      </w:r>
    </w:p>
    <w:p>
      <w:pPr>
        <w:spacing w:after="0" w:line="185" w:lineRule="exact"/>
        <w:rPr>
          <w:sz w:val="20"/>
          <w:szCs w:val="20"/>
          <w:color w:val="auto"/>
        </w:rPr>
      </w:pPr>
    </w:p>
    <w:p>
      <w:pPr>
        <w:jc w:val="both"/>
        <w:ind w:firstLine="354"/>
        <w:spacing w:after="0" w:line="257" w:lineRule="auto"/>
        <w:rPr>
          <w:sz w:val="20"/>
          <w:szCs w:val="20"/>
          <w:color w:val="auto"/>
        </w:rPr>
      </w:pPr>
      <w:r>
        <w:rPr>
          <w:rFonts w:ascii="Arial" w:cs="Arial" w:eastAsia="Arial" w:hAnsi="Arial"/>
          <w:sz w:val="13"/>
          <w:szCs w:val="13"/>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2015 and the results of its operations and cash flows for the six and three months ended October 31, 2015 and 2014. The April 30, 2015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2015, filed on July 29, 2015. The results of operations for such interim periods are not necessarily indicative of the operating results for the full fiscal year.</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NOTE B – EARNINGS PER SHARE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Reconciliation of the weighted average shares outstanding for basic and diluted Earnings Per Share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96"/>
              </w:rPr>
              <w:t>Six months</w:t>
            </w:r>
          </w:p>
        </w:tc>
        <w:tc>
          <w:tcPr>
            <w:tcW w:w="14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jc w:val="right"/>
              <w:ind w:right="1394"/>
              <w:spacing w:after="0"/>
              <w:rPr>
                <w:sz w:val="20"/>
                <w:szCs w:val="20"/>
                <w:color w:val="auto"/>
              </w:rPr>
            </w:pPr>
            <w:r>
              <w:rPr>
                <w:rFonts w:ascii="Arial" w:cs="Arial" w:eastAsia="Arial" w:hAnsi="Arial"/>
                <w:sz w:val="13"/>
                <w:szCs w:val="13"/>
                <w:b w:val="1"/>
                <w:bCs w:val="1"/>
                <w:color w:val="auto"/>
                <w:w w:val="88"/>
              </w:rPr>
              <w:t>Three months</w:t>
            </w:r>
          </w:p>
        </w:tc>
        <w:tc>
          <w:tcPr>
            <w:tcW w:w="380" w:type="dxa"/>
            <w:vAlign w:val="bottom"/>
          </w:tcPr>
          <w:p>
            <w:pPr>
              <w:spacing w:after="0"/>
              <w:rPr>
                <w:sz w:val="14"/>
                <w:szCs w:val="14"/>
                <w:color w:val="auto"/>
              </w:rPr>
            </w:pPr>
          </w:p>
        </w:tc>
      </w:tr>
      <w:tr>
        <w:trPr>
          <w:trHeight w:val="144"/>
        </w:trPr>
        <w:tc>
          <w:tcPr>
            <w:tcW w:w="2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Periods</w:t>
            </w:r>
          </w:p>
        </w:tc>
        <w:tc>
          <w:tcPr>
            <w:tcW w:w="124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w w:val="98"/>
              </w:rPr>
              <w:t>ended October 31,</w:t>
            </w: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70"/>
        </w:trPr>
        <w:tc>
          <w:tcPr>
            <w:tcW w:w="2940" w:type="dxa"/>
            <w:vAlign w:val="bottom"/>
          </w:tcPr>
          <w:p>
            <w:pPr>
              <w:spacing w:after="0"/>
              <w:rPr>
                <w:sz w:val="14"/>
                <w:szCs w:val="14"/>
                <w:color w:val="auto"/>
              </w:rPr>
            </w:pPr>
          </w:p>
        </w:tc>
        <w:tc>
          <w:tcPr>
            <w:tcW w:w="1440" w:type="dxa"/>
            <w:vAlign w:val="bottom"/>
          </w:tcPr>
          <w:p>
            <w:pPr>
              <w:jc w:val="right"/>
              <w:ind w:right="514"/>
              <w:spacing w:after="0"/>
              <w:rPr>
                <w:sz w:val="20"/>
                <w:szCs w:val="20"/>
                <w:color w:val="auto"/>
              </w:rPr>
            </w:pPr>
            <w:r>
              <w:rPr>
                <w:rFonts w:ascii="Arial" w:cs="Arial" w:eastAsia="Arial" w:hAnsi="Arial"/>
                <w:sz w:val="13"/>
                <w:szCs w:val="13"/>
                <w:b w:val="1"/>
                <w:bCs w:val="1"/>
                <w:color w:val="auto"/>
              </w:rPr>
              <w:t>2015</w:t>
            </w:r>
          </w:p>
        </w:tc>
        <w:tc>
          <w:tcPr>
            <w:tcW w:w="780" w:type="dxa"/>
            <w:vAlign w:val="bottom"/>
          </w:tcPr>
          <w:p>
            <w:pPr>
              <w:spacing w:after="0"/>
              <w:rPr>
                <w:sz w:val="14"/>
                <w:szCs w:val="14"/>
                <w:color w:val="auto"/>
              </w:rPr>
            </w:pPr>
          </w:p>
        </w:tc>
        <w:tc>
          <w:tcPr>
            <w:tcW w:w="1460" w:type="dxa"/>
            <w:vAlign w:val="bottom"/>
          </w:tcPr>
          <w:p>
            <w:pPr>
              <w:jc w:val="right"/>
              <w:ind w:right="534"/>
              <w:spacing w:after="0"/>
              <w:rPr>
                <w:sz w:val="20"/>
                <w:szCs w:val="20"/>
                <w:color w:val="auto"/>
              </w:rPr>
            </w:pPr>
            <w:r>
              <w:rPr>
                <w:rFonts w:ascii="Arial" w:cs="Arial" w:eastAsia="Arial" w:hAnsi="Arial"/>
                <w:sz w:val="13"/>
                <w:szCs w:val="13"/>
                <w:b w:val="1"/>
                <w:bCs w:val="1"/>
                <w:color w:val="auto"/>
              </w:rPr>
              <w:t>2014</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514"/>
              <w:spacing w:after="0"/>
              <w:rPr>
                <w:sz w:val="20"/>
                <w:szCs w:val="20"/>
                <w:color w:val="auto"/>
              </w:rPr>
            </w:pPr>
            <w:r>
              <w:rPr>
                <w:rFonts w:ascii="Arial" w:cs="Arial" w:eastAsia="Arial" w:hAnsi="Arial"/>
                <w:sz w:val="13"/>
                <w:szCs w:val="13"/>
                <w:b w:val="1"/>
                <w:bCs w:val="1"/>
                <w:color w:val="auto"/>
              </w:rPr>
              <w:t>2015</w:t>
            </w:r>
          </w:p>
        </w:tc>
        <w:tc>
          <w:tcPr>
            <w:tcW w:w="2240" w:type="dxa"/>
            <w:vAlign w:val="bottom"/>
            <w:gridSpan w:val="2"/>
          </w:tcPr>
          <w:p>
            <w:pPr>
              <w:jc w:val="right"/>
              <w:ind w:right="534"/>
              <w:spacing w:after="0"/>
              <w:rPr>
                <w:sz w:val="20"/>
                <w:szCs w:val="20"/>
                <w:color w:val="auto"/>
              </w:rPr>
            </w:pPr>
            <w:r>
              <w:rPr>
                <w:rFonts w:ascii="Arial" w:cs="Arial" w:eastAsia="Arial" w:hAnsi="Arial"/>
                <w:sz w:val="13"/>
                <w:szCs w:val="13"/>
                <w:b w:val="1"/>
                <w:bCs w:val="1"/>
                <w:color w:val="auto"/>
              </w:rPr>
              <w:t>2014</w:t>
            </w:r>
          </w:p>
        </w:tc>
        <w:tc>
          <w:tcPr>
            <w:tcW w:w="380" w:type="dxa"/>
            <w:vAlign w:val="bottom"/>
          </w:tcPr>
          <w:p>
            <w:pPr>
              <w:spacing w:after="0"/>
              <w:rPr>
                <w:sz w:val="14"/>
                <w:szCs w:val="14"/>
                <w:color w:val="auto"/>
              </w:rPr>
            </w:pPr>
          </w:p>
        </w:tc>
      </w:tr>
      <w:tr>
        <w:trPr>
          <w:trHeight w:val="157"/>
        </w:trPr>
        <w:tc>
          <w:tcPr>
            <w:tcW w:w="2940" w:type="dxa"/>
            <w:vAlign w:val="bottom"/>
          </w:tcPr>
          <w:p>
            <w:pPr>
              <w:spacing w:after="0"/>
              <w:rPr>
                <w:sz w:val="20"/>
                <w:szCs w:val="20"/>
                <w:color w:val="auto"/>
              </w:rPr>
            </w:pPr>
            <w:r>
              <w:rPr>
                <w:rFonts w:ascii="Arial" w:cs="Arial" w:eastAsia="Arial" w:hAnsi="Arial"/>
                <w:sz w:val="13"/>
                <w:szCs w:val="13"/>
                <w:color w:val="auto"/>
              </w:rPr>
              <w:t>Weighted average shares outstanding:</w:t>
            </w:r>
          </w:p>
        </w:tc>
        <w:tc>
          <w:tcPr>
            <w:tcW w:w="144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r>
      <w:tr>
        <w:trPr>
          <w:trHeight w:val="158"/>
        </w:trPr>
        <w:tc>
          <w:tcPr>
            <w:tcW w:w="29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8,715,656</w:t>
            </w:r>
          </w:p>
        </w:tc>
        <w:tc>
          <w:tcPr>
            <w:tcW w:w="780" w:type="dxa"/>
            <w:vAlign w:val="bottom"/>
            <w:shd w:val="clear" w:color="auto" w:fill="CCEEFF"/>
          </w:tcPr>
          <w:p>
            <w:pPr>
              <w:spacing w:after="0"/>
              <w:rPr>
                <w:sz w:val="13"/>
                <w:szCs w:val="13"/>
                <w:color w:val="auto"/>
              </w:rPr>
            </w:pPr>
          </w:p>
        </w:tc>
        <w:tc>
          <w:tcPr>
            <w:tcW w:w="2240" w:type="dxa"/>
            <w:vAlign w:val="bottom"/>
            <w:gridSpan w:val="2"/>
            <w:shd w:val="clear" w:color="auto" w:fill="CCEEFF"/>
          </w:tcPr>
          <w:p>
            <w:pPr>
              <w:jc w:val="right"/>
              <w:ind w:right="714"/>
              <w:spacing w:after="0"/>
              <w:rPr>
                <w:sz w:val="20"/>
                <w:szCs w:val="20"/>
                <w:color w:val="auto"/>
              </w:rPr>
            </w:pPr>
            <w:r>
              <w:rPr>
                <w:rFonts w:ascii="Arial" w:cs="Arial" w:eastAsia="Arial" w:hAnsi="Arial"/>
                <w:sz w:val="13"/>
                <w:szCs w:val="13"/>
                <w:color w:val="auto"/>
              </w:rPr>
              <w:t>8,588,594</w:t>
            </w: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8,725,128</w:t>
            </w:r>
          </w:p>
        </w:tc>
        <w:tc>
          <w:tcPr>
            <w:tcW w:w="26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8,598,456</w:t>
            </w:r>
          </w:p>
        </w:tc>
      </w:tr>
      <w:tr>
        <w:trPr>
          <w:trHeight w:val="157"/>
        </w:trPr>
        <w:tc>
          <w:tcPr>
            <w:tcW w:w="2940" w:type="dxa"/>
            <w:vAlign w:val="bottom"/>
          </w:tcPr>
          <w:p>
            <w:pPr>
              <w:ind w:left="120"/>
              <w:spacing w:after="0"/>
              <w:rPr>
                <w:sz w:val="20"/>
                <w:szCs w:val="20"/>
                <w:color w:val="auto"/>
              </w:rPr>
            </w:pPr>
            <w:r>
              <w:rPr>
                <w:rFonts w:ascii="Arial" w:cs="Arial" w:eastAsia="Arial" w:hAnsi="Arial"/>
                <w:sz w:val="13"/>
                <w:szCs w:val="13"/>
                <w:color w:val="auto"/>
              </w:rPr>
              <w:t>Effect of dilutive securities</w:t>
            </w:r>
          </w:p>
        </w:tc>
        <w:tc>
          <w:tcPr>
            <w:tcW w:w="2220" w:type="dxa"/>
            <w:vAlign w:val="bottom"/>
            <w:gridSpan w:val="2"/>
          </w:tcPr>
          <w:p>
            <w:pPr>
              <w:jc w:val="right"/>
              <w:ind w:right="714"/>
              <w:spacing w:after="0"/>
              <w:rPr>
                <w:sz w:val="20"/>
                <w:szCs w:val="20"/>
                <w:color w:val="auto"/>
              </w:rPr>
            </w:pPr>
            <w:r>
              <w:rPr>
                <w:rFonts w:ascii="Arial" w:cs="Arial" w:eastAsia="Arial" w:hAnsi="Arial"/>
                <w:sz w:val="13"/>
                <w:szCs w:val="13"/>
                <w:color w:val="auto"/>
              </w:rPr>
              <w:t>243,494</w:t>
            </w:r>
          </w:p>
        </w:tc>
        <w:tc>
          <w:tcPr>
            <w:tcW w:w="2240" w:type="dxa"/>
            <w:vAlign w:val="bottom"/>
            <w:gridSpan w:val="2"/>
          </w:tcPr>
          <w:p>
            <w:pPr>
              <w:jc w:val="right"/>
              <w:ind w:right="714"/>
              <w:spacing w:after="0"/>
              <w:rPr>
                <w:sz w:val="20"/>
                <w:szCs w:val="20"/>
                <w:color w:val="auto"/>
              </w:rPr>
            </w:pPr>
            <w:r>
              <w:rPr>
                <w:rFonts w:ascii="Arial" w:cs="Arial" w:eastAsia="Arial" w:hAnsi="Arial"/>
                <w:sz w:val="13"/>
                <w:szCs w:val="13"/>
                <w:color w:val="auto"/>
              </w:rPr>
              <w:t>271,230</w:t>
            </w: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620" w:type="dxa"/>
            <w:vAlign w:val="bottom"/>
            <w:gridSpan w:val="3"/>
          </w:tcPr>
          <w:p>
            <w:pPr>
              <w:jc w:val="right"/>
              <w:ind w:right="380"/>
              <w:spacing w:after="0"/>
              <w:rPr>
                <w:sz w:val="20"/>
                <w:szCs w:val="20"/>
                <w:color w:val="auto"/>
              </w:rPr>
            </w:pPr>
            <w:r>
              <w:rPr>
                <w:rFonts w:ascii="Arial" w:cs="Arial" w:eastAsia="Arial" w:hAnsi="Arial"/>
                <w:sz w:val="13"/>
                <w:szCs w:val="13"/>
                <w:color w:val="auto"/>
              </w:rPr>
              <w:t>278,516</w:t>
            </w:r>
          </w:p>
        </w:tc>
      </w:tr>
      <w:tr>
        <w:trPr>
          <w:trHeight w:val="197"/>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8,959,150</w:t>
            </w:r>
          </w:p>
        </w:tc>
        <w:tc>
          <w:tcPr>
            <w:tcW w:w="7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8,859,824</w:t>
            </w:r>
          </w:p>
        </w:tc>
        <w:tc>
          <w:tcPr>
            <w:tcW w:w="7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8,725,128</w:t>
            </w:r>
          </w:p>
        </w:tc>
        <w:tc>
          <w:tcPr>
            <w:tcW w:w="8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8,876,972</w:t>
            </w:r>
          </w:p>
        </w:tc>
        <w:tc>
          <w:tcPr>
            <w:tcW w:w="380" w:type="dxa"/>
            <w:vAlign w:val="bottom"/>
            <w:tcBorders>
              <w:bottom w:val="single" w:sz="8" w:color="CCEEFF"/>
            </w:tcBorders>
            <w:shd w:val="clear" w:color="auto" w:fill="CCEEFF"/>
          </w:tcPr>
          <w:p>
            <w:pPr>
              <w:spacing w:after="0"/>
              <w:rPr>
                <w:sz w:val="17"/>
                <w:szCs w:val="17"/>
                <w:color w:val="auto"/>
              </w:rPr>
            </w:pPr>
          </w:p>
        </w:tc>
      </w:tr>
    </w:tbl>
    <w:p>
      <w:pPr>
        <w:spacing w:after="0" w:line="148" w:lineRule="exact"/>
        <w:rPr>
          <w:sz w:val="20"/>
          <w:szCs w:val="20"/>
          <w:color w:val="auto"/>
        </w:rPr>
      </w:pPr>
    </w:p>
    <w:p>
      <w:pPr>
        <w:ind w:firstLine="352"/>
        <w:spacing w:after="0" w:line="276" w:lineRule="auto"/>
        <w:tabs>
          <w:tab w:leader="none" w:pos="521" w:val="left"/>
        </w:tabs>
        <w:numPr>
          <w:ilvl w:val="0"/>
          <w:numId w:val="1"/>
        </w:numPr>
        <w:rPr>
          <w:rFonts w:ascii="Arial" w:cs="Arial" w:eastAsia="Arial" w:hAnsi="Arial"/>
          <w:sz w:val="13"/>
          <w:szCs w:val="13"/>
          <w:color w:val="auto"/>
        </w:rPr>
      </w:pPr>
      <w:r>
        <w:rPr>
          <w:rFonts w:ascii="Arial" w:cs="Arial" w:eastAsia="Arial" w:hAnsi="Arial"/>
          <w:sz w:val="13"/>
          <w:szCs w:val="13"/>
          <w:color w:val="auto"/>
        </w:rPr>
        <w:t>For the three month period ended October 31, 2015, dilutive securities are excluded since the inclusion of such shares would be antidilutive due to the net loss for the period. The exercisable shares excluded are 1,112,375.</w:t>
      </w:r>
    </w:p>
    <w:p>
      <w:pPr>
        <w:spacing w:after="0" w:line="148"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color w:val="auto"/>
        </w:rPr>
        <w:t>The computation of diluted earnings per share in the other fiscal periods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3"/>
                <w:szCs w:val="13"/>
                <w:b w:val="1"/>
                <w:bCs w:val="1"/>
                <w:color w:val="auto"/>
                <w:w w:val="96"/>
              </w:rPr>
              <w:t>Six months</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80" w:type="dxa"/>
            <w:vAlign w:val="bottom"/>
            <w:gridSpan w:val="3"/>
          </w:tcPr>
          <w:p>
            <w:pPr>
              <w:ind w:left="80"/>
              <w:spacing w:after="0"/>
              <w:rPr>
                <w:sz w:val="20"/>
                <w:szCs w:val="20"/>
                <w:color w:val="auto"/>
              </w:rPr>
            </w:pPr>
            <w:r>
              <w:rPr>
                <w:rFonts w:ascii="Arial" w:cs="Arial" w:eastAsia="Arial" w:hAnsi="Arial"/>
                <w:sz w:val="13"/>
                <w:szCs w:val="13"/>
                <w:b w:val="1"/>
                <w:bCs w:val="1"/>
                <w:color w:val="auto"/>
              </w:rPr>
              <w:t>Three months</w:t>
            </w: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ind w:left="1000"/>
              <w:spacing w:after="0" w:line="144" w:lineRule="exact"/>
              <w:rPr>
                <w:sz w:val="20"/>
                <w:szCs w:val="20"/>
                <w:color w:val="auto"/>
              </w:rPr>
            </w:pPr>
            <w:r>
              <w:rPr>
                <w:rFonts w:ascii="Arial" w:cs="Arial" w:eastAsia="Arial" w:hAnsi="Arial"/>
                <w:sz w:val="13"/>
                <w:szCs w:val="13"/>
                <w:b w:val="1"/>
                <w:bCs w:val="1"/>
                <w:color w:val="auto"/>
                <w:w w:val="83"/>
              </w:rPr>
              <w:t>Periods</w:t>
            </w:r>
          </w:p>
        </w:tc>
        <w:tc>
          <w:tcPr>
            <w:tcW w:w="780" w:type="dxa"/>
            <w:vAlign w:val="bottom"/>
          </w:tcPr>
          <w:p>
            <w:pPr>
              <w:ind w:left="40"/>
              <w:spacing w:after="0" w:line="144" w:lineRule="exact"/>
              <w:rPr>
                <w:sz w:val="20"/>
                <w:szCs w:val="20"/>
                <w:color w:val="auto"/>
              </w:rPr>
            </w:pPr>
            <w:r>
              <w:rPr>
                <w:rFonts w:ascii="Arial" w:cs="Arial" w:eastAsia="Arial" w:hAnsi="Arial"/>
                <w:sz w:val="13"/>
                <w:szCs w:val="13"/>
                <w:b w:val="1"/>
                <w:bCs w:val="1"/>
                <w:color w:val="auto"/>
                <w:w w:val="78"/>
              </w:rPr>
              <w:t>ended October</w:t>
            </w:r>
          </w:p>
        </w:tc>
        <w:tc>
          <w:tcPr>
            <w:tcW w:w="400" w:type="dxa"/>
            <w:vAlign w:val="bottom"/>
            <w:tcBorders>
              <w:top w:val="single" w:sz="8" w:color="auto"/>
            </w:tcBorders>
          </w:tcPr>
          <w:p>
            <w:pPr>
              <w:jc w:val="right"/>
              <w:ind w:right="54"/>
              <w:spacing w:after="0" w:line="144" w:lineRule="exact"/>
              <w:rPr>
                <w:sz w:val="20"/>
                <w:szCs w:val="20"/>
                <w:color w:val="auto"/>
              </w:rPr>
            </w:pPr>
            <w:r>
              <w:rPr>
                <w:rFonts w:ascii="Arial" w:cs="Arial" w:eastAsia="Arial" w:hAnsi="Arial"/>
                <w:sz w:val="13"/>
                <w:szCs w:val="13"/>
                <w:b w:val="1"/>
                <w:bCs w:val="1"/>
                <w:color w:val="auto"/>
              </w:rPr>
              <w:t>31,</w:t>
            </w:r>
          </w:p>
        </w:tc>
        <w:tc>
          <w:tcPr>
            <w:tcW w:w="8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2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2015</w:t>
            </w:r>
          </w:p>
        </w:tc>
        <w:tc>
          <w:tcPr>
            <w:tcW w:w="780" w:type="dxa"/>
            <w:vAlign w:val="bottom"/>
          </w:tcPr>
          <w:p>
            <w:pPr>
              <w:spacing w:after="0"/>
              <w:rPr>
                <w:sz w:val="14"/>
                <w:szCs w:val="14"/>
                <w:color w:val="auto"/>
              </w:rPr>
            </w:pPr>
          </w:p>
        </w:tc>
        <w:tc>
          <w:tcPr>
            <w:tcW w:w="142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2014</w:t>
            </w:r>
          </w:p>
        </w:tc>
        <w:tc>
          <w:tcPr>
            <w:tcW w:w="7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2015</w:t>
            </w:r>
          </w:p>
        </w:tc>
        <w:tc>
          <w:tcPr>
            <w:tcW w:w="780" w:type="dxa"/>
            <w:vAlign w:val="bottom"/>
          </w:tcPr>
          <w:p>
            <w:pPr>
              <w:spacing w:after="0"/>
              <w:rPr>
                <w:sz w:val="14"/>
                <w:szCs w:val="14"/>
                <w:color w:val="auto"/>
              </w:rPr>
            </w:pPr>
          </w:p>
        </w:tc>
        <w:tc>
          <w:tcPr>
            <w:tcW w:w="142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2014</w:t>
            </w:r>
          </w:p>
        </w:tc>
        <w:tc>
          <w:tcPr>
            <w:tcW w:w="38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Outstanding options and SARS excluded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330,500</w:t>
            </w:r>
          </w:p>
        </w:tc>
        <w:tc>
          <w:tcPr>
            <w:tcW w:w="78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274,000</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240,000</w:t>
            </w: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NOTE C – COSTS AND ESTIMATED EARNINGS IN EXCESS OF BILLINGS, NET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At October 31, 2015 and April 30, 2015, costs and estimated earnings in excess of billings, net, consist of the following:</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3"/>
                <w:szCs w:val="13"/>
                <w:b w:val="1"/>
                <w:bCs w:val="1"/>
                <w:color w:val="auto"/>
              </w:rPr>
              <w:t>October 31, 2015</w:t>
            </w:r>
          </w:p>
        </w:tc>
        <w:tc>
          <w:tcPr>
            <w:tcW w:w="800" w:type="dxa"/>
            <w:vAlign w:val="bottom"/>
          </w:tcPr>
          <w:p>
            <w:pPr>
              <w:spacing w:after="0"/>
              <w:rPr>
                <w:sz w:val="14"/>
                <w:szCs w:val="14"/>
                <w:color w:val="auto"/>
              </w:rPr>
            </w:pPr>
          </w:p>
        </w:tc>
        <w:tc>
          <w:tcPr>
            <w:tcW w:w="160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rPr>
              <w:t>April 30, 2015</w:t>
            </w:r>
          </w:p>
        </w:tc>
        <w:tc>
          <w:tcPr>
            <w:tcW w:w="240" w:type="dxa"/>
            <w:vAlign w:val="bottom"/>
          </w:tcPr>
          <w:p>
            <w:pPr>
              <w:spacing w:after="0"/>
              <w:rPr>
                <w:sz w:val="14"/>
                <w:szCs w:val="14"/>
                <w:color w:val="auto"/>
              </w:rPr>
            </w:pPr>
          </w:p>
        </w:tc>
      </w:tr>
      <w:tr>
        <w:trPr>
          <w:trHeight w:val="157"/>
        </w:trPr>
        <w:tc>
          <w:tcPr>
            <w:tcW w:w="45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w w:val="93"/>
              </w:rPr>
              <w:t>(In thousands)</w:t>
            </w:r>
          </w:p>
        </w:tc>
        <w:tc>
          <w:tcPr>
            <w:tcW w:w="7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8"/>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Costs and estimated earnings in excess of billings</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13,759</w:t>
            </w:r>
          </w:p>
        </w:tc>
        <w:tc>
          <w:tcPr>
            <w:tcW w:w="80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14,057</w:t>
            </w:r>
          </w:p>
        </w:tc>
        <w:tc>
          <w:tcPr>
            <w:tcW w:w="240" w:type="dxa"/>
            <w:vAlign w:val="bottom"/>
            <w:shd w:val="clear" w:color="auto" w:fill="CCEEFF"/>
          </w:tcPr>
          <w:p>
            <w:pPr>
              <w:spacing w:after="0"/>
              <w:rPr>
                <w:sz w:val="13"/>
                <w:szCs w:val="13"/>
                <w:color w:val="auto"/>
              </w:rPr>
            </w:pP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Billings in excess of costs and estimated earnings</w:t>
            </w:r>
          </w:p>
        </w:tc>
        <w:tc>
          <w:tcPr>
            <w:tcW w:w="7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w:t>
            </w:r>
          </w:p>
        </w:tc>
        <w:tc>
          <w:tcPr>
            <w:tcW w:w="8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(1,128</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Net asset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13,730</w:t>
            </w:r>
          </w:p>
        </w:tc>
        <w:tc>
          <w:tcPr>
            <w:tcW w:w="800" w:type="dxa"/>
            <w:vAlign w:val="bottom"/>
            <w:tcBorders>
              <w:lef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12,929</w:t>
            </w:r>
          </w:p>
        </w:tc>
        <w:tc>
          <w:tcPr>
            <w:tcW w:w="240" w:type="dxa"/>
            <w:vAlign w:val="bottom"/>
            <w:shd w:val="clear" w:color="auto" w:fill="CCEEFF"/>
          </w:tcPr>
          <w:p>
            <w:pPr>
              <w:spacing w:after="0"/>
              <w:rPr>
                <w:sz w:val="15"/>
                <w:szCs w:val="15"/>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both"/>
        <w:ind w:firstLine="354"/>
        <w:spacing w:after="0" w:line="258" w:lineRule="auto"/>
        <w:rPr>
          <w:sz w:val="20"/>
          <w:szCs w:val="20"/>
          <w:color w:val="auto"/>
        </w:rPr>
      </w:pPr>
      <w:r>
        <w:rPr>
          <w:rFonts w:ascii="Arial" w:cs="Arial" w:eastAsia="Arial" w:hAnsi="Arial"/>
          <w:sz w:val="13"/>
          <w:szCs w:val="13"/>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six and three months ended October 31, 2015, revenue recognized under percentage of completion contracts was approximately $18.5 million and $9.2 million, respectively. During the six and three months ended October 31, 2014, such revenue was approximately $24.4 million and $11.5 million, respectively.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 w:name="page8"/>
    <w:bookmarkEnd w:id="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NOTE D – TREASURY STOCK TRANSACTIONS</w:t>
      </w:r>
    </w:p>
    <w:p>
      <w:pPr>
        <w:spacing w:after="0" w:line="185" w:lineRule="exact"/>
        <w:rPr>
          <w:sz w:val="20"/>
          <w:szCs w:val="20"/>
          <w:color w:val="auto"/>
        </w:rPr>
      </w:pPr>
    </w:p>
    <w:p>
      <w:pPr>
        <w:jc w:val="both"/>
        <w:ind w:firstLine="354"/>
        <w:spacing w:after="0" w:line="296" w:lineRule="auto"/>
        <w:rPr>
          <w:sz w:val="20"/>
          <w:szCs w:val="20"/>
          <w:color w:val="auto"/>
        </w:rPr>
      </w:pPr>
      <w:r>
        <w:rPr>
          <w:rFonts w:ascii="Arial" w:cs="Arial" w:eastAsia="Arial" w:hAnsi="Arial"/>
          <w:sz w:val="12"/>
          <w:szCs w:val="12"/>
          <w:color w:val="auto"/>
        </w:rPr>
        <w:t>During the six and three month periods ended October 31, 2015, the Company made contributions of 25,732 shares and 13,537 shares, respectively, of its common stock held in treasury to the Company’s profit sharing plan and trust under section 401(k) of the Internal Revenue Code. Such contributions are in accordance with the Company’s discretionary match of employee voluntary contributions to this plan. During the same periods, the Company issued 5,173 shares and 268 shares, respectively, from treasury upon the exercise of SARs by certain officers and employees of the Company.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20" w:type="dxa"/>
            <w:vAlign w:val="bottom"/>
            <w:gridSpan w:val="2"/>
          </w:tcPr>
          <w:p>
            <w:pPr>
              <w:spacing w:after="0"/>
              <w:rPr>
                <w:sz w:val="20"/>
                <w:szCs w:val="20"/>
                <w:color w:val="auto"/>
              </w:rPr>
            </w:pPr>
            <w:r>
              <w:rPr>
                <w:rFonts w:ascii="Arial" w:cs="Arial" w:eastAsia="Arial" w:hAnsi="Arial"/>
                <w:sz w:val="13"/>
                <w:szCs w:val="13"/>
                <w:color w:val="auto"/>
              </w:rPr>
              <w:t>NOTE E – INVENTORIES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34"/>
        </w:trPr>
        <w:tc>
          <w:tcPr>
            <w:tcW w:w="6020" w:type="dxa"/>
            <w:vAlign w:val="bottom"/>
            <w:gridSpan w:val="2"/>
          </w:tcPr>
          <w:p>
            <w:pPr>
              <w:ind w:left="360"/>
              <w:spacing w:after="0"/>
              <w:rPr>
                <w:sz w:val="20"/>
                <w:szCs w:val="20"/>
                <w:color w:val="auto"/>
              </w:rPr>
            </w:pPr>
            <w:r>
              <w:rPr>
                <w:rFonts w:ascii="Arial" w:cs="Arial" w:eastAsia="Arial" w:hAnsi="Arial"/>
                <w:sz w:val="13"/>
                <w:szCs w:val="13"/>
                <w:color w:val="auto"/>
              </w:rPr>
              <w:t>Inventories, which are reported at the lower of cost or market, consist of the following:</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5"/>
        </w:trPr>
        <w:tc>
          <w:tcPr>
            <w:tcW w:w="14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October 31, 2015</w:t>
            </w:r>
          </w:p>
        </w:tc>
        <w:tc>
          <w:tcPr>
            <w:tcW w:w="800" w:type="dxa"/>
            <w:vAlign w:val="bottom"/>
          </w:tcPr>
          <w:p>
            <w:pPr>
              <w:spacing w:after="0"/>
              <w:rPr>
                <w:sz w:val="24"/>
                <w:szCs w:val="24"/>
                <w:color w:val="auto"/>
              </w:rPr>
            </w:pPr>
          </w:p>
        </w:tc>
        <w:tc>
          <w:tcPr>
            <w:tcW w:w="1820" w:type="dxa"/>
            <w:vAlign w:val="bottom"/>
            <w:gridSpan w:val="3"/>
          </w:tcPr>
          <w:p>
            <w:pPr>
              <w:ind w:left="300"/>
              <w:spacing w:after="0"/>
              <w:rPr>
                <w:sz w:val="20"/>
                <w:szCs w:val="20"/>
                <w:color w:val="auto"/>
              </w:rPr>
            </w:pPr>
            <w:r>
              <w:rPr>
                <w:rFonts w:ascii="Arial" w:cs="Arial" w:eastAsia="Arial" w:hAnsi="Arial"/>
                <w:sz w:val="13"/>
                <w:szCs w:val="13"/>
                <w:b w:val="1"/>
                <w:bCs w:val="1"/>
                <w:color w:val="auto"/>
              </w:rPr>
              <w:t>April 30, 2015</w:t>
            </w:r>
          </w:p>
        </w:tc>
      </w:tr>
      <w:tr>
        <w:trPr>
          <w:trHeight w:val="157"/>
        </w:trPr>
        <w:tc>
          <w:tcPr>
            <w:tcW w:w="14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w w:val="88"/>
              </w:rPr>
              <w:t>(In thousands)</w:t>
            </w:r>
          </w:p>
        </w:tc>
        <w:tc>
          <w:tcPr>
            <w:tcW w:w="7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r>
      <w:tr>
        <w:trPr>
          <w:trHeight w:val="158"/>
        </w:trPr>
        <w:tc>
          <w:tcPr>
            <w:tcW w:w="144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Raw Materials and Component Parts</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24,630</w:t>
            </w:r>
          </w:p>
        </w:tc>
        <w:tc>
          <w:tcPr>
            <w:tcW w:w="1540" w:type="dxa"/>
            <w:vAlign w:val="bottom"/>
            <w:gridSpan w:val="2"/>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24,274</w:t>
            </w:r>
          </w:p>
        </w:tc>
      </w:tr>
      <w:tr>
        <w:trPr>
          <w:trHeight w:val="157"/>
        </w:trPr>
        <w:tc>
          <w:tcPr>
            <w:tcW w:w="144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Work in Progress</w:t>
            </w:r>
          </w:p>
        </w:tc>
        <w:tc>
          <w:tcPr>
            <w:tcW w:w="7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10,178</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9,948</w:t>
            </w:r>
          </w:p>
        </w:tc>
      </w:tr>
      <w:tr>
        <w:trPr>
          <w:trHeight w:val="157"/>
        </w:trPr>
        <w:tc>
          <w:tcPr>
            <w:tcW w:w="1440" w:type="dxa"/>
            <w:vAlign w:val="bottom"/>
          </w:tcPr>
          <w:p>
            <w:pPr>
              <w:spacing w:after="0"/>
              <w:rPr>
                <w:sz w:val="13"/>
                <w:szCs w:val="13"/>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7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4,014</w:t>
            </w:r>
          </w:p>
        </w:tc>
        <w:tc>
          <w:tcPr>
            <w:tcW w:w="8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4,017</w:t>
            </w:r>
          </w:p>
        </w:tc>
        <w:tc>
          <w:tcPr>
            <w:tcW w:w="400" w:type="dxa"/>
            <w:vAlign w:val="bottom"/>
            <w:tcBorders>
              <w:bottom w:val="single" w:sz="8" w:color="CCEEFF"/>
            </w:tcBorders>
            <w:shd w:val="clear" w:color="auto" w:fill="CCEEFF"/>
          </w:tcPr>
          <w:p>
            <w:pPr>
              <w:spacing w:after="0"/>
              <w:rPr>
                <w:sz w:val="13"/>
                <w:szCs w:val="13"/>
                <w:color w:val="auto"/>
              </w:rPr>
            </w:pPr>
          </w:p>
        </w:tc>
      </w:tr>
      <w:tr>
        <w:trPr>
          <w:trHeight w:val="157"/>
        </w:trPr>
        <w:tc>
          <w:tcPr>
            <w:tcW w:w="14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740" w:type="dxa"/>
            <w:vAlign w:val="bottom"/>
          </w:tcPr>
          <w:p>
            <w:pPr>
              <w:jc w:val="right"/>
              <w:ind w:right="254"/>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38,822</w:t>
            </w:r>
          </w:p>
        </w:tc>
        <w:tc>
          <w:tcPr>
            <w:tcW w:w="1540" w:type="dxa"/>
            <w:vAlign w:val="bottom"/>
            <w:gridSpan w:val="2"/>
          </w:tcPr>
          <w:p>
            <w:pPr>
              <w:jc w:val="right"/>
              <w:ind w:right="254"/>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38,239</w:t>
            </w:r>
          </w:p>
        </w:tc>
      </w:tr>
      <w:tr>
        <w:trPr>
          <w:trHeight w:val="20"/>
        </w:trPr>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8" w:lineRule="exact"/>
        <w:rPr>
          <w:sz w:val="20"/>
          <w:szCs w:val="20"/>
          <w:color w:val="auto"/>
        </w:rPr>
      </w:pPr>
    </w:p>
    <w:p>
      <w:pPr>
        <w:ind w:firstLine="354"/>
        <w:spacing w:after="0" w:line="276" w:lineRule="auto"/>
        <w:rPr>
          <w:sz w:val="20"/>
          <w:szCs w:val="20"/>
          <w:color w:val="auto"/>
        </w:rPr>
      </w:pPr>
      <w:r>
        <w:rPr>
          <w:rFonts w:ascii="Arial" w:cs="Arial" w:eastAsia="Arial" w:hAnsi="Arial"/>
          <w:sz w:val="13"/>
          <w:szCs w:val="13"/>
          <w:color w:val="auto"/>
        </w:rPr>
        <w:t>As of October 31, 2015 and April 30, 2015, approximately $32.3 million and $32.0 million, respectively, of total inventory is located in the United States, approximately $5.6 million and $5.4 million, respectively, is located in Belgium and $0.9 million and $0.8 million, respectively, is located in China.</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NOTE F – SEGMENT INFORMATION</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Company operates under three reportable segments based on the geographic locations of its subsidiaries:</w:t>
      </w:r>
    </w:p>
    <w:p>
      <w:pPr>
        <w:spacing w:after="0" w:line="185" w:lineRule="exact"/>
        <w:rPr>
          <w:sz w:val="20"/>
          <w:szCs w:val="20"/>
          <w:color w:val="auto"/>
        </w:rPr>
      </w:pPr>
    </w:p>
    <w:p>
      <w:pPr>
        <w:ind w:left="580" w:hanging="228"/>
        <w:spacing w:after="0" w:line="258" w:lineRule="auto"/>
        <w:tabs>
          <w:tab w:leader="none" w:pos="615" w:val="left"/>
        </w:tabs>
        <w:numPr>
          <w:ilvl w:val="0"/>
          <w:numId w:val="2"/>
        </w:numPr>
        <w:rPr>
          <w:rFonts w:ascii="Arial" w:cs="Arial" w:eastAsia="Arial" w:hAnsi="Arial"/>
          <w:sz w:val="13"/>
          <w:szCs w:val="13"/>
          <w:color w:val="auto"/>
        </w:rPr>
      </w:pPr>
      <w:r>
        <w:rPr>
          <w:rFonts w:ascii="Arial" w:cs="Arial" w:eastAsia="Arial" w:hAnsi="Arial"/>
          <w:sz w:val="13"/>
          <w:szCs w:val="13"/>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580" w:hanging="228"/>
        <w:spacing w:after="0" w:line="252" w:lineRule="auto"/>
        <w:tabs>
          <w:tab w:leader="none" w:pos="605" w:val="left"/>
        </w:tabs>
        <w:numPr>
          <w:ilvl w:val="0"/>
          <w:numId w:val="2"/>
        </w:numPr>
        <w:rPr>
          <w:rFonts w:ascii="Arial" w:cs="Arial" w:eastAsia="Arial" w:hAnsi="Arial"/>
          <w:sz w:val="13"/>
          <w:szCs w:val="13"/>
          <w:color w:val="auto"/>
        </w:rPr>
      </w:pPr>
      <w:r>
        <w:rPr>
          <w:rFonts w:ascii="Arial" w:cs="Arial" w:eastAsia="Arial" w:hAnsi="Arial"/>
          <w:sz w:val="13"/>
          <w:szCs w:val="13"/>
          <w:color w:val="auto"/>
        </w:rPr>
        <w:t>Gillam-FEI - operates out of Belgium and France and primarily sells wireline synchronization and network management systems in non-U.S. markets. All sales from Gillam-FEI to the United States are to other segments of the Company.</w:t>
      </w:r>
    </w:p>
    <w:p>
      <w:pPr>
        <w:ind w:left="580" w:hanging="228"/>
        <w:spacing w:after="0" w:line="356" w:lineRule="auto"/>
        <w:tabs>
          <w:tab w:leader="none" w:pos="595" w:val="left"/>
        </w:tabs>
        <w:numPr>
          <w:ilvl w:val="0"/>
          <w:numId w:val="2"/>
        </w:numPr>
        <w:rPr>
          <w:rFonts w:ascii="Arial" w:cs="Arial" w:eastAsia="Arial" w:hAnsi="Arial"/>
          <w:sz w:val="11"/>
          <w:szCs w:val="11"/>
          <w:color w:val="auto"/>
        </w:rPr>
      </w:pPr>
      <w:r>
        <w:rPr>
          <w:rFonts w:ascii="Arial" w:cs="Arial" w:eastAsia="Arial" w:hAnsi="Arial"/>
          <w:sz w:val="11"/>
          <w:szCs w:val="11"/>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09"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color w:val="auto"/>
        </w:rPr>
        <w:t>The FEI-NY segment also includes the operations of the Company’s wholly-owned subsidiaries, FEI-Elcom Tech (“FEI-Elcom”) and FEI-Asia. FEI-Asia functions primarily as a manufacturing facility for the Company’s commercial product subsidiaries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155" w:lineRule="exact"/>
        <w:rPr>
          <w:sz w:val="20"/>
          <w:szCs w:val="20"/>
          <w:color w:val="auto"/>
        </w:rPr>
      </w:pPr>
    </w:p>
    <w:p>
      <w:pPr>
        <w:jc w:val="both"/>
        <w:ind w:firstLine="354"/>
        <w:spacing w:after="0" w:line="276" w:lineRule="auto"/>
        <w:rPr>
          <w:sz w:val="20"/>
          <w:szCs w:val="20"/>
          <w:color w:val="auto"/>
        </w:rPr>
      </w:pPr>
      <w:r>
        <w:rPr>
          <w:rFonts w:ascii="Arial" w:cs="Arial" w:eastAsia="Arial" w:hAnsi="Arial"/>
          <w:sz w:val="13"/>
          <w:szCs w:val="13"/>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 w:name="page9"/>
    <w:bookmarkEnd w:id="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77" w:lineRule="exact"/>
        <w:rPr>
          <w:sz w:val="20"/>
          <w:szCs w:val="20"/>
          <w:color w:val="auto"/>
        </w:rPr>
      </w:pPr>
    </w:p>
    <w:p>
      <w:pPr>
        <w:jc w:val="both"/>
        <w:ind w:firstLine="354"/>
        <w:spacing w:after="0" w:line="276" w:lineRule="auto"/>
        <w:rPr>
          <w:sz w:val="20"/>
          <w:szCs w:val="20"/>
          <w:color w:val="auto"/>
        </w:rPr>
      </w:pPr>
      <w:r>
        <w:rPr>
          <w:rFonts w:ascii="Arial" w:cs="Arial" w:eastAsia="Arial" w:hAnsi="Arial"/>
          <w:sz w:val="13"/>
          <w:szCs w:val="13"/>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85"/>
              </w:rPr>
              <w:t>Six months</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Three months</w:t>
            </w: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Periods</w:t>
            </w:r>
          </w:p>
        </w:tc>
        <w:tc>
          <w:tcPr>
            <w:tcW w:w="80" w:type="dxa"/>
            <w:vAlign w:val="bottom"/>
          </w:tcPr>
          <w:p>
            <w:pPr>
              <w:spacing w:after="0"/>
              <w:rPr>
                <w:sz w:val="12"/>
                <w:szCs w:val="12"/>
                <w:color w:val="auto"/>
              </w:rPr>
            </w:pPr>
          </w:p>
        </w:tc>
        <w:tc>
          <w:tcPr>
            <w:tcW w:w="106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w w:val="88"/>
              </w:rPr>
              <w:t>ended October 31,</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w w:val="82"/>
              </w:rPr>
              <w:t>2015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w w:val="96"/>
              </w:rPr>
              <w:t>2015</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40" w:type="dxa"/>
            <w:vAlign w:val="bottom"/>
            <w:gridSpan w:val="2"/>
          </w:tcPr>
          <w:p>
            <w:pPr>
              <w:spacing w:after="0"/>
              <w:rPr>
                <w:sz w:val="20"/>
                <w:szCs w:val="20"/>
                <w:color w:val="auto"/>
              </w:rPr>
            </w:pPr>
            <w:r>
              <w:rPr>
                <w:rFonts w:ascii="Arial" w:cs="Arial" w:eastAsia="Arial" w:hAnsi="Arial"/>
                <w:sz w:val="13"/>
                <w:szCs w:val="13"/>
                <w:color w:val="auto"/>
              </w:rPr>
              <w:t>Revenues:</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FEI-NY</w:t>
            </w: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25,587</w:t>
            </w:r>
          </w:p>
        </w:tc>
        <w:tc>
          <w:tcPr>
            <w:tcW w:w="7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31,937</w:t>
            </w: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12,094</w:t>
            </w:r>
          </w:p>
        </w:tc>
        <w:tc>
          <w:tcPr>
            <w:tcW w:w="200" w:type="dxa"/>
            <w:vAlign w:val="bottom"/>
            <w:tcBorders>
              <w:lef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14,680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Arial" w:cs="Arial" w:eastAsia="Arial" w:hAnsi="Arial"/>
                <w:sz w:val="13"/>
                <w:szCs w:val="13"/>
                <w:color w:val="auto"/>
              </w:rPr>
              <w:t>Gillam-FEI</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2,285</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4,547</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878</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3,056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FEI-Zyfer</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5,497</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4,180</w:t>
            </w: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3,396</w:t>
            </w:r>
          </w:p>
        </w:tc>
        <w:tc>
          <w:tcPr>
            <w:tcW w:w="200" w:type="dxa"/>
            <w:vAlign w:val="bottom"/>
            <w:tcBorders>
              <w:lef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3,060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Arial" w:cs="Arial" w:eastAsia="Arial" w:hAnsi="Arial"/>
                <w:sz w:val="13"/>
                <w:szCs w:val="13"/>
                <w:color w:val="auto"/>
              </w:rPr>
              <w:t>less intersegment revenues</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(685</w:t>
            </w:r>
          </w:p>
        </w:tc>
        <w:tc>
          <w:tcPr>
            <w:tcW w:w="72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(1,681</w:t>
            </w:r>
          </w:p>
        </w:tc>
        <w:tc>
          <w:tcPr>
            <w:tcW w:w="140" w:type="dxa"/>
            <w:vAlign w:val="bottom"/>
          </w:tcPr>
          <w:p>
            <w:pPr>
              <w:spacing w:after="0"/>
              <w:rPr>
                <w:sz w:val="13"/>
                <w:szCs w:val="13"/>
                <w:color w:val="auto"/>
              </w:rPr>
            </w:pPr>
          </w:p>
        </w:tc>
        <w:tc>
          <w:tcPr>
            <w:tcW w:w="640" w:type="dxa"/>
            <w:vAlign w:val="bottom"/>
          </w:tcPr>
          <w:p>
            <w:pPr>
              <w:jc w:val="right"/>
              <w:ind w:right="39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(365</w:t>
            </w:r>
          </w:p>
        </w:tc>
        <w:tc>
          <w:tcPr>
            <w:tcW w:w="200" w:type="dxa"/>
            <w:vAlign w:val="bottom"/>
          </w:tcPr>
          <w:p>
            <w:pPr>
              <w:spacing w:after="0"/>
              <w:rPr>
                <w:sz w:val="13"/>
                <w:szCs w:val="13"/>
                <w:color w:val="auto"/>
              </w:rPr>
            </w:pPr>
          </w:p>
        </w:tc>
        <w:tc>
          <w:tcPr>
            <w:tcW w:w="62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(1,553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Consolidated revenues</w:t>
            </w: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32,684</w:t>
            </w:r>
          </w:p>
        </w:tc>
        <w:tc>
          <w:tcPr>
            <w:tcW w:w="7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38,983</w:t>
            </w: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16,003</w:t>
            </w:r>
          </w:p>
        </w:tc>
        <w:tc>
          <w:tcPr>
            <w:tcW w:w="200" w:type="dxa"/>
            <w:vAlign w:val="bottom"/>
            <w:tcBorders>
              <w:lef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19,243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Operating profit (loss):</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Arial" w:cs="Arial" w:eastAsia="Arial" w:hAnsi="Arial"/>
                <w:sz w:val="13"/>
                <w:szCs w:val="13"/>
                <w:color w:val="auto"/>
              </w:rPr>
              <w:t>FEI-NY</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944</w:t>
            </w:r>
          </w:p>
        </w:tc>
        <w:tc>
          <w:tcPr>
            <w:tcW w:w="7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74"/>
              <w:spacing w:after="0"/>
              <w:rPr>
                <w:sz w:val="20"/>
                <w:szCs w:val="20"/>
                <w:color w:val="auto"/>
              </w:rPr>
            </w:pPr>
            <w:r>
              <w:rPr>
                <w:rFonts w:ascii="Arial" w:cs="Arial" w:eastAsia="Arial" w:hAnsi="Arial"/>
                <w:sz w:val="13"/>
                <w:szCs w:val="13"/>
                <w:color w:val="auto"/>
              </w:rPr>
              <w:t>3,279</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14"/>
              <w:spacing w:after="0"/>
              <w:rPr>
                <w:sz w:val="20"/>
                <w:szCs w:val="20"/>
                <w:color w:val="auto"/>
              </w:rPr>
            </w:pPr>
            <w:r>
              <w:rPr>
                <w:rFonts w:ascii="Arial" w:cs="Arial" w:eastAsia="Arial" w:hAnsi="Arial"/>
                <w:sz w:val="13"/>
                <w:szCs w:val="13"/>
                <w:color w:val="auto"/>
              </w:rPr>
              <w:t>(143</w:t>
            </w:r>
          </w:p>
        </w:tc>
        <w:tc>
          <w:tcPr>
            <w:tcW w:w="620" w:type="dxa"/>
            <w:vAlign w:val="bottom"/>
          </w:tcPr>
          <w:p>
            <w:pPr>
              <w:jc w:val="center"/>
              <w:ind w:right="154"/>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1,199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Gillam-FEI</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7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74"/>
              <w:spacing w:after="0"/>
              <w:rPr>
                <w:sz w:val="20"/>
                <w:szCs w:val="20"/>
                <w:color w:val="auto"/>
              </w:rPr>
            </w:pPr>
            <w:r>
              <w:rPr>
                <w:rFonts w:ascii="Arial" w:cs="Arial" w:eastAsia="Arial" w:hAnsi="Arial"/>
                <w:sz w:val="13"/>
                <w:szCs w:val="13"/>
                <w:color w:val="auto"/>
              </w:rPr>
              <w:t>(513</w:t>
            </w:r>
          </w:p>
        </w:tc>
        <w:tc>
          <w:tcPr>
            <w:tcW w:w="640" w:type="dxa"/>
            <w:vAlign w:val="bottom"/>
            <w:tcBorders>
              <w:right w:val="single" w:sz="8" w:color="CCEEFF"/>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(344</w:t>
            </w:r>
          </w:p>
        </w:tc>
        <w:tc>
          <w:tcPr>
            <w:tcW w:w="620" w:type="dxa"/>
            <w:vAlign w:val="bottom"/>
            <w:tcBorders>
              <w:right w:val="single" w:sz="8" w:color="CCEEFF"/>
            </w:tcBorders>
            <w:shd w:val="clear" w:color="auto" w:fill="CCEEFF"/>
          </w:tcPr>
          <w:p>
            <w:pPr>
              <w:jc w:val="center"/>
              <w:ind w:right="154"/>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65</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Arial" w:cs="Arial" w:eastAsia="Arial" w:hAnsi="Arial"/>
                <w:sz w:val="13"/>
                <w:szCs w:val="13"/>
                <w:color w:val="auto"/>
              </w:rPr>
              <w:t>FEI-Zyfer</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833</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gridSpan w:val="3"/>
          </w:tcPr>
          <w:p>
            <w:pPr>
              <w:jc w:val="right"/>
              <w:ind w:right="74"/>
              <w:spacing w:after="0"/>
              <w:rPr>
                <w:sz w:val="20"/>
                <w:szCs w:val="20"/>
                <w:color w:val="auto"/>
              </w:rPr>
            </w:pPr>
            <w:r>
              <w:rPr>
                <w:rFonts w:ascii="Arial" w:cs="Arial" w:eastAsia="Arial" w:hAnsi="Arial"/>
                <w:sz w:val="13"/>
                <w:szCs w:val="13"/>
                <w:color w:val="auto"/>
              </w:rPr>
              <w:t>159</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14"/>
              <w:spacing w:after="0"/>
              <w:rPr>
                <w:sz w:val="20"/>
                <w:szCs w:val="20"/>
                <w:color w:val="auto"/>
              </w:rPr>
            </w:pPr>
            <w:r>
              <w:rPr>
                <w:rFonts w:ascii="Arial" w:cs="Arial" w:eastAsia="Arial" w:hAnsi="Arial"/>
                <w:sz w:val="13"/>
                <w:szCs w:val="13"/>
                <w:color w:val="auto"/>
              </w:rPr>
              <w:t>710</w:t>
            </w: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665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Corporate</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7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(175</w:t>
            </w:r>
          </w:p>
        </w:tc>
        <w:tc>
          <w:tcPr>
            <w:tcW w:w="620" w:type="dxa"/>
            <w:vAlign w:val="bottom"/>
            <w:tcBorders>
              <w:right w:val="single" w:sz="8" w:color="CCEEFF"/>
            </w:tcBorders>
            <w:shd w:val="clear" w:color="auto" w:fill="CCEEFF"/>
          </w:tcPr>
          <w:p>
            <w:pPr>
              <w:jc w:val="center"/>
              <w:ind w:right="154"/>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ind w:left="220"/>
              <w:spacing w:after="0"/>
              <w:rPr>
                <w:sz w:val="20"/>
                <w:szCs w:val="20"/>
                <w:color w:val="auto"/>
              </w:rPr>
            </w:pPr>
            <w:r>
              <w:rPr>
                <w:rFonts w:ascii="Arial" w:cs="Arial" w:eastAsia="Arial" w:hAnsi="Arial"/>
                <w:sz w:val="13"/>
                <w:szCs w:val="13"/>
                <w:color w:val="auto"/>
              </w:rPr>
              <w:t>Consolidated operating profit</w:t>
            </w: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989</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2,724</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14"/>
              <w:spacing w:after="0"/>
              <w:rPr>
                <w:sz w:val="20"/>
                <w:szCs w:val="20"/>
                <w:color w:val="auto"/>
              </w:rPr>
            </w:pPr>
            <w:r>
              <w:rPr>
                <w:rFonts w:ascii="Arial" w:cs="Arial" w:eastAsia="Arial" w:hAnsi="Arial"/>
                <w:sz w:val="13"/>
                <w:szCs w:val="13"/>
                <w:color w:val="auto"/>
              </w:rPr>
              <w:t>48</w:t>
            </w:r>
          </w:p>
        </w:tc>
        <w:tc>
          <w:tcPr>
            <w:tcW w:w="6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1,796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6"/>
              </w:rPr>
              <w:t>October 31, 2015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April 30, 2015</w:t>
            </w:r>
          </w:p>
        </w:tc>
      </w:tr>
      <w:tr>
        <w:trPr>
          <w:trHeight w:val="157"/>
        </w:trPr>
        <w:tc>
          <w:tcPr>
            <w:tcW w:w="5520" w:type="dxa"/>
            <w:vAlign w:val="bottom"/>
          </w:tcPr>
          <w:p>
            <w:pPr>
              <w:spacing w:after="0"/>
              <w:rPr>
                <w:sz w:val="20"/>
                <w:szCs w:val="20"/>
                <w:color w:val="auto"/>
              </w:rPr>
            </w:pPr>
            <w:r>
              <w:rPr>
                <w:rFonts w:ascii="Arial" w:cs="Arial" w:eastAsia="Arial" w:hAnsi="Arial"/>
                <w:sz w:val="13"/>
                <w:szCs w:val="13"/>
                <w:color w:val="auto"/>
              </w:rPr>
              <w:t>Identifiable assets:</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5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FEI-NY (approximately $2.3 million in China)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64,242</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63,541</w:t>
            </w:r>
          </w:p>
        </w:tc>
      </w:tr>
      <w:tr>
        <w:trPr>
          <w:trHeight w:val="157"/>
        </w:trPr>
        <w:tc>
          <w:tcPr>
            <w:tcW w:w="5520" w:type="dxa"/>
            <w:vAlign w:val="bottom"/>
          </w:tcPr>
          <w:p>
            <w:pPr>
              <w:ind w:left="120"/>
              <w:spacing w:after="0"/>
              <w:rPr>
                <w:sz w:val="20"/>
                <w:szCs w:val="20"/>
                <w:color w:val="auto"/>
              </w:rPr>
            </w:pPr>
            <w:r>
              <w:rPr>
                <w:rFonts w:ascii="Arial" w:cs="Arial" w:eastAsia="Arial" w:hAnsi="Arial"/>
                <w:sz w:val="13"/>
                <w:szCs w:val="13"/>
                <w:color w:val="auto"/>
              </w:rPr>
              <w:t>Gillam-FEI (all in Belgium or France)</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8,873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9,878</w:t>
            </w:r>
          </w:p>
        </w:tc>
      </w:tr>
      <w:tr>
        <w:trPr>
          <w:trHeight w:val="157"/>
        </w:trPr>
        <w:tc>
          <w:tcPr>
            <w:tcW w:w="5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FEI-Zyfer</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11,088</w:t>
            </w:r>
          </w:p>
        </w:tc>
      </w:tr>
      <w:tr>
        <w:trPr>
          <w:trHeight w:val="157"/>
        </w:trPr>
        <w:tc>
          <w:tcPr>
            <w:tcW w:w="5520" w:type="dxa"/>
            <w:vAlign w:val="bottom"/>
          </w:tcPr>
          <w:p>
            <w:pPr>
              <w:ind w:left="120"/>
              <w:spacing w:after="0"/>
              <w:rPr>
                <w:sz w:val="20"/>
                <w:szCs w:val="20"/>
                <w:color w:val="auto"/>
              </w:rPr>
            </w:pPr>
            <w:r>
              <w:rPr>
                <w:rFonts w:ascii="Arial" w:cs="Arial" w:eastAsia="Arial" w:hAnsi="Arial"/>
                <w:sz w:val="13"/>
                <w:szCs w:val="13"/>
                <w:color w:val="auto"/>
              </w:rPr>
              <w:t>less intersegment balances</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(5,549)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color w:val="auto"/>
              </w:rPr>
              <w:t>(8,775)</w:t>
            </w:r>
          </w:p>
        </w:tc>
      </w:tr>
      <w:tr>
        <w:trPr>
          <w:trHeight w:val="157"/>
        </w:trPr>
        <w:tc>
          <w:tcPr>
            <w:tcW w:w="5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Corporate</w:t>
            </w: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42,093</w:t>
            </w:r>
          </w:p>
        </w:tc>
      </w:tr>
      <w:tr>
        <w:trPr>
          <w:trHeight w:val="20"/>
        </w:trPr>
        <w:tc>
          <w:tcPr>
            <w:tcW w:w="5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7"/>
        </w:trPr>
        <w:tc>
          <w:tcPr>
            <w:tcW w:w="5520" w:type="dxa"/>
            <w:vAlign w:val="bottom"/>
          </w:tcPr>
          <w:p>
            <w:pPr>
              <w:ind w:left="220"/>
              <w:spacing w:after="0"/>
              <w:rPr>
                <w:sz w:val="20"/>
                <w:szCs w:val="20"/>
                <w:color w:val="auto"/>
              </w:rPr>
            </w:pPr>
            <w:r>
              <w:rPr>
                <w:rFonts w:ascii="Arial" w:cs="Arial" w:eastAsia="Arial" w:hAnsi="Arial"/>
                <w:sz w:val="13"/>
                <w:szCs w:val="13"/>
                <w:color w:val="auto"/>
              </w:rPr>
              <w:t>Consolidated identifiable assets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118,821</w:t>
            </w:r>
          </w:p>
        </w:tc>
        <w:tc>
          <w:tcPr>
            <w:tcW w:w="120" w:type="dxa"/>
            <w:vAlign w:val="bottom"/>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117,825</w:t>
            </w:r>
          </w:p>
        </w:tc>
      </w:tr>
      <w:tr>
        <w:trPr>
          <w:trHeight w:val="20"/>
        </w:trPr>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NOTE G – INVESTMENT IN MORION, INC.</w:t>
      </w:r>
    </w:p>
    <w:p>
      <w:pPr>
        <w:spacing w:after="0" w:line="185" w:lineRule="exact"/>
        <w:rPr>
          <w:sz w:val="20"/>
          <w:szCs w:val="20"/>
          <w:color w:val="auto"/>
        </w:rPr>
      </w:pPr>
    </w:p>
    <w:p>
      <w:pPr>
        <w:jc w:val="both"/>
        <w:ind w:firstLine="354"/>
        <w:spacing w:after="0" w:line="320" w:lineRule="auto"/>
        <w:rPr>
          <w:sz w:val="20"/>
          <w:szCs w:val="20"/>
          <w:color w:val="auto"/>
        </w:rPr>
      </w:pPr>
      <w:r>
        <w:rPr>
          <w:rFonts w:ascii="Arial" w:cs="Arial" w:eastAsia="Arial" w:hAnsi="Arial"/>
          <w:sz w:val="12"/>
          <w:szCs w:val="12"/>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123" w:lineRule="exact"/>
        <w:rPr>
          <w:sz w:val="20"/>
          <w:szCs w:val="20"/>
          <w:color w:val="auto"/>
        </w:rPr>
      </w:pPr>
    </w:p>
    <w:p>
      <w:pPr>
        <w:jc w:val="both"/>
        <w:ind w:firstLine="354"/>
        <w:spacing w:after="0" w:line="258" w:lineRule="auto"/>
        <w:rPr>
          <w:sz w:val="20"/>
          <w:szCs w:val="20"/>
          <w:color w:val="auto"/>
        </w:rPr>
      </w:pPr>
      <w:r>
        <w:rPr>
          <w:rFonts w:ascii="Arial" w:cs="Arial" w:eastAsia="Arial" w:hAnsi="Arial"/>
          <w:sz w:val="13"/>
          <w:szCs w:val="13"/>
          <w:color w:val="auto"/>
        </w:rPr>
        <w:t>During the six months ended October 31, 2015 and 2014, the Company acquired product from Morion in the aggregate amount of approximately $61,000 and $96,000, respectively, and the Company sold product and training services to Morion in the aggregate amount of approximately $435,000 and $289,000, respectively. (See discussion of revenues recognized under the license agreement in the paragraph below.) During the three months ended October 31, 2015 and 2014, the Company acquired product from Morion in the aggregate amount of approximately $29,000 and $20,000, respectively, and the Company sold product and training services to Morion in the aggregate amount of approximately $12,000 and $106,000, respectively. At October 31, 2015, approximately $24,000 was payable to Morion and accounts receivable from Morion was approximately $390,000.</w:t>
      </w:r>
    </w:p>
    <w:p>
      <w:pPr>
        <w:spacing w:after="0" w:line="160"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2"/>
          <w:szCs w:val="12"/>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During the six months ended October 31, 2015, sales to Morion included $375,000 for product and training services under this agreement. Per the amended agreement, the balance of $1 million for the transfer of the license will be due once the United States Department of State (“State Department”) approves the removal of certain provisions of the original agreement. The State Department has approved the technology transfer called for under the agreement.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 w:name="page10"/>
    <w:bookmarkEnd w:id="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Notes to Condensed Consolidated Financial Statements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NOTE H – FAIR VALUE OF FINANCIAL INSTRUMENTS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cost, gross unrealized gains, gross unrealized losses and fair market value of available-for-sale securities at October 31, 2015 and April 30, 2015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3"/>
                <w:szCs w:val="13"/>
                <w:b w:val="1"/>
                <w:bCs w:val="1"/>
                <w:color w:val="auto"/>
              </w:rPr>
              <w:t>October 31, 2015</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57"/>
        </w:trPr>
        <w:tc>
          <w:tcPr>
            <w:tcW w:w="3200" w:type="dxa"/>
            <w:vAlign w:val="bottom"/>
          </w:tcPr>
          <w:p>
            <w:pPr>
              <w:spacing w:after="0"/>
              <w:rPr>
                <w:sz w:val="13"/>
                <w:szCs w:val="13"/>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Cost</w:t>
            </w:r>
          </w:p>
        </w:tc>
        <w:tc>
          <w:tcPr>
            <w:tcW w:w="44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8"/>
              </w:rPr>
              <w:t>Gross Unrealized Gains</w:t>
            </w:r>
          </w:p>
        </w:tc>
        <w:tc>
          <w:tcPr>
            <w:tcW w:w="780" w:type="dxa"/>
            <w:vAlign w:val="bottom"/>
          </w:tcPr>
          <w:p>
            <w:pPr>
              <w:spacing w:after="0"/>
              <w:rPr>
                <w:sz w:val="13"/>
                <w:szCs w:val="1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7"/>
              </w:rPr>
              <w:t>Gross Unrealized Losses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2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3"/>
                <w:szCs w:val="13"/>
                <w:b w:val="1"/>
                <w:bCs w:val="1"/>
                <w:color w:val="auto"/>
              </w:rPr>
              <w:t>Fair Market Value</w:t>
            </w:r>
          </w:p>
        </w:tc>
        <w:tc>
          <w:tcPr>
            <w:tcW w:w="380" w:type="dxa"/>
            <w:vAlign w:val="bottom"/>
          </w:tcPr>
          <w:p>
            <w:pPr>
              <w:spacing w:after="0"/>
              <w:rPr>
                <w:sz w:val="13"/>
                <w:szCs w:val="13"/>
                <w:color w:val="auto"/>
              </w:rPr>
            </w:pPr>
          </w:p>
        </w:tc>
      </w:tr>
      <w:tr>
        <w:trPr>
          <w:trHeight w:val="157"/>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Fixed income securities</w:t>
            </w:r>
          </w:p>
        </w:tc>
        <w:tc>
          <w:tcPr>
            <w:tcW w:w="94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3,222</w:t>
            </w:r>
          </w:p>
        </w:tc>
        <w:tc>
          <w:tcPr>
            <w:tcW w:w="7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74</w:t>
            </w:r>
          </w:p>
        </w:tc>
        <w:tc>
          <w:tcPr>
            <w:tcW w:w="7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w:t>
            </w:r>
          </w:p>
        </w:tc>
        <w:tc>
          <w:tcPr>
            <w:tcW w:w="6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3,266</w:t>
            </w: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Equity securities</w:t>
            </w: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6,764</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3"/>
                <w:szCs w:val="13"/>
                <w:color w:val="auto"/>
              </w:rPr>
              <w:t>713</w:t>
            </w:r>
          </w:p>
        </w:tc>
        <w:tc>
          <w:tcPr>
            <w:tcW w:w="7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(542</w:t>
            </w:r>
          </w:p>
        </w:tc>
        <w:tc>
          <w:tcPr>
            <w:tcW w:w="62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6,935</w:t>
            </w:r>
          </w:p>
        </w:tc>
      </w:tr>
      <w:tr>
        <w:trPr>
          <w:trHeight w:val="20"/>
        </w:trPr>
        <w:tc>
          <w:tcPr>
            <w:tcW w:w="3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7"/>
        </w:trPr>
        <w:tc>
          <w:tcPr>
            <w:tcW w:w="3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9,986</w:t>
            </w: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787</w:t>
            </w:r>
          </w:p>
        </w:tc>
        <w:tc>
          <w:tcPr>
            <w:tcW w:w="7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(572</w:t>
            </w:r>
          </w:p>
        </w:tc>
        <w:tc>
          <w:tcPr>
            <w:tcW w:w="6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10,201</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3"/>
                <w:szCs w:val="13"/>
                <w:b w:val="1"/>
                <w:bCs w:val="1"/>
                <w:color w:val="auto"/>
                <w:w w:val="92"/>
              </w:rPr>
              <w:t>April 30, 2015</w:t>
            </w: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Gross Unrealized</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Cost</w:t>
            </w:r>
          </w:p>
        </w:tc>
        <w:tc>
          <w:tcPr>
            <w:tcW w:w="4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Gross Unrealized Gains</w:t>
            </w:r>
          </w:p>
        </w:tc>
        <w:tc>
          <w:tcPr>
            <w:tcW w:w="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w w:val="84"/>
              </w:rPr>
              <w:t>Losses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3"/>
                <w:szCs w:val="13"/>
                <w:b w:val="1"/>
                <w:bCs w:val="1"/>
                <w:color w:val="auto"/>
              </w:rPr>
              <w:t>Fair Market Value</w:t>
            </w:r>
          </w:p>
        </w:tc>
        <w:tc>
          <w:tcPr>
            <w:tcW w:w="38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Fixed income securities</w:t>
            </w:r>
          </w:p>
        </w:tc>
        <w:tc>
          <w:tcPr>
            <w:tcW w:w="94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3,379</w:t>
            </w:r>
          </w:p>
        </w:tc>
        <w:tc>
          <w:tcPr>
            <w:tcW w:w="7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3,467</w:t>
            </w:r>
          </w:p>
        </w:tc>
      </w:tr>
      <w:tr>
        <w:trPr>
          <w:trHeight w:val="157"/>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3"/>
                <w:szCs w:val="13"/>
                <w:color w:val="auto"/>
              </w:rPr>
              <w:t>Equity securities</w:t>
            </w:r>
          </w:p>
        </w:tc>
        <w:tc>
          <w:tcPr>
            <w:tcW w:w="9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7,018</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834</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(133</w:t>
            </w:r>
          </w:p>
        </w:tc>
        <w:tc>
          <w:tcPr>
            <w:tcW w:w="62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7,719</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10,397</w:t>
            </w: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(149</w:t>
            </w:r>
          </w:p>
        </w:tc>
        <w:tc>
          <w:tcPr>
            <w:tcW w:w="6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11,186</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following table presents the fair value and unrealized losses, aggregated by investment type and length of time that individual securities have been in a continuous unrealized loss position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3"/>
                <w:szCs w:val="13"/>
                <w:b w:val="1"/>
                <w:bCs w:val="1"/>
                <w:color w:val="auto"/>
              </w:rPr>
              <w:t>Less than 12 months</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3"/>
                <w:szCs w:val="13"/>
                <w:b w:val="1"/>
                <w:bCs w:val="1"/>
                <w:color w:val="auto"/>
              </w:rPr>
              <w:t>12 Months or more</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3"/>
                <w:szCs w:val="13"/>
                <w:b w:val="1"/>
                <w:bCs w:val="1"/>
                <w:color w:val="auto"/>
              </w:rPr>
              <w:t>Total</w:t>
            </w:r>
          </w:p>
        </w:tc>
        <w:tc>
          <w:tcPr>
            <w:tcW w:w="4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57"/>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gridSpan w:val="3"/>
          </w:tcPr>
          <w:p>
            <w:pPr>
              <w:jc w:val="right"/>
              <w:ind w:right="1040"/>
              <w:spacing w:after="0"/>
              <w:rPr>
                <w:sz w:val="20"/>
                <w:szCs w:val="20"/>
                <w:color w:val="auto"/>
              </w:rPr>
            </w:pPr>
            <w:r>
              <w:rPr>
                <w:rFonts w:ascii="Arial" w:cs="Arial" w:eastAsia="Arial" w:hAnsi="Arial"/>
                <w:sz w:val="13"/>
                <w:szCs w:val="13"/>
                <w:b w:val="1"/>
                <w:bCs w:val="1"/>
                <w:color w:val="auto"/>
              </w:rPr>
              <w:t>Fair Value</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85"/>
              </w:rPr>
              <w:t>Unrealized Losses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60" w:type="dxa"/>
            <w:vAlign w:val="bottom"/>
            <w:gridSpan w:val="3"/>
          </w:tcPr>
          <w:p>
            <w:pPr>
              <w:jc w:val="right"/>
              <w:ind w:right="1020"/>
              <w:spacing w:after="0"/>
              <w:rPr>
                <w:sz w:val="20"/>
                <w:szCs w:val="20"/>
                <w:color w:val="auto"/>
              </w:rPr>
            </w:pPr>
            <w:r>
              <w:rPr>
                <w:rFonts w:ascii="Arial" w:cs="Arial" w:eastAsia="Arial" w:hAnsi="Arial"/>
                <w:sz w:val="13"/>
                <w:szCs w:val="13"/>
                <w:b w:val="1"/>
                <w:bCs w:val="1"/>
                <w:color w:val="auto"/>
              </w:rPr>
              <w:t>Fair Value</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Unrealized Losses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gridSpan w:val="3"/>
          </w:tcPr>
          <w:p>
            <w:pPr>
              <w:ind w:left="240"/>
              <w:spacing w:after="0"/>
              <w:rPr>
                <w:sz w:val="20"/>
                <w:szCs w:val="20"/>
                <w:color w:val="auto"/>
              </w:rPr>
            </w:pPr>
            <w:r>
              <w:rPr>
                <w:rFonts w:ascii="Arial" w:cs="Arial" w:eastAsia="Arial" w:hAnsi="Arial"/>
                <w:sz w:val="13"/>
                <w:szCs w:val="13"/>
                <w:b w:val="1"/>
                <w:bCs w:val="1"/>
                <w:color w:val="auto"/>
              </w:rPr>
              <w:t>Fair Value</w:t>
            </w:r>
          </w:p>
        </w:tc>
        <w:tc>
          <w:tcPr>
            <w:tcW w:w="6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Unrealized Losses</w:t>
            </w:r>
          </w:p>
        </w:tc>
        <w:tc>
          <w:tcPr>
            <w:tcW w:w="400" w:type="dxa"/>
            <w:vAlign w:val="bottom"/>
          </w:tcPr>
          <w:p>
            <w:pPr>
              <w:spacing w:after="0"/>
              <w:rPr>
                <w:sz w:val="13"/>
                <w:szCs w:val="13"/>
                <w:color w:val="auto"/>
              </w:rPr>
            </w:pPr>
          </w:p>
        </w:tc>
      </w:tr>
      <w:tr>
        <w:trPr>
          <w:trHeight w:val="127"/>
        </w:trPr>
        <w:tc>
          <w:tcPr>
            <w:tcW w:w="40" w:type="dxa"/>
            <w:vAlign w:val="bottom"/>
          </w:tcPr>
          <w:p>
            <w:pPr>
              <w:spacing w:after="0"/>
              <w:rPr>
                <w:sz w:val="11"/>
                <w:szCs w:val="11"/>
                <w:color w:val="auto"/>
              </w:rPr>
            </w:pPr>
          </w:p>
        </w:tc>
        <w:tc>
          <w:tcPr>
            <w:tcW w:w="880" w:type="dxa"/>
            <w:vAlign w:val="bottom"/>
            <w:gridSpan w:val="5"/>
          </w:tcPr>
          <w:p>
            <w:pPr>
              <w:jc w:val="center"/>
              <w:ind w:right="440"/>
              <w:spacing w:after="0" w:line="128" w:lineRule="exact"/>
              <w:rPr>
                <w:sz w:val="20"/>
                <w:szCs w:val="20"/>
                <w:color w:val="auto"/>
              </w:rPr>
            </w:pPr>
            <w:r>
              <w:rPr>
                <w:rFonts w:ascii="Arial" w:cs="Arial" w:eastAsia="Arial" w:hAnsi="Arial"/>
                <w:sz w:val="13"/>
                <w:szCs w:val="13"/>
                <w:color w:val="auto"/>
                <w:w w:val="95"/>
              </w:rPr>
              <w:t>October</w:t>
            </w:r>
          </w:p>
        </w:tc>
        <w:tc>
          <w:tcPr>
            <w:tcW w:w="6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47"/>
        </w:trPr>
        <w:tc>
          <w:tcPr>
            <w:tcW w:w="40" w:type="dxa"/>
            <w:vAlign w:val="bottom"/>
          </w:tcPr>
          <w:p>
            <w:pPr>
              <w:spacing w:after="0"/>
              <w:rPr>
                <w:sz w:val="12"/>
                <w:szCs w:val="12"/>
                <w:color w:val="auto"/>
              </w:rPr>
            </w:pPr>
          </w:p>
        </w:tc>
        <w:tc>
          <w:tcPr>
            <w:tcW w:w="460" w:type="dxa"/>
            <w:vAlign w:val="bottom"/>
            <w:gridSpan w:val="4"/>
          </w:tcPr>
          <w:p>
            <w:pPr>
              <w:jc w:val="right"/>
              <w:ind w:right="20"/>
              <w:spacing w:after="0" w:line="138" w:lineRule="exact"/>
              <w:rPr>
                <w:sz w:val="20"/>
                <w:szCs w:val="20"/>
                <w:color w:val="auto"/>
              </w:rPr>
            </w:pPr>
            <w:r>
              <w:rPr>
                <w:rFonts w:ascii="Arial" w:cs="Arial" w:eastAsia="Arial" w:hAnsi="Arial"/>
                <w:sz w:val="13"/>
                <w:szCs w:val="13"/>
                <w:color w:val="auto"/>
                <w:w w:val="82"/>
              </w:rPr>
              <w:t>31, 2015</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8"/>
        </w:trPr>
        <w:tc>
          <w:tcPr>
            <w:tcW w:w="40" w:type="dxa"/>
            <w:vAlign w:val="bottom"/>
            <w:tcBorders>
              <w:right w:val="single" w:sz="8" w:color="CCEEFF"/>
            </w:tcBorders>
          </w:tcPr>
          <w:p>
            <w:pPr>
              <w:spacing w:after="0"/>
              <w:rPr>
                <w:sz w:val="12"/>
                <w:szCs w:val="12"/>
                <w:color w:val="auto"/>
              </w:rPr>
            </w:pPr>
          </w:p>
        </w:tc>
        <w:tc>
          <w:tcPr>
            <w:tcW w:w="440" w:type="dxa"/>
            <w:vAlign w:val="bottom"/>
            <w:tcBorders>
              <w:top w:val="single" w:sz="8" w:color="auto"/>
            </w:tcBorders>
            <w:gridSpan w:val="3"/>
            <w:shd w:val="clear" w:color="auto" w:fill="CCEEFF"/>
          </w:tcPr>
          <w:p>
            <w:pPr>
              <w:spacing w:after="0" w:line="149" w:lineRule="exact"/>
              <w:rPr>
                <w:sz w:val="20"/>
                <w:szCs w:val="20"/>
                <w:color w:val="auto"/>
              </w:rPr>
            </w:pPr>
            <w:r>
              <w:rPr>
                <w:rFonts w:ascii="Arial" w:cs="Arial" w:eastAsia="Arial" w:hAnsi="Arial"/>
                <w:sz w:val="13"/>
                <w:szCs w:val="13"/>
                <w:color w:val="auto"/>
              </w:rPr>
              <w:t>Fixed</w:t>
            </w:r>
          </w:p>
        </w:tc>
        <w:tc>
          <w:tcPr>
            <w:tcW w:w="440" w:type="dxa"/>
            <w:vAlign w:val="bottom"/>
            <w:gridSpan w:val="2"/>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57"/>
        </w:trPr>
        <w:tc>
          <w:tcPr>
            <w:tcW w:w="40" w:type="dxa"/>
            <w:vAlign w:val="bottom"/>
            <w:tcBorders>
              <w:right w:val="single" w:sz="8" w:color="CCEEFF"/>
            </w:tcBorders>
          </w:tcPr>
          <w:p>
            <w:pPr>
              <w:spacing w:after="0"/>
              <w:rPr>
                <w:sz w:val="13"/>
                <w:szCs w:val="13"/>
                <w:color w:val="auto"/>
              </w:rPr>
            </w:pPr>
          </w:p>
        </w:tc>
        <w:tc>
          <w:tcPr>
            <w:tcW w:w="8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Income</w:t>
            </w: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66"/>
        </w:trPr>
        <w:tc>
          <w:tcPr>
            <w:tcW w:w="40" w:type="dxa"/>
            <w:vAlign w:val="bottom"/>
            <w:tcBorders>
              <w:right w:val="single" w:sz="8" w:color="CCEEFF"/>
            </w:tcBorders>
          </w:tcPr>
          <w:p>
            <w:pPr>
              <w:spacing w:after="0"/>
              <w:rPr>
                <w:sz w:val="14"/>
                <w:szCs w:val="14"/>
                <w:color w:val="auto"/>
              </w:rPr>
            </w:pPr>
          </w:p>
        </w:tc>
        <w:tc>
          <w:tcPr>
            <w:tcW w:w="8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Securities</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543</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w:t>
            </w:r>
          </w:p>
        </w:tc>
        <w:tc>
          <w:tcPr>
            <w:tcW w:w="128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40" w:type="dxa"/>
            <w:vAlign w:val="bottom"/>
          </w:tcPr>
          <w:p>
            <w:pPr>
              <w:spacing w:after="0"/>
              <w:rPr>
                <w:sz w:val="12"/>
                <w:szCs w:val="12"/>
                <w:color w:val="auto"/>
              </w:rPr>
            </w:pPr>
          </w:p>
        </w:tc>
        <w:tc>
          <w:tcPr>
            <w:tcW w:w="880" w:type="dxa"/>
            <w:vAlign w:val="bottom"/>
            <w:gridSpan w:val="5"/>
          </w:tcPr>
          <w:p>
            <w:pPr>
              <w:spacing w:after="0" w:line="149" w:lineRule="exact"/>
              <w:rPr>
                <w:sz w:val="20"/>
                <w:szCs w:val="20"/>
                <w:color w:val="auto"/>
              </w:rPr>
            </w:pPr>
            <w:r>
              <w:rPr>
                <w:rFonts w:ascii="Arial" w:cs="Arial" w:eastAsia="Arial" w:hAnsi="Arial"/>
                <w:sz w:val="13"/>
                <w:szCs w:val="13"/>
                <w:color w:val="auto"/>
              </w:rPr>
              <w:t>Equity</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5"/>
        </w:trPr>
        <w:tc>
          <w:tcPr>
            <w:tcW w:w="920" w:type="dxa"/>
            <w:vAlign w:val="bottom"/>
            <w:gridSpan w:val="6"/>
          </w:tcPr>
          <w:p>
            <w:pPr>
              <w:spacing w:after="0"/>
              <w:rPr>
                <w:sz w:val="20"/>
                <w:szCs w:val="20"/>
                <w:color w:val="auto"/>
              </w:rPr>
            </w:pPr>
            <w:r>
              <w:rPr>
                <w:rFonts w:ascii="Arial" w:cs="Arial" w:eastAsia="Arial" w:hAnsi="Arial"/>
                <w:sz w:val="13"/>
                <w:szCs w:val="13"/>
                <w:color w:val="auto"/>
              </w:rPr>
              <w:t>Securities</w:t>
            </w:r>
          </w:p>
        </w:tc>
        <w:tc>
          <w:tcPr>
            <w:tcW w:w="60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3"/>
                <w:szCs w:val="13"/>
                <w:color w:val="auto"/>
              </w:rPr>
              <w:t>2,073</w:t>
            </w:r>
          </w:p>
        </w:tc>
        <w:tc>
          <w:tcPr>
            <w:tcW w:w="6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(305</w:t>
            </w:r>
          </w:p>
        </w:tc>
        <w:tc>
          <w:tcPr>
            <w:tcW w:w="62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3"/>
                <w:szCs w:val="13"/>
                <w:color w:val="auto"/>
              </w:rPr>
              <w:t>1,295</w:t>
            </w:r>
          </w:p>
        </w:tc>
        <w:tc>
          <w:tcPr>
            <w:tcW w:w="6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(237</w:t>
            </w:r>
          </w:p>
        </w:tc>
        <w:tc>
          <w:tcPr>
            <w:tcW w:w="62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3,368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(542</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7"/>
        </w:trPr>
        <w:tc>
          <w:tcPr>
            <w:tcW w:w="40" w:type="dxa"/>
            <w:vAlign w:val="bottom"/>
            <w:tcBorders>
              <w:right w:val="single" w:sz="8" w:color="CCEEFF"/>
            </w:tcBorders>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2,073</w:t>
            </w: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(305</w:t>
            </w:r>
          </w:p>
        </w:tc>
        <w:tc>
          <w:tcPr>
            <w:tcW w:w="6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1,838</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(267</w:t>
            </w:r>
          </w:p>
        </w:tc>
        <w:tc>
          <w:tcPr>
            <w:tcW w:w="6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3,911</w:t>
            </w:r>
          </w:p>
        </w:tc>
        <w:tc>
          <w:tcPr>
            <w:tcW w:w="128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07"/>
        </w:trPr>
        <w:tc>
          <w:tcPr>
            <w:tcW w:w="40" w:type="dxa"/>
            <w:vAlign w:val="bottom"/>
          </w:tcPr>
          <w:p>
            <w:pPr>
              <w:spacing w:after="0"/>
              <w:rPr>
                <w:sz w:val="9"/>
                <w:szCs w:val="9"/>
                <w:color w:val="auto"/>
              </w:rPr>
            </w:pPr>
          </w:p>
        </w:tc>
        <w:tc>
          <w:tcPr>
            <w:tcW w:w="460" w:type="dxa"/>
            <w:vAlign w:val="bottom"/>
            <w:tcBorders>
              <w:top w:val="single" w:sz="8" w:color="CCEEFF"/>
              <w:bottom w:val="single" w:sz="8" w:color="auto"/>
            </w:tcBorders>
            <w:gridSpan w:val="4"/>
          </w:tcPr>
          <w:p>
            <w:pPr>
              <w:jc w:val="center"/>
              <w:spacing w:after="0" w:line="107" w:lineRule="exact"/>
              <w:rPr>
                <w:sz w:val="20"/>
                <w:szCs w:val="20"/>
                <w:color w:val="auto"/>
              </w:rPr>
            </w:pPr>
            <w:r>
              <w:rPr>
                <w:rFonts w:ascii="Arial" w:cs="Arial" w:eastAsia="Arial" w:hAnsi="Arial"/>
                <w:sz w:val="12"/>
                <w:szCs w:val="12"/>
                <w:color w:val="auto"/>
              </w:rPr>
              <w:t>April 30,</w:t>
            </w:r>
          </w:p>
        </w:tc>
        <w:tc>
          <w:tcPr>
            <w:tcW w:w="420" w:type="dxa"/>
            <w:vAlign w:val="bottom"/>
            <w:tcBorders>
              <w:top w:val="single" w:sz="8" w:color="CCEEFF"/>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0" w:type="dxa"/>
            <w:vAlign w:val="bottom"/>
            <w:tcBorders>
              <w:top w:val="single" w:sz="8" w:color="CCEEFF"/>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620" w:type="dxa"/>
            <w:vAlign w:val="bottom"/>
            <w:tcBorders>
              <w:top w:val="single" w:sz="8" w:color="CCEEFF"/>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620" w:type="dxa"/>
            <w:vAlign w:val="bottom"/>
            <w:tcBorders>
              <w:top w:val="single" w:sz="8" w:color="CCEEFF"/>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Borders>
              <w:top w:val="single" w:sz="8" w:color="CCEEFF"/>
            </w:tcBorders>
          </w:tcPr>
          <w:p>
            <w:pPr>
              <w:spacing w:after="0"/>
              <w:rPr>
                <w:sz w:val="9"/>
                <w:szCs w:val="9"/>
                <w:color w:val="auto"/>
              </w:rPr>
            </w:pPr>
          </w:p>
        </w:tc>
      </w:tr>
      <w:tr>
        <w:trPr>
          <w:trHeight w:val="147"/>
        </w:trPr>
        <w:tc>
          <w:tcPr>
            <w:tcW w:w="120" w:type="dxa"/>
            <w:vAlign w:val="bottom"/>
            <w:gridSpan w:val="2"/>
          </w:tcPr>
          <w:p>
            <w:pPr>
              <w:spacing w:after="0"/>
              <w:rPr>
                <w:sz w:val="12"/>
                <w:szCs w:val="12"/>
                <w:color w:val="auto"/>
              </w:rPr>
            </w:pPr>
          </w:p>
        </w:tc>
        <w:tc>
          <w:tcPr>
            <w:tcW w:w="3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89"/>
              </w:rPr>
              <w:t>2015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8"/>
        </w:trPr>
        <w:tc>
          <w:tcPr>
            <w:tcW w:w="40" w:type="dxa"/>
            <w:vAlign w:val="bottom"/>
            <w:tcBorders>
              <w:right w:val="single" w:sz="8" w:color="CCEEFF"/>
            </w:tcBorders>
          </w:tcPr>
          <w:p>
            <w:pPr>
              <w:spacing w:after="0"/>
              <w:rPr>
                <w:sz w:val="12"/>
                <w:szCs w:val="12"/>
                <w:color w:val="auto"/>
              </w:rPr>
            </w:pPr>
          </w:p>
        </w:tc>
        <w:tc>
          <w:tcPr>
            <w:tcW w:w="880" w:type="dxa"/>
            <w:vAlign w:val="bottom"/>
            <w:gridSpan w:val="5"/>
            <w:shd w:val="clear" w:color="auto" w:fill="CCEEFF"/>
          </w:tcPr>
          <w:p>
            <w:pPr>
              <w:spacing w:after="0" w:line="149" w:lineRule="exact"/>
              <w:rPr>
                <w:sz w:val="20"/>
                <w:szCs w:val="20"/>
                <w:color w:val="auto"/>
              </w:rPr>
            </w:pPr>
            <w:r>
              <w:rPr>
                <w:rFonts w:ascii="Arial" w:cs="Arial" w:eastAsia="Arial" w:hAnsi="Arial"/>
                <w:sz w:val="13"/>
                <w:szCs w:val="13"/>
                <w:color w:val="auto"/>
              </w:rPr>
              <w:t>Fixed</w:t>
            </w: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57"/>
        </w:trPr>
        <w:tc>
          <w:tcPr>
            <w:tcW w:w="40" w:type="dxa"/>
            <w:vAlign w:val="bottom"/>
            <w:tcBorders>
              <w:right w:val="single" w:sz="8" w:color="CCEEFF"/>
            </w:tcBorders>
          </w:tcPr>
          <w:p>
            <w:pPr>
              <w:spacing w:after="0"/>
              <w:rPr>
                <w:sz w:val="13"/>
                <w:szCs w:val="13"/>
                <w:color w:val="auto"/>
              </w:rPr>
            </w:pPr>
          </w:p>
        </w:tc>
        <w:tc>
          <w:tcPr>
            <w:tcW w:w="8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Income</w:t>
            </w: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66"/>
        </w:trPr>
        <w:tc>
          <w:tcPr>
            <w:tcW w:w="40" w:type="dxa"/>
            <w:vAlign w:val="bottom"/>
            <w:tcBorders>
              <w:right w:val="single" w:sz="8" w:color="CCEEFF"/>
            </w:tcBorders>
          </w:tcPr>
          <w:p>
            <w:pPr>
              <w:spacing w:after="0"/>
              <w:rPr>
                <w:sz w:val="14"/>
                <w:szCs w:val="14"/>
                <w:color w:val="auto"/>
              </w:rPr>
            </w:pPr>
          </w:p>
        </w:tc>
        <w:tc>
          <w:tcPr>
            <w:tcW w:w="8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Securities</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c>
          <w:tcPr>
            <w:tcW w:w="6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461</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w:t>
            </w:r>
          </w:p>
        </w:tc>
        <w:tc>
          <w:tcPr>
            <w:tcW w:w="128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40" w:type="dxa"/>
            <w:vAlign w:val="bottom"/>
          </w:tcPr>
          <w:p>
            <w:pPr>
              <w:spacing w:after="0"/>
              <w:rPr>
                <w:sz w:val="12"/>
                <w:szCs w:val="12"/>
                <w:color w:val="auto"/>
              </w:rPr>
            </w:pPr>
          </w:p>
        </w:tc>
        <w:tc>
          <w:tcPr>
            <w:tcW w:w="880" w:type="dxa"/>
            <w:vAlign w:val="bottom"/>
            <w:gridSpan w:val="5"/>
          </w:tcPr>
          <w:p>
            <w:pPr>
              <w:spacing w:after="0" w:line="149" w:lineRule="exact"/>
              <w:rPr>
                <w:sz w:val="20"/>
                <w:szCs w:val="20"/>
                <w:color w:val="auto"/>
              </w:rPr>
            </w:pPr>
            <w:r>
              <w:rPr>
                <w:rFonts w:ascii="Arial" w:cs="Arial" w:eastAsia="Arial" w:hAnsi="Arial"/>
                <w:sz w:val="13"/>
                <w:szCs w:val="13"/>
                <w:color w:val="auto"/>
              </w:rPr>
              <w:t>Equity</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5"/>
        </w:trPr>
        <w:tc>
          <w:tcPr>
            <w:tcW w:w="920" w:type="dxa"/>
            <w:vAlign w:val="bottom"/>
            <w:gridSpan w:val="6"/>
          </w:tcPr>
          <w:p>
            <w:pPr>
              <w:spacing w:after="0"/>
              <w:rPr>
                <w:sz w:val="20"/>
                <w:szCs w:val="20"/>
                <w:color w:val="auto"/>
              </w:rPr>
            </w:pPr>
            <w:r>
              <w:rPr>
                <w:rFonts w:ascii="Arial" w:cs="Arial" w:eastAsia="Arial" w:hAnsi="Arial"/>
                <w:sz w:val="13"/>
                <w:szCs w:val="13"/>
                <w:color w:val="auto"/>
              </w:rPr>
              <w:t>Securities</w:t>
            </w:r>
          </w:p>
        </w:tc>
        <w:tc>
          <w:tcPr>
            <w:tcW w:w="60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3"/>
                <w:szCs w:val="13"/>
                <w:color w:val="auto"/>
              </w:rPr>
              <w:t>3,323</w:t>
            </w:r>
          </w:p>
        </w:tc>
        <w:tc>
          <w:tcPr>
            <w:tcW w:w="6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(133</w:t>
            </w:r>
          </w:p>
        </w:tc>
        <w:tc>
          <w:tcPr>
            <w:tcW w:w="62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3,323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(133</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7"/>
        </w:trPr>
        <w:tc>
          <w:tcPr>
            <w:tcW w:w="40" w:type="dxa"/>
            <w:vAlign w:val="bottom"/>
            <w:tcBorders>
              <w:right w:val="single" w:sz="8" w:color="CCEEFF"/>
            </w:tcBorders>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3,419</w:t>
            </w: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(134</w:t>
            </w:r>
          </w:p>
        </w:tc>
        <w:tc>
          <w:tcPr>
            <w:tcW w:w="62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461</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jc w:val="both"/>
        <w:ind w:right="80" w:firstLine="354"/>
        <w:spacing w:after="0" w:line="264" w:lineRule="auto"/>
        <w:rPr>
          <w:sz w:val="20"/>
          <w:szCs w:val="20"/>
          <w:color w:val="auto"/>
        </w:rPr>
      </w:pPr>
      <w:r>
        <w:rPr>
          <w:rFonts w:ascii="Arial" w:cs="Arial" w:eastAsia="Arial" w:hAnsi="Arial"/>
          <w:sz w:val="13"/>
          <w:szCs w:val="13"/>
          <w:color w:val="auto"/>
        </w:rPr>
        <w:t>The Company regularly reviews its investment portfolio to identify and evaluate investments that have indications of possible impairment. The Company does not believe that its investments in marketable securities with unrealized losses at October 31, 2015 are other-than-temporary due to market volatility of the security’s fair value, analysts’ expectations and the Company’s ability to hold the securities for a period of time sufficient to allow for any anticipated recoveries in market value.</w:t>
      </w:r>
    </w:p>
    <w:p>
      <w:pPr>
        <w:spacing w:after="0" w:line="155" w:lineRule="exact"/>
        <w:rPr>
          <w:sz w:val="20"/>
          <w:szCs w:val="20"/>
          <w:color w:val="auto"/>
        </w:rPr>
      </w:pPr>
    </w:p>
    <w:p>
      <w:pPr>
        <w:jc w:val="both"/>
        <w:ind w:right="80" w:firstLine="354"/>
        <w:spacing w:after="0" w:line="276" w:lineRule="auto"/>
        <w:rPr>
          <w:sz w:val="20"/>
          <w:szCs w:val="20"/>
          <w:color w:val="auto"/>
        </w:rPr>
      </w:pPr>
      <w:r>
        <w:rPr>
          <w:rFonts w:ascii="Arial" w:cs="Arial" w:eastAsia="Arial" w:hAnsi="Arial"/>
          <w:sz w:val="13"/>
          <w:szCs w:val="13"/>
          <w:color w:val="auto"/>
        </w:rPr>
        <w:t>During the six months ended October 31, 2015 and 2014, the Company sold or redeemed available-for-sale securities in the amounts of $713,000 and $4.1 million, respectively, realizing gains of approximately $137,000 and $377,000, respectively.</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Maturities of fixed income securities classified as available-for-sale at October 31, 2015 are as follows, at cost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60" w:type="dxa"/>
            <w:vAlign w:val="bottom"/>
          </w:tcPr>
          <w:p>
            <w:pPr>
              <w:spacing w:after="0"/>
              <w:rPr>
                <w:sz w:val="13"/>
                <w:szCs w:val="13"/>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230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1,104</w:t>
            </w:r>
          </w:p>
        </w:tc>
        <w:tc>
          <w:tcPr>
            <w:tcW w:w="2860" w:type="dxa"/>
            <w:vAlign w:val="bottom"/>
          </w:tcPr>
          <w:p>
            <w:pPr>
              <w:spacing w:after="0"/>
              <w:rPr>
                <w:sz w:val="13"/>
                <w:szCs w:val="13"/>
                <w:color w:val="auto"/>
              </w:rPr>
            </w:pPr>
          </w:p>
        </w:tc>
      </w:tr>
      <w:tr>
        <w:trPr>
          <w:trHeight w:val="157"/>
        </w:trPr>
        <w:tc>
          <w:tcPr>
            <w:tcW w:w="2860" w:type="dxa"/>
            <w:vAlign w:val="bottom"/>
          </w:tcPr>
          <w:p>
            <w:pPr>
              <w:spacing w:after="0"/>
              <w:rPr>
                <w:sz w:val="13"/>
                <w:szCs w:val="13"/>
                <w:color w:val="auto"/>
              </w:rPr>
            </w:pPr>
          </w:p>
        </w:tc>
        <w:tc>
          <w:tcPr>
            <w:tcW w:w="232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1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3"/>
                <w:szCs w:val="13"/>
                <w:color w:val="auto"/>
              </w:rPr>
              <w:t>618</w:t>
            </w:r>
          </w:p>
        </w:tc>
        <w:tc>
          <w:tcPr>
            <w:tcW w:w="2860" w:type="dxa"/>
            <w:vAlign w:val="bottom"/>
          </w:tcPr>
          <w:p>
            <w:pPr>
              <w:spacing w:after="0"/>
              <w:rPr>
                <w:sz w:val="13"/>
                <w:szCs w:val="13"/>
                <w:color w:val="auto"/>
              </w:rPr>
            </w:pPr>
          </w:p>
        </w:tc>
      </w:tr>
      <w:tr>
        <w:trPr>
          <w:trHeight w:val="157"/>
        </w:trPr>
        <w:tc>
          <w:tcPr>
            <w:tcW w:w="2860" w:type="dxa"/>
            <w:vAlign w:val="bottom"/>
          </w:tcPr>
          <w:p>
            <w:pPr>
              <w:spacing w:after="0"/>
              <w:rPr>
                <w:sz w:val="13"/>
                <w:szCs w:val="13"/>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1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1,500</w:t>
            </w:r>
          </w:p>
        </w:tc>
        <w:tc>
          <w:tcPr>
            <w:tcW w:w="2860" w:type="dxa"/>
            <w:vAlign w:val="bottom"/>
          </w:tcPr>
          <w:p>
            <w:pPr>
              <w:spacing w:after="0"/>
              <w:rPr>
                <w:sz w:val="13"/>
                <w:szCs w:val="13"/>
                <w:color w:val="auto"/>
              </w:rPr>
            </w:pPr>
          </w:p>
        </w:tc>
      </w:tr>
      <w:tr>
        <w:trPr>
          <w:trHeight w:val="20"/>
        </w:trPr>
        <w:tc>
          <w:tcPr>
            <w:tcW w:w="2860" w:type="dxa"/>
            <w:vAlign w:val="bottom"/>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57"/>
        </w:trPr>
        <w:tc>
          <w:tcPr>
            <w:tcW w:w="28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3"/>
                <w:szCs w:val="13"/>
                <w:color w:val="auto"/>
              </w:rPr>
              <w:t>3,222</w:t>
            </w:r>
          </w:p>
        </w:tc>
        <w:tc>
          <w:tcPr>
            <w:tcW w:w="2860" w:type="dxa"/>
            <w:vAlign w:val="bottom"/>
          </w:tcPr>
          <w:p>
            <w:pPr>
              <w:spacing w:after="0"/>
              <w:rPr>
                <w:sz w:val="13"/>
                <w:szCs w:val="13"/>
                <w:color w:val="auto"/>
              </w:rPr>
            </w:pPr>
          </w:p>
        </w:tc>
      </w:tr>
      <w:tr>
        <w:trPr>
          <w:trHeight w:val="20"/>
        </w:trPr>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20"/>
        </w:trPr>
        <w:tc>
          <w:tcPr>
            <w:tcW w:w="2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00" w:type="dxa"/>
            <w:vAlign w:val="bottom"/>
            <w:gridSpan w:val="2"/>
          </w:tcPr>
          <w:p>
            <w:pPr>
              <w:jc w:val="right"/>
              <w:ind w:right="1454"/>
              <w:spacing w:after="0"/>
              <w:rPr>
                <w:sz w:val="20"/>
                <w:szCs w:val="20"/>
                <w:color w:val="auto"/>
              </w:rPr>
            </w:pPr>
            <w:r>
              <w:rPr>
                <w:rFonts w:ascii="Arial" w:cs="Arial" w:eastAsia="Arial" w:hAnsi="Arial"/>
                <w:sz w:val="13"/>
                <w:szCs w:val="13"/>
                <w:color w:val="auto"/>
              </w:rPr>
              <w:t>10 of 21</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85"/>
        </w:trPr>
        <w:tc>
          <w:tcPr>
            <w:tcW w:w="2860" w:type="dxa"/>
            <w:vAlign w:val="bottom"/>
            <w:tcBorders>
              <w:bottom w:val="single" w:sz="8" w:color="808080"/>
            </w:tcBorders>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148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125" w:right="139" w:bottom="1440" w:gutter="0" w:footer="0" w:header="0"/>
        </w:sectPr>
      </w:pPr>
    </w:p>
    <w:bookmarkStart w:id="10" w:name="page11"/>
    <w:bookmarkEnd w:id="1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77" w:lineRule="exact"/>
        <w:rPr>
          <w:sz w:val="20"/>
          <w:szCs w:val="20"/>
          <w:color w:val="auto"/>
        </w:rPr>
      </w:pPr>
    </w:p>
    <w:p>
      <w:pPr>
        <w:ind w:firstLine="354"/>
        <w:spacing w:after="0" w:line="320" w:lineRule="auto"/>
        <w:rPr>
          <w:sz w:val="20"/>
          <w:szCs w:val="20"/>
          <w:color w:val="auto"/>
        </w:rPr>
      </w:pPr>
      <w:r>
        <w:rPr>
          <w:rFonts w:ascii="Arial" w:cs="Arial" w:eastAsia="Arial" w:hAnsi="Arial"/>
          <w:sz w:val="12"/>
          <w:szCs w:val="12"/>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Level 1 Inputs to the valuation methodology are unadjusted quoted prices for identical assets or liabilities in active markets that the Company has the ability to access.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Level 2 Inputs to the valuation methodology include:</w:t>
      </w:r>
    </w:p>
    <w:p>
      <w:pPr>
        <w:spacing w:after="0" w:line="15" w:lineRule="exact"/>
        <w:rPr>
          <w:sz w:val="20"/>
          <w:szCs w:val="20"/>
          <w:color w:val="auto"/>
        </w:rPr>
      </w:pPr>
    </w:p>
    <w:p>
      <w:pPr>
        <w:ind w:left="960" w:hanging="70"/>
        <w:spacing w:after="0"/>
        <w:tabs>
          <w:tab w:leader="none" w:pos="960" w:val="left"/>
        </w:tabs>
        <w:numPr>
          <w:ilvl w:val="0"/>
          <w:numId w:val="3"/>
        </w:numPr>
        <w:rPr>
          <w:rFonts w:ascii="Arial" w:cs="Arial" w:eastAsia="Arial" w:hAnsi="Arial"/>
          <w:sz w:val="13"/>
          <w:szCs w:val="13"/>
          <w:color w:val="auto"/>
        </w:rPr>
      </w:pPr>
      <w:r>
        <w:rPr>
          <w:rFonts w:ascii="Arial" w:cs="Arial" w:eastAsia="Arial" w:hAnsi="Arial"/>
          <w:sz w:val="13"/>
          <w:szCs w:val="13"/>
          <w:color w:val="auto"/>
        </w:rPr>
        <w:t>Quoted prices for similar assets or liabilities in active markets;</w:t>
      </w:r>
    </w:p>
    <w:p>
      <w:pPr>
        <w:spacing w:after="0" w:line="7" w:lineRule="exact"/>
        <w:rPr>
          <w:rFonts w:ascii="Arial" w:cs="Arial" w:eastAsia="Arial" w:hAnsi="Arial"/>
          <w:sz w:val="13"/>
          <w:szCs w:val="13"/>
          <w:color w:val="auto"/>
        </w:rPr>
      </w:pPr>
    </w:p>
    <w:p>
      <w:pPr>
        <w:ind w:left="960" w:hanging="70"/>
        <w:spacing w:after="0"/>
        <w:tabs>
          <w:tab w:leader="none" w:pos="960" w:val="left"/>
        </w:tabs>
        <w:numPr>
          <w:ilvl w:val="0"/>
          <w:numId w:val="3"/>
        </w:numPr>
        <w:rPr>
          <w:rFonts w:ascii="Arial" w:cs="Arial" w:eastAsia="Arial" w:hAnsi="Arial"/>
          <w:sz w:val="13"/>
          <w:szCs w:val="13"/>
          <w:color w:val="auto"/>
        </w:rPr>
      </w:pPr>
      <w:r>
        <w:rPr>
          <w:rFonts w:ascii="Arial" w:cs="Arial" w:eastAsia="Arial" w:hAnsi="Arial"/>
          <w:sz w:val="13"/>
          <w:szCs w:val="13"/>
          <w:color w:val="auto"/>
        </w:rPr>
        <w:t>Quoted prices for identical or similar assets or liabilities in inactive markets</w:t>
      </w:r>
    </w:p>
    <w:p>
      <w:pPr>
        <w:spacing w:after="0" w:line="7" w:lineRule="exact"/>
        <w:rPr>
          <w:rFonts w:ascii="Arial" w:cs="Arial" w:eastAsia="Arial" w:hAnsi="Arial"/>
          <w:sz w:val="13"/>
          <w:szCs w:val="13"/>
          <w:color w:val="auto"/>
        </w:rPr>
      </w:pPr>
    </w:p>
    <w:p>
      <w:pPr>
        <w:ind w:left="960" w:hanging="70"/>
        <w:spacing w:after="0"/>
        <w:tabs>
          <w:tab w:leader="none" w:pos="9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Inputs other than quoted prices that are observable for the asset or liability;</w:t>
      </w:r>
    </w:p>
    <w:p>
      <w:pPr>
        <w:spacing w:after="0" w:line="7" w:lineRule="exact"/>
        <w:rPr>
          <w:rFonts w:ascii="Arial" w:cs="Arial" w:eastAsia="Arial" w:hAnsi="Arial"/>
          <w:sz w:val="13"/>
          <w:szCs w:val="13"/>
          <w:color w:val="auto"/>
        </w:rPr>
      </w:pPr>
    </w:p>
    <w:p>
      <w:pPr>
        <w:ind w:left="960" w:hanging="70"/>
        <w:spacing w:after="0"/>
        <w:tabs>
          <w:tab w:leader="none" w:pos="9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Inputs that are derived principally from or corroborated by observable market data by correlation or other means.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Level 3 Inputs to the valuation methodology are unobservable and significant to the fair value measurement.</w:t>
      </w:r>
    </w:p>
    <w:p>
      <w:pPr>
        <w:spacing w:after="0" w:line="185" w:lineRule="exact"/>
        <w:rPr>
          <w:sz w:val="20"/>
          <w:szCs w:val="20"/>
          <w:color w:val="auto"/>
        </w:rPr>
      </w:pPr>
    </w:p>
    <w:p>
      <w:pPr>
        <w:jc w:val="both"/>
        <w:ind w:firstLine="354"/>
        <w:spacing w:after="0" w:line="276" w:lineRule="auto"/>
        <w:rPr>
          <w:sz w:val="20"/>
          <w:szCs w:val="20"/>
          <w:color w:val="auto"/>
        </w:rPr>
      </w:pPr>
      <w:r>
        <w:rPr>
          <w:rFonts w:ascii="Arial" w:cs="Arial" w:eastAsia="Arial" w:hAnsi="Arial"/>
          <w:sz w:val="13"/>
          <w:szCs w:val="13"/>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NOTE I – RECENTLY ISSUED ACCOUNTING PRONOUNCEMENTS</w:t>
      </w:r>
    </w:p>
    <w:p>
      <w:pPr>
        <w:spacing w:after="0" w:line="185" w:lineRule="exact"/>
        <w:rPr>
          <w:sz w:val="20"/>
          <w:szCs w:val="20"/>
          <w:color w:val="auto"/>
        </w:rPr>
      </w:pPr>
    </w:p>
    <w:p>
      <w:pPr>
        <w:jc w:val="both"/>
        <w:ind w:firstLine="354"/>
        <w:spacing w:after="0" w:line="257" w:lineRule="auto"/>
        <w:rPr>
          <w:sz w:val="20"/>
          <w:szCs w:val="20"/>
          <w:color w:val="auto"/>
        </w:rPr>
      </w:pPr>
      <w:r>
        <w:rPr>
          <w:rFonts w:ascii="Arial" w:cs="Arial" w:eastAsia="Arial" w:hAnsi="Arial"/>
          <w:sz w:val="13"/>
          <w:szCs w:val="13"/>
          <w:color w:val="auto"/>
        </w:rPr>
        <w:t>In May 2014, the Financial Accounting Standards Board (“FASB”) issued Accounting Standard Update (“ASU”) No. 2014-09</w:t>
      </w:r>
      <w:r>
        <w:rPr>
          <w:rFonts w:ascii="Arial" w:cs="Arial" w:eastAsia="Arial" w:hAnsi="Arial"/>
          <w:sz w:val="13"/>
          <w:szCs w:val="13"/>
          <w:i w:val="1"/>
          <w:iCs w:val="1"/>
          <w:color w:val="auto"/>
        </w:rPr>
        <w:t>, Revenue from Contracts with Customers (Topic 606)</w:t>
      </w:r>
      <w:r>
        <w:rPr>
          <w:rFonts w:ascii="Arial" w:cs="Arial" w:eastAsia="Arial" w:hAnsi="Arial"/>
          <w:sz w:val="13"/>
          <w:szCs w:val="13"/>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August 2015, the FASB issued ASU 2015-14 which provides a one-year deferral of the effective date of ASU 2014-09, while allowing companies to early adopt based on the original effective date of ASU 2014-09. ASU 2014-09 is now effective for public companies for annual reporting periods beginning on or after December 15, 2017 and for the Company, must be adopted for its fiscal year 2019 beginning on May 1, 2018. The Company is in the process of determining the effect that ASU 2014-09 may have on its financial statements.</w:t>
      </w:r>
    </w:p>
    <w:p>
      <w:pPr>
        <w:spacing w:after="0" w:line="160" w:lineRule="exact"/>
        <w:rPr>
          <w:sz w:val="20"/>
          <w:szCs w:val="20"/>
          <w:color w:val="auto"/>
        </w:rPr>
      </w:pPr>
    </w:p>
    <w:p>
      <w:pPr>
        <w:jc w:val="both"/>
        <w:ind w:firstLine="354"/>
        <w:spacing w:after="0" w:line="260" w:lineRule="auto"/>
        <w:rPr>
          <w:sz w:val="20"/>
          <w:szCs w:val="20"/>
          <w:color w:val="auto"/>
        </w:rPr>
      </w:pPr>
      <w:r>
        <w:rPr>
          <w:rFonts w:ascii="Arial" w:cs="Arial" w:eastAsia="Arial" w:hAnsi="Arial"/>
          <w:sz w:val="13"/>
          <w:szCs w:val="13"/>
          <w:color w:val="auto"/>
        </w:rPr>
        <w:t xml:space="preserve">In July 2015, the Financial Accounting Standards Board issued Accounting Standards Update 2015-11, </w:t>
      </w:r>
      <w:r>
        <w:rPr>
          <w:rFonts w:ascii="Arial" w:cs="Arial" w:eastAsia="Arial" w:hAnsi="Arial"/>
          <w:sz w:val="13"/>
          <w:szCs w:val="13"/>
          <w:i w:val="1"/>
          <w:iCs w:val="1"/>
          <w:color w:val="auto"/>
        </w:rPr>
        <w:t>Inventory (Topic 330): Simplifying the Measurement of Inventory</w:t>
      </w:r>
      <w:r>
        <w:rPr>
          <w:rFonts w:ascii="Arial" w:cs="Arial" w:eastAsia="Arial" w:hAnsi="Arial"/>
          <w:sz w:val="13"/>
          <w:szCs w:val="13"/>
          <w:color w:val="auto"/>
        </w:rPr>
        <w:t xml:space="preserve"> (“ASU 2015-11”) which changes the measurement principle for inventory from the lower of cost or market to the lower of cost and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is currently evaluating the effect that the new guidance will have on its financial statements and related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NOTE J – CREDIT FACILITY</w:t>
      </w:r>
    </w:p>
    <w:p>
      <w:pPr>
        <w:spacing w:after="0" w:line="185" w:lineRule="exact"/>
        <w:rPr>
          <w:sz w:val="20"/>
          <w:szCs w:val="20"/>
          <w:color w:val="auto"/>
        </w:rPr>
      </w:pPr>
    </w:p>
    <w:p>
      <w:pPr>
        <w:jc w:val="both"/>
        <w:ind w:firstLine="354"/>
        <w:spacing w:after="0" w:line="258" w:lineRule="auto"/>
        <w:rPr>
          <w:sz w:val="20"/>
          <w:szCs w:val="20"/>
          <w:color w:val="auto"/>
        </w:rPr>
      </w:pPr>
      <w:r>
        <w:rPr>
          <w:rFonts w:ascii="Arial" w:cs="Arial" w:eastAsia="Arial" w:hAnsi="Arial"/>
          <w:sz w:val="13"/>
          <w:szCs w:val="13"/>
          <w:color w:val="auto"/>
        </w:rPr>
        <w:t>The Company has a credit facility (the “Facility”) with JPMorgan Chase Bank, N.A. (“JPMorgan”) pursuant to a credit agreement (the “Credit Agreement”) between the Company and JPMorgan. Under the Facility the Company may make borrowings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of $6.0 million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1" w:name="page12"/>
    <w:bookmarkEnd w:id="1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58" w:lineRule="exact"/>
        <w:rPr>
          <w:sz w:val="20"/>
          <w:szCs w:val="20"/>
          <w:color w:val="auto"/>
        </w:rPr>
      </w:pPr>
    </w:p>
    <w:p>
      <w:pPr>
        <w:jc w:val="both"/>
        <w:ind w:firstLine="354"/>
        <w:spacing w:after="0" w:line="296" w:lineRule="auto"/>
        <w:rPr>
          <w:sz w:val="20"/>
          <w:szCs w:val="20"/>
          <w:color w:val="auto"/>
        </w:rPr>
      </w:pPr>
      <w:r>
        <w:rPr>
          <w:rFonts w:ascii="Arial" w:cs="Arial" w:eastAsia="Arial" w:hAnsi="Arial"/>
          <w:sz w:val="12"/>
          <w:szCs w:val="12"/>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38" w:lineRule="exact"/>
        <w:rPr>
          <w:sz w:val="20"/>
          <w:szCs w:val="20"/>
          <w:color w:val="auto"/>
        </w:rPr>
      </w:pPr>
    </w:p>
    <w:p>
      <w:pPr>
        <w:jc w:val="both"/>
        <w:ind w:firstLine="354"/>
        <w:spacing w:after="0" w:line="257" w:lineRule="auto"/>
        <w:rPr>
          <w:sz w:val="20"/>
          <w:szCs w:val="20"/>
          <w:color w:val="auto"/>
        </w:rPr>
      </w:pPr>
      <w:r>
        <w:rPr>
          <w:rFonts w:ascii="Arial" w:cs="Arial" w:eastAsia="Arial" w:hAnsi="Arial"/>
          <w:sz w:val="13"/>
          <w:szCs w:val="13"/>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an interest charge coverage ratio. The calculation of both ratios is defined in the Credit Agreement. For the period ended October 31, 2015, the Company met the required covenants for its borrowings under Tranche A.</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NOTE K – VALUATION ALLOWANCE ON DEFERRED TAX ASSETS</w:t>
      </w:r>
    </w:p>
    <w:p>
      <w:pPr>
        <w:spacing w:after="0" w:line="185" w:lineRule="exact"/>
        <w:rPr>
          <w:sz w:val="20"/>
          <w:szCs w:val="20"/>
          <w:color w:val="auto"/>
        </w:rPr>
      </w:pPr>
    </w:p>
    <w:p>
      <w:pPr>
        <w:jc w:val="both"/>
        <w:ind w:firstLine="354"/>
        <w:spacing w:after="0" w:line="296" w:lineRule="auto"/>
        <w:rPr>
          <w:sz w:val="20"/>
          <w:szCs w:val="20"/>
          <w:color w:val="auto"/>
        </w:rPr>
      </w:pPr>
      <w:r>
        <w:rPr>
          <w:rFonts w:ascii="Arial" w:cs="Arial" w:eastAsia="Arial" w:hAnsi="Arial"/>
          <w:sz w:val="12"/>
          <w:szCs w:val="12"/>
          <w:color w:val="auto"/>
        </w:rPr>
        <w:t>In prior fiscal years, the Company reduced the valuation allowance on the deferred tax assets of its U.S. subsidiaries. Consequently, for the six and three months ended October 31, 2015 and 2014, the Company recorded provisions for income taxes based on both current taxes due in the United States as well as the tax provision or benefit to be realized from temporary tax differences. As of October 31, 2015 and April 30, 2015, the remaining deferred tax asset valuation allowance is approximately $2.4 million and is primarily related to deferred tax assets of the Company’s non-U.S.-based subsidiaries.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2" w:name="page13"/>
    <w:bookmarkEnd w:id="1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2. </w:t>
      </w:r>
      <w:r>
        <w:rPr>
          <w:rFonts w:ascii="Arial" w:cs="Arial" w:eastAsia="Arial" w:hAnsi="Arial"/>
          <w:sz w:val="13"/>
          <w:szCs w:val="13"/>
          <w:b w:val="1"/>
          <w:bCs w:val="1"/>
          <w:u w:val="single" w:color="auto"/>
          <w:color w:val="auto"/>
        </w:rPr>
        <w:t>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“Safe Harbor” Statement under the Private Securities Litigation Reform Act of 1995</w:t>
      </w:r>
      <w:r>
        <w:rPr>
          <w:rFonts w:ascii="Arial" w:cs="Arial" w:eastAsia="Arial" w:hAnsi="Arial"/>
          <w:sz w:val="13"/>
          <w:szCs w:val="13"/>
          <w:color w:val="auto"/>
        </w:rPr>
        <w:t>:</w:t>
      </w:r>
    </w:p>
    <w:p>
      <w:pPr>
        <w:spacing w:after="0" w:line="185" w:lineRule="exact"/>
        <w:rPr>
          <w:sz w:val="20"/>
          <w:szCs w:val="20"/>
          <w:color w:val="auto"/>
        </w:rPr>
      </w:pPr>
    </w:p>
    <w:p>
      <w:pPr>
        <w:jc w:val="both"/>
        <w:ind w:firstLine="354"/>
        <w:spacing w:after="0" w:line="279" w:lineRule="auto"/>
        <w:rPr>
          <w:sz w:val="20"/>
          <w:szCs w:val="20"/>
          <w:color w:val="auto"/>
        </w:rPr>
      </w:pPr>
      <w:r>
        <w:rPr>
          <w:rFonts w:ascii="Arial" w:cs="Arial" w:eastAsia="Arial" w:hAnsi="Arial"/>
          <w:sz w:val="12"/>
          <w:szCs w:val="12"/>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89" w:lineRule="exact"/>
        <w:rPr>
          <w:sz w:val="20"/>
          <w:szCs w:val="20"/>
          <w:color w:val="auto"/>
        </w:rPr>
      </w:pPr>
    </w:p>
    <w:p>
      <w:pPr>
        <w:jc w:val="both"/>
        <w:ind w:firstLine="354"/>
        <w:spacing w:after="0" w:line="260" w:lineRule="auto"/>
        <w:rPr>
          <w:sz w:val="20"/>
          <w:szCs w:val="20"/>
          <w:color w:val="auto"/>
        </w:rPr>
      </w:pPr>
      <w:r>
        <w:rPr>
          <w:rFonts w:ascii="Arial" w:cs="Arial" w:eastAsia="Arial" w:hAnsi="Arial"/>
          <w:sz w:val="13"/>
          <w:szCs w:val="13"/>
          <w:color w:val="auto"/>
        </w:rPr>
        <w:t>The Company’s significant accounting policies are described in Note 1 to the consolidated financial statements included in the Company’s Annual Report on Form 10-K for the year ended April 30, 2015.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Revenue Recognition</w:t>
      </w:r>
    </w:p>
    <w:p>
      <w:pPr>
        <w:spacing w:after="0" w:line="185" w:lineRule="exact"/>
        <w:rPr>
          <w:sz w:val="20"/>
          <w:szCs w:val="20"/>
          <w:color w:val="auto"/>
        </w:rPr>
      </w:pPr>
    </w:p>
    <w:p>
      <w:pPr>
        <w:jc w:val="both"/>
        <w:ind w:firstLine="354"/>
        <w:spacing w:after="0" w:line="257" w:lineRule="auto"/>
        <w:rPr>
          <w:sz w:val="20"/>
          <w:szCs w:val="20"/>
          <w:color w:val="auto"/>
        </w:rPr>
      </w:pPr>
      <w:r>
        <w:rPr>
          <w:rFonts w:ascii="Arial" w:cs="Arial" w:eastAsia="Arial" w:hAnsi="Arial"/>
          <w:sz w:val="13"/>
          <w:szCs w:val="13"/>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On production-type orders, revenue is recorded as units are delivered with the related cost of sales recognized on each shipment based upon a percentage of estimated final program costs.</w:t>
      </w:r>
    </w:p>
    <w:p>
      <w:pPr>
        <w:spacing w:after="0" w:line="185" w:lineRule="exact"/>
        <w:rPr>
          <w:sz w:val="20"/>
          <w:szCs w:val="20"/>
          <w:color w:val="auto"/>
        </w:rPr>
      </w:pPr>
    </w:p>
    <w:p>
      <w:pPr>
        <w:jc w:val="both"/>
        <w:ind w:firstLine="354"/>
        <w:spacing w:after="0" w:line="276" w:lineRule="auto"/>
        <w:rPr>
          <w:sz w:val="20"/>
          <w:szCs w:val="20"/>
          <w:color w:val="auto"/>
        </w:rPr>
      </w:pPr>
      <w:r>
        <w:rPr>
          <w:rFonts w:ascii="Arial" w:cs="Arial" w:eastAsia="Arial" w:hAnsi="Arial"/>
          <w:sz w:val="13"/>
          <w:szCs w:val="13"/>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48"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3" w:name="page14"/>
    <w:bookmarkEnd w:id="1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(Continued)</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Costs and Expenses</w:t>
      </w:r>
    </w:p>
    <w:p>
      <w:pPr>
        <w:spacing w:after="0" w:line="185" w:lineRule="exact"/>
        <w:rPr>
          <w:sz w:val="20"/>
          <w:szCs w:val="20"/>
          <w:color w:val="auto"/>
        </w:rPr>
      </w:pPr>
    </w:p>
    <w:p>
      <w:pPr>
        <w:jc w:val="both"/>
        <w:ind w:firstLine="354"/>
        <w:spacing w:after="0" w:line="276" w:lineRule="auto"/>
        <w:rPr>
          <w:sz w:val="20"/>
          <w:szCs w:val="20"/>
          <w:color w:val="auto"/>
        </w:rPr>
      </w:pPr>
      <w:r>
        <w:rPr>
          <w:rFonts w:ascii="Arial" w:cs="Arial" w:eastAsia="Arial" w:hAnsi="Arial"/>
          <w:sz w:val="13"/>
          <w:szCs w:val="13"/>
          <w:color w:val="auto"/>
        </w:rPr>
        <w:t>Contract costs include all direct material, direct labor costs, manufacturing overhead and other direct costs related to contract performance. Selling, general and administrative costs are charged to expense as incurred.</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Inventory</w:t>
      </w:r>
    </w:p>
    <w:p>
      <w:pPr>
        <w:spacing w:after="0" w:line="185"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Marketable Securities</w:t>
      </w:r>
    </w:p>
    <w:p>
      <w:pPr>
        <w:spacing w:after="0" w:line="185" w:lineRule="exact"/>
        <w:rPr>
          <w:sz w:val="20"/>
          <w:szCs w:val="20"/>
          <w:color w:val="auto"/>
        </w:rPr>
      </w:pPr>
    </w:p>
    <w:p>
      <w:pPr>
        <w:jc w:val="both"/>
        <w:ind w:firstLine="354"/>
        <w:spacing w:after="0" w:line="296" w:lineRule="auto"/>
        <w:rPr>
          <w:sz w:val="20"/>
          <w:szCs w:val="20"/>
          <w:color w:val="auto"/>
        </w:rPr>
      </w:pPr>
      <w:r>
        <w:rPr>
          <w:rFonts w:ascii="Arial" w:cs="Arial" w:eastAsia="Arial" w:hAnsi="Arial"/>
          <w:sz w:val="12"/>
          <w:szCs w:val="12"/>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1"/>
          <w:szCs w:val="11"/>
          <w:color w:val="auto"/>
        </w:rPr>
        <w:t>The table below sets forth for the respective periods of fiscal years 2016 and 2015 (which end on April 30, 2016 and 2015, respectively) the percentage of consolidated revenues represented by certain items in the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Company’s consolidated statements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5"/>
              </w:rPr>
              <w:t>Six months</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w w:val="95"/>
              </w:rPr>
              <w:t>Three months</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3"/>
                <w:szCs w:val="13"/>
                <w:b w:val="1"/>
                <w:bCs w:val="1"/>
                <w:color w:val="auto"/>
                <w:w w:val="89"/>
              </w:rPr>
              <w:t>2015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2014</w:t>
            </w:r>
          </w:p>
        </w:tc>
        <w:tc>
          <w:tcPr>
            <w:tcW w:w="1860" w:type="dxa"/>
            <w:vAlign w:val="bottom"/>
            <w:gridSpan w:val="7"/>
          </w:tcPr>
          <w:p>
            <w:pPr>
              <w:jc w:val="center"/>
              <w:spacing w:after="0"/>
              <w:rPr>
                <w:sz w:val="20"/>
                <w:szCs w:val="20"/>
                <w:color w:val="auto"/>
              </w:rPr>
            </w:pPr>
            <w:r>
              <w:rPr>
                <w:rFonts w:ascii="Arial" w:cs="Arial" w:eastAsia="Arial" w:hAnsi="Arial"/>
                <w:sz w:val="13"/>
                <w:szCs w:val="13"/>
                <w:b w:val="1"/>
                <w:bCs w:val="1"/>
                <w:color w:val="auto"/>
                <w:w w:val="89"/>
              </w:rPr>
              <w:t>Periods ended October 31,</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6"/>
              </w:rPr>
              <w:t>2015</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3"/>
            <w:vMerge w:val="restart"/>
          </w:tcPr>
          <w:p>
            <w:pPr>
              <w:jc w:val="right"/>
              <w:ind w:right="520"/>
              <w:spacing w:after="0"/>
              <w:rPr>
                <w:sz w:val="20"/>
                <w:szCs w:val="20"/>
                <w:color w:val="auto"/>
              </w:rPr>
            </w:pPr>
            <w:r>
              <w:rPr>
                <w:rFonts w:ascii="Arial" w:cs="Arial" w:eastAsia="Arial" w:hAnsi="Arial"/>
                <w:sz w:val="13"/>
                <w:szCs w:val="13"/>
                <w:b w:val="1"/>
                <w:bCs w:val="1"/>
                <w:color w:val="auto"/>
              </w:rPr>
              <w:t>2014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Borders>
              <w:bottom w:val="single" w:sz="8" w:color="auto"/>
            </w:tcBorders>
            <w:gridSpan w:val="3"/>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00" w:type="dxa"/>
            <w:vAlign w:val="bottom"/>
            <w:gridSpan w:val="3"/>
          </w:tcPr>
          <w:p>
            <w:pPr>
              <w:spacing w:after="0"/>
              <w:rPr>
                <w:sz w:val="20"/>
                <w:szCs w:val="20"/>
                <w:color w:val="auto"/>
              </w:rPr>
            </w:pPr>
            <w:r>
              <w:rPr>
                <w:rFonts w:ascii="Arial" w:cs="Arial" w:eastAsia="Arial" w:hAnsi="Arial"/>
                <w:sz w:val="13"/>
                <w:szCs w:val="13"/>
                <w:color w:val="auto"/>
              </w:rPr>
              <w:t>Revenues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FEI-NY</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c>
          <w:tcPr>
            <w:tcW w:w="120" w:type="dxa"/>
            <w:vAlign w:val="bottom"/>
            <w:tcBorders>
              <w:lef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81.9</w:t>
            </w:r>
          </w:p>
        </w:tc>
        <w:tc>
          <w:tcPr>
            <w:tcW w:w="1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75.6</w:t>
            </w:r>
          </w:p>
        </w:tc>
        <w:tc>
          <w:tcPr>
            <w:tcW w:w="20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tcPr>
          <w:p>
            <w:pPr>
              <w:ind w:left="100"/>
              <w:spacing w:after="0"/>
              <w:rPr>
                <w:sz w:val="20"/>
                <w:szCs w:val="20"/>
                <w:color w:val="auto"/>
              </w:rPr>
            </w:pPr>
            <w:r>
              <w:rPr>
                <w:rFonts w:ascii="Arial" w:cs="Arial" w:eastAsia="Arial" w:hAnsi="Arial"/>
                <w:sz w:val="13"/>
                <w:szCs w:val="13"/>
                <w:color w:val="auto"/>
              </w:rPr>
              <w:t>Gillam-FEI</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11.7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34"/>
              <w:spacing w:after="0"/>
              <w:rPr>
                <w:sz w:val="20"/>
                <w:szCs w:val="20"/>
                <w:color w:val="auto"/>
              </w:rPr>
            </w:pPr>
            <w:r>
              <w:rPr>
                <w:rFonts w:ascii="Arial" w:cs="Arial" w:eastAsia="Arial" w:hAnsi="Arial"/>
                <w:sz w:val="13"/>
                <w:szCs w:val="13"/>
                <w:color w:val="auto"/>
              </w:rPr>
              <w:t>5.5</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15.9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FEI-Zyfer</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2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21.2</w:t>
            </w:r>
          </w:p>
        </w:tc>
        <w:tc>
          <w:tcPr>
            <w:tcW w:w="200" w:type="dxa"/>
            <w:vAlign w:val="bottom"/>
            <w:tcBorders>
              <w:lef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3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tcPr>
          <w:p>
            <w:pPr>
              <w:ind w:left="100"/>
              <w:spacing w:after="0"/>
              <w:rPr>
                <w:sz w:val="20"/>
                <w:szCs w:val="20"/>
                <w:color w:val="auto"/>
              </w:rPr>
            </w:pPr>
            <w:r>
              <w:rPr>
                <w:rFonts w:ascii="Arial" w:cs="Arial" w:eastAsia="Arial" w:hAnsi="Arial"/>
                <w:sz w:val="13"/>
                <w:szCs w:val="13"/>
                <w:color w:val="auto"/>
              </w:rPr>
              <w:t>Less intersegment revenues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7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(4.3</w:t>
            </w:r>
          </w:p>
        </w:tc>
        <w:tc>
          <w:tcPr>
            <w:tcW w:w="18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34"/>
              <w:spacing w:after="0"/>
              <w:rPr>
                <w:sz w:val="20"/>
                <w:szCs w:val="20"/>
                <w:color w:val="auto"/>
              </w:rPr>
            </w:pPr>
            <w:r>
              <w:rPr>
                <w:rFonts w:ascii="Arial" w:cs="Arial" w:eastAsia="Arial" w:hAnsi="Arial"/>
                <w:sz w:val="13"/>
                <w:szCs w:val="13"/>
                <w:color w:val="auto"/>
              </w:rPr>
              <w:t>(2.3</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(8.1</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100.0</w:t>
            </w:r>
          </w:p>
        </w:tc>
        <w:tc>
          <w:tcPr>
            <w:tcW w:w="200" w:type="dxa"/>
            <w:vAlign w:val="bottom"/>
            <w:tcBorders>
              <w:lef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Cost of revenues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68.3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34"/>
              <w:spacing w:after="0"/>
              <w:rPr>
                <w:sz w:val="20"/>
                <w:szCs w:val="20"/>
                <w:color w:val="auto"/>
              </w:rPr>
            </w:pPr>
            <w:r>
              <w:rPr>
                <w:rFonts w:ascii="Arial" w:cs="Arial" w:eastAsia="Arial" w:hAnsi="Arial"/>
                <w:sz w:val="13"/>
                <w:szCs w:val="13"/>
                <w:color w:val="auto"/>
              </w:rPr>
              <w:t>67.4</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65.3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Gross margin</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2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32.6</w:t>
            </w:r>
          </w:p>
        </w:tc>
        <w:tc>
          <w:tcPr>
            <w:tcW w:w="200" w:type="dxa"/>
            <w:vAlign w:val="bottom"/>
            <w:tcBorders>
              <w:lef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3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Selling and administrative expenses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17.9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34"/>
              <w:spacing w:after="0"/>
              <w:rPr>
                <w:sz w:val="20"/>
                <w:szCs w:val="20"/>
                <w:color w:val="auto"/>
              </w:rPr>
            </w:pPr>
            <w:r>
              <w:rPr>
                <w:rFonts w:ascii="Arial" w:cs="Arial" w:eastAsia="Arial" w:hAnsi="Arial"/>
                <w:sz w:val="13"/>
                <w:szCs w:val="13"/>
                <w:color w:val="auto"/>
              </w:rPr>
              <w:t>20.2</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18.0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Research and development expenses</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2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12.1</w:t>
            </w:r>
          </w:p>
        </w:tc>
        <w:tc>
          <w:tcPr>
            <w:tcW w:w="200" w:type="dxa"/>
            <w:vAlign w:val="bottom"/>
            <w:tcBorders>
              <w:lef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3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tcPr>
          <w:p>
            <w:pPr>
              <w:ind w:left="460"/>
              <w:spacing w:after="0"/>
              <w:rPr>
                <w:sz w:val="20"/>
                <w:szCs w:val="20"/>
                <w:color w:val="auto"/>
              </w:rPr>
            </w:pPr>
            <w:r>
              <w:rPr>
                <w:rFonts w:ascii="Arial" w:cs="Arial" w:eastAsia="Arial" w:hAnsi="Arial"/>
                <w:sz w:val="13"/>
                <w:szCs w:val="13"/>
                <w:color w:val="auto"/>
              </w:rPr>
              <w:t>Operating profit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7.0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34"/>
              <w:spacing w:after="0"/>
              <w:rPr>
                <w:sz w:val="20"/>
                <w:szCs w:val="20"/>
                <w:color w:val="auto"/>
              </w:rPr>
            </w:pPr>
            <w:r>
              <w:rPr>
                <w:rFonts w:ascii="Arial" w:cs="Arial" w:eastAsia="Arial" w:hAnsi="Arial"/>
                <w:sz w:val="13"/>
                <w:szCs w:val="13"/>
                <w:color w:val="auto"/>
              </w:rPr>
              <w:t>0.3</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9.4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0.4</w:t>
            </w:r>
          </w:p>
        </w:tc>
        <w:tc>
          <w:tcPr>
            <w:tcW w:w="200" w:type="dxa"/>
            <w:vAlign w:val="bottom"/>
            <w:tcBorders>
              <w:lef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3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Pretax income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8.4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34"/>
              <w:spacing w:after="0"/>
              <w:rPr>
                <w:sz w:val="20"/>
                <w:szCs w:val="20"/>
                <w:color w:val="auto"/>
              </w:rPr>
            </w:pPr>
            <w:r>
              <w:rPr>
                <w:rFonts w:ascii="Arial" w:cs="Arial" w:eastAsia="Arial" w:hAnsi="Arial"/>
                <w:sz w:val="13"/>
                <w:szCs w:val="13"/>
                <w:color w:val="auto"/>
              </w:rPr>
              <w:t>0.7</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10.2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1.1</w:t>
            </w:r>
          </w:p>
        </w:tc>
        <w:tc>
          <w:tcPr>
            <w:tcW w:w="200" w:type="dxa"/>
            <w:vAlign w:val="bottom"/>
            <w:tcBorders>
              <w:lef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32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tcPr>
          <w:p>
            <w:pPr>
              <w:ind w:left="46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5.2</w:t>
            </w:r>
          </w:p>
        </w:tc>
        <w:tc>
          <w:tcPr>
            <w:tcW w:w="18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ind w:right="234"/>
              <w:spacing w:after="0"/>
              <w:rPr>
                <w:sz w:val="20"/>
                <w:szCs w:val="20"/>
                <w:color w:val="auto"/>
              </w:rPr>
            </w:pPr>
            <w:r>
              <w:rPr>
                <w:rFonts w:ascii="Arial" w:cs="Arial" w:eastAsia="Arial" w:hAnsi="Arial"/>
                <w:sz w:val="13"/>
                <w:szCs w:val="13"/>
                <w:color w:val="auto"/>
              </w:rPr>
              <w:t>(0.4</w:t>
            </w:r>
          </w:p>
        </w:tc>
        <w:tc>
          <w:tcPr>
            <w:tcW w:w="6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6.8</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3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Revenues</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3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Six months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w w:val="88"/>
              </w:rPr>
              <w:t>Three months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7"/>
          </w:tcPr>
          <w:p>
            <w:pPr>
              <w:jc w:val="right"/>
              <w:ind w:right="360"/>
              <w:spacing w:after="0" w:line="144" w:lineRule="exact"/>
              <w:rPr>
                <w:sz w:val="20"/>
                <w:szCs w:val="20"/>
                <w:color w:val="auto"/>
              </w:rPr>
            </w:pPr>
            <w:r>
              <w:rPr>
                <w:rFonts w:ascii="Arial" w:cs="Arial" w:eastAsia="Arial" w:hAnsi="Arial"/>
                <w:sz w:val="13"/>
                <w:szCs w:val="13"/>
                <w:b w:val="1"/>
                <w:bCs w:val="1"/>
                <w:color w:val="auto"/>
                <w:w w:val="89"/>
              </w:rPr>
              <w:t>Periods ended October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Segment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2015</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3"/>
                <w:szCs w:val="13"/>
                <w:b w:val="1"/>
                <w:bCs w:val="1"/>
                <w:color w:val="auto"/>
              </w:rPr>
              <w:t>Change</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FEI-NY</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25,587</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31,937</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(6,350)</w:t>
            </w:r>
          </w:p>
        </w:tc>
        <w:tc>
          <w:tcPr>
            <w:tcW w:w="2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12,094</w:t>
            </w:r>
          </w:p>
        </w:tc>
        <w:tc>
          <w:tcPr>
            <w:tcW w:w="4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14,680</w:t>
            </w:r>
          </w:p>
        </w:tc>
        <w:tc>
          <w:tcPr>
            <w:tcW w:w="62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(2,586)</w:t>
            </w:r>
          </w:p>
        </w:tc>
        <w:tc>
          <w:tcPr>
            <w:tcW w:w="600" w:type="dxa"/>
            <w:vAlign w:val="bottom"/>
            <w:shd w:val="clear" w:color="auto" w:fill="CCEEFF"/>
          </w:tcPr>
          <w:p>
            <w:pPr>
              <w:spacing w:after="0"/>
              <w:rPr>
                <w:sz w:val="13"/>
                <w:szCs w:val="13"/>
                <w:color w:val="auto"/>
              </w:rPr>
            </w:pP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Gillam-FEI</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2,285</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4,547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(2,262)</w:t>
            </w:r>
          </w:p>
        </w:tc>
        <w:tc>
          <w:tcPr>
            <w:tcW w:w="220" w:type="dxa"/>
            <w:vAlign w:val="bottom"/>
          </w:tcPr>
          <w:p>
            <w:pPr>
              <w:spacing w:after="0"/>
              <w:rPr>
                <w:sz w:val="13"/>
                <w:szCs w:val="13"/>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878</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3,056</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(2,178)</w:t>
            </w:r>
          </w:p>
        </w:tc>
        <w:tc>
          <w:tcPr>
            <w:tcW w:w="6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FEI-Zyfer</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5,497</w:t>
            </w: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4,180</w:t>
            </w:r>
          </w:p>
        </w:tc>
        <w:tc>
          <w:tcPr>
            <w:tcW w:w="12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1,317</w:t>
            </w:r>
          </w:p>
        </w:tc>
        <w:tc>
          <w:tcPr>
            <w:tcW w:w="2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3,396</w:t>
            </w:r>
          </w:p>
        </w:tc>
        <w:tc>
          <w:tcPr>
            <w:tcW w:w="2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3,060</w:t>
            </w:r>
          </w:p>
        </w:tc>
        <w:tc>
          <w:tcPr>
            <w:tcW w:w="200" w:type="dxa"/>
            <w:vAlign w:val="bottom"/>
            <w:tcBorders>
              <w:lef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336</w:t>
            </w:r>
          </w:p>
        </w:tc>
        <w:tc>
          <w:tcPr>
            <w:tcW w:w="600" w:type="dxa"/>
            <w:vAlign w:val="bottom"/>
            <w:shd w:val="clear" w:color="auto" w:fill="CCEEFF"/>
          </w:tcPr>
          <w:p>
            <w:pPr>
              <w:spacing w:after="0"/>
              <w:rPr>
                <w:sz w:val="13"/>
                <w:szCs w:val="13"/>
                <w:color w:val="auto"/>
              </w:rPr>
            </w:pPr>
          </w:p>
        </w:tc>
        <w:tc>
          <w:tcPr>
            <w:tcW w:w="4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Arial" w:cs="Arial" w:eastAsia="Arial" w:hAnsi="Arial"/>
                <w:sz w:val="13"/>
                <w:szCs w:val="13"/>
                <w:color w:val="auto"/>
              </w:rPr>
              <w:t>Intersegment revenues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(685)</w:t>
            </w: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(1,681)</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996</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(365)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(1,553)</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1,188</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32,684</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38,983</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(6,299)</w:t>
            </w:r>
          </w:p>
        </w:tc>
        <w:tc>
          <w:tcPr>
            <w:tcW w:w="2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(16)%</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16,003</w:t>
            </w:r>
          </w:p>
        </w:tc>
        <w:tc>
          <w:tcPr>
            <w:tcW w:w="42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19,243</w:t>
            </w:r>
          </w:p>
        </w:tc>
        <w:tc>
          <w:tcPr>
            <w:tcW w:w="62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(3,240)</w:t>
            </w:r>
          </w:p>
        </w:tc>
        <w:tc>
          <w:tcPr>
            <w:tcW w:w="600" w:type="dxa"/>
            <w:vAlign w:val="bottom"/>
            <w:shd w:val="clear" w:color="auto" w:fill="CCEEFF"/>
          </w:tcPr>
          <w:p>
            <w:pPr>
              <w:spacing w:after="0"/>
              <w:rPr>
                <w:sz w:val="15"/>
                <w:szCs w:val="15"/>
                <w:color w:val="auto"/>
              </w:rPr>
            </w:pPr>
          </w:p>
        </w:tc>
        <w:tc>
          <w:tcPr>
            <w:tcW w:w="4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3"/>
                <w:szCs w:val="13"/>
                <w:color w:val="auto"/>
              </w:rPr>
              <w:t>14 of 21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4" w:name="page15"/>
    <w:bookmarkEnd w:id="1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(Continued)</w:t>
      </w:r>
    </w:p>
    <w:p>
      <w:pPr>
        <w:spacing w:after="0" w:line="177" w:lineRule="exact"/>
        <w:rPr>
          <w:sz w:val="20"/>
          <w:szCs w:val="20"/>
          <w:color w:val="auto"/>
        </w:rPr>
      </w:pPr>
    </w:p>
    <w:p>
      <w:pPr>
        <w:jc w:val="both"/>
        <w:ind w:firstLine="354"/>
        <w:spacing w:after="0" w:line="305" w:lineRule="auto"/>
        <w:rPr>
          <w:sz w:val="20"/>
          <w:szCs w:val="20"/>
          <w:color w:val="auto"/>
        </w:rPr>
      </w:pPr>
      <w:r>
        <w:rPr>
          <w:rFonts w:ascii="Arial" w:cs="Arial" w:eastAsia="Arial" w:hAnsi="Arial"/>
          <w:sz w:val="11"/>
          <w:szCs w:val="11"/>
          <w:color w:val="auto"/>
        </w:rPr>
        <w:t>For the six and three months ended October 31, 2015, revenues from commercial and U.S Government satellite programs accounted for approximately 60% of consolidated revenues. Compared to the six month period ended October 31, 2014, year-to-date satellite payload revenue has decreased by over $5.5 million due primarily to delays in new contract awards, many of which the Company is the sole-source provider. Revenues on these contracts are recognized primarily under the percentage of completion method. Revenues from the satellite market are recorded in the FEI-NY segment. For the first six months of fiscal year 2016, revenues from non-space U.S. Government/DOD customers, which are recorded in both the FEI-NY and FEI-Zyfer segments, increased by approximately $2.5 million over the same period of fiscal year 2015, and accounted for approximately 25% of fiscal year 2016 consolidated revenues as compared to approximately 15% of revenues during the same period of fiscal year 2015. The primary reason for the fiscal year 2016 revenue increase was due to additional funding received by the FEI-Zyfer segment on a U.S. Government initiative to protect secure communications from jamming and multi-path in GPS systems. Total revenues from U.S. Government satellite contracts and non-space programs were approximately 65% of consolidated revenues for the six months ended October 31, 2015 and were approximately 70% of revenues for the three-month period then ended. Network infrastructure and other industrial revenues in the fiscal year 2016 periods accounted for approximately 20% of consolidated revenues which is similar to the prior year. For the six and three month periods ended October 31, 2015, these commercial revenues decreased by approximately $3 million and $1.5 million, respectively, as compared to the same periods of fiscal year 2015. The primary reason for reduced revenue from this market area is due to lower third-party contract manufacturing revenues in the Company’s FEI-Asia subsidiary which is part of the FEI-NY segment. Such third-party contract manufacturing business is sporadic and low margin and thus has little meaningful impact on the consolidated profits of the Company. The Gillam-FEI segment also recorded lower revenues in both fiscal periods ended October 31, 2015 with the largest decrease due to lower intersegment sales as compared to the fiscal year 2015 periods. Intersegment sales are eliminated in consolidation and have no effect on consolidated revenues.</w:t>
      </w:r>
    </w:p>
    <w:p>
      <w:pPr>
        <w:spacing w:after="0" w:line="135" w:lineRule="exact"/>
        <w:rPr>
          <w:sz w:val="20"/>
          <w:szCs w:val="20"/>
          <w:color w:val="auto"/>
        </w:rPr>
      </w:pPr>
    </w:p>
    <w:p>
      <w:pPr>
        <w:jc w:val="both"/>
        <w:ind w:firstLine="354"/>
        <w:spacing w:after="0" w:line="277" w:lineRule="auto"/>
        <w:rPr>
          <w:sz w:val="20"/>
          <w:szCs w:val="20"/>
          <w:color w:val="auto"/>
        </w:rPr>
      </w:pPr>
      <w:r>
        <w:rPr>
          <w:rFonts w:ascii="Arial" w:cs="Arial" w:eastAsia="Arial" w:hAnsi="Arial"/>
          <w:sz w:val="12"/>
          <w:szCs w:val="12"/>
          <w:color w:val="auto"/>
        </w:rPr>
        <w:t>For the six and three months ended October 31, 2014, revenues from commercial and U.S. Government satellite programs accounted for approximately 60% of consolidated revenues and increased by 27% and 18%, respectively, over the same periods of fiscal year 2014. Revenues on these contracts are recognized primarily under the percentage of completion method. Revenues from the satellite market are recorded in the FEI-NY segment. Revenues from non-space U.S. Government/DOD customers, which are recorded in both the FEI-NY and FEI-Zyfer segments, accounted for approximately 15% of consolidated revenues for the six months of fiscal year 2015 as compared to approximately 20% of revenues during the same period of fiscal year 2014. For the three-month period ended October 31, 2014, such revenues were approximately 20% of consolidated revenues and increased by 30% over non-space government revenues for the second quarter of fiscal year 2014. The primary reason for this growth during the second quarter of fiscal year 2015 was due to additional funding received by the FEI-Zyfer segment on an U.S. Government initiative to protect secure communications from jamming and multi-path in GPS systems. Total revenues from U.S. Government satellite contracts and non-space programs were approximately 40% of consolidated revenues for the six months ended October 31, 2014 and were approximately 50% of revenues for the three-month period then ended. Network infrastructure and other industrial revenues in the fiscal year 2015 periods accounted for approximately 20% of consolidated revenues which is similar to their share of consolidated revenues in the prior year. These fiscal year 2015 commercial revenues increased by approximately 20% for the six month period and declined by approximately 10% for the three-month period ended October 31, 2014, as compared to the same periods of fiscal year 2014. The primary reason for growth in this commercial, non-space market area is due to increased third party revenues in the Company’s FEI-Asia subsidiary which is part of the FEI-NY segment. In prior periods, third party revenues for the FEI-Asia subsidiary were insignificant as most of its manufacturing capacity was applied to intersegment production. For the three-month period ended October 31, 2014, Gillam-FEI revenues increased over the prior year primarily due to higher intersegment sales which are eliminated in consolidation.</w:t>
      </w:r>
    </w:p>
    <w:p>
      <w:pPr>
        <w:spacing w:after="0" w:line="153" w:lineRule="exact"/>
        <w:rPr>
          <w:sz w:val="20"/>
          <w:szCs w:val="20"/>
          <w:color w:val="auto"/>
        </w:rPr>
      </w:pPr>
    </w:p>
    <w:p>
      <w:pPr>
        <w:jc w:val="both"/>
        <w:ind w:firstLine="354"/>
        <w:spacing w:after="0" w:line="260" w:lineRule="auto"/>
        <w:rPr>
          <w:sz w:val="20"/>
          <w:szCs w:val="20"/>
          <w:color w:val="auto"/>
        </w:rPr>
      </w:pPr>
      <w:r>
        <w:rPr>
          <w:rFonts w:ascii="Arial" w:cs="Arial" w:eastAsia="Arial" w:hAnsi="Arial"/>
          <w:sz w:val="13"/>
          <w:szCs w:val="13"/>
          <w:color w:val="auto"/>
        </w:rPr>
        <w:t>Based on the Company’s current backlog, of which satellite payload business comprises approximately 60%, and delays in awards of new project orders which are sole-sourced to the Company, revenues for fiscal year 2016 are expected to be lower than the prior fiscal year. Satellite payload revenues will remain the dominant portion of the Company’s business and represents the Company’s best long-term growth opportunity. Revenues from non-space U.S. Government/DOD customers are expected to increase, particularly for the FEI-Zyfer segment, as it receives additional funding on several significant U.S. Government programs.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15"/>
        </w:trPr>
        <w:tc>
          <w:tcPr>
            <w:tcW w:w="2620" w:type="dxa"/>
            <w:vAlign w:val="bottom"/>
            <w:gridSpan w:val="5"/>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315"/>
        </w:trPr>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gridSpan w:val="7"/>
          </w:tcPr>
          <w:p>
            <w:pPr>
              <w:jc w:val="center"/>
              <w:ind w:left="14"/>
              <w:spacing w:after="0"/>
              <w:rPr>
                <w:sz w:val="20"/>
                <w:szCs w:val="20"/>
                <w:color w:val="auto"/>
              </w:rPr>
            </w:pPr>
            <w:r>
              <w:rPr>
                <w:rFonts w:ascii="Arial" w:cs="Arial" w:eastAsia="Arial" w:hAnsi="Arial"/>
                <w:sz w:val="13"/>
                <w:szCs w:val="13"/>
                <w:b w:val="1"/>
                <w:bCs w:val="1"/>
                <w:color w:val="auto"/>
              </w:rPr>
              <w:t>FREQUENCY ELECTRONICS, INC. and SUBSIDIARIES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left="234"/>
              <w:spacing w:after="0"/>
              <w:rPr>
                <w:sz w:val="20"/>
                <w:szCs w:val="20"/>
                <w:color w:val="auto"/>
              </w:rPr>
            </w:pPr>
            <w:r>
              <w:rPr>
                <w:rFonts w:ascii="Arial" w:cs="Arial" w:eastAsia="Arial" w:hAnsi="Arial"/>
                <w:sz w:val="13"/>
                <w:szCs w:val="13"/>
                <w:color w:val="auto"/>
                <w:w w:val="94"/>
              </w:rPr>
              <w:t>(Continued)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6"/>
        </w:trPr>
        <w:tc>
          <w:tcPr>
            <w:tcW w:w="2620" w:type="dxa"/>
            <w:vAlign w:val="bottom"/>
            <w:gridSpan w:val="5"/>
          </w:tcPr>
          <w:p>
            <w:pPr>
              <w:spacing w:after="0"/>
              <w:rPr>
                <w:sz w:val="20"/>
                <w:szCs w:val="20"/>
                <w:color w:val="auto"/>
              </w:rPr>
            </w:pPr>
            <w:r>
              <w:rPr>
                <w:rFonts w:ascii="Arial" w:cs="Arial" w:eastAsia="Arial" w:hAnsi="Arial"/>
                <w:sz w:val="13"/>
                <w:szCs w:val="13"/>
                <w:b w:val="1"/>
                <w:bCs w:val="1"/>
                <w:color w:val="auto"/>
              </w:rPr>
              <w:t>Gross margin</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3"/>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3"/>
                <w:szCs w:val="13"/>
                <w:b w:val="1"/>
                <w:bCs w:val="1"/>
                <w:color w:val="auto"/>
              </w:rPr>
              <w:t>Six months</w:t>
            </w:r>
          </w:p>
        </w:tc>
        <w:tc>
          <w:tcPr>
            <w:tcW w:w="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w w:val="90"/>
              </w:rPr>
              <w:t>Three months</w:t>
            </w: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w w:val="91"/>
              </w:rPr>
              <w:t>Periods ended October 31,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2015</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left="254"/>
              <w:spacing w:after="0"/>
              <w:rPr>
                <w:sz w:val="20"/>
                <w:szCs w:val="20"/>
                <w:color w:val="auto"/>
              </w:rPr>
            </w:pPr>
            <w:r>
              <w:rPr>
                <w:rFonts w:ascii="Arial" w:cs="Arial" w:eastAsia="Arial" w:hAnsi="Arial"/>
                <w:sz w:val="13"/>
                <w:szCs w:val="13"/>
                <w:b w:val="1"/>
                <w:bCs w:val="1"/>
                <w:color w:val="auto"/>
                <w:w w:val="88"/>
              </w:rPr>
              <w:t>Change</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Change</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260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10,998</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12,339</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(1,341)</w:t>
            </w:r>
          </w:p>
        </w:tc>
        <w:tc>
          <w:tcPr>
            <w:tcW w:w="1540" w:type="dxa"/>
            <w:vAlign w:val="bottom"/>
            <w:gridSpan w:val="3"/>
            <w:shd w:val="clear" w:color="auto" w:fill="CCEEFF"/>
          </w:tcPr>
          <w:p>
            <w:pPr>
              <w:jc w:val="right"/>
              <w:ind w:right="454"/>
              <w:spacing w:after="0"/>
              <w:rPr>
                <w:sz w:val="20"/>
                <w:szCs w:val="20"/>
                <w:color w:val="auto"/>
              </w:rPr>
            </w:pPr>
            <w:r>
              <w:rPr>
                <w:rFonts w:ascii="Arial" w:cs="Arial" w:eastAsia="Arial" w:hAnsi="Arial"/>
                <w:sz w:val="13"/>
                <w:szCs w:val="13"/>
                <w:color w:val="auto"/>
              </w:rPr>
              <w:t>(11%)  $</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5,224</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3"/>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5"/>
              </w:rPr>
              <w:t>6,674</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(1,450)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5"/>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3"/>
                <w:szCs w:val="13"/>
                <w:color w:val="auto"/>
              </w:rPr>
              <w:t>GM Rate</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33.6%</w:t>
            </w:r>
          </w:p>
        </w:tc>
        <w:tc>
          <w:tcPr>
            <w:tcW w:w="2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31.7%</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32.6%</w:t>
            </w:r>
          </w:p>
        </w:tc>
        <w:tc>
          <w:tcPr>
            <w:tcW w:w="6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34.7%</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161" w:lineRule="exact"/>
        <w:rPr>
          <w:sz w:val="20"/>
          <w:szCs w:val="20"/>
          <w:color w:val="auto"/>
        </w:rPr>
      </w:pPr>
    </w:p>
    <w:p>
      <w:pPr>
        <w:jc w:val="both"/>
        <w:ind w:firstLine="354"/>
        <w:spacing w:after="0" w:line="260" w:lineRule="auto"/>
        <w:rPr>
          <w:sz w:val="20"/>
          <w:szCs w:val="20"/>
          <w:color w:val="auto"/>
        </w:rPr>
      </w:pPr>
      <w:r>
        <w:rPr>
          <w:rFonts w:ascii="Arial" w:cs="Arial" w:eastAsia="Arial" w:hAnsi="Arial"/>
          <w:sz w:val="13"/>
          <w:szCs w:val="13"/>
          <w:color w:val="auto"/>
        </w:rPr>
        <w:t>Gross margin for the six and three month periods ended October 31, 2015, decreased over the prior fiscal year due primarily to lower revenues from the satellite payload market and at the Gillam-FEI segment. During the six month period ended October 31, 2015, the Company received reimbursement from a vendor which partially offset higher engineering and production costs incurred on certain programs impacted by a defective part. The cost reimbursement improved the consolidated gross margin rate by approximately 1%. During the three month period ended October 31, 2015 gross margin rate decreased due to lower sales volume and product mix.</w:t>
      </w:r>
    </w:p>
    <w:p>
      <w:pPr>
        <w:spacing w:after="0" w:line="158"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color w:val="auto"/>
        </w:rPr>
        <w:t>Gross margin for the six months ended October 31, 2014, decreased over the prior fiscal year due primarily to lower revenues in the first quarter on non-space U.S. Government business and at the Gillam-FEI segment. During the three month period ended October 31, 2014, gross margin increased as a result of higher revenues in all segments as compared to fiscal year 2014. The fiscal year 2015 gross margin rates were lower than fiscal year 2014 rates due to the effect of low sales volume in the first quarter and product mix.</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Selling and administrative expenses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Six months</w:t>
            </w: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3"/>
                <w:szCs w:val="13"/>
                <w:b w:val="1"/>
                <w:bCs w:val="1"/>
                <w:color w:val="auto"/>
              </w:rPr>
              <w:t>Three months</w:t>
            </w: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4"/>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gridSpan w:val="4"/>
          </w:tcPr>
          <w:p>
            <w:pPr>
              <w:jc w:val="right"/>
              <w:spacing w:after="0" w:line="144" w:lineRule="exact"/>
              <w:rPr>
                <w:sz w:val="20"/>
                <w:szCs w:val="20"/>
                <w:color w:val="auto"/>
              </w:rPr>
            </w:pPr>
            <w:r>
              <w:rPr>
                <w:rFonts w:ascii="Arial" w:cs="Arial" w:eastAsia="Arial" w:hAnsi="Arial"/>
                <w:sz w:val="13"/>
                <w:szCs w:val="13"/>
                <w:b w:val="1"/>
                <w:bCs w:val="1"/>
                <w:color w:val="auto"/>
                <w:w w:val="92"/>
              </w:rPr>
              <w:t>Periods ended October 31,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0"/>
        </w:trPr>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Change</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7"/>
        </w:trPr>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6,916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6,970</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680" w:type="dxa"/>
            <w:vAlign w:val="bottom"/>
            <w:gridSpan w:val="2"/>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3,231</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3,472</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94"/>
              <w:spacing w:after="0"/>
              <w:rPr>
                <w:sz w:val="20"/>
                <w:szCs w:val="20"/>
                <w:color w:val="auto"/>
              </w:rPr>
            </w:pPr>
            <w:r>
              <w:rPr>
                <w:rFonts w:ascii="Arial" w:cs="Arial" w:eastAsia="Arial" w:hAnsi="Arial"/>
                <w:sz w:val="13"/>
                <w:szCs w:val="13"/>
                <w:color w:val="auto"/>
              </w:rPr>
              <w:t>(241)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r>
    </w:tbl>
    <w:p>
      <w:pPr>
        <w:spacing w:after="0" w:line="168"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color w:val="auto"/>
        </w:rPr>
        <w:t>For the six and three-month periods ended October 31, 2015 and 2014, selling and administrative expenses (“SG&amp;A”) were approximately 21% and 18%, respectively, of consolidated revenues. The fluctuation in expenses in the fiscal year 2016 periods compared to the same periods of fiscal year 2015 is due to decreased incentive compensation expenses partially offset by higher professional fees. For the remainder of fiscal year 2016, the Company expects SG&amp;A expenses to be incurred at approximately the same rate and to be approximately 20% of consolidated revenues.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Research and development expense</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3"/>
                <w:szCs w:val="13"/>
                <w:b w:val="1"/>
                <w:bCs w:val="1"/>
                <w:color w:val="auto"/>
              </w:rPr>
              <w:t>Six months</w:t>
            </w: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3"/>
                <w:szCs w:val="13"/>
                <w:b w:val="1"/>
                <w:bCs w:val="1"/>
                <w:color w:val="auto"/>
              </w:rPr>
              <w:t>Three months</w:t>
            </w: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4"/>
        </w:trPr>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40" w:type="dxa"/>
            <w:vAlign w:val="bottom"/>
            <w:gridSpan w:val="5"/>
          </w:tcPr>
          <w:p>
            <w:pPr>
              <w:jc w:val="right"/>
              <w:ind w:right="500"/>
              <w:spacing w:after="0" w:line="144" w:lineRule="exact"/>
              <w:rPr>
                <w:sz w:val="20"/>
                <w:szCs w:val="20"/>
                <w:color w:val="auto"/>
              </w:rPr>
            </w:pPr>
            <w:r>
              <w:rPr>
                <w:rFonts w:ascii="Arial" w:cs="Arial" w:eastAsia="Arial" w:hAnsi="Arial"/>
                <w:sz w:val="13"/>
                <w:szCs w:val="13"/>
                <w:b w:val="1"/>
                <w:bCs w:val="1"/>
                <w:color w:val="auto"/>
                <w:w w:val="92"/>
              </w:rPr>
              <w:t>Periods ended October 31,</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0"/>
        </w:trPr>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Change</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2,645</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448</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17%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1,946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1,406</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554"/>
              <w:spacing w:after="0"/>
              <w:rPr>
                <w:sz w:val="20"/>
                <w:szCs w:val="20"/>
                <w:color w:val="auto"/>
              </w:rPr>
            </w:pPr>
            <w:r>
              <w:rPr>
                <w:rFonts w:ascii="Arial" w:cs="Arial" w:eastAsia="Arial" w:hAnsi="Arial"/>
                <w:sz w:val="13"/>
                <w:szCs w:val="13"/>
                <w:color w:val="auto"/>
              </w:rPr>
              <w:t>540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w:t>
            </w:r>
          </w:p>
        </w:tc>
      </w:tr>
    </w:tbl>
    <w:p>
      <w:pPr>
        <w:spacing w:after="0" w:line="168" w:lineRule="exact"/>
        <w:rPr>
          <w:sz w:val="20"/>
          <w:szCs w:val="20"/>
          <w:color w:val="auto"/>
        </w:rPr>
      </w:pPr>
    </w:p>
    <w:p>
      <w:pPr>
        <w:jc w:val="both"/>
        <w:ind w:firstLine="354"/>
        <w:spacing w:after="0" w:line="258" w:lineRule="auto"/>
        <w:rPr>
          <w:sz w:val="20"/>
          <w:szCs w:val="20"/>
          <w:color w:val="auto"/>
        </w:rPr>
      </w:pPr>
      <w:r>
        <w:rPr>
          <w:rFonts w:ascii="Arial" w:cs="Arial" w:eastAsia="Arial" w:hAnsi="Arial"/>
          <w:sz w:val="13"/>
          <w:szCs w:val="13"/>
          <w:color w:val="auto"/>
        </w:rPr>
        <w:t>Research and development (“R&amp;D”) expenditures represent investments intended to keep the Company’s products at the leading edge of time and frequency technology and enhance competitiveness for future revenues. R&amp;D spending for the six and three-month periods ended October 31, 2015, increased over the prior fiscal year as the Company accelerated development on certain products for the satellite market as well as making product design and process improvements to enhance product manufacturability and reduce production costs. Internal R&amp;D spending includes continued development of new satellite payload microwave receivers/converters from DC to Ka band, improvement of quartz-based and rubidium atomic clocks, development of new GPS-based synchronization products and further enhancement of the capabilities of the Company’s line of low g-sensitivity and ruggedized rubidium oscillators.</w:t>
      </w:r>
    </w:p>
    <w:p>
      <w:pPr>
        <w:spacing w:after="0" w:line="160" w:lineRule="exact"/>
        <w:rPr>
          <w:sz w:val="20"/>
          <w:szCs w:val="20"/>
          <w:color w:val="auto"/>
        </w:rPr>
      </w:pPr>
    </w:p>
    <w:p>
      <w:pPr>
        <w:jc w:val="both"/>
        <w:ind w:firstLine="354"/>
        <w:spacing w:after="0" w:line="334" w:lineRule="auto"/>
        <w:rPr>
          <w:sz w:val="20"/>
          <w:szCs w:val="20"/>
          <w:color w:val="auto"/>
        </w:rPr>
      </w:pPr>
      <w:r>
        <w:rPr>
          <w:rFonts w:ascii="Arial" w:cs="Arial" w:eastAsia="Arial" w:hAnsi="Arial"/>
          <w:sz w:val="11"/>
          <w:szCs w:val="11"/>
          <w:color w:val="auto"/>
        </w:rPr>
        <w:t>In addition to internal research and development efforts, the Company continues to conduct development activities on customer-funded programs the cost of which appears in cost of revenues. The Company will continue to devote significant resources to develop new products, enhance existing products and implement efficient manufacturing processes. For fiscal year 2016, the Company is targeting to increase spending on certain space products but will spend less than 10% of full year revenues on internal research and development projects. Internally generated cash and cash reserves are adequate to fund these development efforts.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15"/>
        </w:trPr>
        <w:tc>
          <w:tcPr>
            <w:tcW w:w="1620" w:type="dxa"/>
            <w:vAlign w:val="bottom"/>
            <w:gridSpan w:val="4"/>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315"/>
        </w:trPr>
        <w:tc>
          <w:tcPr>
            <w:tcW w:w="7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10"/>
          </w:tcPr>
          <w:p>
            <w:pPr>
              <w:jc w:val="center"/>
              <w:ind w:right="480"/>
              <w:spacing w:after="0"/>
              <w:rPr>
                <w:sz w:val="20"/>
                <w:szCs w:val="20"/>
                <w:color w:val="auto"/>
              </w:rPr>
            </w:pPr>
            <w:r>
              <w:rPr>
                <w:rFonts w:ascii="Arial" w:cs="Arial" w:eastAsia="Arial" w:hAnsi="Arial"/>
                <w:sz w:val="13"/>
                <w:szCs w:val="13"/>
                <w:b w:val="1"/>
                <w:bCs w:val="1"/>
                <w:color w:val="auto"/>
              </w:rPr>
              <w:t>FREQUENCY ELECTRONICS, INC. and SUBSIDIARIES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5"/>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gridSpan w:val="4"/>
          </w:tcPr>
          <w:p>
            <w:pPr>
              <w:jc w:val="center"/>
              <w:ind w:left="94"/>
              <w:spacing w:after="0"/>
              <w:rPr>
                <w:sz w:val="20"/>
                <w:szCs w:val="20"/>
                <w:color w:val="auto"/>
              </w:rPr>
            </w:pPr>
            <w:r>
              <w:rPr>
                <w:rFonts w:ascii="Arial" w:cs="Arial" w:eastAsia="Arial" w:hAnsi="Arial"/>
                <w:sz w:val="13"/>
                <w:szCs w:val="13"/>
                <w:color w:val="auto"/>
                <w:w w:val="94"/>
              </w:rPr>
              <w:t>(Continued)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06"/>
        </w:trPr>
        <w:tc>
          <w:tcPr>
            <w:tcW w:w="1620" w:type="dxa"/>
            <w:vAlign w:val="bottom"/>
            <w:gridSpan w:val="4"/>
          </w:tcPr>
          <w:p>
            <w:pPr>
              <w:spacing w:after="0"/>
              <w:rPr>
                <w:sz w:val="20"/>
                <w:szCs w:val="20"/>
                <w:color w:val="auto"/>
              </w:rPr>
            </w:pPr>
            <w:r>
              <w:rPr>
                <w:rFonts w:ascii="Arial" w:cs="Arial" w:eastAsia="Arial" w:hAnsi="Arial"/>
                <w:sz w:val="13"/>
                <w:szCs w:val="13"/>
                <w:b w:val="1"/>
                <w:bCs w:val="1"/>
                <w:color w:val="auto"/>
              </w:rPr>
              <w:t>Operating profit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3"/>
        </w:trPr>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Six months</w:t>
            </w: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3"/>
                <w:szCs w:val="13"/>
                <w:b w:val="1"/>
                <w:bCs w:val="1"/>
                <w:color w:val="auto"/>
              </w:rPr>
              <w:t>Three months</w:t>
            </w: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4"/>
        </w:trPr>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gridSpan w:val="4"/>
          </w:tcPr>
          <w:p>
            <w:pPr>
              <w:jc w:val="right"/>
              <w:ind w:right="34"/>
              <w:spacing w:after="0" w:line="144" w:lineRule="exact"/>
              <w:rPr>
                <w:sz w:val="20"/>
                <w:szCs w:val="20"/>
                <w:color w:val="auto"/>
              </w:rPr>
            </w:pPr>
            <w:r>
              <w:rPr>
                <w:rFonts w:ascii="Arial" w:cs="Arial" w:eastAsia="Arial" w:hAnsi="Arial"/>
                <w:sz w:val="13"/>
                <w:szCs w:val="13"/>
                <w:b w:val="1"/>
                <w:bCs w:val="1"/>
                <w:color w:val="auto"/>
                <w:w w:val="92"/>
              </w:rPr>
              <w:t>Periods ended October 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0"/>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Change</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7"/>
        </w:trPr>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989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2,724</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(1,735)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w:t>
            </w:r>
          </w:p>
        </w:tc>
        <w:tc>
          <w:tcPr>
            <w:tcW w:w="780" w:type="dxa"/>
            <w:vAlign w:val="bottom"/>
            <w:gridSpan w:val="2"/>
            <w:shd w:val="clear" w:color="auto" w:fill="CCEEFF"/>
          </w:tcPr>
          <w:p>
            <w:pPr>
              <w:jc w:val="right"/>
              <w:ind w:right="574"/>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1,796</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(1,748)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w:t>
            </w:r>
          </w:p>
        </w:tc>
      </w:tr>
    </w:tbl>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Lower gross margins on reduced consolidated revenues coupled with higher R&amp;D spending resulted in decreased operating profits for the fiscal year 2016 periods as compared to fiscal year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gridSpan w:val="3"/>
          </w:tcPr>
          <w:p>
            <w:pPr>
              <w:spacing w:after="0"/>
              <w:rPr>
                <w:sz w:val="20"/>
                <w:szCs w:val="20"/>
                <w:color w:val="auto"/>
              </w:rPr>
            </w:pPr>
            <w:r>
              <w:rPr>
                <w:rFonts w:ascii="Arial" w:cs="Arial" w:eastAsia="Arial" w:hAnsi="Arial"/>
                <w:sz w:val="13"/>
                <w:szCs w:val="13"/>
                <w:b w:val="1"/>
                <w:bCs w:val="1"/>
                <w:color w:val="auto"/>
              </w:rPr>
              <w:t>Other income (expense)</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43"/>
        </w:trPr>
        <w:tc>
          <w:tcPr>
            <w:tcW w:w="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3"/>
                <w:szCs w:val="13"/>
                <w:b w:val="1"/>
                <w:bCs w:val="1"/>
                <w:color w:val="auto"/>
              </w:rPr>
              <w:t>Six months</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Three months</w:t>
            </w: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3"/>
          </w:tcPr>
          <w:p>
            <w:pPr>
              <w:jc w:val="right"/>
              <w:ind w:right="34"/>
              <w:spacing w:after="0" w:line="144" w:lineRule="exact"/>
              <w:rPr>
                <w:sz w:val="20"/>
                <w:szCs w:val="20"/>
                <w:color w:val="auto"/>
              </w:rPr>
            </w:pPr>
            <w:r>
              <w:rPr>
                <w:rFonts w:ascii="Arial" w:cs="Arial" w:eastAsia="Arial" w:hAnsi="Arial"/>
                <w:sz w:val="13"/>
                <w:szCs w:val="13"/>
                <w:b w:val="1"/>
                <w:bCs w:val="1"/>
                <w:color w:val="auto"/>
                <w:w w:val="93"/>
              </w:rPr>
              <w:t>Periods ended October 31,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2015</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2014</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2015</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Change</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 income</w:t>
            </w:r>
          </w:p>
        </w:tc>
        <w:tc>
          <w:tcPr>
            <w:tcW w:w="1140" w:type="dxa"/>
            <w:vAlign w:val="bottom"/>
            <w:gridSpan w:val="2"/>
            <w:shd w:val="clear" w:color="auto" w:fill="CCEEFF"/>
          </w:tcPr>
          <w:p>
            <w:pPr>
              <w:jc w:val="right"/>
              <w:ind w:right="534"/>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625</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(260)</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66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94</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211</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20" w:type="dxa"/>
            <w:vAlign w:val="bottom"/>
          </w:tcPr>
          <w:p>
            <w:pPr>
              <w:spacing w:after="0"/>
              <w:rPr>
                <w:sz w:val="13"/>
                <w:szCs w:val="13"/>
                <w:color w:val="auto"/>
              </w:rPr>
            </w:pPr>
          </w:p>
        </w:tc>
        <w:tc>
          <w:tcPr>
            <w:tcW w:w="192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(81)</w:t>
            </w:r>
          </w:p>
        </w:tc>
        <w:tc>
          <w:tcPr>
            <w:tcW w:w="4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w:t>
            </w:r>
          </w:p>
        </w:tc>
        <w:tc>
          <w:tcPr>
            <w:tcW w:w="3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31%</w:t>
            </w:r>
          </w:p>
        </w:tc>
        <w:tc>
          <w:tcPr>
            <w:tcW w:w="66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3"/>
                <w:szCs w:val="13"/>
                <w:color w:val="auto"/>
              </w:rPr>
              <w:t>15</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r>
      <w:tr>
        <w:trPr>
          <w:trHeight w:val="157"/>
        </w:trPr>
        <w:tc>
          <w:tcPr>
            <w:tcW w:w="20" w:type="dxa"/>
            <w:vAlign w:val="bottom"/>
          </w:tcPr>
          <w:p>
            <w:pPr>
              <w:spacing w:after="0"/>
              <w:rPr>
                <w:sz w:val="13"/>
                <w:szCs w:val="13"/>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404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w:t>
            </w:r>
          </w:p>
        </w:tc>
        <w:tc>
          <w:tcPr>
            <w:tcW w:w="4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414</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NM</w:t>
            </w:r>
          </w:p>
        </w:tc>
        <w:tc>
          <w:tcPr>
            <w:tcW w:w="6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NM</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ind w:right="53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713</w:t>
            </w: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534</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179</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34%</w:t>
            </w:r>
          </w:p>
        </w:tc>
        <w:tc>
          <w:tcPr>
            <w:tcW w:w="660" w:type="dxa"/>
            <w:vAlign w:val="bottom"/>
          </w:tcPr>
          <w:p>
            <w:pPr>
              <w:jc w:val="right"/>
              <w:ind w:right="514"/>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63</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153</w:t>
            </w: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3"/>
                <w:szCs w:val="13"/>
                <w:color w:val="auto"/>
              </w:rPr>
              <w:t>(90)</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(59%)</w:t>
            </w:r>
          </w:p>
        </w:tc>
      </w:tr>
    </w:tbl>
    <w:p>
      <w:pPr>
        <w:spacing w:after="0" w:line="161" w:lineRule="exact"/>
        <w:rPr>
          <w:sz w:val="20"/>
          <w:szCs w:val="20"/>
          <w:color w:val="auto"/>
        </w:rPr>
      </w:pPr>
    </w:p>
    <w:p>
      <w:pPr>
        <w:jc w:val="both"/>
        <w:ind w:firstLine="354"/>
        <w:spacing w:after="0" w:line="296" w:lineRule="auto"/>
        <w:rPr>
          <w:sz w:val="20"/>
          <w:szCs w:val="20"/>
          <w:color w:val="auto"/>
        </w:rPr>
      </w:pPr>
      <w:r>
        <w:rPr>
          <w:rFonts w:ascii="Arial" w:cs="Arial" w:eastAsia="Arial" w:hAnsi="Arial"/>
          <w:sz w:val="12"/>
          <w:szCs w:val="12"/>
          <w:color w:val="auto"/>
        </w:rPr>
        <w:t>Investment income is derived primarily from the Company’s holdings of marketable securities. Earnings on these securities may vary based on fluctuating interest rates and dividend payout levels and the timing of purchases or sales of securities. During the six months ended October 31, 2015 and 2014, the Company recorded gains of approximately $137,000 and $377,000, respectively, on the sale of certain marketable securities. No gains were recorded during the three months ended October 31, 2015 as compared to approximately $97,000 in the same period of fiscal year 2015.</w:t>
      </w:r>
    </w:p>
    <w:p>
      <w:pPr>
        <w:spacing w:after="0" w:line="138" w:lineRule="exact"/>
        <w:rPr>
          <w:sz w:val="20"/>
          <w:szCs w:val="20"/>
          <w:color w:val="auto"/>
        </w:rPr>
      </w:pPr>
    </w:p>
    <w:p>
      <w:pPr>
        <w:jc w:val="both"/>
        <w:ind w:firstLine="354"/>
        <w:spacing w:after="0" w:line="276" w:lineRule="auto"/>
        <w:rPr>
          <w:sz w:val="20"/>
          <w:szCs w:val="20"/>
          <w:color w:val="auto"/>
        </w:rPr>
      </w:pPr>
      <w:r>
        <w:rPr>
          <w:rFonts w:ascii="Arial" w:cs="Arial" w:eastAsia="Arial" w:hAnsi="Arial"/>
          <w:sz w:val="13"/>
          <w:szCs w:val="13"/>
          <w:color w:val="auto"/>
        </w:rPr>
        <w:t>The decrease in interest expense for the six and three months ended October 31, 2015 compared to the same periods of fiscal year 2015 is due to the reduced level of borrowings under the Company’s credit facility from a bank.</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During the first quarter of fiscal year 2016, the Company recognized a gain of approximately $400,000 from the proceeds of a life insurance policy upon the death of a former officer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gridSpan w:val="4"/>
          </w:tcPr>
          <w:p>
            <w:pPr>
              <w:spacing w:after="0"/>
              <w:rPr>
                <w:sz w:val="20"/>
                <w:szCs w:val="20"/>
                <w:color w:val="auto"/>
              </w:rPr>
            </w:pPr>
            <w:r>
              <w:rPr>
                <w:rFonts w:ascii="Arial" w:cs="Arial" w:eastAsia="Arial" w:hAnsi="Arial"/>
                <w:sz w:val="13"/>
                <w:szCs w:val="13"/>
                <w:b w:val="1"/>
                <w:bCs w:val="1"/>
                <w:color w:val="auto"/>
              </w:rPr>
              <w:t>Income tax provision</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43"/>
        </w:trPr>
        <w:tc>
          <w:tcPr>
            <w:tcW w:w="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3"/>
                <w:szCs w:val="13"/>
                <w:b w:val="1"/>
                <w:bCs w:val="1"/>
                <w:color w:val="auto"/>
              </w:rPr>
              <w:t>Six months</w:t>
            </w: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Three months</w:t>
            </w: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w w:val="93"/>
              </w:rPr>
              <w:t>Periods ended October 31,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2015</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Change</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Change</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26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880</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1,250</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(370)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60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660</w:t>
            </w: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(480)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20" w:type="dxa"/>
            <w:vAlign w:val="bottom"/>
          </w:tcPr>
          <w:p>
            <w:pPr>
              <w:spacing w:after="0"/>
              <w:rPr>
                <w:sz w:val="13"/>
                <w:szCs w:val="13"/>
                <w:color w:val="auto"/>
              </w:rPr>
            </w:pPr>
          </w:p>
        </w:tc>
        <w:tc>
          <w:tcPr>
            <w:tcW w:w="2600" w:type="dxa"/>
            <w:vAlign w:val="bottom"/>
            <w:gridSpan w:val="3"/>
          </w:tcPr>
          <w:p>
            <w:pPr>
              <w:spacing w:after="0"/>
              <w:rPr>
                <w:sz w:val="20"/>
                <w:szCs w:val="20"/>
                <w:color w:val="auto"/>
              </w:rPr>
            </w:pPr>
            <w:r>
              <w:rPr>
                <w:rFonts w:ascii="Arial" w:cs="Arial" w:eastAsia="Arial" w:hAnsi="Arial"/>
                <w:sz w:val="13"/>
                <w:szCs w:val="13"/>
                <w:color w:val="auto"/>
              </w:rPr>
              <w:t>Effective tax rate on pre-tax book income:</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51.7%</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38.4%</w:t>
            </w: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0"/>
              </w:rPr>
              <w:t>162.2%</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33.9%</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bl>
    <w:p>
      <w:pPr>
        <w:spacing w:after="0" w:line="168" w:lineRule="exact"/>
        <w:rPr>
          <w:sz w:val="20"/>
          <w:szCs w:val="20"/>
          <w:color w:val="auto"/>
        </w:rPr>
      </w:pPr>
    </w:p>
    <w:p>
      <w:pPr>
        <w:jc w:val="both"/>
        <w:ind w:firstLine="354"/>
        <w:spacing w:after="0" w:line="285" w:lineRule="auto"/>
        <w:rPr>
          <w:sz w:val="20"/>
          <w:szCs w:val="20"/>
          <w:color w:val="auto"/>
        </w:rPr>
      </w:pPr>
      <w:r>
        <w:rPr>
          <w:rFonts w:ascii="Arial" w:cs="Arial" w:eastAsia="Arial" w:hAnsi="Arial"/>
          <w:sz w:val="12"/>
          <w:szCs w:val="12"/>
          <w:color w:val="auto"/>
        </w:rPr>
        <w:t>The provision for income taxes for the six and three months ended October 31, 2015 decreased as a result of lower pretax income as compared to the same periods of fiscal year 2015. During the first half of fiscal year 2016, losses at the Company’s foreign subsidiaries as a proportion of consolidated pre-tax income are higher than are expected to be realized during the balance of the fiscal years. These non-deductible losses cause the effective tax rate to increase to a level that is higher than statutory rates. In addition, in both fiscal years, the Company has not assumed the availability of the U.S. research and development tax credit (“R&amp;D Credit”) since the U.S. Congress had not reinstated it as of October 31, 2015 for calendar 2015 or as of October 31, 2014 for calendar year 2014. If Congress reinstates the R&amp;D credit, the effective tax rate in fiscal year 2016 is expected to be in the mid-30% range depending on the level of pretax income or loss recorded at the Company’s foreign subsidiaries.</w:t>
      </w:r>
    </w:p>
    <w:p>
      <w:pPr>
        <w:spacing w:after="0" w:line="144" w:lineRule="exact"/>
        <w:rPr>
          <w:sz w:val="20"/>
          <w:szCs w:val="20"/>
          <w:color w:val="auto"/>
        </w:rPr>
      </w:pPr>
    </w:p>
    <w:p>
      <w:pPr>
        <w:jc w:val="both"/>
        <w:ind w:firstLine="354"/>
        <w:spacing w:after="0" w:line="285" w:lineRule="auto"/>
        <w:rPr>
          <w:sz w:val="20"/>
          <w:szCs w:val="20"/>
          <w:color w:val="auto"/>
        </w:rPr>
      </w:pPr>
      <w:r>
        <w:rPr>
          <w:rFonts w:ascii="Arial" w:cs="Arial" w:eastAsia="Arial" w:hAnsi="Arial"/>
          <w:sz w:val="12"/>
          <w:szCs w:val="12"/>
          <w:color w:val="auto"/>
        </w:rPr>
        <w:t>The Company is subject to taxation in several countries as well as the states of New York, New Jersey and California. The statutory federal rates are 34% in the United States and Belgium. The effective rate is impacted by the income or loss of certain of the Company’s European and Asian subsidiaries for which no tax benefit is currently available. In addition, the Company utilizes the availability of R&amp;D Credit and the Domestic Production Activity credit in the United States to lower its tax rate. The 2015 R&amp;D Credit has not yet been reinstated by the U.S. Congress. As of April 30, 2015, the Company’s European subsidiaries had available net operating loss carryforwards of approximately $4.2 million, which will offset future taxable income. As a result of the FEI-Elcom acquisition, the Company has a federal net operating loss carryforward of $5.1 million that may be applied in annually limited amounts to offset future U.S.-sourced taxable income over the next 17 years.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15"/>
        </w:trPr>
        <w:tc>
          <w:tcPr>
            <w:tcW w:w="1620" w:type="dxa"/>
            <w:vAlign w:val="bottom"/>
            <w:gridSpan w:val="4"/>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315"/>
        </w:trPr>
        <w:tc>
          <w:tcPr>
            <w:tcW w:w="7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10"/>
          </w:tcPr>
          <w:p>
            <w:pPr>
              <w:jc w:val="center"/>
              <w:ind w:right="480"/>
              <w:spacing w:after="0"/>
              <w:rPr>
                <w:sz w:val="20"/>
                <w:szCs w:val="20"/>
                <w:color w:val="auto"/>
              </w:rPr>
            </w:pPr>
            <w:r>
              <w:rPr>
                <w:rFonts w:ascii="Arial" w:cs="Arial" w:eastAsia="Arial" w:hAnsi="Arial"/>
                <w:sz w:val="13"/>
                <w:szCs w:val="13"/>
                <w:b w:val="1"/>
                <w:bCs w:val="1"/>
                <w:color w:val="auto"/>
              </w:rPr>
              <w:t>FREQUENCY ELECTRONICS, INC. and SUBSIDIARIES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5"/>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gridSpan w:val="4"/>
          </w:tcPr>
          <w:p>
            <w:pPr>
              <w:jc w:val="center"/>
              <w:ind w:left="134"/>
              <w:spacing w:after="0"/>
              <w:rPr>
                <w:sz w:val="20"/>
                <w:szCs w:val="20"/>
                <w:color w:val="auto"/>
              </w:rPr>
            </w:pPr>
            <w:r>
              <w:rPr>
                <w:rFonts w:ascii="Arial" w:cs="Arial" w:eastAsia="Arial" w:hAnsi="Arial"/>
                <w:sz w:val="13"/>
                <w:szCs w:val="13"/>
                <w:color w:val="auto"/>
                <w:w w:val="94"/>
              </w:rPr>
              <w:t>(Continued)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06"/>
        </w:trPr>
        <w:tc>
          <w:tcPr>
            <w:tcW w:w="1620" w:type="dxa"/>
            <w:vAlign w:val="bottom"/>
            <w:gridSpan w:val="4"/>
          </w:tcPr>
          <w:p>
            <w:pPr>
              <w:spacing w:after="0"/>
              <w:rPr>
                <w:sz w:val="20"/>
                <w:szCs w:val="20"/>
                <w:color w:val="auto"/>
              </w:rPr>
            </w:pPr>
            <w:r>
              <w:rPr>
                <w:rFonts w:ascii="Arial" w:cs="Arial" w:eastAsia="Arial" w:hAnsi="Arial"/>
                <w:sz w:val="13"/>
                <w:szCs w:val="13"/>
                <w:b w:val="1"/>
                <w:bCs w:val="1"/>
                <w:color w:val="auto"/>
              </w:rPr>
              <w:t>Net income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3"/>
        </w:trPr>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Six months</w:t>
            </w: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3"/>
                <w:szCs w:val="13"/>
                <w:b w:val="1"/>
                <w:bCs w:val="1"/>
                <w:color w:val="auto"/>
              </w:rPr>
              <w:t>Three months</w:t>
            </w: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4"/>
        </w:trPr>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0" w:type="dxa"/>
            <w:vAlign w:val="bottom"/>
            <w:gridSpan w:val="4"/>
          </w:tcPr>
          <w:p>
            <w:pPr>
              <w:jc w:val="right"/>
              <w:spacing w:after="0" w:line="144" w:lineRule="exact"/>
              <w:rPr>
                <w:sz w:val="20"/>
                <w:szCs w:val="20"/>
                <w:color w:val="auto"/>
              </w:rPr>
            </w:pPr>
            <w:r>
              <w:rPr>
                <w:rFonts w:ascii="Arial" w:cs="Arial" w:eastAsia="Arial" w:hAnsi="Arial"/>
                <w:sz w:val="13"/>
                <w:szCs w:val="13"/>
                <w:b w:val="1"/>
                <w:bCs w:val="1"/>
                <w:color w:val="auto"/>
                <w:w w:val="92"/>
              </w:rPr>
              <w:t>Periods ended October 31,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0"/>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2015</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7"/>
        </w:trPr>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2,008</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(1,186)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w:t>
            </w:r>
          </w:p>
        </w:tc>
        <w:tc>
          <w:tcPr>
            <w:tcW w:w="740" w:type="dxa"/>
            <w:vAlign w:val="bottom"/>
            <w:gridSpan w:val="2"/>
            <w:shd w:val="clear" w:color="auto" w:fill="CCEEFF"/>
          </w:tcPr>
          <w:p>
            <w:pPr>
              <w:jc w:val="right"/>
              <w:ind w:right="534"/>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(69)</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1,289</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(1,358)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w:t>
            </w:r>
          </w:p>
        </w:tc>
      </w:tr>
    </w:tbl>
    <w:p>
      <w:pPr>
        <w:spacing w:after="0" w:line="168"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color w:val="auto"/>
        </w:rPr>
        <w:t>As detailed above, operating profits and pretax income were lower in the fiscal year 2016 periods as compared to the same periods of fiscal year 2015 resulting in reduced net income for the periods ended October 31, 2015. In addition, because the Company receives no tax benefit from losses incurred at its foreign subsidiaries, the tax provision for the three month period ended October 31, 2015 exceeded pretax income resulting in a loss for that period.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LIQUIDITY AND CAPITAL RESOURCES</w:t>
      </w:r>
    </w:p>
    <w:p>
      <w:pPr>
        <w:spacing w:after="0" w:line="185"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color w:val="auto"/>
        </w:rPr>
        <w:t>The Company’s balance sheet continues to reflect a strong working capital position of $76.8 million at October 31, 2015, compared to working capital of $75.2 million at April 30, 2015. Included in working capital at October 31, 2015 and April 30 2015, is $14.3 million and $18.4 million, respectively, consisting of cash, cash equivalents and marketable securities. The Company’s current ratio at October 31, 2015 is 11.8 to 1.</w:t>
      </w:r>
    </w:p>
    <w:p>
      <w:pPr>
        <w:spacing w:after="0" w:line="155" w:lineRule="exact"/>
        <w:rPr>
          <w:sz w:val="20"/>
          <w:szCs w:val="20"/>
          <w:color w:val="auto"/>
        </w:rPr>
      </w:pPr>
    </w:p>
    <w:p>
      <w:pPr>
        <w:jc w:val="both"/>
        <w:ind w:firstLine="354"/>
        <w:spacing w:after="0" w:line="258" w:lineRule="auto"/>
        <w:rPr>
          <w:sz w:val="20"/>
          <w:szCs w:val="20"/>
          <w:color w:val="auto"/>
        </w:rPr>
      </w:pPr>
      <w:r>
        <w:rPr>
          <w:rFonts w:ascii="Arial" w:cs="Arial" w:eastAsia="Arial" w:hAnsi="Arial"/>
          <w:sz w:val="13"/>
          <w:szCs w:val="13"/>
          <w:color w:val="auto"/>
        </w:rPr>
        <w:t>For the six months ended October 31, 2015 and 2014, the Company used cash from operations in the amount of $2.9 million and $2.5 million, respectively. The reduced cash flow in both fiscal years period resulted primarily from increases in accounts receivable, including “unbilled receivables” (costs and estimated earnings in excess of billings) and inventory plus reductions in accounts payable and accrued liabilities compared to the balances as of the end of the previous fiscal year. For the six-month periods ended October 31, 2015 and 2014, the Company incurred approximately $2.6 million and $2.3 million, respectively, of non-cash operating expenses, such as depreciation and amortization and accruals for employee benefit programs. The Company expects to bill and collect a high percentage of its unbilled receivable and anticipates it will generate positive cash flow from operating activities for the balance of fiscal year 2016.</w:t>
      </w:r>
    </w:p>
    <w:p>
      <w:pPr>
        <w:spacing w:after="0" w:line="160" w:lineRule="exact"/>
        <w:rPr>
          <w:sz w:val="20"/>
          <w:szCs w:val="20"/>
          <w:color w:val="auto"/>
        </w:rPr>
      </w:pPr>
    </w:p>
    <w:p>
      <w:pPr>
        <w:jc w:val="both"/>
        <w:ind w:firstLine="354"/>
        <w:spacing w:after="0" w:line="312" w:lineRule="auto"/>
        <w:rPr>
          <w:sz w:val="20"/>
          <w:szCs w:val="20"/>
          <w:color w:val="auto"/>
        </w:rPr>
      </w:pPr>
      <w:r>
        <w:rPr>
          <w:rFonts w:ascii="Arial" w:cs="Arial" w:eastAsia="Arial" w:hAnsi="Arial"/>
          <w:sz w:val="11"/>
          <w:szCs w:val="11"/>
          <w:color w:val="auto"/>
        </w:rPr>
        <w:t>Net cash used in investing activities for the six months ended October 31, 2015, was $767,000 compared to $408,000 used in the same period of fiscal year 2015. During the fiscal year 2016 period, marketable securities were sold or redeemed in the amount of $713,000 compared to $4.1 million of such redemptions during the fiscal year 2015 period. Some of these proceeds and other cash were reinvested in additional marketable securities for the periods ended October 31, 2015 and 2014 in the amount of $172,000 and $1.4 million, respectively. In the fiscal periods ended October 31, 2015 and 2014, the Company acquired property, plant and equipment in the amount of approximately $1.3 million and $3.1 million,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expects to spend between $3.0 million and $3.5 million on capital equipment during fiscal year 2016. Internally generated cash or additional borrowings under the Company’s credit facility will be used to acquire this level of capital equipment.</w:t>
      </w:r>
    </w:p>
    <w:p>
      <w:pPr>
        <w:spacing w:after="0" w:line="134" w:lineRule="exact"/>
        <w:rPr>
          <w:sz w:val="20"/>
          <w:szCs w:val="20"/>
          <w:color w:val="auto"/>
        </w:rPr>
      </w:pPr>
    </w:p>
    <w:p>
      <w:pPr>
        <w:jc w:val="both"/>
        <w:ind w:firstLine="354"/>
        <w:spacing w:after="0" w:line="260" w:lineRule="auto"/>
        <w:rPr>
          <w:sz w:val="20"/>
          <w:szCs w:val="20"/>
          <w:color w:val="auto"/>
        </w:rPr>
      </w:pPr>
      <w:r>
        <w:rPr>
          <w:rFonts w:ascii="Arial" w:cs="Arial" w:eastAsia="Arial" w:hAnsi="Arial"/>
          <w:sz w:val="13"/>
          <w:szCs w:val="13"/>
          <w:color w:val="auto"/>
        </w:rPr>
        <w:t>Net cash provided by financing activities for the six months ended October 31, 2015 and 2014 was $9,000 and $1.3 million, respectively. For the six months ended October 31, 2015 and 2014, the Company realized $9,000 and $29,000, respectively, from the tax benefits arising from the exercise of stock-based awards. In the fiscal year 2015 period, the Company borrowed $2.3 million under its credit facility with a bank and also repaid $1.0 million of such borrowings. Such funds were used for working capital and to finance the acquisition of certain fixed assets. There were no additional borrowings or repayments during fiscal year 2016.</w:t>
      </w:r>
    </w:p>
    <w:p>
      <w:pPr>
        <w:spacing w:after="0" w:line="158"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October 31, 2015, the Company has repurchased approximately $4 million of its common stock out of the $5 million authorization. For the six month periods ended October 31, 2015 and 2014, there were no repurchase of shares.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18" w:name="page19"/>
    <w:bookmarkEnd w:id="1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FREQUENCY ELECTRONICS,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(Continued)</w:t>
      </w:r>
    </w:p>
    <w:p>
      <w:pPr>
        <w:spacing w:after="0" w:line="177" w:lineRule="exact"/>
        <w:rPr>
          <w:sz w:val="20"/>
          <w:szCs w:val="20"/>
          <w:color w:val="auto"/>
        </w:rPr>
      </w:pPr>
    </w:p>
    <w:p>
      <w:pPr>
        <w:jc w:val="both"/>
        <w:ind w:firstLine="354"/>
        <w:spacing w:after="0" w:line="285" w:lineRule="auto"/>
        <w:rPr>
          <w:sz w:val="20"/>
          <w:szCs w:val="20"/>
          <w:color w:val="auto"/>
        </w:rPr>
      </w:pPr>
      <w:r>
        <w:rPr>
          <w:rFonts w:ascii="Arial" w:cs="Arial" w:eastAsia="Arial" w:hAnsi="Arial"/>
          <w:sz w:val="12"/>
          <w:szCs w:val="12"/>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2016,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44" w:lineRule="exact"/>
        <w:rPr>
          <w:sz w:val="20"/>
          <w:szCs w:val="20"/>
          <w:color w:val="auto"/>
        </w:rPr>
      </w:pPr>
    </w:p>
    <w:p>
      <w:pPr>
        <w:jc w:val="both"/>
        <w:ind w:firstLine="354"/>
        <w:spacing w:after="0" w:line="260" w:lineRule="auto"/>
        <w:rPr>
          <w:sz w:val="20"/>
          <w:szCs w:val="20"/>
          <w:color w:val="auto"/>
        </w:rPr>
      </w:pPr>
      <w:r>
        <w:rPr>
          <w:rFonts w:ascii="Arial" w:cs="Arial" w:eastAsia="Arial" w:hAnsi="Arial"/>
          <w:sz w:val="13"/>
          <w:szCs w:val="13"/>
          <w:color w:val="auto"/>
        </w:rPr>
        <w:t>As of October 31, 2015, the Company's consolidated funded backlog is approximately $23 million compared to $37 million at April 30, 2015, the end of fiscal year 2015. Approximately 75% of this backlog is expected to be realized in the next twelve months. Included in the backlog at October 31, 2015 is approximately $1.4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Company believes that its liquidity is adequate to meet its operating and investment needs through at least December 15, 2016.</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3"/>
          <w:szCs w:val="13"/>
          <w:b w:val="1"/>
          <w:bCs w:val="1"/>
          <w:u w:val="single" w:color="auto"/>
          <w:color w:val="auto"/>
        </w:rPr>
        <w:t>Off-Balance Sheet Arrangements</w:t>
      </w:r>
    </w:p>
    <w:p>
      <w:pPr>
        <w:spacing w:after="0" w:line="189" w:lineRule="exact"/>
        <w:rPr>
          <w:sz w:val="20"/>
          <w:szCs w:val="20"/>
          <w:color w:val="auto"/>
        </w:rPr>
      </w:pPr>
    </w:p>
    <w:p>
      <w:pPr>
        <w:jc w:val="both"/>
        <w:ind w:firstLine="354"/>
        <w:spacing w:after="0" w:line="276" w:lineRule="auto"/>
        <w:rPr>
          <w:sz w:val="20"/>
          <w:szCs w:val="20"/>
          <w:color w:val="auto"/>
        </w:rPr>
      </w:pPr>
      <w:r>
        <w:rPr>
          <w:rFonts w:ascii="Arial" w:cs="Arial" w:eastAsia="Arial" w:hAnsi="Arial"/>
          <w:sz w:val="13"/>
          <w:szCs w:val="13"/>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3. </w:t>
      </w:r>
      <w:r>
        <w:rPr>
          <w:rFonts w:ascii="Arial" w:cs="Arial" w:eastAsia="Arial" w:hAnsi="Arial"/>
          <w:sz w:val="13"/>
          <w:szCs w:val="13"/>
          <w:b w:val="1"/>
          <w:bCs w:val="1"/>
          <w:u w:val="single" w:color="auto"/>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4. </w:t>
      </w:r>
      <w:r>
        <w:rPr>
          <w:rFonts w:ascii="Arial" w:cs="Arial" w:eastAsia="Arial" w:hAnsi="Arial"/>
          <w:sz w:val="13"/>
          <w:szCs w:val="13"/>
          <w:b w:val="1"/>
          <w:bCs w:val="1"/>
          <w:u w:val="single" w:color="auto"/>
          <w:color w:val="auto"/>
        </w:rPr>
        <w:t>Controls and Procedures</w:t>
      </w:r>
    </w:p>
    <w:p>
      <w:pPr>
        <w:spacing w:after="0" w:line="189"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3"/>
          <w:szCs w:val="13"/>
          <w:u w:val="single" w:color="auto"/>
          <w:color w:val="auto"/>
        </w:rPr>
        <w:t>Disclosure Controls and Procedures</w:t>
      </w:r>
      <w:r>
        <w:rPr>
          <w:rFonts w:ascii="Arial" w:cs="Arial" w:eastAsia="Arial" w:hAnsi="Arial"/>
          <w:sz w:val="13"/>
          <w:szCs w:val="13"/>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October 31, 2015,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62" w:lineRule="exact"/>
        <w:rPr>
          <w:sz w:val="20"/>
          <w:szCs w:val="20"/>
          <w:color w:val="auto"/>
        </w:rPr>
      </w:pPr>
    </w:p>
    <w:p>
      <w:pPr>
        <w:jc w:val="both"/>
        <w:ind w:firstLine="354"/>
        <w:spacing w:after="0" w:line="264" w:lineRule="auto"/>
        <w:rPr>
          <w:sz w:val="20"/>
          <w:szCs w:val="20"/>
          <w:color w:val="auto"/>
        </w:rPr>
      </w:pPr>
      <w:r>
        <w:rPr>
          <w:rFonts w:ascii="Arial" w:cs="Arial" w:eastAsia="Arial" w:hAnsi="Arial"/>
          <w:sz w:val="13"/>
          <w:szCs w:val="13"/>
          <w:u w:val="single" w:color="auto"/>
          <w:color w:val="auto"/>
        </w:rPr>
        <w:t>Changes in Internal Control Over Financial Reporting</w:t>
      </w:r>
      <w:r>
        <w:rPr>
          <w:rFonts w:ascii="Arial" w:cs="Arial" w:eastAsia="Arial" w:hAnsi="Arial"/>
          <w:sz w:val="13"/>
          <w:szCs w:val="13"/>
          <w:color w:val="auto"/>
        </w:rPr>
        <w:t>. There were no changes in the Company’s internal control over financial reporting (as such term is defined in Rules 13a-15(f) and 15d-15(f) under the Exchange Act) during the six months ended October 31, 2015 to which this report relates that have materially affected, or are reasonably likely to materially affect, the Company’s internal control over financial reporting.</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15"/>
        </w:trPr>
        <w:tc>
          <w:tcPr>
            <w:tcW w:w="1260" w:type="dxa"/>
            <w:vAlign w:val="bottom"/>
            <w:gridSpan w:val="4"/>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30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323"/>
        </w:trPr>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00" w:type="dxa"/>
            <w:vAlign w:val="bottom"/>
            <w:gridSpan w:val="2"/>
          </w:tcPr>
          <w:p>
            <w:pPr>
              <w:ind w:left="2940"/>
              <w:spacing w:after="0"/>
              <w:rPr>
                <w:sz w:val="20"/>
                <w:szCs w:val="20"/>
                <w:color w:val="auto"/>
              </w:rPr>
            </w:pPr>
            <w:r>
              <w:rPr>
                <w:rFonts w:ascii="Arial" w:cs="Arial" w:eastAsia="Arial" w:hAnsi="Arial"/>
                <w:sz w:val="13"/>
                <w:szCs w:val="13"/>
                <w:b w:val="1"/>
                <w:bCs w:val="1"/>
                <w:color w:val="auto"/>
              </w:rPr>
              <w:t>PART II. OTHER INFORMATION</w:t>
            </w:r>
          </w:p>
        </w:tc>
      </w:tr>
      <w:tr>
        <w:trPr>
          <w:trHeight w:val="306"/>
        </w:trPr>
        <w:tc>
          <w:tcPr>
            <w:tcW w:w="1260" w:type="dxa"/>
            <w:vAlign w:val="bottom"/>
            <w:gridSpan w:val="4"/>
          </w:tcPr>
          <w:p>
            <w:pPr>
              <w:spacing w:after="0"/>
              <w:rPr>
                <w:sz w:val="20"/>
                <w:szCs w:val="20"/>
                <w:color w:val="auto"/>
              </w:rPr>
            </w:pPr>
            <w:r>
              <w:rPr>
                <w:rFonts w:ascii="Arial" w:cs="Arial" w:eastAsia="Arial" w:hAnsi="Arial"/>
                <w:sz w:val="13"/>
                <w:szCs w:val="13"/>
                <w:b w:val="1"/>
                <w:bCs w:val="1"/>
                <w:color w:val="auto"/>
              </w:rPr>
              <w:t>Item 6. Exhibits</w:t>
            </w:r>
          </w:p>
        </w:tc>
        <w:tc>
          <w:tcPr>
            <w:tcW w:w="30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4"/>
        </w:trPr>
        <w:tc>
          <w:tcPr>
            <w:tcW w:w="740" w:type="dxa"/>
            <w:vAlign w:val="bottom"/>
            <w:gridSpan w:val="2"/>
          </w:tcPr>
          <w:p>
            <w:pPr>
              <w:ind w:left="360"/>
              <w:spacing w:after="0"/>
              <w:rPr>
                <w:sz w:val="20"/>
                <w:szCs w:val="20"/>
                <w:color w:val="auto"/>
              </w:rPr>
            </w:pPr>
            <w:r>
              <w:rPr>
                <w:rFonts w:ascii="Arial" w:cs="Arial" w:eastAsia="Arial" w:hAnsi="Arial"/>
                <w:sz w:val="13"/>
                <w:szCs w:val="13"/>
                <w:color w:val="auto"/>
              </w:rPr>
              <w:t>31.1 -</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0" w:type="dxa"/>
            <w:vAlign w:val="bottom"/>
            <w:tcBorders>
              <w:bottom w:val="single" w:sz="8" w:color="0000EE"/>
            </w:tcBorders>
            <w:gridSpan w:val="3"/>
          </w:tcPr>
          <w:p>
            <w:pPr>
              <w:spacing w:after="0"/>
              <w:rPr>
                <w:rFonts w:ascii="Arial" w:cs="Arial" w:eastAsia="Arial" w:hAnsi="Arial"/>
                <w:sz w:val="13"/>
                <w:szCs w:val="13"/>
                <w:color w:val="0000EE"/>
                <w:w w:val="91"/>
              </w:rPr>
            </w:pPr>
            <w:hyperlink w:anchor="page23">
              <w:r>
                <w:rPr>
                  <w:rFonts w:ascii="Arial" w:cs="Arial" w:eastAsia="Arial" w:hAnsi="Arial"/>
                  <w:sz w:val="13"/>
                  <w:szCs w:val="13"/>
                  <w:color w:val="0000EE"/>
                  <w:w w:val="91"/>
                </w:rPr>
                <w:t>Certification by the Chief Executive Officer pursuant to Rule 13a-14(a) or 15d-14(a) under the Securities Exchange Act of 1934, as adopted pursuant to Section 302 of the Sarbanes-Oxley Act of</w:t>
              </w:r>
            </w:hyperlink>
          </w:p>
        </w:tc>
      </w:tr>
      <w:tr>
        <w:trPr>
          <w:trHeight w:val="137"/>
        </w:trPr>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23">
              <w:r>
                <w:rPr>
                  <w:rFonts w:ascii="Arial" w:cs="Arial" w:eastAsia="Arial" w:hAnsi="Arial"/>
                  <w:sz w:val="13"/>
                  <w:szCs w:val="13"/>
                  <w:color w:val="0000EE"/>
                  <w:w w:val="85"/>
                </w:rPr>
                <w:t>2002.</w:t>
              </w:r>
            </w:hyperlink>
          </w:p>
        </w:tc>
        <w:tc>
          <w:tcPr>
            <w:tcW w:w="9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95"/>
        </w:trPr>
        <w:tc>
          <w:tcPr>
            <w:tcW w:w="740" w:type="dxa"/>
            <w:vAlign w:val="bottom"/>
            <w:gridSpan w:val="2"/>
          </w:tcPr>
          <w:p>
            <w:pPr>
              <w:ind w:left="360"/>
              <w:spacing w:after="0"/>
              <w:rPr>
                <w:sz w:val="20"/>
                <w:szCs w:val="20"/>
                <w:color w:val="auto"/>
              </w:rPr>
            </w:pPr>
            <w:r>
              <w:rPr>
                <w:rFonts w:ascii="Arial" w:cs="Arial" w:eastAsia="Arial" w:hAnsi="Arial"/>
                <w:sz w:val="13"/>
                <w:szCs w:val="13"/>
                <w:color w:val="auto"/>
              </w:rPr>
              <w:t>31.2 -</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0" w:type="dxa"/>
            <w:vAlign w:val="bottom"/>
            <w:tcBorders>
              <w:bottom w:val="single" w:sz="8" w:color="0000EE"/>
            </w:tcBorders>
            <w:gridSpan w:val="3"/>
          </w:tcPr>
          <w:p>
            <w:pPr>
              <w:spacing w:after="0"/>
              <w:rPr>
                <w:rFonts w:ascii="Arial" w:cs="Arial" w:eastAsia="Arial" w:hAnsi="Arial"/>
                <w:sz w:val="13"/>
                <w:szCs w:val="13"/>
                <w:color w:val="0000EE"/>
                <w:w w:val="92"/>
              </w:rPr>
            </w:pPr>
            <w:hyperlink w:anchor="page25">
              <w:r>
                <w:rPr>
                  <w:rFonts w:ascii="Arial" w:cs="Arial" w:eastAsia="Arial" w:hAnsi="Arial"/>
                  <w:sz w:val="13"/>
                  <w:szCs w:val="13"/>
                  <w:color w:val="0000EE"/>
                  <w:w w:val="92"/>
                </w:rPr>
                <w:t>Certification by the Chief Financial Officer pursuant to Rule 13a-14(a) or 15d-14(a) under the Securities Exchange Act of 1934, as adopted pursuant to Section 302 of the Sarbanes-Oxley Act of</w:t>
              </w:r>
            </w:hyperlink>
          </w:p>
        </w:tc>
      </w:tr>
      <w:tr>
        <w:trPr>
          <w:trHeight w:val="137"/>
        </w:trPr>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25">
              <w:r>
                <w:rPr>
                  <w:rFonts w:ascii="Arial" w:cs="Arial" w:eastAsia="Arial" w:hAnsi="Arial"/>
                  <w:sz w:val="13"/>
                  <w:szCs w:val="13"/>
                  <w:color w:val="0000EE"/>
                  <w:w w:val="85"/>
                </w:rPr>
                <w:t>2002.</w:t>
              </w:r>
            </w:hyperlink>
          </w:p>
        </w:tc>
        <w:tc>
          <w:tcPr>
            <w:tcW w:w="9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95"/>
        </w:trPr>
        <w:tc>
          <w:tcPr>
            <w:tcW w:w="740" w:type="dxa"/>
            <w:vAlign w:val="bottom"/>
            <w:gridSpan w:val="2"/>
          </w:tcPr>
          <w:p>
            <w:pPr>
              <w:ind w:left="360"/>
              <w:spacing w:after="0"/>
              <w:rPr>
                <w:sz w:val="20"/>
                <w:szCs w:val="20"/>
                <w:color w:val="auto"/>
              </w:rPr>
            </w:pPr>
            <w:r>
              <w:rPr>
                <w:rFonts w:ascii="Arial" w:cs="Arial" w:eastAsia="Arial" w:hAnsi="Arial"/>
                <w:sz w:val="13"/>
                <w:szCs w:val="13"/>
                <w:color w:val="auto"/>
              </w:rPr>
              <w:t>32 -</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20" w:type="dxa"/>
            <w:vAlign w:val="bottom"/>
            <w:tcBorders>
              <w:bottom w:val="single" w:sz="8" w:color="0000EE"/>
            </w:tcBorders>
            <w:gridSpan w:val="2"/>
          </w:tcPr>
          <w:p>
            <w:pPr>
              <w:spacing w:after="0"/>
              <w:rPr>
                <w:rFonts w:ascii="Arial" w:cs="Arial" w:eastAsia="Arial" w:hAnsi="Arial"/>
                <w:sz w:val="13"/>
                <w:szCs w:val="13"/>
                <w:color w:val="0000EE"/>
                <w:w w:val="91"/>
              </w:rPr>
            </w:pPr>
            <w:hyperlink w:anchor="page27">
              <w:r>
                <w:rPr>
                  <w:rFonts w:ascii="Arial" w:cs="Arial" w:eastAsia="Arial" w:hAnsi="Arial"/>
                  <w:sz w:val="13"/>
                  <w:szCs w:val="13"/>
                  <w:color w:val="0000EE"/>
                  <w:w w:val="91"/>
                </w:rPr>
                <w:t>Certifications by the Chief Executive Officer and Chief Financial Officer pursuant to 18 U.S.C. Section 1350, as adopted pursuant to Section 906 of the Sarbanes-Oxley Act of 2002.</w:t>
              </w:r>
            </w:hyperlink>
          </w:p>
        </w:tc>
        <w:tc>
          <w:tcPr>
            <w:tcW w:w="680" w:type="dxa"/>
            <w:vAlign w:val="bottom"/>
          </w:tcPr>
          <w:p>
            <w:pPr>
              <w:spacing w:after="0"/>
              <w:rPr>
                <w:sz w:val="24"/>
                <w:szCs w:val="24"/>
                <w:color w:val="auto"/>
              </w:rPr>
            </w:pPr>
          </w:p>
        </w:tc>
      </w:tr>
      <w:tr>
        <w:trPr>
          <w:trHeight w:val="315"/>
        </w:trPr>
        <w:tc>
          <w:tcPr>
            <w:tcW w:w="740" w:type="dxa"/>
            <w:vAlign w:val="bottom"/>
            <w:gridSpan w:val="2"/>
          </w:tcPr>
          <w:p>
            <w:pPr>
              <w:ind w:left="360"/>
              <w:spacing w:after="0"/>
              <w:rPr>
                <w:sz w:val="20"/>
                <w:szCs w:val="20"/>
                <w:color w:val="auto"/>
              </w:rPr>
            </w:pPr>
            <w:r>
              <w:rPr>
                <w:rFonts w:ascii="Arial" w:cs="Arial" w:eastAsia="Arial" w:hAnsi="Arial"/>
                <w:sz w:val="13"/>
                <w:szCs w:val="13"/>
                <w:color w:val="auto"/>
              </w:rPr>
              <w:t>101-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Arial" w:cs="Arial" w:eastAsia="Arial" w:hAnsi="Arial"/>
                <w:sz w:val="13"/>
                <w:szCs w:val="13"/>
                <w:color w:val="auto"/>
                <w:w w:val="94"/>
              </w:rPr>
              <w:t>The following materials from the Frequency Electronics, Inc. Quarterly Report on Form 10-Q for the quarter ended October 31, 2015 formatted in eXtensible Business Reporting Language</w:t>
            </w:r>
          </w:p>
        </w:tc>
      </w:tr>
      <w:tr>
        <w:trPr>
          <w:trHeight w:val="157"/>
        </w:trPr>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0" w:type="dxa"/>
            <w:vAlign w:val="bottom"/>
            <w:gridSpan w:val="3"/>
          </w:tcPr>
          <w:p>
            <w:pPr>
              <w:spacing w:after="0"/>
              <w:rPr>
                <w:sz w:val="20"/>
                <w:szCs w:val="20"/>
                <w:color w:val="auto"/>
              </w:rPr>
            </w:pPr>
            <w:r>
              <w:rPr>
                <w:rFonts w:ascii="Arial" w:cs="Arial" w:eastAsia="Arial" w:hAnsi="Arial"/>
                <w:sz w:val="13"/>
                <w:szCs w:val="13"/>
                <w:color w:val="auto"/>
                <w:w w:val="92"/>
              </w:rPr>
              <w:t>(XBRL): (i) Condensed Consolidated Balance Sheets, (ii) Condensed Consolidated Statements of Income and Comprehensive Income, (iii) Condensed Consolidated Statements of Cash Flows</w:t>
            </w:r>
          </w:p>
        </w:tc>
      </w:tr>
      <w:tr>
        <w:trPr>
          <w:trHeight w:val="165"/>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0" w:type="dxa"/>
            <w:vAlign w:val="bottom"/>
            <w:gridSpan w:val="3"/>
          </w:tcPr>
          <w:p>
            <w:pPr>
              <w:spacing w:after="0"/>
              <w:rPr>
                <w:sz w:val="20"/>
                <w:szCs w:val="20"/>
                <w:color w:val="auto"/>
              </w:rPr>
            </w:pPr>
            <w:r>
              <w:rPr>
                <w:rFonts w:ascii="Arial" w:cs="Arial" w:eastAsia="Arial" w:hAnsi="Arial"/>
                <w:sz w:val="13"/>
                <w:szCs w:val="13"/>
                <w:color w:val="auto"/>
              </w:rPr>
              <w:t>and (iv) Notes to Condensed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20" w:name="page21"/>
    <w:bookmarkEnd w:id="2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71"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SIGNATURES</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FREQUENCY ELECTRONICS,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(Registrant)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20"/>
                <w:szCs w:val="20"/>
                <w:color w:val="auto"/>
              </w:rPr>
            </w:pPr>
            <w:r>
              <w:rPr>
                <w:rFonts w:ascii="Arial" w:cs="Arial" w:eastAsia="Arial" w:hAnsi="Arial"/>
                <w:sz w:val="13"/>
                <w:szCs w:val="13"/>
                <w:color w:val="auto"/>
              </w:rPr>
              <w:t>Date: December 15, 2015</w:t>
            </w:r>
          </w:p>
        </w:tc>
        <w:tc>
          <w:tcPr>
            <w:tcW w:w="4480" w:type="dxa"/>
            <w:vAlign w:val="bottom"/>
            <w:gridSpan w:val="3"/>
          </w:tcPr>
          <w:p>
            <w:pPr>
              <w:ind w:left="1120"/>
              <w:spacing w:after="0"/>
              <w:rPr>
                <w:sz w:val="20"/>
                <w:szCs w:val="20"/>
                <w:color w:val="auto"/>
              </w:rPr>
            </w:pPr>
            <w:r>
              <w:rPr>
                <w:rFonts w:ascii="Arial" w:cs="Arial" w:eastAsia="Arial" w:hAnsi="Arial"/>
                <w:sz w:val="13"/>
                <w:szCs w:val="13"/>
                <w:color w:val="auto"/>
              </w:rPr>
              <w:t>BY  /s/  Alan Miller</w:t>
            </w:r>
          </w:p>
        </w:tc>
        <w:tc>
          <w:tcPr>
            <w:tcW w:w="0" w:type="dxa"/>
            <w:vAlign w:val="bottom"/>
          </w:tcPr>
          <w:p>
            <w:pPr>
              <w:spacing w:after="0"/>
              <w:rPr>
                <w:sz w:val="1"/>
                <w:szCs w:val="1"/>
                <w:color w:val="auto"/>
              </w:rPr>
            </w:pPr>
          </w:p>
        </w:tc>
      </w:tr>
      <w:tr>
        <w:trPr>
          <w:trHeight w:val="158"/>
        </w:trPr>
        <w:tc>
          <w:tcPr>
            <w:tcW w:w="2940" w:type="dxa"/>
            <w:vAlign w:val="bottom"/>
          </w:tcPr>
          <w:p>
            <w:pPr>
              <w:spacing w:after="0"/>
              <w:rPr>
                <w:sz w:val="20"/>
                <w:szCs w:val="20"/>
                <w:color w:val="auto"/>
              </w:rPr>
            </w:pPr>
            <w:r>
              <w:rPr>
                <w:rFonts w:ascii="Arial" w:cs="Arial" w:eastAsia="Arial" w:hAnsi="Arial"/>
                <w:sz w:val="13"/>
                <w:szCs w:val="13"/>
                <w:color w:val="auto"/>
              </w:rPr>
              <w:t>Alan Miller</w:t>
            </w:r>
          </w:p>
        </w:tc>
        <w:tc>
          <w:tcPr>
            <w:tcW w:w="1340" w:type="dxa"/>
            <w:vAlign w:val="bottom"/>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20"/>
                <w:szCs w:val="20"/>
                <w:color w:val="auto"/>
              </w:rPr>
            </w:pPr>
            <w:r>
              <w:rPr>
                <w:rFonts w:ascii="Arial" w:cs="Arial" w:eastAsia="Arial" w:hAnsi="Arial"/>
                <w:sz w:val="13"/>
                <w:szCs w:val="13"/>
                <w:color w:val="auto"/>
              </w:rPr>
              <w:t>Chief Financial Officer and Treasurer</w:t>
            </w:r>
          </w:p>
        </w:tc>
        <w:tc>
          <w:tcPr>
            <w:tcW w:w="4480" w:type="dxa"/>
            <w:vAlign w:val="bottom"/>
            <w:gridSpan w:val="3"/>
            <w:vMerge w:val="restart"/>
          </w:tcPr>
          <w:p>
            <w:pPr>
              <w:ind w:left="960"/>
              <w:spacing w:after="0"/>
              <w:rPr>
                <w:sz w:val="20"/>
                <w:szCs w:val="20"/>
                <w:color w:val="auto"/>
              </w:rPr>
            </w:pPr>
            <w:r>
              <w:rPr>
                <w:rFonts w:ascii="Arial" w:cs="Arial" w:eastAsia="Arial" w:hAnsi="Arial"/>
                <w:sz w:val="13"/>
                <w:szCs w:val="13"/>
                <w:color w:val="auto"/>
                <w:w w:val="92"/>
              </w:rPr>
              <w:t>Signing on behalf of the registrant and as principal financial officer</w:t>
            </w:r>
          </w:p>
        </w:tc>
        <w:tc>
          <w:tcPr>
            <w:tcW w:w="0" w:type="dxa"/>
            <w:vAlign w:val="bottom"/>
          </w:tcPr>
          <w:p>
            <w:pPr>
              <w:spacing w:after="0"/>
              <w:rPr>
                <w:sz w:val="1"/>
                <w:szCs w:val="1"/>
                <w:color w:val="auto"/>
              </w:rPr>
            </w:pPr>
          </w:p>
        </w:tc>
      </w:tr>
      <w:tr>
        <w:trPr>
          <w:trHeight w:val="157"/>
        </w:trPr>
        <w:tc>
          <w:tcPr>
            <w:tcW w:w="2940" w:type="dxa"/>
            <w:vAlign w:val="bottom"/>
          </w:tcPr>
          <w:p>
            <w:pPr>
              <w:spacing w:after="0"/>
              <w:rPr>
                <w:sz w:val="13"/>
                <w:szCs w:val="13"/>
                <w:color w:val="auto"/>
              </w:rPr>
            </w:pPr>
          </w:p>
        </w:tc>
        <w:tc>
          <w:tcPr>
            <w:tcW w:w="4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21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125" w:right="1440"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3"/>
          <w:szCs w:val="13"/>
          <w:color w:val="auto"/>
        </w:rPr>
        <w:t>Exhibit 31.1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SARBANES-OXLEY ACT OF 2002</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3"/>
          <w:szCs w:val="13"/>
          <w:color w:val="auto"/>
        </w:rPr>
        <w:t>I, Martin Bloch, certify that:</w:t>
      </w:r>
    </w:p>
    <w:p>
      <w:pPr>
        <w:spacing w:after="0" w:line="185" w:lineRule="exact"/>
        <w:rPr>
          <w:sz w:val="20"/>
          <w:szCs w:val="20"/>
          <w:color w:val="auto"/>
        </w:rPr>
      </w:pPr>
    </w:p>
    <w:p>
      <w:pPr>
        <w:ind w:left="161" w:hanging="161"/>
        <w:spacing w:after="0"/>
        <w:tabs>
          <w:tab w:leader="none" w:pos="161" w:val="left"/>
        </w:tabs>
        <w:numPr>
          <w:ilvl w:val="0"/>
          <w:numId w:val="4"/>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Frequency Electronics, Inc.;</w:t>
      </w:r>
    </w:p>
    <w:p>
      <w:pPr>
        <w:spacing w:after="0" w:line="184" w:lineRule="exact"/>
        <w:rPr>
          <w:rFonts w:ascii="Arial" w:cs="Arial" w:eastAsia="Arial" w:hAnsi="Arial"/>
          <w:sz w:val="13"/>
          <w:szCs w:val="13"/>
          <w:color w:val="auto"/>
        </w:rPr>
      </w:pPr>
    </w:p>
    <w:p>
      <w:pPr>
        <w:ind w:left="1" w:hanging="1"/>
        <w:spacing w:after="0" w:line="276"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3"/>
          <w:szCs w:val="13"/>
          <w:color w:val="auto"/>
        </w:rPr>
      </w:pPr>
    </w:p>
    <w:p>
      <w:pPr>
        <w:ind w:left="1" w:hanging="1"/>
        <w:spacing w:after="0" w:line="276" w:lineRule="auto"/>
        <w:tabs>
          <w:tab w:leader="none" w:pos="187"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3"/>
          <w:szCs w:val="13"/>
          <w:color w:val="auto"/>
        </w:rPr>
      </w:pPr>
    </w:p>
    <w:p>
      <w:pPr>
        <w:ind w:left="1" w:hanging="1"/>
        <w:spacing w:after="0" w:line="276" w:lineRule="auto"/>
        <w:tabs>
          <w:tab w:leader="none" w:pos="174"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3"/>
          <w:szCs w:val="13"/>
          <w:color w:val="auto"/>
        </w:rPr>
      </w:pPr>
    </w:p>
    <w:p>
      <w:pPr>
        <w:ind w:left="481" w:hanging="10"/>
        <w:spacing w:after="0" w:line="276" w:lineRule="auto"/>
        <w:tabs>
          <w:tab w:leader="none" w:pos="714" w:val="left"/>
        </w:tabs>
        <w:numPr>
          <w:ilvl w:val="1"/>
          <w:numId w:val="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3"/>
          <w:szCs w:val="13"/>
          <w:color w:val="auto"/>
        </w:rPr>
      </w:pPr>
    </w:p>
    <w:p>
      <w:pPr>
        <w:ind w:left="481" w:hanging="10"/>
        <w:spacing w:after="0" w:line="276" w:lineRule="auto"/>
        <w:tabs>
          <w:tab w:leader="none" w:pos="738" w:val="left"/>
        </w:tabs>
        <w:numPr>
          <w:ilvl w:val="1"/>
          <w:numId w:val="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3"/>
          <w:szCs w:val="13"/>
          <w:color w:val="auto"/>
        </w:rPr>
      </w:pPr>
    </w:p>
    <w:p>
      <w:pPr>
        <w:ind w:left="481" w:hanging="10"/>
        <w:spacing w:after="0" w:line="276" w:lineRule="auto"/>
        <w:tabs>
          <w:tab w:leader="none" w:pos="698" w:val="left"/>
        </w:tabs>
        <w:numPr>
          <w:ilvl w:val="1"/>
          <w:numId w:val="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3"/>
          <w:szCs w:val="13"/>
          <w:color w:val="auto"/>
        </w:rPr>
      </w:pPr>
    </w:p>
    <w:p>
      <w:pPr>
        <w:ind w:left="481" w:hanging="10"/>
        <w:spacing w:after="0" w:line="276" w:lineRule="auto"/>
        <w:tabs>
          <w:tab w:leader="none" w:pos="706" w:val="left"/>
        </w:tabs>
        <w:numPr>
          <w:ilvl w:val="1"/>
          <w:numId w:val="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3"/>
          <w:szCs w:val="13"/>
          <w:color w:val="auto"/>
        </w:rPr>
      </w:pPr>
    </w:p>
    <w:p>
      <w:pPr>
        <w:ind w:left="1" w:hanging="1"/>
        <w:spacing w:after="0" w:line="276" w:lineRule="auto"/>
        <w:tabs>
          <w:tab w:leader="none" w:pos="172"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3"/>
          <w:szCs w:val="13"/>
          <w:color w:val="auto"/>
        </w:rPr>
      </w:pPr>
    </w:p>
    <w:p>
      <w:pPr>
        <w:ind w:left="481" w:hanging="10"/>
        <w:spacing w:after="0" w:line="276" w:lineRule="auto"/>
        <w:tabs>
          <w:tab w:leader="none" w:pos="701" w:val="left"/>
        </w:tabs>
        <w:numPr>
          <w:ilvl w:val="1"/>
          <w:numId w:val="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3"/>
          <w:szCs w:val="13"/>
          <w:color w:val="auto"/>
        </w:rPr>
      </w:pPr>
    </w:p>
    <w:p>
      <w:pPr>
        <w:ind w:left="681" w:hanging="210"/>
        <w:spacing w:after="0"/>
        <w:tabs>
          <w:tab w:leader="none" w:pos="681" w:val="left"/>
        </w:tabs>
        <w:numPr>
          <w:ilvl w:val="1"/>
          <w:numId w:val="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Martin Bloch</w:t>
            </w:r>
          </w:p>
        </w:tc>
        <w:tc>
          <w:tcPr>
            <w:tcW w:w="9820" w:type="dxa"/>
            <w:vAlign w:val="bottom"/>
          </w:tcPr>
          <w:p>
            <w:pPr>
              <w:ind w:left="2360"/>
              <w:spacing w:after="0"/>
              <w:rPr>
                <w:sz w:val="20"/>
                <w:szCs w:val="20"/>
                <w:color w:val="auto"/>
              </w:rPr>
            </w:pPr>
            <w:r>
              <w:rPr>
                <w:rFonts w:ascii="Arial" w:cs="Arial" w:eastAsia="Arial" w:hAnsi="Arial"/>
                <w:sz w:val="13"/>
                <w:szCs w:val="13"/>
                <w:color w:val="auto"/>
              </w:rPr>
              <w:t>December 15, 2015</w:t>
            </w:r>
          </w:p>
        </w:tc>
      </w:tr>
      <w:tr>
        <w:trPr>
          <w:trHeight w:val="158"/>
        </w:trPr>
        <w:tc>
          <w:tcPr>
            <w:tcW w:w="1640" w:type="dxa"/>
            <w:vAlign w:val="bottom"/>
            <w:gridSpan w:val="2"/>
          </w:tcPr>
          <w:p>
            <w:pPr>
              <w:spacing w:after="0"/>
              <w:rPr>
                <w:sz w:val="20"/>
                <w:szCs w:val="20"/>
                <w:color w:val="auto"/>
              </w:rPr>
            </w:pPr>
            <w:r>
              <w:rPr>
                <w:rFonts w:ascii="Arial" w:cs="Arial" w:eastAsia="Arial" w:hAnsi="Arial"/>
                <w:sz w:val="13"/>
                <w:szCs w:val="13"/>
                <w:color w:val="auto"/>
              </w:rPr>
              <w:t>Martin Bloch</w:t>
            </w:r>
          </w:p>
        </w:tc>
        <w:tc>
          <w:tcPr>
            <w:tcW w:w="9820" w:type="dxa"/>
            <w:vAlign w:val="bottom"/>
          </w:tcPr>
          <w:p>
            <w:pPr>
              <w:spacing w:after="0"/>
              <w:rPr>
                <w:sz w:val="13"/>
                <w:szCs w:val="13"/>
                <w:color w:val="auto"/>
              </w:rPr>
            </w:pPr>
          </w:p>
        </w:tc>
      </w:tr>
      <w:tr>
        <w:trPr>
          <w:trHeight w:val="165"/>
        </w:trPr>
        <w:tc>
          <w:tcPr>
            <w:tcW w:w="1640" w:type="dxa"/>
            <w:vAlign w:val="bottom"/>
            <w:gridSpan w:val="2"/>
          </w:tcPr>
          <w:p>
            <w:pPr>
              <w:spacing w:after="0"/>
              <w:rPr>
                <w:sz w:val="20"/>
                <w:szCs w:val="20"/>
                <w:color w:val="auto"/>
              </w:rPr>
            </w:pPr>
            <w:r>
              <w:rPr>
                <w:rFonts w:ascii="Arial" w:cs="Arial" w:eastAsia="Arial" w:hAnsi="Arial"/>
                <w:sz w:val="13"/>
                <w:szCs w:val="13"/>
                <w:color w:val="auto"/>
              </w:rPr>
              <w:t>Chief Executive Officer</w:t>
            </w:r>
          </w:p>
        </w:tc>
        <w:tc>
          <w:tcPr>
            <w:tcW w:w="9820" w:type="dxa"/>
            <w:vAlign w:val="bottom"/>
          </w:tcPr>
          <w:p>
            <w:pPr>
              <w:spacing w:after="0"/>
              <w:rPr>
                <w:sz w:val="14"/>
                <w:szCs w:val="14"/>
                <w:color w:val="auto"/>
              </w:rPr>
            </w:pPr>
          </w:p>
        </w:tc>
      </w:tr>
      <w:tr>
        <w:trPr>
          <w:trHeight w:val="832"/>
        </w:trPr>
        <w:tc>
          <w:tcPr>
            <w:tcW w:w="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9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308" w:right="219"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3"/>
          <w:szCs w:val="13"/>
          <w:color w:val="auto"/>
        </w:rPr>
        <w:t>Exhibit 31.2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SARBANES-OXLEY ACT OF 2002</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3"/>
          <w:szCs w:val="13"/>
          <w:color w:val="auto"/>
        </w:rPr>
        <w:t>I, Alan Miller, certify that</w:t>
      </w:r>
    </w:p>
    <w:p>
      <w:pPr>
        <w:spacing w:after="0" w:line="185" w:lineRule="exact"/>
        <w:rPr>
          <w:sz w:val="20"/>
          <w:szCs w:val="20"/>
          <w:color w:val="auto"/>
        </w:rPr>
      </w:pPr>
    </w:p>
    <w:p>
      <w:pPr>
        <w:ind w:left="161" w:hanging="161"/>
        <w:spacing w:after="0"/>
        <w:tabs>
          <w:tab w:leader="none" w:pos="161" w:val="left"/>
        </w:tabs>
        <w:numPr>
          <w:ilvl w:val="0"/>
          <w:numId w:val="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Frequency Electronics, Inc.;</w:t>
      </w:r>
    </w:p>
    <w:p>
      <w:pPr>
        <w:spacing w:after="0" w:line="184" w:lineRule="exact"/>
        <w:rPr>
          <w:rFonts w:ascii="Arial" w:cs="Arial" w:eastAsia="Arial" w:hAnsi="Arial"/>
          <w:sz w:val="13"/>
          <w:szCs w:val="13"/>
          <w:color w:val="auto"/>
        </w:rPr>
      </w:pPr>
    </w:p>
    <w:p>
      <w:pPr>
        <w:ind w:left="1" w:hanging="1"/>
        <w:spacing w:after="0" w:line="276" w:lineRule="auto"/>
        <w:tabs>
          <w:tab w:leader="none" w:pos="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3"/>
          <w:szCs w:val="13"/>
          <w:color w:val="auto"/>
        </w:rPr>
      </w:pPr>
    </w:p>
    <w:p>
      <w:pPr>
        <w:ind w:left="1" w:hanging="1"/>
        <w:spacing w:after="0" w:line="276" w:lineRule="auto"/>
        <w:tabs>
          <w:tab w:leader="none" w:pos="187" w:val="left"/>
        </w:tabs>
        <w:numPr>
          <w:ilvl w:val="0"/>
          <w:numId w:val="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3"/>
          <w:szCs w:val="13"/>
          <w:color w:val="auto"/>
        </w:rPr>
      </w:pPr>
    </w:p>
    <w:p>
      <w:pPr>
        <w:ind w:left="1" w:hanging="1"/>
        <w:spacing w:after="0" w:line="276" w:lineRule="auto"/>
        <w:tabs>
          <w:tab w:leader="none" w:pos="174"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3"/>
          <w:szCs w:val="13"/>
          <w:color w:val="auto"/>
        </w:rPr>
      </w:pPr>
    </w:p>
    <w:p>
      <w:pPr>
        <w:ind w:left="481" w:hanging="10"/>
        <w:spacing w:after="0" w:line="276" w:lineRule="auto"/>
        <w:tabs>
          <w:tab w:leader="none" w:pos="714" w:val="left"/>
        </w:tabs>
        <w:numPr>
          <w:ilvl w:val="1"/>
          <w:numId w:val="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3"/>
          <w:szCs w:val="13"/>
          <w:color w:val="auto"/>
        </w:rPr>
      </w:pPr>
    </w:p>
    <w:p>
      <w:pPr>
        <w:ind w:left="481" w:hanging="10"/>
        <w:spacing w:after="0" w:line="276" w:lineRule="auto"/>
        <w:tabs>
          <w:tab w:leader="none" w:pos="738" w:val="left"/>
        </w:tabs>
        <w:numPr>
          <w:ilvl w:val="1"/>
          <w:numId w:val="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3"/>
          <w:szCs w:val="13"/>
          <w:color w:val="auto"/>
        </w:rPr>
      </w:pPr>
    </w:p>
    <w:p>
      <w:pPr>
        <w:ind w:left="481" w:hanging="10"/>
        <w:spacing w:after="0" w:line="276" w:lineRule="auto"/>
        <w:tabs>
          <w:tab w:leader="none" w:pos="698" w:val="left"/>
        </w:tabs>
        <w:numPr>
          <w:ilvl w:val="1"/>
          <w:numId w:val="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3"/>
          <w:szCs w:val="13"/>
          <w:color w:val="auto"/>
        </w:rPr>
      </w:pPr>
    </w:p>
    <w:p>
      <w:pPr>
        <w:ind w:left="481" w:hanging="10"/>
        <w:spacing w:after="0" w:line="276" w:lineRule="auto"/>
        <w:tabs>
          <w:tab w:leader="none" w:pos="706" w:val="left"/>
        </w:tabs>
        <w:numPr>
          <w:ilvl w:val="1"/>
          <w:numId w:val="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3"/>
          <w:szCs w:val="13"/>
          <w:color w:val="auto"/>
        </w:rPr>
      </w:pPr>
    </w:p>
    <w:p>
      <w:pPr>
        <w:ind w:left="1" w:hanging="1"/>
        <w:spacing w:after="0" w:line="276" w:lineRule="auto"/>
        <w:tabs>
          <w:tab w:leader="none" w:pos="172"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3"/>
          <w:szCs w:val="13"/>
          <w:color w:val="auto"/>
        </w:rPr>
      </w:pPr>
    </w:p>
    <w:p>
      <w:pPr>
        <w:ind w:left="481" w:hanging="10"/>
        <w:spacing w:after="0" w:line="276" w:lineRule="auto"/>
        <w:tabs>
          <w:tab w:leader="none" w:pos="701" w:val="left"/>
        </w:tabs>
        <w:numPr>
          <w:ilvl w:val="1"/>
          <w:numId w:val="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3"/>
          <w:szCs w:val="13"/>
          <w:color w:val="auto"/>
        </w:rPr>
      </w:pPr>
    </w:p>
    <w:p>
      <w:pPr>
        <w:ind w:left="681" w:hanging="210"/>
        <w:spacing w:after="0"/>
        <w:tabs>
          <w:tab w:leader="none" w:pos="681" w:val="left"/>
        </w:tabs>
        <w:numPr>
          <w:ilvl w:val="1"/>
          <w:numId w:val="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Alan Miller</w:t>
            </w:r>
          </w:p>
        </w:tc>
        <w:tc>
          <w:tcPr>
            <w:tcW w:w="9740" w:type="dxa"/>
            <w:vAlign w:val="bottom"/>
          </w:tcPr>
          <w:p>
            <w:pPr>
              <w:ind w:left="2260"/>
              <w:spacing w:after="0"/>
              <w:rPr>
                <w:sz w:val="20"/>
                <w:szCs w:val="20"/>
                <w:color w:val="auto"/>
              </w:rPr>
            </w:pPr>
            <w:r>
              <w:rPr>
                <w:rFonts w:ascii="Arial" w:cs="Arial" w:eastAsia="Arial" w:hAnsi="Arial"/>
                <w:sz w:val="13"/>
                <w:szCs w:val="13"/>
                <w:color w:val="auto"/>
              </w:rPr>
              <w:t>December 15, 2015</w:t>
            </w:r>
          </w:p>
        </w:tc>
      </w:tr>
      <w:tr>
        <w:trPr>
          <w:trHeight w:val="158"/>
        </w:trPr>
        <w:tc>
          <w:tcPr>
            <w:tcW w:w="1720" w:type="dxa"/>
            <w:vAlign w:val="bottom"/>
            <w:gridSpan w:val="2"/>
          </w:tcPr>
          <w:p>
            <w:pPr>
              <w:spacing w:after="0"/>
              <w:rPr>
                <w:sz w:val="20"/>
                <w:szCs w:val="20"/>
                <w:color w:val="auto"/>
              </w:rPr>
            </w:pPr>
            <w:r>
              <w:rPr>
                <w:rFonts w:ascii="Arial" w:cs="Arial" w:eastAsia="Arial" w:hAnsi="Arial"/>
                <w:sz w:val="13"/>
                <w:szCs w:val="13"/>
                <w:color w:val="auto"/>
              </w:rPr>
              <w:t>Alan Miller</w:t>
            </w:r>
          </w:p>
        </w:tc>
        <w:tc>
          <w:tcPr>
            <w:tcW w:w="9740" w:type="dxa"/>
            <w:vAlign w:val="bottom"/>
          </w:tcPr>
          <w:p>
            <w:pPr>
              <w:spacing w:after="0"/>
              <w:rPr>
                <w:sz w:val="13"/>
                <w:szCs w:val="13"/>
                <w:color w:val="auto"/>
              </w:rPr>
            </w:pPr>
          </w:p>
        </w:tc>
      </w:tr>
      <w:tr>
        <w:trPr>
          <w:trHeight w:val="165"/>
        </w:trPr>
        <w:tc>
          <w:tcPr>
            <w:tcW w:w="1720" w:type="dxa"/>
            <w:vAlign w:val="bottom"/>
            <w:gridSpan w:val="2"/>
          </w:tcPr>
          <w:p>
            <w:pPr>
              <w:spacing w:after="0"/>
              <w:rPr>
                <w:sz w:val="20"/>
                <w:szCs w:val="20"/>
                <w:color w:val="auto"/>
              </w:rPr>
            </w:pPr>
            <w:r>
              <w:rPr>
                <w:rFonts w:ascii="Arial" w:cs="Arial" w:eastAsia="Arial" w:hAnsi="Arial"/>
                <w:sz w:val="13"/>
                <w:szCs w:val="13"/>
                <w:color w:val="auto"/>
              </w:rPr>
              <w:t>Chief Financial Officer</w:t>
            </w:r>
          </w:p>
        </w:tc>
        <w:tc>
          <w:tcPr>
            <w:tcW w:w="9740" w:type="dxa"/>
            <w:vAlign w:val="bottom"/>
          </w:tcPr>
          <w:p>
            <w:pPr>
              <w:spacing w:after="0"/>
              <w:rPr>
                <w:sz w:val="14"/>
                <w:szCs w:val="14"/>
                <w:color w:val="auto"/>
              </w:rPr>
            </w:pPr>
          </w:p>
        </w:tc>
      </w:tr>
      <w:tr>
        <w:trPr>
          <w:trHeight w:val="1009"/>
        </w:trPr>
        <w:tc>
          <w:tcPr>
            <w:tcW w:w="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9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308" w:right="21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3"/>
          <w:szCs w:val="13"/>
          <w:color w:val="auto"/>
        </w:rPr>
        <w:t>Exhibit 32</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CERTIFICATION PURSUANT TO</w:t>
      </w:r>
    </w:p>
    <w:p>
      <w:pPr>
        <w:spacing w:after="0" w:line="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ADOPTED PURSUANT TO</w:t>
      </w:r>
    </w:p>
    <w:p>
      <w:pPr>
        <w:spacing w:after="0" w:line="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Certification of CEO</w:t>
      </w:r>
    </w:p>
    <w:p>
      <w:pPr>
        <w:spacing w:after="0" w:line="189"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In connection with the Quarterly Report of Frequency Electronics, Inc. (the “Company”) on Form 10-Q for the period ended October 31, 2015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23" w:lineRule="exact"/>
        <w:rPr>
          <w:sz w:val="20"/>
          <w:szCs w:val="20"/>
          <w:color w:val="auto"/>
        </w:rPr>
      </w:pPr>
    </w:p>
    <w:p>
      <w:pPr>
        <w:ind w:left="680" w:hanging="210"/>
        <w:spacing w:after="0"/>
        <w:tabs>
          <w:tab w:leader="none" w:pos="6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84" w:lineRule="exact"/>
        <w:rPr>
          <w:rFonts w:ascii="Arial" w:cs="Arial" w:eastAsia="Arial" w:hAnsi="Arial"/>
          <w:sz w:val="13"/>
          <w:szCs w:val="13"/>
          <w:color w:val="auto"/>
        </w:rPr>
      </w:pPr>
    </w:p>
    <w:p>
      <w:pPr>
        <w:ind w:left="680" w:hanging="210"/>
        <w:spacing w:after="0"/>
        <w:tabs>
          <w:tab w:leader="none" w:pos="6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Martin Bloch</w:t>
            </w:r>
          </w:p>
        </w:tc>
        <w:tc>
          <w:tcPr>
            <w:tcW w:w="3060" w:type="dxa"/>
            <w:vAlign w:val="bottom"/>
          </w:tcPr>
          <w:p>
            <w:pPr>
              <w:ind w:left="2040"/>
              <w:spacing w:after="0"/>
              <w:rPr>
                <w:sz w:val="20"/>
                <w:szCs w:val="20"/>
                <w:color w:val="auto"/>
              </w:rPr>
            </w:pPr>
            <w:r>
              <w:rPr>
                <w:rFonts w:ascii="Arial" w:cs="Arial" w:eastAsia="Arial" w:hAnsi="Arial"/>
                <w:sz w:val="13"/>
                <w:szCs w:val="13"/>
                <w:color w:val="auto"/>
                <w:w w:val="87"/>
              </w:rPr>
              <w:t>December 15, 2015</w:t>
            </w:r>
          </w:p>
        </w:tc>
      </w:tr>
      <w:tr>
        <w:trPr>
          <w:trHeight w:val="158"/>
        </w:trPr>
        <w:tc>
          <w:tcPr>
            <w:tcW w:w="1660" w:type="dxa"/>
            <w:vAlign w:val="bottom"/>
          </w:tcPr>
          <w:p>
            <w:pPr>
              <w:ind w:left="200"/>
              <w:spacing w:after="0"/>
              <w:rPr>
                <w:sz w:val="20"/>
                <w:szCs w:val="20"/>
                <w:color w:val="auto"/>
              </w:rPr>
            </w:pPr>
            <w:r>
              <w:rPr>
                <w:rFonts w:ascii="Arial" w:cs="Arial" w:eastAsia="Arial" w:hAnsi="Arial"/>
                <w:sz w:val="13"/>
                <w:szCs w:val="13"/>
                <w:color w:val="auto"/>
              </w:rPr>
              <w:t>Martin Bloch</w:t>
            </w:r>
          </w:p>
        </w:tc>
        <w:tc>
          <w:tcPr>
            <w:tcW w:w="3060" w:type="dxa"/>
            <w:vAlign w:val="bottom"/>
          </w:tcPr>
          <w:p>
            <w:pPr>
              <w:spacing w:after="0"/>
              <w:rPr>
                <w:sz w:val="13"/>
                <w:szCs w:val="13"/>
                <w:color w:val="auto"/>
              </w:rPr>
            </w:pPr>
          </w:p>
        </w:tc>
      </w:tr>
      <w:tr>
        <w:trPr>
          <w:trHeight w:val="165"/>
        </w:trPr>
        <w:tc>
          <w:tcPr>
            <w:tcW w:w="1660" w:type="dxa"/>
            <w:vAlign w:val="bottom"/>
          </w:tcPr>
          <w:p>
            <w:pPr>
              <w:ind w:left="200"/>
              <w:spacing w:after="0"/>
              <w:rPr>
                <w:sz w:val="20"/>
                <w:szCs w:val="20"/>
                <w:color w:val="auto"/>
              </w:rPr>
            </w:pPr>
            <w:r>
              <w:rPr>
                <w:rFonts w:ascii="Arial" w:cs="Arial" w:eastAsia="Arial" w:hAnsi="Arial"/>
                <w:sz w:val="13"/>
                <w:szCs w:val="13"/>
                <w:color w:val="auto"/>
              </w:rPr>
              <w:t>Chief Executive Officer</w:t>
            </w:r>
          </w:p>
        </w:tc>
        <w:tc>
          <w:tcPr>
            <w:tcW w:w="3060" w:type="dxa"/>
            <w:vAlign w:val="bottom"/>
          </w:tcPr>
          <w:p>
            <w:pPr>
              <w:spacing w:after="0"/>
              <w:rPr>
                <w:sz w:val="14"/>
                <w:szCs w:val="14"/>
                <w:color w:val="auto"/>
              </w:rPr>
            </w:pPr>
          </w:p>
        </w:tc>
      </w:tr>
    </w:tbl>
    <w:p>
      <w:pPr>
        <w:spacing w:after="0" w:line="165"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Certification of CFO</w:t>
      </w:r>
    </w:p>
    <w:p>
      <w:pPr>
        <w:spacing w:after="0" w:line="189"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In connection with the Quarterly Report of Frequency Electronics, Inc. (the “Company”) on Form 10-Q for the period ended October 31, 2015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123" w:lineRule="exact"/>
        <w:rPr>
          <w:sz w:val="20"/>
          <w:szCs w:val="20"/>
          <w:color w:val="auto"/>
        </w:rPr>
      </w:pPr>
    </w:p>
    <w:p>
      <w:pPr>
        <w:ind w:left="680" w:hanging="210"/>
        <w:spacing w:after="0"/>
        <w:tabs>
          <w:tab w:leader="none" w:pos="6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84" w:lineRule="exact"/>
        <w:rPr>
          <w:rFonts w:ascii="Arial" w:cs="Arial" w:eastAsia="Arial" w:hAnsi="Arial"/>
          <w:sz w:val="13"/>
          <w:szCs w:val="13"/>
          <w:color w:val="auto"/>
        </w:rPr>
      </w:pPr>
    </w:p>
    <w:p>
      <w:pPr>
        <w:ind w:left="680" w:hanging="210"/>
        <w:spacing w:after="0"/>
        <w:tabs>
          <w:tab w:leader="none" w:pos="6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Alan Miller</w:t>
            </w:r>
          </w:p>
        </w:tc>
        <w:tc>
          <w:tcPr>
            <w:tcW w:w="3060" w:type="dxa"/>
            <w:vAlign w:val="bottom"/>
          </w:tcPr>
          <w:p>
            <w:pPr>
              <w:ind w:left="2020"/>
              <w:spacing w:after="0"/>
              <w:rPr>
                <w:sz w:val="20"/>
                <w:szCs w:val="20"/>
                <w:color w:val="auto"/>
              </w:rPr>
            </w:pPr>
            <w:r>
              <w:rPr>
                <w:rFonts w:ascii="Arial" w:cs="Arial" w:eastAsia="Arial" w:hAnsi="Arial"/>
                <w:sz w:val="13"/>
                <w:szCs w:val="13"/>
                <w:color w:val="auto"/>
                <w:w w:val="89"/>
              </w:rPr>
              <w:t>December 15, 2015</w:t>
            </w:r>
          </w:p>
        </w:tc>
      </w:tr>
      <w:tr>
        <w:trPr>
          <w:trHeight w:val="158"/>
        </w:trPr>
        <w:tc>
          <w:tcPr>
            <w:tcW w:w="1680" w:type="dxa"/>
            <w:vAlign w:val="bottom"/>
          </w:tcPr>
          <w:p>
            <w:pPr>
              <w:ind w:left="200"/>
              <w:spacing w:after="0"/>
              <w:rPr>
                <w:sz w:val="20"/>
                <w:szCs w:val="20"/>
                <w:color w:val="auto"/>
              </w:rPr>
            </w:pPr>
            <w:r>
              <w:rPr>
                <w:rFonts w:ascii="Arial" w:cs="Arial" w:eastAsia="Arial" w:hAnsi="Arial"/>
                <w:sz w:val="13"/>
                <w:szCs w:val="13"/>
                <w:color w:val="auto"/>
              </w:rPr>
              <w:t>Alan Miller</w:t>
            </w:r>
          </w:p>
        </w:tc>
        <w:tc>
          <w:tcPr>
            <w:tcW w:w="3060" w:type="dxa"/>
            <w:vAlign w:val="bottom"/>
          </w:tcPr>
          <w:p>
            <w:pPr>
              <w:spacing w:after="0"/>
              <w:rPr>
                <w:sz w:val="13"/>
                <w:szCs w:val="13"/>
                <w:color w:val="auto"/>
              </w:rPr>
            </w:pPr>
          </w:p>
        </w:tc>
      </w:tr>
      <w:tr>
        <w:trPr>
          <w:trHeight w:val="165"/>
        </w:trPr>
        <w:tc>
          <w:tcPr>
            <w:tcW w:w="1680" w:type="dxa"/>
            <w:vAlign w:val="bottom"/>
          </w:tcPr>
          <w:p>
            <w:pPr>
              <w:ind w:left="200"/>
              <w:spacing w:after="0"/>
              <w:rPr>
                <w:sz w:val="20"/>
                <w:szCs w:val="20"/>
                <w:color w:val="auto"/>
              </w:rPr>
            </w:pPr>
            <w:r>
              <w:rPr>
                <w:rFonts w:ascii="Arial" w:cs="Arial" w:eastAsia="Arial" w:hAnsi="Arial"/>
                <w:sz w:val="13"/>
                <w:szCs w:val="13"/>
                <w:color w:val="auto"/>
              </w:rPr>
              <w:t>Chief Financial Officer</w:t>
            </w:r>
          </w:p>
        </w:tc>
        <w:tc>
          <w:tcPr>
            <w:tcW w:w="3060" w:type="dxa"/>
            <w:vAlign w:val="bottom"/>
          </w:tcPr>
          <w:p>
            <w:pPr>
              <w:spacing w:after="0"/>
              <w:rPr>
                <w:sz w:val="14"/>
                <w:szCs w:val="14"/>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left="360"/>
        <w:spacing w:after="0" w:line="320"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2"/>
          <w:szCs w:val="12"/>
          <w:b w:val="1"/>
          <w:bCs w:val="1"/>
          <w:color w:val="auto"/>
        </w:rPr>
        <w:t>.</w:t>
      </w:r>
    </w:p>
    <w:p>
      <w:pPr>
        <w:spacing w:after="0" w:line="123" w:lineRule="exact"/>
        <w:rPr>
          <w:sz w:val="20"/>
          <w:szCs w:val="20"/>
          <w:color w:val="auto"/>
        </w:rPr>
      </w:pPr>
    </w:p>
    <w:p>
      <w:pPr>
        <w:jc w:val="both"/>
        <w:ind w:left="360"/>
        <w:spacing w:after="0" w:line="264" w:lineRule="auto"/>
        <w:rPr>
          <w:sz w:val="20"/>
          <w:szCs w:val="20"/>
          <w:color w:val="auto"/>
        </w:rPr>
      </w:pPr>
      <w:r>
        <w:rPr>
          <w:rFonts w:ascii="Arial" w:cs="Arial" w:eastAsia="Arial" w:hAnsi="Arial"/>
          <w:sz w:val="13"/>
          <w:szCs w:val="13"/>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60"/>
      </w:cols>
      <w:pgMar w:left="220" w:top="30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2019-12-29T15:04:42Z</dcterms:created>
  <dcterms:modified xsi:type="dcterms:W3CDTF">2019-12-29T15:04:42Z</dcterms:modified>
</cp:coreProperties>
</file>