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1160" w:right="1999" w:hanging="520"/>
        <w:spacing w:after="0" w:line="235" w:lineRule="auto"/>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October 31,2006</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4"/>
          <w:szCs w:val="24"/>
          <w:color w:val="auto"/>
        </w:rPr>
      </w:pPr>
    </w:p>
    <w:p>
      <w:pPr>
        <w:ind w:left="1160" w:right="1879" w:hanging="520"/>
        <w:spacing w:after="0" w:line="235" w:lineRule="auto"/>
        <w:tabs>
          <w:tab w:leader="none" w:pos="84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 (d) OF THE SECURITIES EXCHANGE ACT OF 1934</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 __________ to __________</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No. 1-8061</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FREQUENCY ELECTRONICS,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11-1986657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3920" w:space="720"/>
            <w:col w:w="5579"/>
          </w:cols>
          <w:pgMar w:left="240" w:top="244" w:right="1440" w:bottom="0" w:gutter="0" w:footer="0" w:header="0"/>
          <w:type w:val="continuous"/>
        </w:sectPr>
      </w:pPr>
    </w:p>
    <w:p>
      <w:pPr>
        <w:spacing w:after="0" w:line="24" w:lineRule="exact"/>
        <w:rPr>
          <w:sz w:val="24"/>
          <w:szCs w:val="24"/>
          <w:color w:val="auto"/>
        </w:rPr>
      </w:pPr>
    </w:p>
    <w:p>
      <w:pPr>
        <w:ind w:left="220" w:right="220" w:hanging="210"/>
        <w:spacing w:after="0" w:line="290" w:lineRule="auto"/>
        <w:rPr>
          <w:sz w:val="20"/>
          <w:szCs w:val="20"/>
          <w:color w:val="auto"/>
        </w:rPr>
      </w:pPr>
      <w:r>
        <w:rPr>
          <w:rFonts w:ascii="Courier New" w:cs="Courier New" w:eastAsia="Courier New" w:hAnsi="Courier New"/>
          <w:sz w:val="16"/>
          <w:szCs w:val="16"/>
          <w:color w:val="auto"/>
        </w:rPr>
        <w:t>55 CHARLES LINDBERGH BLVD., MITCHEL FIELD, N.Y. (Address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11553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5180" w:space="720"/>
            <w:col w:w="431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Registrant's telephone number, including area code: 516-794-4500</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No___</w:t>
      </w: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Large accelerated filer ____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Accelerated filer ____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Non-accelerated filer__X__</w:t>
      </w:r>
    </w:p>
    <w:p>
      <w:pPr>
        <w:spacing w:after="0" w:line="200" w:lineRule="exact"/>
        <w:rPr>
          <w:sz w:val="24"/>
          <w:szCs w:val="24"/>
          <w:color w:val="auto"/>
        </w:rPr>
      </w:pPr>
    </w:p>
    <w:p>
      <w:pPr>
        <w:sectPr>
          <w:pgSz w:w="11900" w:h="16838" w:orient="portrait"/>
          <w:cols w:equalWidth="0" w:num="3">
            <w:col w:w="2960" w:space="200"/>
            <w:col w:w="2320" w:space="220"/>
            <w:col w:w="4519"/>
          </w:cols>
          <w:pgMar w:left="240" w:top="244" w:right="1440" w:bottom="0" w:gutter="0" w:footer="0" w:header="0"/>
          <w:type w:val="continuous"/>
        </w:sectPr>
      </w:pPr>
    </w:p>
    <w:p>
      <w:pPr>
        <w:spacing w:after="0" w:line="24"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Indicate by check mark whether the Rule 12b-2 of the Exchange Act).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 is a shell company (as defined in</w:t>
      </w:r>
    </w:p>
    <w:p>
      <w:pPr>
        <w:spacing w:after="0" w:line="426" w:lineRule="exact"/>
        <w:rPr>
          <w:sz w:val="24"/>
          <w:szCs w:val="24"/>
          <w:color w:val="auto"/>
        </w:rPr>
      </w:pPr>
    </w:p>
    <w:p>
      <w:pPr>
        <w:sectPr>
          <w:pgSz w:w="11900" w:h="16838" w:orient="portrait"/>
          <w:cols w:equalWidth="0" w:num="2">
            <w:col w:w="3580" w:space="220"/>
            <w:col w:w="6419"/>
          </w:cols>
          <w:pgMar w:left="240" w:top="244" w:right="1440" w:bottom="0" w:gutter="0" w:footer="0" w:header="0"/>
          <w:type w:val="continuous"/>
        </w:sectPr>
      </w:pPr>
    </w:p>
    <w:p>
      <w:pPr>
        <w:ind w:left="2860"/>
        <w:spacing w:after="0"/>
        <w:rPr>
          <w:sz w:val="20"/>
          <w:szCs w:val="20"/>
          <w:color w:val="auto"/>
        </w:rPr>
      </w:pPr>
      <w:r>
        <w:rPr>
          <w:rFonts w:ascii="Courier New" w:cs="Courier New" w:eastAsia="Courier New" w:hAnsi="Courier New"/>
          <w:sz w:val="16"/>
          <w:szCs w:val="16"/>
          <w:color w:val="auto"/>
        </w:rPr>
        <w:t>Yes ____ No __X__</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number of shares outstanding of Registrant's Common Stock, par value $1.00 as of December 8, 2006 - 8,600,659</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25</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20" w:type="dxa"/>
            <w:vAlign w:val="bottom"/>
            <w:gridSpan w:val="2"/>
          </w:tcPr>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tc>
        <w:tc>
          <w:tcPr>
            <w:tcW w:w="1320" w:type="dxa"/>
            <w:vAlign w:val="bottom"/>
          </w:tcPr>
          <w:p>
            <w:pPr>
              <w:spacing w:after="0"/>
              <w:rPr>
                <w:sz w:val="17"/>
                <w:szCs w:val="17"/>
                <w:color w:val="auto"/>
              </w:rPr>
            </w:pPr>
          </w:p>
        </w:tc>
      </w:tr>
      <w:tr>
        <w:trPr>
          <w:trHeight w:val="405"/>
        </w:trPr>
        <w:tc>
          <w:tcPr>
            <w:tcW w:w="3020" w:type="dxa"/>
            <w:vAlign w:val="bottom"/>
          </w:tcPr>
          <w:p>
            <w:pPr>
              <w:spacing w:after="0"/>
              <w:rPr>
                <w:sz w:val="24"/>
                <w:szCs w:val="24"/>
                <w:color w:val="auto"/>
              </w:rPr>
            </w:pPr>
          </w:p>
        </w:tc>
        <w:tc>
          <w:tcPr>
            <w:tcW w:w="4000" w:type="dxa"/>
            <w:vAlign w:val="bottom"/>
          </w:tcPr>
          <w:p>
            <w:pPr>
              <w:ind w:left="1000"/>
              <w:spacing w:after="0"/>
              <w:rPr>
                <w:sz w:val="20"/>
                <w:szCs w:val="20"/>
                <w:color w:val="auto"/>
              </w:rPr>
            </w:pPr>
            <w:r>
              <w:rPr>
                <w:rFonts w:ascii="Courier New" w:cs="Courier New" w:eastAsia="Courier New" w:hAnsi="Courier New"/>
                <w:sz w:val="18"/>
                <w:szCs w:val="18"/>
                <w:color w:val="auto"/>
              </w:rPr>
              <w:t>INDEX</w:t>
            </w:r>
          </w:p>
        </w:tc>
        <w:tc>
          <w:tcPr>
            <w:tcW w:w="1320" w:type="dxa"/>
            <w:vAlign w:val="bottom"/>
          </w:tcPr>
          <w:p>
            <w:pPr>
              <w:spacing w:after="0"/>
              <w:rPr>
                <w:sz w:val="24"/>
                <w:szCs w:val="24"/>
                <w:color w:val="auto"/>
              </w:rPr>
            </w:pPr>
          </w:p>
        </w:tc>
      </w:tr>
      <w:tr>
        <w:trPr>
          <w:trHeight w:val="405"/>
        </w:trPr>
        <w:tc>
          <w:tcPr>
            <w:tcW w:w="7020" w:type="dxa"/>
            <w:vAlign w:val="bottom"/>
            <w:gridSpan w:val="2"/>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Page No.</w:t>
            </w:r>
          </w:p>
        </w:tc>
      </w:tr>
      <w:tr>
        <w:trPr>
          <w:trHeight w:val="405"/>
        </w:trPr>
        <w:tc>
          <w:tcPr>
            <w:tcW w:w="70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Item 1 - Financial Statements:</w:t>
            </w:r>
          </w:p>
        </w:tc>
        <w:tc>
          <w:tcPr>
            <w:tcW w:w="1320" w:type="dxa"/>
            <w:vAlign w:val="bottom"/>
          </w:tcPr>
          <w:p>
            <w:pPr>
              <w:spacing w:after="0"/>
              <w:rPr>
                <w:sz w:val="24"/>
                <w:szCs w:val="24"/>
                <w:color w:val="auto"/>
              </w:rPr>
            </w:pPr>
          </w:p>
        </w:tc>
      </w:tr>
      <w:tr>
        <w:trPr>
          <w:trHeight w:val="405"/>
        </w:trPr>
        <w:tc>
          <w:tcPr>
            <w:tcW w:w="3020" w:type="dxa"/>
            <w:vAlign w:val="bottom"/>
          </w:tcPr>
          <w:p>
            <w:pPr>
              <w:ind w:left="640"/>
              <w:spacing w:after="0"/>
              <w:rPr>
                <w:sz w:val="20"/>
                <w:szCs w:val="20"/>
                <w:color w:val="auto"/>
              </w:rPr>
            </w:pPr>
            <w:r>
              <w:rPr>
                <w:rFonts w:ascii="Courier New" w:cs="Courier New" w:eastAsia="Courier New" w:hAnsi="Courier New"/>
                <w:sz w:val="18"/>
                <w:szCs w:val="18"/>
                <w:color w:val="auto"/>
                <w:w w:val="99"/>
              </w:rPr>
              <w:t>Condensed Consolidated</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Balance Sheets -</w:t>
            </w:r>
          </w:p>
        </w:tc>
        <w:tc>
          <w:tcPr>
            <w:tcW w:w="1320" w:type="dxa"/>
            <w:vAlign w:val="bottom"/>
          </w:tcPr>
          <w:p>
            <w:pPr>
              <w:spacing w:after="0"/>
              <w:rPr>
                <w:sz w:val="24"/>
                <w:szCs w:val="24"/>
                <w:color w:val="auto"/>
              </w:rPr>
            </w:pPr>
          </w:p>
        </w:tc>
      </w:tr>
      <w:tr>
        <w:trPr>
          <w:trHeight w:val="203"/>
        </w:trPr>
        <w:tc>
          <w:tcPr>
            <w:tcW w:w="70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October 31, 2006 and April 30, 2006</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3020" w:type="dxa"/>
            <w:vAlign w:val="bottom"/>
          </w:tcPr>
          <w:p>
            <w:pPr>
              <w:ind w:left="640"/>
              <w:spacing w:after="0"/>
              <w:rPr>
                <w:sz w:val="20"/>
                <w:szCs w:val="20"/>
                <w:color w:val="auto"/>
              </w:rPr>
            </w:pPr>
            <w:r>
              <w:rPr>
                <w:rFonts w:ascii="Courier New" w:cs="Courier New" w:eastAsia="Courier New" w:hAnsi="Courier New"/>
                <w:sz w:val="18"/>
                <w:szCs w:val="18"/>
                <w:color w:val="auto"/>
                <w:w w:val="99"/>
              </w:rPr>
              <w:t>Condensed Consolidated</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Statements of Operations</w:t>
            </w:r>
          </w:p>
        </w:tc>
        <w:tc>
          <w:tcPr>
            <w:tcW w:w="1320" w:type="dxa"/>
            <w:vAlign w:val="bottom"/>
          </w:tcPr>
          <w:p>
            <w:pPr>
              <w:spacing w:after="0"/>
              <w:rPr>
                <w:sz w:val="24"/>
                <w:szCs w:val="24"/>
                <w:color w:val="auto"/>
              </w:rPr>
            </w:pPr>
          </w:p>
        </w:tc>
      </w:tr>
      <w:tr>
        <w:trPr>
          <w:trHeight w:val="203"/>
        </w:trPr>
        <w:tc>
          <w:tcPr>
            <w:tcW w:w="70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Six Months Ended October 31, 2006 and 2005</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3020" w:type="dxa"/>
            <w:vAlign w:val="bottom"/>
          </w:tcPr>
          <w:p>
            <w:pPr>
              <w:ind w:left="640"/>
              <w:spacing w:after="0"/>
              <w:rPr>
                <w:sz w:val="20"/>
                <w:szCs w:val="20"/>
                <w:color w:val="auto"/>
              </w:rPr>
            </w:pPr>
            <w:r>
              <w:rPr>
                <w:rFonts w:ascii="Courier New" w:cs="Courier New" w:eastAsia="Courier New" w:hAnsi="Courier New"/>
                <w:sz w:val="18"/>
                <w:szCs w:val="18"/>
                <w:color w:val="auto"/>
                <w:w w:val="99"/>
              </w:rPr>
              <w:t>Condensed Consolidated</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Statements of Operations</w:t>
            </w:r>
          </w:p>
        </w:tc>
        <w:tc>
          <w:tcPr>
            <w:tcW w:w="1320" w:type="dxa"/>
            <w:vAlign w:val="bottom"/>
          </w:tcPr>
          <w:p>
            <w:pPr>
              <w:spacing w:after="0"/>
              <w:rPr>
                <w:sz w:val="24"/>
                <w:szCs w:val="24"/>
                <w:color w:val="auto"/>
              </w:rPr>
            </w:pPr>
          </w:p>
        </w:tc>
      </w:tr>
      <w:tr>
        <w:trPr>
          <w:trHeight w:val="203"/>
        </w:trPr>
        <w:tc>
          <w:tcPr>
            <w:tcW w:w="3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Three Months Ended</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October 31, 2006 and 2005</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3020" w:type="dxa"/>
            <w:vAlign w:val="bottom"/>
          </w:tcPr>
          <w:p>
            <w:pPr>
              <w:ind w:left="640"/>
              <w:spacing w:after="0"/>
              <w:rPr>
                <w:sz w:val="20"/>
                <w:szCs w:val="20"/>
                <w:color w:val="auto"/>
              </w:rPr>
            </w:pPr>
            <w:r>
              <w:rPr>
                <w:rFonts w:ascii="Courier New" w:cs="Courier New" w:eastAsia="Courier New" w:hAnsi="Courier New"/>
                <w:sz w:val="18"/>
                <w:szCs w:val="18"/>
                <w:color w:val="auto"/>
                <w:w w:val="99"/>
              </w:rPr>
              <w:t>Condensed Consolidated</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Statements of Cash Flows</w:t>
            </w:r>
          </w:p>
        </w:tc>
        <w:tc>
          <w:tcPr>
            <w:tcW w:w="1320" w:type="dxa"/>
            <w:vAlign w:val="bottom"/>
          </w:tcPr>
          <w:p>
            <w:pPr>
              <w:spacing w:after="0"/>
              <w:rPr>
                <w:sz w:val="24"/>
                <w:szCs w:val="24"/>
                <w:color w:val="auto"/>
              </w:rPr>
            </w:pPr>
          </w:p>
        </w:tc>
      </w:tr>
      <w:tr>
        <w:trPr>
          <w:trHeight w:val="203"/>
        </w:trPr>
        <w:tc>
          <w:tcPr>
            <w:tcW w:w="70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Six Months Ended October 31, 2006 and 2005</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70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7-12</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840" w:type="dxa"/>
            <w:vAlign w:val="bottom"/>
            <w:gridSpan w:val="2"/>
          </w:tcPr>
          <w:p>
            <w:pPr>
              <w:spacing w:after="0"/>
              <w:rPr>
                <w:sz w:val="20"/>
                <w:szCs w:val="20"/>
                <w:color w:val="auto"/>
              </w:rPr>
            </w:pPr>
            <w:r>
              <w:rPr>
                <w:rFonts w:ascii="Courier New" w:cs="Courier New" w:eastAsia="Courier New" w:hAnsi="Courier New"/>
                <w:sz w:val="18"/>
                <w:szCs w:val="18"/>
                <w:color w:val="auto"/>
                <w:w w:val="98"/>
              </w:rPr>
              <w:t>Item 2 - Management's Discussion and</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Analysis of</w:t>
            </w: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62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13-19</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360" w:type="dxa"/>
            <w:vAlign w:val="bottom"/>
          </w:tcPr>
          <w:p>
            <w:pPr>
              <w:ind w:left="40"/>
              <w:spacing w:after="0"/>
              <w:rPr>
                <w:sz w:val="20"/>
                <w:szCs w:val="20"/>
                <w:color w:val="auto"/>
              </w:rPr>
            </w:pPr>
            <w:r>
              <w:rPr>
                <w:rFonts w:ascii="Courier New" w:cs="Courier New" w:eastAsia="Courier New" w:hAnsi="Courier New"/>
                <w:sz w:val="18"/>
                <w:szCs w:val="18"/>
                <w:color w:val="auto"/>
                <w:w w:val="98"/>
              </w:rPr>
              <w:t>3- Quantitative and Qualitative</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Disclosures</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about Market Risk</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360" w:type="dxa"/>
            <w:vAlign w:val="bottom"/>
          </w:tcPr>
          <w:p>
            <w:pPr>
              <w:ind w:left="40"/>
              <w:spacing w:after="0"/>
              <w:rPr>
                <w:sz w:val="20"/>
                <w:szCs w:val="20"/>
                <w:color w:val="auto"/>
              </w:rPr>
            </w:pPr>
            <w:r>
              <w:rPr>
                <w:rFonts w:ascii="Courier New" w:cs="Courier New" w:eastAsia="Courier New" w:hAnsi="Courier New"/>
                <w:sz w:val="18"/>
                <w:szCs w:val="18"/>
                <w:color w:val="auto"/>
              </w:rPr>
              <w:t>4- Controls and Procedures</w:t>
            </w:r>
          </w:p>
        </w:tc>
        <w:tc>
          <w:tcPr>
            <w:tcW w:w="1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Part II.  Other</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Information:</w:t>
            </w:r>
          </w:p>
        </w:tc>
        <w:tc>
          <w:tcPr>
            <w:tcW w:w="740" w:type="dxa"/>
            <w:vAlign w:val="bottom"/>
          </w:tcPr>
          <w:p>
            <w:pPr>
              <w:spacing w:after="0"/>
              <w:rPr>
                <w:sz w:val="17"/>
                <w:szCs w:val="17"/>
                <w:color w:val="auto"/>
              </w:rPr>
            </w:pPr>
          </w:p>
        </w:tc>
      </w:tr>
      <w:tr>
        <w:trPr>
          <w:trHeight w:val="405"/>
        </w:trPr>
        <w:tc>
          <w:tcPr>
            <w:tcW w:w="164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Items 1,</w:t>
            </w:r>
          </w:p>
        </w:tc>
        <w:tc>
          <w:tcPr>
            <w:tcW w:w="6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1A, 2, 3 and 5 are omitted because they are not applicable</w:t>
            </w:r>
          </w:p>
        </w:tc>
      </w:tr>
      <w:tr>
        <w:trPr>
          <w:trHeight w:val="405"/>
        </w:trPr>
        <w:tc>
          <w:tcPr>
            <w:tcW w:w="1440" w:type="dxa"/>
            <w:vAlign w:val="bottom"/>
          </w:tcPr>
          <w:p>
            <w:pPr>
              <w:ind w:left="740"/>
              <w:spacing w:after="0"/>
              <w:rPr>
                <w:sz w:val="20"/>
                <w:szCs w:val="20"/>
                <w:color w:val="auto"/>
              </w:rPr>
            </w:pPr>
            <w:r>
              <w:rPr>
                <w:rFonts w:ascii="Courier New" w:cs="Courier New" w:eastAsia="Courier New" w:hAnsi="Courier New"/>
                <w:sz w:val="18"/>
                <w:szCs w:val="18"/>
                <w:color w:val="auto"/>
              </w:rPr>
              <w:t>Item 4</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Submission of Matters to a Vote of Security Holders</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w:t>
            </w:r>
          </w:p>
        </w:tc>
      </w:tr>
      <w:tr>
        <w:trPr>
          <w:trHeight w:val="405"/>
        </w:trPr>
        <w:tc>
          <w:tcPr>
            <w:tcW w:w="1440" w:type="dxa"/>
            <w:vAlign w:val="bottom"/>
          </w:tcPr>
          <w:p>
            <w:pPr>
              <w:ind w:left="740"/>
              <w:spacing w:after="0"/>
              <w:rPr>
                <w:sz w:val="20"/>
                <w:szCs w:val="20"/>
                <w:color w:val="auto"/>
              </w:rPr>
            </w:pPr>
            <w:r>
              <w:rPr>
                <w:rFonts w:ascii="Courier New" w:cs="Courier New" w:eastAsia="Courier New" w:hAnsi="Courier New"/>
                <w:sz w:val="18"/>
                <w:szCs w:val="18"/>
                <w:color w:val="auto"/>
              </w:rPr>
              <w:t>Item 6</w:t>
            </w:r>
          </w:p>
        </w:tc>
        <w:tc>
          <w:tcPr>
            <w:tcW w:w="5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 Exhibits</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w:t>
            </w:r>
          </w:p>
        </w:tc>
      </w:tr>
      <w:tr>
        <w:trPr>
          <w:trHeight w:val="405"/>
        </w:trPr>
        <w:tc>
          <w:tcPr>
            <w:tcW w:w="7280" w:type="dxa"/>
            <w:vAlign w:val="bottom"/>
            <w:gridSpan w:val="3"/>
          </w:tcPr>
          <w:p>
            <w:pPr>
              <w:ind w:left="740"/>
              <w:spacing w:after="0"/>
              <w:rPr>
                <w:sz w:val="20"/>
                <w:szCs w:val="20"/>
                <w:color w:val="auto"/>
              </w:rPr>
            </w:pPr>
            <w:r>
              <w:rPr>
                <w:rFonts w:ascii="Courier New" w:cs="Courier New" w:eastAsia="Courier New" w:hAnsi="Courier New"/>
                <w:sz w:val="18"/>
                <w:szCs w:val="18"/>
                <w:color w:val="auto"/>
              </w:rPr>
              <w:t>Signatures</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21</w:t>
            </w:r>
          </w:p>
        </w:tc>
      </w:tr>
      <w:tr>
        <w:trPr>
          <w:trHeight w:val="405"/>
        </w:trPr>
        <w:tc>
          <w:tcPr>
            <w:tcW w:w="164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Exhibits</w:t>
            </w:r>
          </w:p>
        </w:tc>
        <w:tc>
          <w:tcPr>
            <w:tcW w:w="56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22-25</w:t>
            </w:r>
          </w:p>
        </w:tc>
      </w:tr>
    </w:tbl>
    <w:p>
      <w:pPr>
        <w:sectPr>
          <w:pgSz w:w="11900" w:h="16838" w:orient="portrait"/>
          <w:cols w:equalWidth="0" w:num="1">
            <w:col w:w="10219"/>
          </w:cols>
          <w:pgMar w:left="240" w:top="136"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20" w:type="dxa"/>
            <w:vAlign w:val="bottom"/>
            <w:gridSpan w:val="4"/>
          </w:tcPr>
          <w:p>
            <w:pPr>
              <w:jc w:val="center"/>
              <w:ind w:left="1332"/>
              <w:spacing w:after="0"/>
              <w:rPr>
                <w:sz w:val="20"/>
                <w:szCs w:val="20"/>
                <w:color w:val="auto"/>
              </w:rPr>
            </w:pPr>
            <w:r>
              <w:rPr>
                <w:rFonts w:ascii="Courier New" w:cs="Courier New" w:eastAsia="Courier New" w:hAnsi="Courier New"/>
                <w:sz w:val="18"/>
                <w:szCs w:val="18"/>
                <w:color w:val="auto"/>
                <w:w w:val="97"/>
              </w:rPr>
              <w:t>FREQUENCY ELECTRONICS, INC. and SUBSIDIARIES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5020" w:type="dxa"/>
            <w:vAlign w:val="bottom"/>
            <w:gridSpan w:val="3"/>
          </w:tcPr>
          <w:p>
            <w:pPr>
              <w:jc w:val="right"/>
              <w:ind w:right="712"/>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3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October 31,</w:t>
            </w:r>
          </w:p>
        </w:tc>
        <w:tc>
          <w:tcPr>
            <w:tcW w:w="4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April 30,</w:t>
            </w:r>
          </w:p>
        </w:tc>
      </w:tr>
      <w:tr>
        <w:trPr>
          <w:trHeight w:val="203"/>
        </w:trPr>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2006</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(UNAUDITED)</w:t>
            </w:r>
          </w:p>
        </w:tc>
        <w:tc>
          <w:tcPr>
            <w:tcW w:w="4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(NOTE A)</w:t>
            </w:r>
          </w:p>
        </w:tc>
      </w:tr>
      <w:tr>
        <w:trPr>
          <w:trHeight w:val="203"/>
        </w:trPr>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20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ASSETS:</w:t>
            </w:r>
          </w:p>
        </w:tc>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4,794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2,639</w:t>
            </w: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19,049</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21,836</w:t>
            </w: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 of allowance for</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6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$276 at October 31</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6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April 30, 2006</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13,754</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15,868</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26,476</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22,971</w:t>
            </w: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1,902</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2,135</w:t>
            </w: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tax receivable</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1,434</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1,246</w:t>
            </w:r>
          </w:p>
        </w:tc>
      </w:tr>
      <w:tr>
        <w:trPr>
          <w:trHeight w:val="203"/>
        </w:trPr>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67,497</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66,763</w:t>
            </w:r>
          </w:p>
        </w:tc>
      </w:tr>
      <w:tr>
        <w:trPr>
          <w:trHeight w:val="203"/>
        </w:trPr>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Property, plant and equipment, at cost,</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 and</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6,899</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6,663</w:t>
            </w:r>
          </w:p>
        </w:tc>
      </w:tr>
      <w:tr>
        <w:trPr>
          <w:trHeight w:val="203"/>
        </w:trPr>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2,719</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2,842</w:t>
            </w:r>
          </w:p>
        </w:tc>
      </w:tr>
      <w:tr>
        <w:trPr>
          <w:trHeight w:val="203"/>
        </w:trPr>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Goodwill and other Intangible assets, net</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483</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513</w:t>
            </w:r>
          </w:p>
        </w:tc>
      </w:tr>
      <w:tr>
        <w:trPr>
          <w:trHeight w:val="203"/>
        </w:trPr>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surrender value of life insurance</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6,558</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6,318</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3,847</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3,642</w:t>
            </w:r>
          </w:p>
        </w:tc>
      </w:tr>
      <w:tr>
        <w:trPr>
          <w:trHeight w:val="203"/>
        </w:trPr>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3600" w:type="dxa"/>
            <w:vAlign w:val="bottom"/>
          </w:tcPr>
          <w:p>
            <w:pPr>
              <w:spacing w:after="0"/>
              <w:rPr>
                <w:sz w:val="17"/>
                <w:szCs w:val="17"/>
                <w:color w:val="auto"/>
              </w:rPr>
            </w:pPr>
          </w:p>
        </w:tc>
        <w:tc>
          <w:tcPr>
            <w:tcW w:w="14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$ 88,003</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$ 86,741</w:t>
            </w:r>
          </w:p>
        </w:tc>
      </w:tr>
      <w:tr>
        <w:trPr>
          <w:trHeight w:val="203"/>
        </w:trPr>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60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LIABILITIES AND STOCKHOLDERS' EQUITY:</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Accounts payable - trade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2,780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2,202</w:t>
            </w: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liabilities and other</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3,323</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3,929</w:t>
            </w: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 payable</w:t>
            </w:r>
          </w:p>
        </w:tc>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860</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857</w:t>
            </w:r>
          </w:p>
        </w:tc>
      </w:tr>
      <w:tr>
        <w:trPr>
          <w:trHeight w:val="203"/>
        </w:trPr>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6,963</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6,988</w:t>
            </w:r>
          </w:p>
        </w:tc>
      </w:tr>
      <w:tr>
        <w:trPr>
          <w:trHeight w:val="405"/>
        </w:trPr>
        <w:tc>
          <w:tcPr>
            <w:tcW w:w="5600" w:type="dxa"/>
            <w:vAlign w:val="bottom"/>
            <w:gridSpan w:val="2"/>
          </w:tcPr>
          <w:p>
            <w:pPr>
              <w:spacing w:after="0"/>
              <w:rPr>
                <w:sz w:val="20"/>
                <w:szCs w:val="20"/>
                <w:color w:val="auto"/>
              </w:rPr>
            </w:pPr>
            <w:r>
              <w:rPr>
                <w:rFonts w:ascii="Courier New" w:cs="Courier New" w:eastAsia="Courier New" w:hAnsi="Courier New"/>
                <w:sz w:val="18"/>
                <w:szCs w:val="18"/>
                <w:color w:val="auto"/>
              </w:rPr>
              <w:t>Deferred compensation</w:t>
            </w:r>
          </w:p>
        </w:tc>
        <w:tc>
          <w:tcPr>
            <w:tcW w:w="260" w:type="dxa"/>
            <w:vAlign w:val="bottom"/>
          </w:tcPr>
          <w:p>
            <w:pPr>
              <w:spacing w:after="0"/>
              <w:rPr>
                <w:sz w:val="24"/>
                <w:szCs w:val="24"/>
                <w:color w:val="auto"/>
              </w:rPr>
            </w:pPr>
          </w:p>
        </w:tc>
        <w:tc>
          <w:tcPr>
            <w:tcW w:w="1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8,375</w:t>
            </w:r>
          </w:p>
        </w:tc>
        <w:tc>
          <w:tcPr>
            <w:tcW w:w="420" w:type="dxa"/>
            <w:vAlign w:val="bottom"/>
          </w:tcPr>
          <w:p>
            <w:pPr>
              <w:spacing w:after="0"/>
              <w:rPr>
                <w:sz w:val="24"/>
                <w:szCs w:val="24"/>
                <w:color w:val="auto"/>
              </w:rPr>
            </w:pP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8,122</w:t>
            </w:r>
          </w:p>
        </w:tc>
      </w:tr>
      <w:tr>
        <w:trPr>
          <w:trHeight w:val="203"/>
        </w:trPr>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gain and other liabilities</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824</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998</w:t>
            </w:r>
          </w:p>
        </w:tc>
      </w:tr>
      <w:tr>
        <w:trPr>
          <w:trHeight w:val="203"/>
        </w:trPr>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Total liabilities</w:t>
            </w:r>
          </w:p>
        </w:tc>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16,162</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16,108</w:t>
            </w:r>
          </w:p>
        </w:tc>
      </w:tr>
      <w:tr>
        <w:trPr>
          <w:trHeight w:val="203"/>
        </w:trPr>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w:t>
            </w:r>
          </w:p>
        </w:tc>
        <w:tc>
          <w:tcPr>
            <w:tcW w:w="3600" w:type="dxa"/>
            <w:vAlign w:val="bottom"/>
          </w:tcPr>
          <w:p>
            <w:pPr>
              <w:spacing w:after="0" w:line="203" w:lineRule="exact"/>
              <w:rPr>
                <w:sz w:val="20"/>
                <w:szCs w:val="20"/>
                <w:color w:val="auto"/>
              </w:rPr>
            </w:pPr>
            <w:r>
              <w:rPr>
                <w:rFonts w:ascii="Courier New" w:cs="Courier New" w:eastAsia="Courier New" w:hAnsi="Courier New"/>
                <w:sz w:val="18"/>
                <w:szCs w:val="18"/>
                <w:color w:val="auto"/>
              </w:rPr>
              <w:t>- $1.00 par value</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w:t>
            </w:r>
          </w:p>
        </w:tc>
        <w:tc>
          <w:tcPr>
            <w:tcW w:w="3600" w:type="dxa"/>
            <w:vAlign w:val="bottom"/>
          </w:tcPr>
          <w:p>
            <w:pPr>
              <w:spacing w:after="0" w:line="203" w:lineRule="exact"/>
              <w:rPr>
                <w:sz w:val="20"/>
                <w:szCs w:val="20"/>
                <w:color w:val="auto"/>
              </w:rPr>
            </w:pPr>
            <w:r>
              <w:rPr>
                <w:rFonts w:ascii="Courier New" w:cs="Courier New" w:eastAsia="Courier New" w:hAnsi="Courier New"/>
                <w:sz w:val="18"/>
                <w:szCs w:val="18"/>
                <w:color w:val="auto"/>
              </w:rPr>
              <w:t>$1.00 par value</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9,164</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9,164</w:t>
            </w: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46,174</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45,688</w:t>
            </w:r>
          </w:p>
        </w:tc>
      </w:tr>
      <w:tr>
        <w:trPr>
          <w:trHeight w:val="203"/>
        </w:trPr>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Retained earnings</w:t>
            </w:r>
          </w:p>
        </w:tc>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15,752</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15,527</w:t>
            </w:r>
          </w:p>
        </w:tc>
      </w:tr>
      <w:tr>
        <w:trPr>
          <w:trHeight w:val="203"/>
        </w:trPr>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71,090</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70,379</w:t>
            </w: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Common stock reacquired and held in treasury</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6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-at cost, 565,581 shares at October 31, 2006</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6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and 592,194 shares at April 30, 2006</w:t>
            </w:r>
          </w:p>
        </w:tc>
        <w:tc>
          <w:tcPr>
            <w:tcW w:w="26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(2,356)</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(2,437)</w:t>
            </w: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3,107</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2,691</w:t>
            </w:r>
          </w:p>
        </w:tc>
      </w:tr>
      <w:tr>
        <w:trPr>
          <w:trHeight w:val="203"/>
        </w:trPr>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6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71,841</w:t>
            </w:r>
          </w:p>
        </w:tc>
        <w:tc>
          <w:tcPr>
            <w:tcW w:w="42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70,633</w:t>
            </w:r>
          </w:p>
        </w:tc>
      </w:tr>
      <w:tr>
        <w:trPr>
          <w:trHeight w:val="203"/>
        </w:trPr>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4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$ 88,003</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$ 86,741</w:t>
            </w:r>
          </w:p>
        </w:tc>
      </w:tr>
      <w:tr>
        <w:trPr>
          <w:trHeight w:val="203"/>
        </w:trPr>
        <w:tc>
          <w:tcPr>
            <w:tcW w:w="20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ind w:left="1800"/>
        <w:spacing w:after="0" w:line="238" w:lineRule="auto"/>
        <w:rPr>
          <w:sz w:val="20"/>
          <w:szCs w:val="20"/>
          <w:color w:val="auto"/>
        </w:rPr>
      </w:pPr>
      <w:r>
        <w:rPr>
          <w:rFonts w:ascii="Courier New" w:cs="Courier New" w:eastAsia="Courier New" w:hAnsi="Courier New"/>
          <w:sz w:val="18"/>
          <w:szCs w:val="18"/>
          <w:color w:val="auto"/>
        </w:rPr>
        <w:t>Condensed Consolidated Statements of Operations</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Six Months Ended October 31,</w:t>
      </w:r>
    </w:p>
    <w:p>
      <w:pPr>
        <w:ind w:left="370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2"/>
              </w:rPr>
              <w:t>2006</w:t>
            </w:r>
          </w:p>
        </w:tc>
        <w:tc>
          <w:tcPr>
            <w:tcW w:w="680" w:type="dxa"/>
            <w:vAlign w:val="bottom"/>
          </w:tcPr>
          <w:p>
            <w:pPr>
              <w:spacing w:after="0"/>
              <w:rPr>
                <w:sz w:val="17"/>
                <w:szCs w:val="17"/>
                <w:color w:val="auto"/>
              </w:rPr>
            </w:pPr>
          </w:p>
        </w:tc>
        <w:tc>
          <w:tcPr>
            <w:tcW w:w="13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2005</w:t>
            </w:r>
          </w:p>
        </w:tc>
      </w:tr>
      <w:tr>
        <w:trPr>
          <w:trHeight w:val="203"/>
        </w:trPr>
        <w:tc>
          <w:tcPr>
            <w:tcW w:w="4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w:t>
            </w:r>
          </w:p>
        </w:tc>
        <w:tc>
          <w:tcPr>
            <w:tcW w:w="680" w:type="dxa"/>
            <w:vAlign w:val="bottom"/>
          </w:tcPr>
          <w:p>
            <w:pPr>
              <w:spacing w:after="0"/>
              <w:rPr>
                <w:sz w:val="17"/>
                <w:szCs w:val="17"/>
                <w:color w:val="auto"/>
              </w:rPr>
            </w:pPr>
          </w:p>
        </w:tc>
        <w:tc>
          <w:tcPr>
            <w:tcW w:w="1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4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94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$28,634</w:t>
            </w:r>
          </w:p>
        </w:tc>
        <w:tc>
          <w:tcPr>
            <w:tcW w:w="680" w:type="dxa"/>
            <w:vAlign w:val="bottom"/>
          </w:tcPr>
          <w:p>
            <w:pPr>
              <w:spacing w:after="0"/>
              <w:rPr>
                <w:sz w:val="24"/>
                <w:szCs w:val="24"/>
                <w:color w:val="auto"/>
              </w:rPr>
            </w:pP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5"/>
              </w:rPr>
              <w:t>$22,556</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84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18,441</w:t>
            </w:r>
          </w:p>
        </w:tc>
        <w:tc>
          <w:tcPr>
            <w:tcW w:w="6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14,361</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Gross margin</w:t>
            </w:r>
          </w:p>
        </w:tc>
        <w:tc>
          <w:tcPr>
            <w:tcW w:w="84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10,193</w:t>
            </w:r>
          </w:p>
        </w:tc>
        <w:tc>
          <w:tcPr>
            <w:tcW w:w="6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8,195</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Selling and administrative expenses</w:t>
            </w:r>
          </w:p>
        </w:tc>
        <w:tc>
          <w:tcPr>
            <w:tcW w:w="84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5,455</w:t>
            </w:r>
          </w:p>
        </w:tc>
        <w:tc>
          <w:tcPr>
            <w:tcW w:w="680" w:type="dxa"/>
            <w:vAlign w:val="bottom"/>
          </w:tcPr>
          <w:p>
            <w:pPr>
              <w:spacing w:after="0"/>
              <w:rPr>
                <w:sz w:val="24"/>
                <w:szCs w:val="24"/>
                <w:color w:val="auto"/>
              </w:rPr>
            </w:pP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5,077</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w:t>
            </w:r>
          </w:p>
        </w:tc>
        <w:tc>
          <w:tcPr>
            <w:tcW w:w="84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4,028</w:t>
            </w:r>
          </w:p>
        </w:tc>
        <w:tc>
          <w:tcPr>
            <w:tcW w:w="6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2,951</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Operating profit</w:t>
            </w:r>
          </w:p>
        </w:tc>
        <w:tc>
          <w:tcPr>
            <w:tcW w:w="84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710</w:t>
            </w:r>
          </w:p>
        </w:tc>
        <w:tc>
          <w:tcPr>
            <w:tcW w:w="6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167</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84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579</w:t>
            </w:r>
          </w:p>
        </w:tc>
        <w:tc>
          <w:tcPr>
            <w:tcW w:w="6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2,666</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 in Morion</w:t>
            </w:r>
          </w:p>
        </w:tc>
        <w:tc>
          <w:tcPr>
            <w:tcW w:w="84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274</w:t>
            </w:r>
          </w:p>
        </w:tc>
        <w:tc>
          <w:tcPr>
            <w:tcW w:w="6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229</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84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w:t>
            </w:r>
          </w:p>
        </w:tc>
        <w:tc>
          <w:tcPr>
            <w:tcW w:w="68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income, net</w:t>
            </w:r>
          </w:p>
        </w:tc>
        <w:tc>
          <w:tcPr>
            <w:tcW w:w="84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w:t>
            </w:r>
          </w:p>
        </w:tc>
        <w:tc>
          <w:tcPr>
            <w:tcW w:w="6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767</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for income taxes</w:t>
            </w:r>
          </w:p>
        </w:tc>
        <w:tc>
          <w:tcPr>
            <w:tcW w:w="84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1,606</w:t>
            </w:r>
          </w:p>
        </w:tc>
        <w:tc>
          <w:tcPr>
            <w:tcW w:w="6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3,770</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84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521</w:t>
            </w:r>
          </w:p>
        </w:tc>
        <w:tc>
          <w:tcPr>
            <w:tcW w:w="680" w:type="dxa"/>
            <w:vAlign w:val="bottom"/>
          </w:tcPr>
          <w:p>
            <w:pPr>
              <w:spacing w:after="0"/>
              <w:rPr>
                <w:sz w:val="24"/>
                <w:szCs w:val="24"/>
                <w:color w:val="auto"/>
              </w:rPr>
            </w:pP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1,296</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income</w:t>
            </w:r>
          </w:p>
        </w:tc>
        <w:tc>
          <w:tcPr>
            <w:tcW w:w="19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$ 1,085</w:t>
            </w:r>
          </w:p>
        </w:tc>
        <w:tc>
          <w:tcPr>
            <w:tcW w:w="6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$ 2,474</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0.13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0.29</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ind w:left="860"/>
              <w:spacing w:after="0"/>
              <w:rPr>
                <w:sz w:val="20"/>
                <w:szCs w:val="20"/>
                <w:color w:val="auto"/>
              </w:rPr>
            </w:pPr>
            <w:r>
              <w:rPr>
                <w:rFonts w:ascii="Courier New" w:cs="Courier New" w:eastAsia="Courier New" w:hAnsi="Courier New"/>
                <w:sz w:val="18"/>
                <w:szCs w:val="18"/>
                <w:color w:val="auto"/>
              </w:rPr>
              <w:t>Diluted</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0.12</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0.29</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shares outstanding</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19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8,584,409</w:t>
            </w:r>
          </w:p>
        </w:tc>
        <w:tc>
          <w:tcPr>
            <w:tcW w:w="20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8,525,629</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19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8,732,393</w:t>
            </w:r>
          </w:p>
        </w:tc>
        <w:tc>
          <w:tcPr>
            <w:tcW w:w="20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8,665,810</w:t>
            </w:r>
          </w:p>
        </w:tc>
      </w:tr>
      <w:tr>
        <w:trPr>
          <w:trHeight w:val="203"/>
        </w:trPr>
        <w:tc>
          <w:tcPr>
            <w:tcW w:w="4440" w:type="dxa"/>
            <w:vAlign w:val="bottom"/>
          </w:tcPr>
          <w:p>
            <w:pPr>
              <w:spacing w:after="0"/>
              <w:rPr>
                <w:sz w:val="17"/>
                <w:szCs w:val="17"/>
                <w:color w:val="auto"/>
              </w:rPr>
            </w:pPr>
          </w:p>
        </w:tc>
        <w:tc>
          <w:tcPr>
            <w:tcW w:w="19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consolidated condensed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717" w:right="1440" w:bottom="1440" w:gutter="0" w:footer="0" w:header="0"/>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ind w:left="1800"/>
        <w:spacing w:after="0" w:line="238" w:lineRule="auto"/>
        <w:rPr>
          <w:sz w:val="20"/>
          <w:szCs w:val="20"/>
          <w:color w:val="auto"/>
        </w:rPr>
      </w:pPr>
      <w:r>
        <w:rPr>
          <w:rFonts w:ascii="Courier New" w:cs="Courier New" w:eastAsia="Courier New" w:hAnsi="Courier New"/>
          <w:sz w:val="18"/>
          <w:szCs w:val="18"/>
          <w:color w:val="auto"/>
        </w:rPr>
        <w:t>Condensed Consolidated Statements of Operations</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Three Months Ended October 31,</w:t>
      </w:r>
    </w:p>
    <w:p>
      <w:pPr>
        <w:ind w:left="370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2006</w:t>
            </w:r>
          </w:p>
        </w:tc>
        <w:tc>
          <w:tcPr>
            <w:tcW w:w="880" w:type="dxa"/>
            <w:vAlign w:val="bottom"/>
          </w:tcPr>
          <w:p>
            <w:pPr>
              <w:spacing w:after="0"/>
              <w:rPr>
                <w:sz w:val="17"/>
                <w:szCs w:val="17"/>
                <w:color w:val="auto"/>
              </w:rPr>
            </w:pPr>
          </w:p>
        </w:tc>
        <w:tc>
          <w:tcPr>
            <w:tcW w:w="11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2005</w:t>
            </w:r>
          </w:p>
        </w:tc>
      </w:tr>
      <w:tr>
        <w:trPr>
          <w:trHeight w:val="203"/>
        </w:trPr>
        <w:tc>
          <w:tcPr>
            <w:tcW w:w="4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c>
          <w:tcPr>
            <w:tcW w:w="1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4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0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$14,320</w:t>
            </w:r>
          </w:p>
        </w:tc>
        <w:tc>
          <w:tcPr>
            <w:tcW w:w="20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$11,499</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780" w:type="dxa"/>
            <w:vAlign w:val="bottom"/>
          </w:tcPr>
          <w:p>
            <w:pPr>
              <w:spacing w:after="0"/>
              <w:rPr>
                <w:sz w:val="17"/>
                <w:szCs w:val="17"/>
                <w:color w:val="auto"/>
              </w:rPr>
            </w:pP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8,980</w:t>
            </w:r>
          </w:p>
        </w:tc>
        <w:tc>
          <w:tcPr>
            <w:tcW w:w="88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7,401</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Gross margin</w:t>
            </w:r>
          </w:p>
        </w:tc>
        <w:tc>
          <w:tcPr>
            <w:tcW w:w="780" w:type="dxa"/>
            <w:vAlign w:val="bottom"/>
          </w:tcPr>
          <w:p>
            <w:pPr>
              <w:spacing w:after="0"/>
              <w:rPr>
                <w:sz w:val="17"/>
                <w:szCs w:val="17"/>
                <w:color w:val="auto"/>
              </w:rPr>
            </w:pP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5,340</w:t>
            </w:r>
          </w:p>
        </w:tc>
        <w:tc>
          <w:tcPr>
            <w:tcW w:w="88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4,098</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Selling and administrative expenses</w:t>
            </w:r>
          </w:p>
        </w:tc>
        <w:tc>
          <w:tcPr>
            <w:tcW w:w="78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2,674</w:t>
            </w:r>
          </w:p>
        </w:tc>
        <w:tc>
          <w:tcPr>
            <w:tcW w:w="880" w:type="dxa"/>
            <w:vAlign w:val="bottom"/>
          </w:tcPr>
          <w:p>
            <w:pPr>
              <w:spacing w:after="0"/>
              <w:rPr>
                <w:sz w:val="24"/>
                <w:szCs w:val="24"/>
                <w:color w:val="auto"/>
              </w:rPr>
            </w:pPr>
          </w:p>
        </w:tc>
        <w:tc>
          <w:tcPr>
            <w:tcW w:w="1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2,533</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expense</w:t>
            </w:r>
          </w:p>
        </w:tc>
        <w:tc>
          <w:tcPr>
            <w:tcW w:w="780" w:type="dxa"/>
            <w:vAlign w:val="bottom"/>
          </w:tcPr>
          <w:p>
            <w:pPr>
              <w:spacing w:after="0"/>
              <w:rPr>
                <w:sz w:val="17"/>
                <w:szCs w:val="17"/>
                <w:color w:val="auto"/>
              </w:rPr>
            </w:pP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2,647</w:t>
            </w:r>
          </w:p>
        </w:tc>
        <w:tc>
          <w:tcPr>
            <w:tcW w:w="88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1,509</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Operating profit</w:t>
            </w:r>
          </w:p>
        </w:tc>
        <w:tc>
          <w:tcPr>
            <w:tcW w:w="780" w:type="dxa"/>
            <w:vAlign w:val="bottom"/>
          </w:tcPr>
          <w:p>
            <w:pPr>
              <w:spacing w:after="0"/>
              <w:rPr>
                <w:sz w:val="17"/>
                <w:szCs w:val="17"/>
                <w:color w:val="auto"/>
              </w:rPr>
            </w:pP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w:t>
            </w:r>
          </w:p>
        </w:tc>
        <w:tc>
          <w:tcPr>
            <w:tcW w:w="88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56</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780" w:type="dxa"/>
            <w:vAlign w:val="bottom"/>
          </w:tcPr>
          <w:p>
            <w:pPr>
              <w:spacing w:after="0"/>
              <w:rPr>
                <w:sz w:val="17"/>
                <w:szCs w:val="17"/>
                <w:color w:val="auto"/>
              </w:rPr>
            </w:pP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280</w:t>
            </w:r>
          </w:p>
        </w:tc>
        <w:tc>
          <w:tcPr>
            <w:tcW w:w="88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1,341</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 in Morion</w:t>
            </w:r>
          </w:p>
        </w:tc>
        <w:tc>
          <w:tcPr>
            <w:tcW w:w="780" w:type="dxa"/>
            <w:vAlign w:val="bottom"/>
          </w:tcPr>
          <w:p>
            <w:pPr>
              <w:spacing w:after="0"/>
              <w:rPr>
                <w:sz w:val="17"/>
                <w:szCs w:val="17"/>
                <w:color w:val="auto"/>
              </w:rPr>
            </w:pP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71</w:t>
            </w:r>
          </w:p>
        </w:tc>
        <w:tc>
          <w:tcPr>
            <w:tcW w:w="88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780" w:type="dxa"/>
            <w:vAlign w:val="bottom"/>
          </w:tcPr>
          <w:p>
            <w:pPr>
              <w:spacing w:after="0"/>
              <w:rPr>
                <w:sz w:val="17"/>
                <w:szCs w:val="17"/>
                <w:color w:val="auto"/>
              </w:rPr>
            </w:pP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w:t>
            </w:r>
          </w:p>
        </w:tc>
        <w:tc>
          <w:tcPr>
            <w:tcW w:w="880" w:type="dxa"/>
            <w:vAlign w:val="bottom"/>
          </w:tcPr>
          <w:p>
            <w:pPr>
              <w:spacing w:after="0"/>
              <w:rPr>
                <w:sz w:val="17"/>
                <w:szCs w:val="17"/>
                <w:color w:val="auto"/>
              </w:rPr>
            </w:pP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income, net</w:t>
            </w:r>
          </w:p>
        </w:tc>
        <w:tc>
          <w:tcPr>
            <w:tcW w:w="780" w:type="dxa"/>
            <w:vAlign w:val="bottom"/>
          </w:tcPr>
          <w:p>
            <w:pPr>
              <w:spacing w:after="0"/>
              <w:rPr>
                <w:sz w:val="17"/>
                <w:szCs w:val="17"/>
                <w:color w:val="auto"/>
              </w:rPr>
            </w:pP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w:t>
            </w:r>
          </w:p>
        </w:tc>
        <w:tc>
          <w:tcPr>
            <w:tcW w:w="88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698</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for income taxes</w:t>
            </w:r>
          </w:p>
        </w:tc>
        <w:tc>
          <w:tcPr>
            <w:tcW w:w="780" w:type="dxa"/>
            <w:vAlign w:val="bottom"/>
          </w:tcPr>
          <w:p>
            <w:pPr>
              <w:spacing w:after="0"/>
              <w:rPr>
                <w:sz w:val="17"/>
                <w:szCs w:val="17"/>
                <w:color w:val="auto"/>
              </w:rPr>
            </w:pP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368</w:t>
            </w:r>
          </w:p>
        </w:tc>
        <w:tc>
          <w:tcPr>
            <w:tcW w:w="88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2,149</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78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181</w:t>
            </w:r>
          </w:p>
        </w:tc>
        <w:tc>
          <w:tcPr>
            <w:tcW w:w="880" w:type="dxa"/>
            <w:vAlign w:val="bottom"/>
          </w:tcPr>
          <w:p>
            <w:pPr>
              <w:spacing w:after="0"/>
              <w:rPr>
                <w:sz w:val="24"/>
                <w:szCs w:val="24"/>
                <w:color w:val="auto"/>
              </w:rPr>
            </w:pPr>
          </w:p>
        </w:tc>
        <w:tc>
          <w:tcPr>
            <w:tcW w:w="1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817</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income</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187</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$ 1,332</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0.02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0.16</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0.02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0.15</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shares outstanding</w:t>
            </w: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Basic</w:t>
            </w: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8,592,113</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8,531,238</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Diluted</w:t>
            </w: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8,744,852</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8,674,280</w:t>
            </w:r>
          </w:p>
        </w:tc>
      </w:tr>
      <w:tr>
        <w:trPr>
          <w:trHeight w:val="203"/>
        </w:trPr>
        <w:tc>
          <w:tcPr>
            <w:tcW w:w="4440" w:type="dxa"/>
            <w:vAlign w:val="bottom"/>
          </w:tcPr>
          <w:p>
            <w:pPr>
              <w:spacing w:after="0"/>
              <w:rPr>
                <w:sz w:val="17"/>
                <w:szCs w:val="17"/>
                <w:color w:val="auto"/>
              </w:rPr>
            </w:pP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5" w:name="page6"/>
    <w:bookmarkEnd w:id="5"/>
    <w:p>
      <w:pPr>
        <w:ind w:left="1900"/>
        <w:spacing w:after="0"/>
        <w:rPr>
          <w:sz w:val="20"/>
          <w:szCs w:val="20"/>
          <w:color w:val="auto"/>
        </w:rPr>
      </w:pPr>
      <w:r>
        <w:rPr>
          <w:rFonts w:ascii="Courier New" w:cs="Courier New" w:eastAsia="Courier New" w:hAnsi="Courier New"/>
          <w:sz w:val="18"/>
          <w:szCs w:val="18"/>
          <w:color w:val="auto"/>
        </w:rPr>
        <w:t>FREQUENCY ELECTRONICS, INC. and SUBSIDIARIES</w:t>
      </w:r>
    </w:p>
    <w:p>
      <w:pPr>
        <w:ind w:left="1800"/>
        <w:spacing w:after="0" w:line="238" w:lineRule="auto"/>
        <w:rPr>
          <w:sz w:val="20"/>
          <w:szCs w:val="20"/>
          <w:color w:val="auto"/>
        </w:rPr>
      </w:pPr>
      <w:r>
        <w:rPr>
          <w:rFonts w:ascii="Courier New" w:cs="Courier New" w:eastAsia="Courier New" w:hAnsi="Courier New"/>
          <w:sz w:val="18"/>
          <w:szCs w:val="18"/>
          <w:color w:val="auto"/>
        </w:rPr>
        <w:t>Condensed Consolidated Statements of Cash Flows</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Six Months Ended October 31,</w:t>
      </w:r>
    </w:p>
    <w:tbl>
      <w:tblPr>
        <w:tblLayout w:type="fixed"/>
        <w:tblInd w:w="0" w:type="dxa"/>
        <w:tblCellMar>
          <w:top w:w="0" w:type="dxa"/>
          <w:left w:w="0" w:type="dxa"/>
          <w:bottom w:w="0" w:type="dxa"/>
          <w:right w:w="0" w:type="dxa"/>
        </w:tblCellMar>
      </w:tblPr>
      <w:tr>
        <w:trPr>
          <w:trHeight w:val="203"/>
        </w:trPr>
        <w:tc>
          <w:tcPr>
            <w:tcW w:w="5740" w:type="dxa"/>
            <w:vAlign w:val="bottom"/>
          </w:tcPr>
          <w:p>
            <w:pPr>
              <w:ind w:left="3700"/>
              <w:spacing w:after="0" w:line="203" w:lineRule="exact"/>
              <w:rPr>
                <w:sz w:val="20"/>
                <w:szCs w:val="20"/>
                <w:color w:val="auto"/>
              </w:rPr>
            </w:pPr>
            <w:r>
              <w:rPr>
                <w:rFonts w:ascii="Courier New" w:cs="Courier New" w:eastAsia="Courier New" w:hAnsi="Courier New"/>
                <w:sz w:val="18"/>
                <w:szCs w:val="18"/>
                <w:color w:val="auto"/>
              </w:rPr>
              <w:t>(Unaudited)</w:t>
            </w:r>
          </w:p>
        </w:tc>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5740" w:type="dxa"/>
            <w:vAlign w:val="bottom"/>
          </w:tcPr>
          <w:p>
            <w:pPr>
              <w:spacing w:after="0"/>
              <w:rPr>
                <w:sz w:val="24"/>
                <w:szCs w:val="24"/>
                <w:color w:val="auto"/>
              </w:rPr>
            </w:pPr>
          </w:p>
        </w:tc>
        <w:tc>
          <w:tcPr>
            <w:tcW w:w="1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2006</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2005</w:t>
            </w:r>
          </w:p>
        </w:tc>
      </w:tr>
      <w:tr>
        <w:trPr>
          <w:trHeight w:val="203"/>
        </w:trPr>
        <w:tc>
          <w:tcPr>
            <w:tcW w:w="5740" w:type="dxa"/>
            <w:vAlign w:val="bottom"/>
          </w:tcPr>
          <w:p>
            <w:pPr>
              <w:spacing w:after="0"/>
              <w:rPr>
                <w:sz w:val="17"/>
                <w:szCs w:val="17"/>
                <w:color w:val="auto"/>
              </w:rPr>
            </w:pP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2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$ 1,085</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$ 2,474</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Non-cash charges (income) to earnings, net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1,785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(1,512)</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changes in other assets and liabilities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(2,163)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(2,863)</w:t>
            </w:r>
          </w:p>
        </w:tc>
      </w:tr>
      <w:tr>
        <w:trPr>
          <w:trHeight w:val="203"/>
        </w:trPr>
        <w:tc>
          <w:tcPr>
            <w:tcW w:w="57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 operating activities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707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(1,901)</w:t>
            </w:r>
          </w:p>
        </w:tc>
      </w:tr>
      <w:tr>
        <w:trPr>
          <w:trHeight w:val="203"/>
        </w:trPr>
        <w:tc>
          <w:tcPr>
            <w:tcW w:w="57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for acquisition</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marketable securities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4,104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12,568</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marketable securities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(935)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(8,802)</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fixed assets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(933)</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net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45</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investing activities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2,201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2,730</w:t>
            </w:r>
          </w:p>
        </w:tc>
      </w:tr>
      <w:tr>
        <w:trPr>
          <w:trHeight w:val="203"/>
        </w:trPr>
        <w:tc>
          <w:tcPr>
            <w:tcW w:w="57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cash dividend</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(857)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(852)</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stock option exercises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62</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net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57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(795)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(831)</w:t>
            </w:r>
          </w:p>
        </w:tc>
      </w:tr>
      <w:tr>
        <w:trPr>
          <w:trHeight w:val="203"/>
        </w:trPr>
        <w:tc>
          <w:tcPr>
            <w:tcW w:w="57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before effect of exchange rate changes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2,113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 cash and cash equivalents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42</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57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ind w:left="220"/>
              <w:spacing w:after="0"/>
              <w:rPr>
                <w:sz w:val="20"/>
                <w:szCs w:val="20"/>
                <w:color w:val="auto"/>
              </w:rPr>
            </w:pPr>
            <w:r>
              <w:rPr>
                <w:rFonts w:ascii="Courier New" w:cs="Courier New" w:eastAsia="Courier New" w:hAnsi="Courier New"/>
                <w:sz w:val="18"/>
                <w:szCs w:val="18"/>
                <w:color w:val="auto"/>
              </w:rPr>
              <w:t>Net increase in cash</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2,155</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111</w:t>
            </w:r>
          </w:p>
        </w:tc>
      </w:tr>
      <w:tr>
        <w:trPr>
          <w:trHeight w:val="405"/>
        </w:trPr>
        <w:tc>
          <w:tcPr>
            <w:tcW w:w="5740" w:type="dxa"/>
            <w:vAlign w:val="bottom"/>
          </w:tcPr>
          <w:p>
            <w:pPr>
              <w:ind w:left="220"/>
              <w:spacing w:after="0"/>
              <w:rPr>
                <w:sz w:val="20"/>
                <w:szCs w:val="20"/>
                <w:color w:val="auto"/>
              </w:rPr>
            </w:pPr>
            <w:r>
              <w:rPr>
                <w:rFonts w:ascii="Courier New" w:cs="Courier New" w:eastAsia="Courier New" w:hAnsi="Courier New"/>
                <w:sz w:val="18"/>
                <w:szCs w:val="18"/>
                <w:color w:val="auto"/>
              </w:rPr>
              <w:t>Cash at beginning of period</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2,639</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6,701</w:t>
            </w:r>
          </w:p>
        </w:tc>
      </w:tr>
      <w:tr>
        <w:trPr>
          <w:trHeight w:val="203"/>
        </w:trPr>
        <w:tc>
          <w:tcPr>
            <w:tcW w:w="57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at end of period</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$ 4,794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$ 6,812</w:t>
            </w:r>
          </w:p>
        </w:tc>
      </w:tr>
      <w:tr>
        <w:trPr>
          <w:trHeight w:val="203"/>
        </w:trPr>
        <w:tc>
          <w:tcPr>
            <w:tcW w:w="5740" w:type="dxa"/>
            <w:vAlign w:val="bottom"/>
          </w:tcPr>
          <w:p>
            <w:pPr>
              <w:spacing w:after="0"/>
              <w:rPr>
                <w:sz w:val="17"/>
                <w:szCs w:val="17"/>
                <w:color w:val="auto"/>
              </w:rPr>
            </w:pP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A - CONSOLIDATED FINANCIAL STATEMENTS</w:t>
      </w:r>
    </w:p>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In the opinion of management of the Company, the accompanying unaudited condensed consolidated interim financial statements reflect all adjustments (which include only normal recurring adjustments) necessary to present fairly, in all material respects, the consolidated financial position of the Company as of October 31, 2006 and the results of its operations and cash flows for the six and three months ended October 31, 2006 and 2005. The April 30, 2006 condensed consolidated balance sheet was derived from audited financial statements.</w:t>
      </w:r>
    </w:p>
    <w:tbl>
      <w:tblPr>
        <w:tblLayout w:type="fixed"/>
        <w:tblInd w:w="0" w:type="dxa"/>
        <w:tblCellMar>
          <w:top w:w="0" w:type="dxa"/>
          <w:left w:w="0" w:type="dxa"/>
          <w:bottom w:w="0" w:type="dxa"/>
          <w:right w:w="0" w:type="dxa"/>
        </w:tblCellMar>
      </w:tblPr>
      <w:tr>
        <w:trPr>
          <w:trHeight w:val="200"/>
        </w:trPr>
        <w:tc>
          <w:tcPr>
            <w:tcW w:w="6020" w:type="dxa"/>
            <w:vAlign w:val="bottom"/>
            <w:gridSpan w:val="7"/>
          </w:tcPr>
          <w:p>
            <w:pPr>
              <w:spacing w:after="0" w:line="199" w:lineRule="exact"/>
              <w:rPr>
                <w:sz w:val="20"/>
                <w:szCs w:val="20"/>
                <w:color w:val="auto"/>
              </w:rPr>
            </w:pPr>
            <w:r>
              <w:rPr>
                <w:rFonts w:ascii="Courier New" w:cs="Courier New" w:eastAsia="Courier New" w:hAnsi="Courier New"/>
                <w:sz w:val="18"/>
                <w:szCs w:val="18"/>
                <w:color w:val="auto"/>
                <w:w w:val="97"/>
              </w:rPr>
              <w:t>Certain  information  and footnote  disclosures  normally</w:t>
            </w:r>
          </w:p>
        </w:tc>
        <w:tc>
          <w:tcPr>
            <w:tcW w:w="1160" w:type="dxa"/>
            <w:vAlign w:val="bottom"/>
            <w:gridSpan w:val="2"/>
          </w:tcPr>
          <w:p>
            <w:pPr>
              <w:jc w:val="right"/>
              <w:ind w:right="32"/>
              <w:spacing w:after="0" w:line="199" w:lineRule="exact"/>
              <w:rPr>
                <w:sz w:val="20"/>
                <w:szCs w:val="20"/>
                <w:color w:val="auto"/>
              </w:rPr>
            </w:pPr>
            <w:r>
              <w:rPr>
                <w:rFonts w:ascii="Courier New" w:cs="Courier New" w:eastAsia="Courier New" w:hAnsi="Courier New"/>
                <w:sz w:val="18"/>
                <w:szCs w:val="18"/>
                <w:color w:val="auto"/>
              </w:rPr>
              <w:t>included</w:t>
            </w:r>
          </w:p>
        </w:tc>
        <w:tc>
          <w:tcPr>
            <w:tcW w:w="126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w w:val="95"/>
              </w:rPr>
              <w:t>in financial</w:t>
            </w:r>
          </w:p>
        </w:tc>
      </w:tr>
      <w:tr>
        <w:trPr>
          <w:trHeight w:val="203"/>
        </w:trPr>
        <w:tc>
          <w:tcPr>
            <w:tcW w:w="71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7"/>
              </w:rPr>
              <w:t>statements prepared in accordance with generally accepted accounting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principles</w:t>
            </w:r>
          </w:p>
        </w:tc>
      </w:tr>
      <w:tr>
        <w:trPr>
          <w:trHeight w:val="203"/>
        </w:trPr>
        <w:tc>
          <w:tcPr>
            <w:tcW w:w="3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have  been  condensed  or  omitted.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  is</w:t>
            </w: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suggested</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that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condensed</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consolidated</w:t>
            </w:r>
          </w:p>
        </w:tc>
        <w:tc>
          <w:tcPr>
            <w:tcW w:w="1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financial</w:t>
            </w:r>
          </w:p>
        </w:tc>
        <w:tc>
          <w:tcPr>
            <w:tcW w:w="1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statements</w:t>
            </w:r>
          </w:p>
        </w:tc>
        <w:tc>
          <w:tcPr>
            <w:tcW w:w="1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be read in</w:t>
            </w:r>
          </w:p>
        </w:tc>
        <w:tc>
          <w:tcPr>
            <w:tcW w:w="1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conjunction</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with the financial</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19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and notes thereto</w:t>
            </w:r>
          </w:p>
        </w:tc>
        <w:tc>
          <w:tcPr>
            <w:tcW w:w="1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included in the</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Company's</w:t>
            </w:r>
          </w:p>
        </w:tc>
        <w:tc>
          <w:tcPr>
            <w:tcW w:w="2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April 30, 2006 Annual</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Report to  Stockholders.</w:t>
            </w:r>
          </w:p>
        </w:tc>
        <w:tc>
          <w:tcPr>
            <w:tcW w:w="58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The results of operations for such interim periods are</w:t>
            </w:r>
          </w:p>
        </w:tc>
      </w:tr>
      <w:tr>
        <w:trPr>
          <w:trHeight w:val="203"/>
        </w:trPr>
        <w:tc>
          <w:tcPr>
            <w:tcW w:w="844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not necessarily indicative of the operating results for the full year.</w:t>
            </w:r>
          </w:p>
        </w:tc>
      </w:tr>
      <w:tr>
        <w:trPr>
          <w:trHeight w:val="405"/>
        </w:trPr>
        <w:tc>
          <w:tcPr>
            <w:tcW w:w="3220" w:type="dxa"/>
            <w:vAlign w:val="bottom"/>
            <w:gridSpan w:val="3"/>
          </w:tcPr>
          <w:p>
            <w:pPr>
              <w:spacing w:after="0"/>
              <w:rPr>
                <w:sz w:val="20"/>
                <w:szCs w:val="20"/>
                <w:color w:val="auto"/>
              </w:rPr>
            </w:pPr>
            <w:r>
              <w:rPr>
                <w:rFonts w:ascii="Courier New" w:cs="Courier New" w:eastAsia="Courier New" w:hAnsi="Courier New"/>
                <w:sz w:val="18"/>
                <w:szCs w:val="18"/>
                <w:color w:val="auto"/>
              </w:rPr>
              <w:t>NOTE B - EARNINGS PER SHARE</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3860" w:type="dxa"/>
            <w:vAlign w:val="bottom"/>
            <w:gridSpan w:val="4"/>
          </w:tcPr>
          <w:p>
            <w:pPr>
              <w:jc w:val="center"/>
              <w:ind w:left="392"/>
              <w:spacing w:after="0"/>
              <w:rPr>
                <w:sz w:val="20"/>
                <w:szCs w:val="20"/>
                <w:color w:val="auto"/>
              </w:rPr>
            </w:pPr>
            <w:r>
              <w:rPr>
                <w:rFonts w:ascii="Courier New" w:cs="Courier New" w:eastAsia="Courier New" w:hAnsi="Courier New"/>
                <w:sz w:val="18"/>
                <w:szCs w:val="18"/>
                <w:color w:val="auto"/>
                <w:w w:val="97"/>
              </w:rPr>
              <w:t>Reconciliation  of the weighted</w:t>
            </w:r>
          </w:p>
        </w:tc>
        <w:tc>
          <w:tcPr>
            <w:tcW w:w="4580" w:type="dxa"/>
            <w:vAlign w:val="bottom"/>
            <w:gridSpan w:val="6"/>
          </w:tcPr>
          <w:p>
            <w:pPr>
              <w:jc w:val="right"/>
              <w:spacing w:after="0"/>
              <w:rPr>
                <w:sz w:val="20"/>
                <w:szCs w:val="20"/>
                <w:color w:val="auto"/>
              </w:rPr>
            </w:pPr>
            <w:r>
              <w:rPr>
                <w:rFonts w:ascii="Courier New" w:cs="Courier New" w:eastAsia="Courier New" w:hAnsi="Courier New"/>
                <w:sz w:val="18"/>
                <w:szCs w:val="18"/>
                <w:color w:val="auto"/>
              </w:rPr>
              <w:t>average shares  outstanding  for basic and</w:t>
            </w:r>
          </w:p>
        </w:tc>
      </w:tr>
      <w:tr>
        <w:trPr>
          <w:trHeight w:val="203"/>
        </w:trPr>
        <w:tc>
          <w:tcPr>
            <w:tcW w:w="47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diluted Earnings Per Share are as follows: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6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Six months</w:t>
            </w:r>
          </w:p>
        </w:tc>
        <w:tc>
          <w:tcPr>
            <w:tcW w:w="4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Three</w:t>
            </w: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months</w:t>
            </w:r>
          </w:p>
        </w:tc>
      </w:tr>
      <w:tr>
        <w:trPr>
          <w:trHeight w:val="203"/>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6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2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8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Periods ended October</w:t>
            </w:r>
          </w:p>
        </w:tc>
        <w:tc>
          <w:tcPr>
            <w:tcW w:w="12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w w:val="86"/>
              </w:rPr>
              <w:t>31,</w:t>
            </w:r>
          </w:p>
        </w:tc>
      </w:tr>
      <w:tr>
        <w:trPr>
          <w:trHeight w:val="203"/>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2006</w:t>
            </w:r>
          </w:p>
        </w:tc>
        <w:tc>
          <w:tcPr>
            <w:tcW w:w="2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2005</w:t>
            </w:r>
          </w:p>
        </w:tc>
        <w:tc>
          <w:tcPr>
            <w:tcW w:w="4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2006</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Basic EPS Shares outstanding</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(weighted average)</w:t>
            </w:r>
          </w:p>
        </w:tc>
        <w:tc>
          <w:tcPr>
            <w:tcW w:w="64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8,584,409</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8,525,629</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8,592,113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8,531,238</w:t>
            </w: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Effect of Dilutive Securities</w:t>
            </w: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147,984</w:t>
            </w:r>
          </w:p>
        </w:tc>
        <w:tc>
          <w:tcPr>
            <w:tcW w:w="2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140,181</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152,739</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143,042</w:t>
            </w:r>
          </w:p>
        </w:tc>
      </w:tr>
      <w:tr>
        <w:trPr>
          <w:trHeight w:val="203"/>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Diluted EPS Shares outstanding</w:t>
            </w: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8,732,393</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8,665,810</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8,744,852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8,674,280</w:t>
            </w:r>
          </w:p>
        </w:tc>
      </w:tr>
      <w:tr>
        <w:trPr>
          <w:trHeight w:val="203"/>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computation of diluted earnings per share excludes those options with an exercise price in excess of the average market price of the Company's common shares during the periods presented. The inclusion of such options in the computation of earnings per share would have been antidilutive. The number of excluded options were:</w:t>
      </w: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268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Six months</w:t>
            </w:r>
          </w:p>
        </w:tc>
        <w:tc>
          <w:tcPr>
            <w:tcW w:w="23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3220" w:type="dxa"/>
            <w:vAlign w:val="bottom"/>
          </w:tcPr>
          <w:p>
            <w:pPr>
              <w:spacing w:after="0"/>
              <w:rPr>
                <w:sz w:val="17"/>
                <w:szCs w:val="17"/>
                <w:color w:val="auto"/>
              </w:rPr>
            </w:pPr>
          </w:p>
        </w:tc>
        <w:tc>
          <w:tcPr>
            <w:tcW w:w="26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Periods ended October 31,</w:t>
            </w:r>
          </w:p>
        </w:tc>
        <w:tc>
          <w:tcPr>
            <w:tcW w:w="74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2006</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2005</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322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Options excluded</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571,550</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570,550</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571,550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570,550</w:t>
            </w:r>
          </w:p>
        </w:tc>
      </w:tr>
      <w:tr>
        <w:trPr>
          <w:trHeight w:val="203"/>
        </w:trPr>
        <w:tc>
          <w:tcPr>
            <w:tcW w:w="322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 - ACCOUNTS RECEIVABLE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Accounts receivable at October 31, 2006 and April 30, 2006 include costs and estimated earnings in excess of billings on uncompleted contracts accounted for on the percentage of completion basis of approximately $1,725,000 and $4,857,000, respectively. Such amounts represent revenue recognized on long-term contracts that had not been billed at the balance sheet dates. Such amounts are billed pursuant to contract terms.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D - INVENTORIES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Inventories, which are reported net of reserves of $4,326,000 and $3,923,000 at October 31, 2006 and April 30, 2006, respectively, consist of the following:</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2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October 31, 2006</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April 30, 2006</w:t>
            </w:r>
          </w:p>
        </w:tc>
      </w:tr>
      <w:tr>
        <w:trPr>
          <w:trHeight w:val="203"/>
        </w:trPr>
        <w:tc>
          <w:tcPr>
            <w:tcW w:w="3740" w:type="dxa"/>
            <w:vAlign w:val="bottom"/>
          </w:tcPr>
          <w:p>
            <w:pPr>
              <w:spacing w:after="0"/>
              <w:rPr>
                <w:sz w:val="17"/>
                <w:szCs w:val="17"/>
                <w:color w:val="auto"/>
              </w:rPr>
            </w:pPr>
          </w:p>
        </w:tc>
        <w:tc>
          <w:tcPr>
            <w:tcW w:w="438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 and Component parts</w:t>
            </w:r>
          </w:p>
        </w:tc>
        <w:tc>
          <w:tcPr>
            <w:tcW w:w="24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$13,336</w:t>
            </w:r>
          </w:p>
        </w:tc>
        <w:tc>
          <w:tcPr>
            <w:tcW w:w="1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$11,172</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progress</w:t>
            </w:r>
          </w:p>
        </w:tc>
        <w:tc>
          <w:tcPr>
            <w:tcW w:w="24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13,140</w:t>
            </w:r>
          </w:p>
        </w:tc>
        <w:tc>
          <w:tcPr>
            <w:tcW w:w="1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11,799</w:t>
            </w:r>
          </w:p>
        </w:tc>
      </w:tr>
      <w:tr>
        <w:trPr>
          <w:trHeight w:val="203"/>
        </w:trPr>
        <w:tc>
          <w:tcPr>
            <w:tcW w:w="3740" w:type="dxa"/>
            <w:vAlign w:val="bottom"/>
          </w:tcPr>
          <w:p>
            <w:pPr>
              <w:spacing w:after="0"/>
              <w:rPr>
                <w:sz w:val="17"/>
                <w:szCs w:val="17"/>
                <w:color w:val="auto"/>
              </w:rPr>
            </w:pPr>
          </w:p>
        </w:tc>
        <w:tc>
          <w:tcPr>
            <w:tcW w:w="24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24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$26,476</w:t>
            </w:r>
          </w:p>
        </w:tc>
        <w:tc>
          <w:tcPr>
            <w:tcW w:w="1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$22,971</w:t>
            </w:r>
          </w:p>
        </w:tc>
      </w:tr>
      <w:tr>
        <w:trPr>
          <w:trHeight w:val="203"/>
        </w:trPr>
        <w:tc>
          <w:tcPr>
            <w:tcW w:w="3740" w:type="dxa"/>
            <w:vAlign w:val="bottom"/>
          </w:tcPr>
          <w:p>
            <w:pPr>
              <w:spacing w:after="0"/>
              <w:rPr>
                <w:sz w:val="17"/>
                <w:szCs w:val="17"/>
                <w:color w:val="auto"/>
              </w:rPr>
            </w:pPr>
          </w:p>
        </w:tc>
        <w:tc>
          <w:tcPr>
            <w:tcW w:w="24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919" w:right="1440" w:bottom="564"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 - -COMPREHENSIVE INCOME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For the six months ended October 31, 2006 and 2005, total comprehensive income was $1,501,000 and $755,000, respectively. Comprehensive income is composed of net income or loss for the period plus the impact of foreign currency translation adjustments and the change in the valuation allowance on marketable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F - EQUITY-BASED COMPENSATION</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Effective May 1, 2006, the Company adopted the fair value recognition provisions of Statement of Financial Accounting Standards No. 123(R), "Share-Based Payment" ("FAS 123(R)"), using the modified prospective transition method. Under the modified prospective transition method, compensation cost of $277,000 and $162,000 was recognized during the six and three months ended October 31, 2006, respectively, and includes: (a) compensation cost for all share-based payments granted prior to, but not yet vested as of May 1, 2006, based on the grant date fair value estimated in accordance with the original provisions of FAS 123, and (b) compensation cost for all share-based payments granted subsequent to May 1, 2006, based on the grant-date fair value estimated in accordance with the provisions of FAS 123(R). Results for prior periods have not been restated.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Upon adoption of FAS 123(R), the Company elected to continue to value its share-based payment transactions using the Black-Scholes valuation model, which was previously used by the Company for purposes of preparing the pro forma disclosures under FAS 123. Such value is recognized as expense on a straight-line basis over the service period of the awards, which is generally the vesting period, net of estimated forfeitures. This is the same attribution method that was used by the Company for purposes of its pro forma disclosures under FAS 123.</w:t>
      </w:r>
    </w:p>
    <w:p>
      <w:pPr>
        <w:spacing w:after="0" w:line="212"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At October 31, 2006, unrecognized compensation cost for all the Company's stock-based compensation awards was approximately $1.5 million. The unrecognized compensation cost for stock-based compensation awards at October 31, 2006 is expected to be recognized over a weighted average period of 3.1 years.</w:t>
      </w:r>
    </w:p>
    <w:p>
      <w:pPr>
        <w:spacing w:after="0" w:line="18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addition, the Company applied the provisions of Staff Accounting Bulletin No. 107 ("SAB 107"), issued by the Securities and Exchange Commission in March 2005 in its adoption of FAS 123(R). SAB 107 requires stock-based compensation to be classified in the same expense line items as cash compensation. Accordingly, during the six and three months ended October 31, 2006, stock-based compensation expense was $140,000 and $87,000, respectively, in cost of sales and $137,000 and $75,000, respectively, in selling, general and administrative expense.</w:t>
      </w:r>
    </w:p>
    <w:p>
      <w:pPr>
        <w:spacing w:after="0" w:line="212"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Prior to the adoption of FAS 123(R), the Company presented all tax benefits resulting from tax deductions associated with the exercise of stock options by employees as cash flows from operating activities in the Consolidated Statements of Cash Flows. Under FAS 123(R) "excess tax benefits" are to be classified as cash flows from financing activities in the Consolidated Statement of Cash Flows. For this purpose, the excess tax benefits are tax benefits related to the difference between the total tax deduction associated with the exercise of stock options by employees and the amount of compensation cost recognized for those options. For the six and three months ended October 31, 2006, there were no excess tax benefits to be included within Other Financing Activities of the Cash Flows from Financing Activities pursuant to this requirement of FAS 123(R).</w:t>
      </w:r>
    </w:p>
    <w:p>
      <w:pPr>
        <w:sectPr>
          <w:pgSz w:w="11900" w:h="16838" w:orient="portrait"/>
          <w:cols w:equalWidth="0" w:num="1">
            <w:col w:w="10219"/>
          </w:cols>
          <w:pgMar w:left="240" w:top="717" w:right="1440" w:bottom="1440"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Effect of Adoption of FAS 123(R)</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application of FAS 123(R) had the following effect on the reported amounts for the six and three months ended October 31, 2006, relative to amounts that would have been reported using the intrinsic value method under previous accounting (in thousands, except for per share amounts.)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840" w:type="dxa"/>
            <w:vAlign w:val="bottom"/>
          </w:tcPr>
          <w:p>
            <w:pPr>
              <w:spacing w:after="0"/>
              <w:rPr>
                <w:sz w:val="17"/>
                <w:szCs w:val="17"/>
                <w:color w:val="auto"/>
              </w:rPr>
            </w:pPr>
          </w:p>
        </w:tc>
        <w:tc>
          <w:tcPr>
            <w:tcW w:w="18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9"/>
              </w:rPr>
              <w:t>Using Intrinsic</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FAS 123(R)</w:t>
            </w:r>
          </w:p>
        </w:tc>
        <w:tc>
          <w:tcPr>
            <w:tcW w:w="520" w:type="dxa"/>
            <w:vAlign w:val="bottom"/>
          </w:tcPr>
          <w:p>
            <w:pPr>
              <w:spacing w:after="0"/>
              <w:rPr>
                <w:sz w:val="17"/>
                <w:szCs w:val="17"/>
                <w:color w:val="auto"/>
              </w:rPr>
            </w:pPr>
          </w:p>
        </w:tc>
        <w:tc>
          <w:tcPr>
            <w:tcW w:w="540" w:type="dxa"/>
            <w:vAlign w:val="bottom"/>
          </w:tcPr>
          <w:p>
            <w:pPr>
              <w:jc w:val="center"/>
              <w:ind w:right="232"/>
              <w:spacing w:after="0"/>
              <w:rPr>
                <w:sz w:val="20"/>
                <w:szCs w:val="20"/>
                <w:color w:val="auto"/>
              </w:rPr>
            </w:pPr>
            <w:r>
              <w:rPr>
                <w:rFonts w:ascii="Courier New" w:cs="Courier New" w:eastAsia="Courier New" w:hAnsi="Courier New"/>
                <w:sz w:val="18"/>
                <w:szCs w:val="18"/>
                <w:color w:val="auto"/>
              </w:rPr>
              <w:t>As</w:t>
            </w:r>
          </w:p>
        </w:tc>
      </w:tr>
      <w:tr>
        <w:trPr>
          <w:trHeight w:val="203"/>
        </w:trPr>
        <w:tc>
          <w:tcPr>
            <w:tcW w:w="3840" w:type="dxa"/>
            <w:vAlign w:val="bottom"/>
          </w:tcPr>
          <w:p>
            <w:pPr>
              <w:spacing w:after="0"/>
              <w:rPr>
                <w:sz w:val="17"/>
                <w:szCs w:val="17"/>
                <w:color w:val="auto"/>
              </w:rPr>
            </w:pPr>
          </w:p>
        </w:tc>
        <w:tc>
          <w:tcPr>
            <w:tcW w:w="18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Value Method</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Adjustments</w:t>
            </w:r>
          </w:p>
        </w:tc>
        <w:tc>
          <w:tcPr>
            <w:tcW w:w="106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Reported</w:t>
            </w:r>
          </w:p>
        </w:tc>
      </w:tr>
      <w:tr>
        <w:trPr>
          <w:trHeight w:val="203"/>
        </w:trPr>
        <w:tc>
          <w:tcPr>
            <w:tcW w:w="3840" w:type="dxa"/>
            <w:vAlign w:val="bottom"/>
          </w:tcPr>
          <w:p>
            <w:pPr>
              <w:spacing w:after="0"/>
              <w:rPr>
                <w:sz w:val="17"/>
                <w:szCs w:val="17"/>
                <w:color w:val="auto"/>
              </w:rPr>
            </w:pPr>
          </w:p>
        </w:tc>
        <w:tc>
          <w:tcPr>
            <w:tcW w:w="1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840" w:type="dxa"/>
            <w:vAlign w:val="bottom"/>
          </w:tcPr>
          <w:p>
            <w:pPr>
              <w:jc w:val="center"/>
              <w:spacing w:after="0"/>
              <w:rPr>
                <w:sz w:val="20"/>
                <w:szCs w:val="20"/>
                <w:color w:val="auto"/>
              </w:rPr>
            </w:pPr>
            <w:r>
              <w:rPr>
                <w:rFonts w:ascii="Courier New" w:cs="Courier New" w:eastAsia="Courier New" w:hAnsi="Courier New"/>
                <w:sz w:val="18"/>
                <w:szCs w:val="18"/>
                <w:color w:val="auto"/>
                <w:w w:val="97"/>
              </w:rPr>
              <w:t>Six Months ended October 31, 2006:</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3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Operating Profit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987</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($277)</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710</w:t>
            </w:r>
          </w:p>
        </w:tc>
      </w:tr>
      <w:tr>
        <w:trPr>
          <w:trHeight w:val="405"/>
        </w:trPr>
        <w:tc>
          <w:tcPr>
            <w:tcW w:w="3840" w:type="dxa"/>
            <w:vAlign w:val="bottom"/>
          </w:tcPr>
          <w:p>
            <w:pPr>
              <w:ind w:left="520"/>
              <w:spacing w:after="0"/>
              <w:rPr>
                <w:sz w:val="20"/>
                <w:szCs w:val="20"/>
                <w:color w:val="auto"/>
              </w:rPr>
            </w:pPr>
            <w:r>
              <w:rPr>
                <w:rFonts w:ascii="Courier New" w:cs="Courier New" w:eastAsia="Courier New" w:hAnsi="Courier New"/>
                <w:sz w:val="18"/>
                <w:szCs w:val="18"/>
                <w:color w:val="auto"/>
              </w:rPr>
              <w:t>Income before provision</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3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for income taxes</w:t>
            </w:r>
          </w:p>
        </w:tc>
        <w:tc>
          <w:tcPr>
            <w:tcW w:w="18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$1,883</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($277)</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$1,606</w:t>
            </w:r>
          </w:p>
        </w:tc>
      </w:tr>
      <w:tr>
        <w:trPr>
          <w:trHeight w:val="405"/>
        </w:trPr>
        <w:tc>
          <w:tcPr>
            <w:tcW w:w="3840" w:type="dxa"/>
            <w:vAlign w:val="bottom"/>
          </w:tcPr>
          <w:p>
            <w:pPr>
              <w:ind w:left="520"/>
              <w:spacing w:after="0"/>
              <w:rPr>
                <w:sz w:val="20"/>
                <w:szCs w:val="20"/>
                <w:color w:val="auto"/>
              </w:rPr>
            </w:pPr>
            <w:r>
              <w:rPr>
                <w:rFonts w:ascii="Courier New" w:cs="Courier New" w:eastAsia="Courier New" w:hAnsi="Courier New"/>
                <w:sz w:val="18"/>
                <w:szCs w:val="18"/>
                <w:color w:val="auto"/>
              </w:rPr>
              <w:t>Net Income</w:t>
            </w:r>
          </w:p>
        </w:tc>
        <w:tc>
          <w:tcPr>
            <w:tcW w:w="18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$1,362</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($277)</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$1,085</w:t>
            </w:r>
          </w:p>
        </w:tc>
      </w:tr>
      <w:tr>
        <w:trPr>
          <w:trHeight w:val="405"/>
        </w:trPr>
        <w:tc>
          <w:tcPr>
            <w:tcW w:w="3840" w:type="dxa"/>
            <w:vAlign w:val="bottom"/>
          </w:tcPr>
          <w:p>
            <w:pPr>
              <w:ind w:left="520"/>
              <w:spacing w:after="0"/>
              <w:rPr>
                <w:sz w:val="20"/>
                <w:szCs w:val="20"/>
                <w:color w:val="auto"/>
              </w:rPr>
            </w:pPr>
            <w:r>
              <w:rPr>
                <w:rFonts w:ascii="Courier New" w:cs="Courier New" w:eastAsia="Courier New" w:hAnsi="Courier New"/>
                <w:sz w:val="18"/>
                <w:szCs w:val="18"/>
                <w:color w:val="auto"/>
              </w:rPr>
              <w:t>Basic Earnings per Share</w:t>
            </w:r>
          </w:p>
        </w:tc>
        <w:tc>
          <w:tcPr>
            <w:tcW w:w="680" w:type="dxa"/>
            <w:vAlign w:val="bottom"/>
          </w:tcPr>
          <w:p>
            <w:pPr>
              <w:spacing w:after="0"/>
              <w:rPr>
                <w:sz w:val="24"/>
                <w:szCs w:val="24"/>
                <w:color w:val="auto"/>
              </w:rPr>
            </w:pPr>
          </w:p>
        </w:tc>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2"/>
              </w:rPr>
              <w:t>$0.16</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($0.03)</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$0.13</w:t>
            </w:r>
          </w:p>
        </w:tc>
      </w:tr>
      <w:tr>
        <w:trPr>
          <w:trHeight w:val="203"/>
        </w:trPr>
        <w:tc>
          <w:tcPr>
            <w:tcW w:w="3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Diluted Earnings per Share</w:t>
            </w:r>
          </w:p>
        </w:tc>
        <w:tc>
          <w:tcPr>
            <w:tcW w:w="68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$0.15</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($0.03)</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$0.12</w:t>
            </w:r>
          </w:p>
        </w:tc>
      </w:tr>
      <w:tr>
        <w:trPr>
          <w:trHeight w:val="405"/>
        </w:trPr>
        <w:tc>
          <w:tcPr>
            <w:tcW w:w="3840" w:type="dxa"/>
            <w:vAlign w:val="bottom"/>
          </w:tcPr>
          <w:p>
            <w:pPr>
              <w:jc w:val="center"/>
              <w:spacing w:after="0"/>
              <w:rPr>
                <w:sz w:val="20"/>
                <w:szCs w:val="20"/>
                <w:color w:val="auto"/>
              </w:rPr>
            </w:pPr>
            <w:r>
              <w:rPr>
                <w:rFonts w:ascii="Courier New" w:cs="Courier New" w:eastAsia="Courier New" w:hAnsi="Courier New"/>
                <w:sz w:val="18"/>
                <w:szCs w:val="18"/>
                <w:color w:val="auto"/>
                <w:w w:val="97"/>
              </w:rPr>
              <w:t>Three Months ended October 31, 2006:</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3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Operating Profit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181</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405"/>
        </w:trPr>
        <w:tc>
          <w:tcPr>
            <w:tcW w:w="3840" w:type="dxa"/>
            <w:vAlign w:val="bottom"/>
          </w:tcPr>
          <w:p>
            <w:pPr>
              <w:ind w:left="520"/>
              <w:spacing w:after="0"/>
              <w:rPr>
                <w:sz w:val="20"/>
                <w:szCs w:val="20"/>
                <w:color w:val="auto"/>
              </w:rPr>
            </w:pPr>
            <w:r>
              <w:rPr>
                <w:rFonts w:ascii="Courier New" w:cs="Courier New" w:eastAsia="Courier New" w:hAnsi="Courier New"/>
                <w:sz w:val="18"/>
                <w:szCs w:val="18"/>
                <w:color w:val="auto"/>
              </w:rPr>
              <w:t>Income before provision</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3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for income taxes</w:t>
            </w:r>
          </w:p>
        </w:tc>
        <w:tc>
          <w:tcPr>
            <w:tcW w:w="68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$530</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($162)</w:t>
            </w:r>
          </w:p>
        </w:tc>
        <w:tc>
          <w:tcPr>
            <w:tcW w:w="520" w:type="dxa"/>
            <w:vAlign w:val="bottom"/>
          </w:tcPr>
          <w:p>
            <w:pPr>
              <w:spacing w:after="0"/>
              <w:rPr>
                <w:sz w:val="17"/>
                <w:szCs w:val="17"/>
                <w:color w:val="auto"/>
              </w:rPr>
            </w:pP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$368</w:t>
            </w:r>
          </w:p>
        </w:tc>
      </w:tr>
      <w:tr>
        <w:trPr>
          <w:trHeight w:val="405"/>
        </w:trPr>
        <w:tc>
          <w:tcPr>
            <w:tcW w:w="3840" w:type="dxa"/>
            <w:vAlign w:val="bottom"/>
          </w:tcPr>
          <w:p>
            <w:pPr>
              <w:ind w:left="520"/>
              <w:spacing w:after="0"/>
              <w:rPr>
                <w:sz w:val="20"/>
                <w:szCs w:val="20"/>
                <w:color w:val="auto"/>
              </w:rPr>
            </w:pPr>
            <w:r>
              <w:rPr>
                <w:rFonts w:ascii="Courier New" w:cs="Courier New" w:eastAsia="Courier New" w:hAnsi="Courier New"/>
                <w:sz w:val="18"/>
                <w:szCs w:val="18"/>
                <w:color w:val="auto"/>
              </w:rPr>
              <w:t>Net Income</w:t>
            </w:r>
          </w:p>
        </w:tc>
        <w:tc>
          <w:tcPr>
            <w:tcW w:w="680" w:type="dxa"/>
            <w:vAlign w:val="bottom"/>
          </w:tcPr>
          <w:p>
            <w:pPr>
              <w:spacing w:after="0"/>
              <w:rPr>
                <w:sz w:val="24"/>
                <w:szCs w:val="24"/>
                <w:color w:val="auto"/>
              </w:rPr>
            </w:pPr>
          </w:p>
        </w:tc>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$349</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($162)</w:t>
            </w:r>
          </w:p>
        </w:tc>
        <w:tc>
          <w:tcPr>
            <w:tcW w:w="52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$187</w:t>
            </w:r>
          </w:p>
        </w:tc>
      </w:tr>
      <w:tr>
        <w:trPr>
          <w:trHeight w:val="405"/>
        </w:trPr>
        <w:tc>
          <w:tcPr>
            <w:tcW w:w="3840" w:type="dxa"/>
            <w:vAlign w:val="bottom"/>
          </w:tcPr>
          <w:p>
            <w:pPr>
              <w:ind w:left="520"/>
              <w:spacing w:after="0"/>
              <w:rPr>
                <w:sz w:val="20"/>
                <w:szCs w:val="20"/>
                <w:color w:val="auto"/>
              </w:rPr>
            </w:pPr>
            <w:r>
              <w:rPr>
                <w:rFonts w:ascii="Courier New" w:cs="Courier New" w:eastAsia="Courier New" w:hAnsi="Courier New"/>
                <w:sz w:val="18"/>
                <w:szCs w:val="18"/>
                <w:color w:val="auto"/>
              </w:rPr>
              <w:t>Basic Earnings per Share</w:t>
            </w:r>
          </w:p>
        </w:tc>
        <w:tc>
          <w:tcPr>
            <w:tcW w:w="680" w:type="dxa"/>
            <w:vAlign w:val="bottom"/>
          </w:tcPr>
          <w:p>
            <w:pPr>
              <w:spacing w:after="0"/>
              <w:rPr>
                <w:sz w:val="24"/>
                <w:szCs w:val="24"/>
                <w:color w:val="auto"/>
              </w:rPr>
            </w:pPr>
          </w:p>
        </w:tc>
        <w:tc>
          <w:tcPr>
            <w:tcW w:w="116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2"/>
              </w:rPr>
              <w:t>$0.04</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($0.02)</w:t>
            </w: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$0.02</w:t>
            </w:r>
          </w:p>
        </w:tc>
      </w:tr>
      <w:tr>
        <w:trPr>
          <w:trHeight w:val="203"/>
        </w:trPr>
        <w:tc>
          <w:tcPr>
            <w:tcW w:w="3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Diluted Earnings per Share</w:t>
            </w:r>
          </w:p>
        </w:tc>
        <w:tc>
          <w:tcPr>
            <w:tcW w:w="68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$0.04</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($0.02)</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$0.02</w:t>
            </w:r>
          </w:p>
        </w:tc>
      </w:tr>
    </w:tbl>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weighted average fair value of each option has been estimated on the date of grant using the Black-Scholes options pricing model with the following weighted average assumptions used for grants in the six and three months ended October 31, 2006, and each of the years ended April 30, 2006 and 2005: dividend yield of 1.4%, 1.4%, and 1.1%; expected volatility of 59%; risk free interest rate of 5.0%, 4.1%, and 3.9%; and expected lives of six and one-half years, respectively.</w:t>
      </w:r>
    </w:p>
    <w:p>
      <w:pPr>
        <w:spacing w:after="0" w:line="211"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expected life assumption was determined based on the Company's historical experience. For purposes of both FAS 123 and FAS 123(R), the expected volatility assumption was based on the historical volatility of the Company's common stock. The dividend yield assumption was determined based upon the Company's past history of dividend payments and its intention to make future dividend payments. The risk-free interest rate assumption was determined using the implied yield currently available for zero-coupon U.S. government issues with a remaining term equal to the expected life of the stock options.</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Employee Stock Option Plans</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The Company has various stock option plans for key management employees, including officers and directors who are employees. The plans include Nonqualified Stock Option ("NQSO") plans, Incentive Stock Option ("ISO") plans, and Stock Appreciation Rights ("SARs"). Under these plans, options and awards are granted at the discretion of the Stock Option committee at an exercise price not less than the fair market value of the Company's common stock on the date of grant. Under one NQSO plan the options are exercisable one year after the date of grant. Under the remaining plans the options/awards are exercisable over a four-year period beginning one year after the date of grant. The options/awards expire ten years after the date of grant and are subject to certain restrictions on transferability of the shares obtained on exercise. As of October 31, 2006, eligible employees had been granted awards to purchase 167,500 shares of Company stock under SARs, all of which are outstanding and are not exercisable. As of October 31, 2006, eligible employees had been granted options to purchase 1,182,500</w:t>
      </w:r>
    </w:p>
    <w:p>
      <w:pPr>
        <w:sectPr>
          <w:pgSz w:w="11900" w:h="16838" w:orient="portrait"/>
          <w:cols w:equalWidth="0" w:num="1">
            <w:col w:w="10219"/>
          </w:cols>
          <w:pgMar w:left="240" w:top="717" w:right="1440" w:bottom="566" w:gutter="0" w:footer="0" w:header="0"/>
        </w:sectPr>
      </w:pPr>
    </w:p>
    <w:bookmarkStart w:id="9" w:name="page10"/>
    <w:bookmarkEnd w:id="9"/>
    <w:p>
      <w:pPr>
        <w:jc w:val="center"/>
        <w:ind w:right="1779"/>
        <w:spacing w:after="0" w:line="236" w:lineRule="auto"/>
        <w:rPr>
          <w:sz w:val="20"/>
          <w:szCs w:val="20"/>
          <w:color w:val="auto"/>
        </w:rPr>
      </w:pPr>
      <w:r>
        <w:rPr>
          <w:rFonts w:ascii="Courier New" w:cs="Courier New" w:eastAsia="Courier New" w:hAnsi="Courier New"/>
          <w:sz w:val="18"/>
          <w:szCs w:val="18"/>
          <w:color w:val="auto"/>
        </w:rPr>
        <w:t>FREQUENCY ELECTRONICS, INC. and SUBSIDIARIES Notes to Condensed Consolidated Financial Statements (Unaudited)</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shares of Company stock under ISO plans of which approximately 392,000 options are outstanding and approximately 287,000 are exercisable. Through October 31, 2006, eligible employees have been granted options to acquire 1,090,000 shares of Company stock under NQSO plans. Of the NQSO options, approximately 732,000 are both outstanding and exercisable (see tables below).</w:t>
      </w:r>
    </w:p>
    <w:p>
      <w:pPr>
        <w:spacing w:after="0" w:line="209"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The excess of the consideration received over the par value of the common stock or cost of treasury stock issued under both types of option plans has been recognized as an increase in additional paid-in capital prior to the adoption of FAS 123(R). During the three months ended October 31, 2006, the Company recorded compensation charges of approximately $65,000 with respect to the fiscal year 2007 SARs grant. Unrecognized compensation charges for nonvested awards relating to the SARs grant is approximately $968,000 which will be recognized over a weighted average period of 3.8 years. Unrecognized compensation charges for nonvested awards relating to the ISO plan is approximately $552,000 which will be recognized over a weighted average period of 1.6 years. For the six and three months ended October 31, 2006, the Company recorded compensation charges related to the ISO plans of approximately $212,000 and $97,000, respectively, using the fair value method.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Although the Company continues to maintain a stock repurchase program, no stock repurchases will be necessary to process stock exercises during the fiscal year. Shares issued to individuals during stock exercises will be taken from available treasury stock.</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Transactions under these stock award plans, including the weighted average exercise prices of the options, are as follows: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Outstanding at beginning of period</w:t>
      </w:r>
    </w:p>
    <w:p>
      <w:pPr>
        <w:ind w:left="420"/>
        <w:spacing w:after="0" w:line="238" w:lineRule="auto"/>
        <w:rPr>
          <w:sz w:val="20"/>
          <w:szCs w:val="20"/>
          <w:color w:val="auto"/>
        </w:rPr>
      </w:pPr>
      <w:r>
        <w:rPr>
          <w:rFonts w:ascii="Courier New" w:cs="Courier New" w:eastAsia="Courier New" w:hAnsi="Courier New"/>
          <w:sz w:val="18"/>
          <w:szCs w:val="18"/>
          <w:color w:val="auto"/>
        </w:rPr>
        <w:t>Granted</w:t>
      </w:r>
    </w:p>
    <w:p>
      <w:pPr>
        <w:ind w:left="420"/>
        <w:spacing w:after="0"/>
        <w:rPr>
          <w:sz w:val="20"/>
          <w:szCs w:val="20"/>
          <w:color w:val="auto"/>
        </w:rPr>
      </w:pPr>
      <w:r>
        <w:rPr>
          <w:rFonts w:ascii="Courier New" w:cs="Courier New" w:eastAsia="Courier New" w:hAnsi="Courier New"/>
          <w:sz w:val="18"/>
          <w:szCs w:val="18"/>
          <w:color w:val="auto"/>
        </w:rPr>
        <w:t>Exercised</w:t>
      </w:r>
    </w:p>
    <w:p>
      <w:pPr>
        <w:ind w:left="420"/>
        <w:spacing w:after="0" w:line="237" w:lineRule="auto"/>
        <w:rPr>
          <w:sz w:val="20"/>
          <w:szCs w:val="20"/>
          <w:color w:val="auto"/>
        </w:rPr>
      </w:pPr>
      <w:r>
        <w:rPr>
          <w:rFonts w:ascii="Courier New" w:cs="Courier New" w:eastAsia="Courier New" w:hAnsi="Courier New"/>
          <w:sz w:val="18"/>
          <w:szCs w:val="18"/>
          <w:color w:val="auto"/>
        </w:rPr>
        <w:t>Expired or canceled</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Outstanding at end of period</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Exercisable at end of period</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Available for grant at end of period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months ended October 31, 2006</w:t>
      </w:r>
    </w:p>
    <w:p>
      <w:pPr>
        <w:spacing w:after="0" w:line="16"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Wtd Avg</w:t>
      </w:r>
    </w:p>
    <w:p>
      <w:pPr>
        <w:ind w:left="420"/>
        <w:spacing w:after="0" w:line="238" w:lineRule="auto"/>
        <w:tabs>
          <w:tab w:leader="none" w:pos="250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Price</w:t>
      </w:r>
    </w:p>
    <w:p>
      <w:pPr>
        <w:ind w:left="420"/>
        <w:spacing w:after="0"/>
        <w:tabs>
          <w:tab w:leader="none" w:pos="2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320"/>
        <w:spacing w:after="0" w:line="237" w:lineRule="auto"/>
        <w:tabs>
          <w:tab w:leader="none" w:pos="2400" w:val="left"/>
        </w:tabs>
        <w:rPr>
          <w:sz w:val="20"/>
          <w:szCs w:val="20"/>
          <w:color w:val="auto"/>
        </w:rPr>
      </w:pPr>
      <w:r>
        <w:rPr>
          <w:rFonts w:ascii="Courier New" w:cs="Courier New" w:eastAsia="Courier New" w:hAnsi="Courier New"/>
          <w:sz w:val="18"/>
          <w:szCs w:val="18"/>
          <w:color w:val="auto"/>
        </w:rPr>
        <w:t>1,133,387</w:t>
      </w:r>
      <w:r>
        <w:rPr>
          <w:sz w:val="20"/>
          <w:szCs w:val="20"/>
          <w:color w:val="auto"/>
        </w:rPr>
        <w:tab/>
      </w:r>
      <w:r>
        <w:rPr>
          <w:rFonts w:ascii="Courier New" w:cs="Courier New" w:eastAsia="Courier New" w:hAnsi="Courier New"/>
          <w:sz w:val="18"/>
          <w:szCs w:val="18"/>
          <w:color w:val="auto"/>
        </w:rPr>
        <w:t>$11.32</w:t>
      </w:r>
    </w:p>
    <w:p>
      <w:pPr>
        <w:ind w:left="520"/>
        <w:spacing w:after="0" w:line="238" w:lineRule="auto"/>
        <w:tabs>
          <w:tab w:leader="none" w:pos="2400" w:val="left"/>
        </w:tabs>
        <w:rPr>
          <w:sz w:val="20"/>
          <w:szCs w:val="20"/>
          <w:color w:val="auto"/>
        </w:rPr>
      </w:pPr>
      <w:r>
        <w:rPr>
          <w:rFonts w:ascii="Courier New" w:cs="Courier New" w:eastAsia="Courier New" w:hAnsi="Courier New"/>
          <w:sz w:val="18"/>
          <w:szCs w:val="18"/>
          <w:color w:val="auto"/>
        </w:rPr>
        <w:t>167,500</w:t>
      </w:r>
      <w:r>
        <w:rPr>
          <w:sz w:val="20"/>
          <w:szCs w:val="20"/>
          <w:color w:val="auto"/>
        </w:rPr>
        <w:tab/>
      </w:r>
      <w:r>
        <w:rPr>
          <w:rFonts w:ascii="Courier New" w:cs="Courier New" w:eastAsia="Courier New" w:hAnsi="Courier New"/>
          <w:sz w:val="18"/>
          <w:szCs w:val="18"/>
          <w:color w:val="auto"/>
        </w:rPr>
        <w:t>$11.95</w:t>
      </w:r>
    </w:p>
    <w:p>
      <w:pPr>
        <w:ind w:left="640"/>
        <w:spacing w:after="0"/>
        <w:tabs>
          <w:tab w:leader="none" w:pos="2500" w:val="left"/>
        </w:tabs>
        <w:rPr>
          <w:sz w:val="20"/>
          <w:szCs w:val="20"/>
          <w:color w:val="auto"/>
        </w:rPr>
      </w:pPr>
      <w:r>
        <w:rPr>
          <w:rFonts w:ascii="Courier New" w:cs="Courier New" w:eastAsia="Courier New" w:hAnsi="Courier New"/>
          <w:sz w:val="18"/>
          <w:szCs w:val="18"/>
          <w:color w:val="auto"/>
        </w:rPr>
        <w:t>(9,000)</w:t>
      </w:r>
      <w:r>
        <w:rPr>
          <w:sz w:val="20"/>
          <w:szCs w:val="20"/>
          <w:color w:val="auto"/>
        </w:rPr>
        <w:tab/>
      </w:r>
      <w:r>
        <w:rPr>
          <w:rFonts w:ascii="Courier New" w:cs="Courier New" w:eastAsia="Courier New" w:hAnsi="Courier New"/>
          <w:sz w:val="18"/>
          <w:szCs w:val="18"/>
          <w:color w:val="auto"/>
        </w:rPr>
        <w:t>$6.90</w:t>
      </w:r>
    </w:p>
    <w:p>
      <w:pPr>
        <w:ind w:left="1160"/>
        <w:spacing w:after="0" w:line="237" w:lineRule="auto"/>
        <w:tabs>
          <w:tab w:leader="none" w:pos="29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200"/>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tabs>
          <w:tab w:leader="none" w:pos="2400" w:val="left"/>
        </w:tabs>
        <w:rPr>
          <w:sz w:val="20"/>
          <w:szCs w:val="20"/>
          <w:color w:val="auto"/>
        </w:rPr>
      </w:pPr>
      <w:r>
        <w:rPr>
          <w:rFonts w:ascii="Courier New" w:cs="Courier New" w:eastAsia="Courier New" w:hAnsi="Courier New"/>
          <w:sz w:val="18"/>
          <w:szCs w:val="18"/>
          <w:color w:val="auto"/>
        </w:rPr>
        <w:t>1,291,887</w:t>
      </w:r>
      <w:r>
        <w:rPr>
          <w:sz w:val="20"/>
          <w:szCs w:val="20"/>
          <w:color w:val="auto"/>
        </w:rPr>
        <w:tab/>
      </w:r>
      <w:r>
        <w:rPr>
          <w:rFonts w:ascii="Courier New" w:cs="Courier New" w:eastAsia="Courier New" w:hAnsi="Courier New"/>
          <w:sz w:val="18"/>
          <w:szCs w:val="18"/>
          <w:color w:val="auto"/>
        </w:rPr>
        <w:t>$11.43</w:t>
      </w:r>
    </w:p>
    <w:p>
      <w:pPr>
        <w:ind w:left="320"/>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tabs>
          <w:tab w:leader="none" w:pos="2400" w:val="left"/>
        </w:tabs>
        <w:rPr>
          <w:sz w:val="20"/>
          <w:szCs w:val="20"/>
          <w:color w:val="auto"/>
        </w:rPr>
      </w:pPr>
      <w:r>
        <w:rPr>
          <w:rFonts w:ascii="Courier New" w:cs="Courier New" w:eastAsia="Courier New" w:hAnsi="Courier New"/>
          <w:sz w:val="18"/>
          <w:szCs w:val="18"/>
          <w:color w:val="auto"/>
        </w:rPr>
        <w:t>1,019,637</w:t>
      </w:r>
      <w:r>
        <w:rPr>
          <w:sz w:val="20"/>
          <w:szCs w:val="20"/>
          <w:color w:val="auto"/>
        </w:rPr>
        <w:tab/>
      </w:r>
      <w:r>
        <w:rPr>
          <w:rFonts w:ascii="Courier New" w:cs="Courier New" w:eastAsia="Courier New" w:hAnsi="Courier New"/>
          <w:sz w:val="18"/>
          <w:szCs w:val="18"/>
          <w:color w:val="auto"/>
        </w:rPr>
        <w:t>$11.29</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231,500</w:t>
      </w:r>
    </w:p>
    <w:p>
      <w:pPr>
        <w:ind w:left="520"/>
        <w:spacing w:after="0" w:line="237" w:lineRule="auto"/>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4240" w:space="720"/>
            <w:col w:w="5259"/>
          </w:cols>
          <w:pgMar w:left="240" w:top="723"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Weighted average fair value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of options granted during the period</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$6.54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980" w:space="720"/>
            <w:col w:w="4519"/>
          </w:cols>
          <w:pgMar w:left="240" w:top="723" w:right="1440" w:bottom="1440" w:gutter="0" w:footer="0" w:header="0"/>
          <w:type w:val="continuous"/>
        </w:sectPr>
      </w:pPr>
    </w:p>
    <w:p>
      <w:pPr>
        <w:spacing w:after="0" w:line="18" w:lineRule="exact"/>
        <w:rPr>
          <w:sz w:val="20"/>
          <w:szCs w:val="20"/>
          <w:color w:val="auto"/>
        </w:rPr>
      </w:pPr>
    </w:p>
    <w:p>
      <w:pPr>
        <w:ind w:left="540"/>
        <w:spacing w:after="0"/>
        <w:tabs>
          <w:tab w:leader="none" w:pos="1040" w:val="left"/>
          <w:tab w:leader="none" w:pos="2200" w:val="left"/>
          <w:tab w:leader="none" w:pos="2940" w:val="left"/>
        </w:tabs>
        <w:rPr>
          <w:sz w:val="20"/>
          <w:szCs w:val="20"/>
          <w:color w:val="auto"/>
        </w:rPr>
      </w:pPr>
      <w:r>
        <w:rPr>
          <w:rFonts w:ascii="Courier New" w:cs="Courier New" w:eastAsia="Courier New" w:hAnsi="Courier New"/>
          <w:sz w:val="18"/>
          <w:szCs w:val="18"/>
          <w:color w:val="auto"/>
        </w:rPr>
        <w:t>The</w:t>
        <w:tab/>
        <w:t>following</w:t>
        <w:tab/>
        <w:t>table</w:t>
      </w:r>
      <w:r>
        <w:rPr>
          <w:sz w:val="20"/>
          <w:szCs w:val="20"/>
          <w:color w:val="auto"/>
        </w:rPr>
        <w:tab/>
      </w:r>
      <w:r>
        <w:rPr>
          <w:rFonts w:ascii="Courier New" w:cs="Courier New" w:eastAsia="Courier New" w:hAnsi="Courier New"/>
          <w:sz w:val="16"/>
          <w:szCs w:val="16"/>
          <w:color w:val="auto"/>
        </w:rPr>
        <w:t>summarizes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about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stock-based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awards</w:t>
      </w:r>
    </w:p>
    <w:p>
      <w:pPr>
        <w:spacing w:after="0" w:line="20" w:lineRule="exact"/>
        <w:rPr>
          <w:sz w:val="20"/>
          <w:szCs w:val="20"/>
          <w:color w:val="auto"/>
        </w:rPr>
      </w:pPr>
    </w:p>
    <w:p>
      <w:pPr>
        <w:sectPr>
          <w:pgSz w:w="11900" w:h="16838" w:orient="portrait"/>
          <w:cols w:equalWidth="0" w:num="5">
            <w:col w:w="4020" w:space="300"/>
            <w:col w:w="1160" w:space="220"/>
            <w:col w:w="520" w:space="220"/>
            <w:col w:w="1160" w:space="200"/>
            <w:col w:w="24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outstanding at October 31, 2006:</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spacing w:after="0" w:line="279" w:lineRule="auto"/>
        <w:rPr>
          <w:sz w:val="20"/>
          <w:szCs w:val="20"/>
          <w:color w:val="auto"/>
        </w:rPr>
      </w:pPr>
      <w:r>
        <w:rPr>
          <w:rFonts w:ascii="Courier New" w:cs="Courier New" w:eastAsia="Courier New" w:hAnsi="Courier New"/>
          <w:sz w:val="16"/>
          <w:szCs w:val="16"/>
          <w:color w:val="auto"/>
        </w:rPr>
        <w:t>Actual Range of Exercise Prices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Options Outstanding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Weighted</w:t>
      </w:r>
    </w:p>
    <w:p>
      <w:pPr>
        <w:ind w:left="17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Average</w:t>
      </w:r>
      <w:r>
        <w:rPr>
          <w:sz w:val="20"/>
          <w:szCs w:val="20"/>
          <w:color w:val="auto"/>
        </w:rPr>
        <w:tab/>
      </w:r>
      <w:r>
        <w:rPr>
          <w:rFonts w:ascii="Courier New" w:cs="Courier New" w:eastAsia="Courier New" w:hAnsi="Courier New"/>
          <w:sz w:val="18"/>
          <w:szCs w:val="18"/>
          <w:color w:val="auto"/>
        </w:rPr>
        <w:t>Weighted</w:t>
      </w:r>
    </w:p>
    <w:p>
      <w:pPr>
        <w:ind w:left="220"/>
        <w:spacing w:after="0"/>
        <w:tabs>
          <w:tab w:leader="none" w:pos="1560" w:val="left"/>
          <w:tab w:leader="none" w:pos="3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Remaining</w:t>
      </w:r>
      <w:r>
        <w:rPr>
          <w:sz w:val="20"/>
          <w:szCs w:val="20"/>
          <w:color w:val="auto"/>
        </w:rPr>
        <w:tab/>
      </w:r>
      <w:r>
        <w:rPr>
          <w:rFonts w:ascii="Courier New" w:cs="Courier New" w:eastAsia="Courier New" w:hAnsi="Courier New"/>
          <w:sz w:val="16"/>
          <w:szCs w:val="16"/>
          <w:color w:val="auto"/>
        </w:rPr>
        <w:t>Average</w:t>
      </w:r>
    </w:p>
    <w:p>
      <w:pPr>
        <w:spacing w:after="0"/>
        <w:tabs>
          <w:tab w:leader="none" w:pos="1460" w:val="left"/>
          <w:tab w:leader="none" w:pos="3140" w:val="left"/>
        </w:tabs>
        <w:rPr>
          <w:sz w:val="20"/>
          <w:szCs w:val="20"/>
          <w:color w:val="auto"/>
        </w:rPr>
      </w:pPr>
      <w:r>
        <w:rPr>
          <w:rFonts w:ascii="Courier New" w:cs="Courier New" w:eastAsia="Courier New" w:hAnsi="Courier New"/>
          <w:sz w:val="18"/>
          <w:szCs w:val="18"/>
          <w:color w:val="auto"/>
        </w:rPr>
        <w:t>Outstanding</w:t>
      </w:r>
      <w:r>
        <w:rPr>
          <w:sz w:val="20"/>
          <w:szCs w:val="20"/>
          <w:color w:val="auto"/>
        </w:rPr>
        <w:tab/>
      </w:r>
      <w:r>
        <w:rPr>
          <w:rFonts w:ascii="Courier New" w:cs="Courier New" w:eastAsia="Courier New" w:hAnsi="Courier New"/>
          <w:sz w:val="18"/>
          <w:szCs w:val="18"/>
          <w:color w:val="auto"/>
        </w:rPr>
        <w:t>Contractual</w:t>
      </w:r>
      <w:r>
        <w:rPr>
          <w:sz w:val="20"/>
          <w:szCs w:val="20"/>
          <w:color w:val="auto"/>
        </w:rPr>
        <w:tab/>
      </w:r>
      <w:r>
        <w:rPr>
          <w:rFonts w:ascii="Courier New" w:cs="Courier New" w:eastAsia="Courier New" w:hAnsi="Courier New"/>
          <w:sz w:val="16"/>
          <w:szCs w:val="16"/>
          <w:color w:val="auto"/>
        </w:rPr>
        <w:t>Exercise</w:t>
      </w:r>
    </w:p>
    <w:p>
      <w:pPr>
        <w:spacing w:after="0"/>
        <w:tabs>
          <w:tab w:leader="none" w:pos="1780" w:val="left"/>
          <w:tab w:leader="none" w:pos="3360" w:val="left"/>
        </w:tabs>
        <w:rPr>
          <w:sz w:val="20"/>
          <w:szCs w:val="20"/>
          <w:color w:val="auto"/>
        </w:rPr>
      </w:pPr>
      <w:r>
        <w:rPr>
          <w:rFonts w:ascii="Courier New" w:cs="Courier New" w:eastAsia="Courier New" w:hAnsi="Courier New"/>
          <w:sz w:val="18"/>
          <w:szCs w:val="18"/>
          <w:color w:val="auto"/>
        </w:rPr>
        <w:t>at 10/31/06</w:t>
      </w:r>
      <w:r>
        <w:rPr>
          <w:sz w:val="20"/>
          <w:szCs w:val="20"/>
          <w:color w:val="auto"/>
        </w:rPr>
        <w:tab/>
      </w:r>
      <w:r>
        <w:rPr>
          <w:rFonts w:ascii="Courier New" w:cs="Courier New" w:eastAsia="Courier New" w:hAnsi="Courier New"/>
          <w:sz w:val="18"/>
          <w:szCs w:val="18"/>
          <w:color w:val="auto"/>
        </w:rPr>
        <w:t>Life</w:t>
      </w:r>
      <w:r>
        <w:rPr>
          <w:sz w:val="20"/>
          <w:szCs w:val="20"/>
          <w:color w:val="auto"/>
        </w:rPr>
        <w:tab/>
      </w:r>
      <w:r>
        <w:rPr>
          <w:rFonts w:ascii="Courier New" w:cs="Courier New" w:eastAsia="Courier New" w:hAnsi="Courier New"/>
          <w:sz w:val="16"/>
          <w:szCs w:val="16"/>
          <w:color w:val="auto"/>
        </w:rPr>
        <w:t>Price</w:t>
      </w:r>
    </w:p>
    <w:p>
      <w:pPr>
        <w:spacing w:after="0"/>
        <w:tabs>
          <w:tab w:leader="none" w:pos="1460" w:val="left"/>
          <w:tab w:leader="none" w:pos="3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Options Exercisable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Weighted</w:t>
      </w:r>
    </w:p>
    <w:p>
      <w:pPr>
        <w:ind w:left="220"/>
        <w:spacing w:after="0" w:line="238" w:lineRule="auto"/>
        <w:tabs>
          <w:tab w:leader="none" w:pos="15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Average</w:t>
      </w:r>
    </w:p>
    <w:p>
      <w:pPr>
        <w:spacing w:after="0"/>
        <w:tabs>
          <w:tab w:leader="none" w:pos="1460" w:val="left"/>
        </w:tabs>
        <w:rPr>
          <w:sz w:val="20"/>
          <w:szCs w:val="20"/>
          <w:color w:val="auto"/>
        </w:rPr>
      </w:pPr>
      <w:r>
        <w:rPr>
          <w:rFonts w:ascii="Courier New" w:cs="Courier New" w:eastAsia="Courier New" w:hAnsi="Courier New"/>
          <w:sz w:val="18"/>
          <w:szCs w:val="18"/>
          <w:color w:val="auto"/>
        </w:rPr>
        <w:t>Exercisable</w:t>
      </w:r>
      <w:r>
        <w:rPr>
          <w:sz w:val="20"/>
          <w:szCs w:val="20"/>
          <w:color w:val="auto"/>
        </w:rPr>
        <w:tab/>
      </w:r>
      <w:r>
        <w:rPr>
          <w:rFonts w:ascii="Courier New" w:cs="Courier New" w:eastAsia="Courier New" w:hAnsi="Courier New"/>
          <w:sz w:val="18"/>
          <w:szCs w:val="18"/>
          <w:color w:val="auto"/>
        </w:rPr>
        <w:t>Exercise</w:t>
      </w:r>
    </w:p>
    <w:p>
      <w:pPr>
        <w:spacing w:after="0"/>
        <w:tabs>
          <w:tab w:leader="none" w:pos="1680" w:val="left"/>
        </w:tabs>
        <w:rPr>
          <w:sz w:val="20"/>
          <w:szCs w:val="20"/>
          <w:color w:val="auto"/>
        </w:rPr>
      </w:pPr>
      <w:r>
        <w:rPr>
          <w:rFonts w:ascii="Courier New" w:cs="Courier New" w:eastAsia="Courier New" w:hAnsi="Courier New"/>
          <w:sz w:val="18"/>
          <w:szCs w:val="18"/>
          <w:color w:val="auto"/>
        </w:rPr>
        <w:t>at 10/31/06</w:t>
      </w:r>
      <w:r>
        <w:rPr>
          <w:sz w:val="20"/>
          <w:szCs w:val="20"/>
          <w:color w:val="auto"/>
        </w:rPr>
        <w:tab/>
      </w:r>
      <w:r>
        <w:rPr>
          <w:rFonts w:ascii="Courier New" w:cs="Courier New" w:eastAsia="Courier New" w:hAnsi="Courier New"/>
          <w:sz w:val="16"/>
          <w:szCs w:val="16"/>
          <w:color w:val="auto"/>
        </w:rPr>
        <w:t>Price</w:t>
      </w:r>
    </w:p>
    <w:p>
      <w:pPr>
        <w:spacing w:after="0" w:line="238" w:lineRule="auto"/>
        <w:tabs>
          <w:tab w:leader="none" w:pos="1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3">
            <w:col w:w="1800" w:space="520"/>
            <w:col w:w="4120" w:space="300"/>
            <w:col w:w="3479"/>
          </w:cols>
          <w:pgMar w:left="240" w:top="723" w:right="1440" w:bottom="1440" w:gutter="0" w:footer="0" w:header="0"/>
          <w:type w:val="continuous"/>
        </w:sectPr>
      </w:pPr>
    </w:p>
    <w:p>
      <w:pPr>
        <w:ind w:left="220" w:right="20"/>
        <w:spacing w:after="0" w:line="236" w:lineRule="auto"/>
        <w:rPr>
          <w:sz w:val="20"/>
          <w:szCs w:val="20"/>
          <w:color w:val="auto"/>
        </w:rPr>
      </w:pPr>
      <w:r>
        <w:rPr>
          <w:rFonts w:ascii="Courier New" w:cs="Courier New" w:eastAsia="Courier New" w:hAnsi="Courier New"/>
          <w:sz w:val="18"/>
          <w:szCs w:val="18"/>
          <w:color w:val="auto"/>
        </w:rPr>
        <w:t>$6.615 - 9.970 10.167 - 16.625 23.75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479,700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730,187</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82,000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$ 7.65</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12.53</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23.75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6"/>
          <w:szCs w:val="16"/>
          <w:color w:val="auto"/>
        </w:rPr>
        <w:t>449,075</w:t>
      </w:r>
    </w:p>
    <w:p>
      <w:pPr>
        <w:spacing w:after="0" w:line="2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488,562</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82,000</w:t>
      </w:r>
    </w:p>
    <w:p>
      <w:pPr>
        <w:spacing w:after="0" w:line="20" w:lineRule="exact"/>
        <w:rPr>
          <w:sz w:val="20"/>
          <w:szCs w:val="20"/>
          <w:color w:val="auto"/>
        </w:rPr>
      </w:pPr>
      <w:r>
        <w:rPr>
          <w:sz w:val="20"/>
          <w:szCs w:val="20"/>
          <w:color w:val="auto"/>
        </w:rPr>
        <w:br w:type="column"/>
      </w:r>
    </w:p>
    <w:p>
      <w:pPr>
        <w:jc w:val="right"/>
        <w:ind w:right="1259"/>
        <w:spacing w:after="0"/>
        <w:rPr>
          <w:sz w:val="20"/>
          <w:szCs w:val="20"/>
          <w:color w:val="auto"/>
        </w:rPr>
      </w:pPr>
      <w:r>
        <w:rPr>
          <w:rFonts w:ascii="Courier New" w:cs="Courier New" w:eastAsia="Courier New" w:hAnsi="Courier New"/>
          <w:sz w:val="16"/>
          <w:szCs w:val="16"/>
          <w:color w:val="auto"/>
        </w:rPr>
        <w:t>$ 7.55</w:t>
      </w:r>
    </w:p>
    <w:p>
      <w:pPr>
        <w:spacing w:after="0" w:line="16"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12.63</w:t>
      </w:r>
    </w:p>
    <w:p>
      <w:pPr>
        <w:jc w:val="right"/>
        <w:ind w:right="1259"/>
        <w:spacing w:after="0" w:line="238" w:lineRule="auto"/>
        <w:rPr>
          <w:sz w:val="20"/>
          <w:szCs w:val="20"/>
          <w:color w:val="auto"/>
        </w:rPr>
      </w:pPr>
      <w:r>
        <w:rPr>
          <w:rFonts w:ascii="Courier New" w:cs="Courier New" w:eastAsia="Courier New" w:hAnsi="Courier New"/>
          <w:sz w:val="18"/>
          <w:szCs w:val="18"/>
          <w:color w:val="auto"/>
        </w:rPr>
        <w:t>23.75</w:t>
      </w:r>
    </w:p>
    <w:p>
      <w:pPr>
        <w:sectPr>
          <w:pgSz w:w="11900" w:h="16838" w:orient="portrait"/>
          <w:cols w:equalWidth="0" w:num="6">
            <w:col w:w="1820" w:space="720"/>
            <w:col w:w="960" w:space="720"/>
            <w:col w:w="540" w:space="720"/>
            <w:col w:w="760" w:space="720"/>
            <w:col w:w="740" w:space="640"/>
            <w:col w:w="1879"/>
          </w:cols>
          <w:pgMar w:left="240" w:top="723" w:right="1440" w:bottom="1440" w:gutter="0" w:footer="0" w:header="0"/>
          <w:type w:val="continuous"/>
        </w:sectPr>
      </w:pPr>
    </w:p>
    <w:bookmarkStart w:id="10" w:name="page11"/>
    <w:bookmarkEnd w:id="10"/>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Fiscal year 2006</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Stock-based compensation in fiscal year 2006 was determined using the intrinsic value method. The following table provides supplemental information for the six and three months ended October 31, 2005 as if stock-based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gridSpan w:val="2"/>
          </w:tcPr>
          <w:p>
            <w:pPr>
              <w:jc w:val="right"/>
              <w:ind w:right="1132"/>
              <w:spacing w:after="0"/>
              <w:rPr>
                <w:sz w:val="20"/>
                <w:szCs w:val="20"/>
                <w:color w:val="auto"/>
              </w:rPr>
            </w:pPr>
            <w:r>
              <w:rPr>
                <w:rFonts w:ascii="Courier New" w:cs="Courier New" w:eastAsia="Courier New" w:hAnsi="Courier New"/>
                <w:sz w:val="18"/>
                <w:szCs w:val="18"/>
                <w:color w:val="auto"/>
                <w:w w:val="97"/>
              </w:rPr>
              <w:t>compensation had been computed under FAS 123(R)</w:t>
            </w:r>
          </w:p>
        </w:tc>
        <w:tc>
          <w:tcPr>
            <w:tcW w:w="226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r>
      <w:tr>
        <w:trPr>
          <w:trHeight w:val="203"/>
        </w:trPr>
        <w:tc>
          <w:tcPr>
            <w:tcW w:w="4060" w:type="dxa"/>
            <w:vAlign w:val="bottom"/>
          </w:tcPr>
          <w:p>
            <w:pPr>
              <w:spacing w:after="0"/>
              <w:rPr>
                <w:sz w:val="17"/>
                <w:szCs w:val="17"/>
                <w:color w:val="auto"/>
              </w:rPr>
            </w:pP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Six months</w:t>
            </w:r>
          </w:p>
        </w:tc>
        <w:tc>
          <w:tcPr>
            <w:tcW w:w="2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Three months</w:t>
            </w:r>
          </w:p>
        </w:tc>
      </w:tr>
      <w:tr>
        <w:trPr>
          <w:trHeight w:val="203"/>
        </w:trPr>
        <w:tc>
          <w:tcPr>
            <w:tcW w:w="4060" w:type="dxa"/>
            <w:vAlign w:val="bottom"/>
          </w:tcPr>
          <w:p>
            <w:pPr>
              <w:spacing w:after="0"/>
              <w:rPr>
                <w:sz w:val="17"/>
                <w:szCs w:val="17"/>
                <w:color w:val="auto"/>
              </w:rPr>
            </w:pPr>
          </w:p>
        </w:tc>
        <w:tc>
          <w:tcPr>
            <w:tcW w:w="2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43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Periods ended October 31, 2005</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as reported</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$2,474</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$1,332</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stock options, net of tax</w:t>
            </w:r>
          </w:p>
        </w:tc>
        <w:tc>
          <w:tcPr>
            <w:tcW w:w="2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(146)</w:t>
            </w:r>
          </w:p>
        </w:tc>
        <w:tc>
          <w:tcPr>
            <w:tcW w:w="2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406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 pro forma</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$2,328</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$1,239</w:t>
            </w:r>
          </w:p>
        </w:tc>
      </w:tr>
      <w:tr>
        <w:trPr>
          <w:trHeight w:val="203"/>
        </w:trPr>
        <w:tc>
          <w:tcPr>
            <w:tcW w:w="406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ind w:left="220"/>
              <w:spacing w:after="0"/>
              <w:rPr>
                <w:sz w:val="20"/>
                <w:szCs w:val="20"/>
                <w:color w:val="auto"/>
              </w:rPr>
            </w:pPr>
            <w:r>
              <w:rPr>
                <w:rFonts w:ascii="Courier New" w:cs="Courier New" w:eastAsia="Courier New" w:hAnsi="Courier New"/>
                <w:sz w:val="18"/>
                <w:szCs w:val="18"/>
                <w:color w:val="auto"/>
              </w:rPr>
              <w:t>Earnings per share, as reported:</w:t>
            </w:r>
          </w:p>
        </w:tc>
        <w:tc>
          <w:tcPr>
            <w:tcW w:w="21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$ 0.29</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$ 0.16</w:t>
            </w:r>
          </w:p>
        </w:tc>
      </w:tr>
      <w:tr>
        <w:trPr>
          <w:trHeight w:val="203"/>
        </w:trPr>
        <w:tc>
          <w:tcPr>
            <w:tcW w:w="406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$ 0.29</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$ 0.15</w:t>
            </w:r>
          </w:p>
        </w:tc>
      </w:tr>
      <w:tr>
        <w:trPr>
          <w:trHeight w:val="203"/>
        </w:trPr>
        <w:tc>
          <w:tcPr>
            <w:tcW w:w="406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per share- pro forma</w:t>
            </w:r>
          </w:p>
        </w:tc>
        <w:tc>
          <w:tcPr>
            <w:tcW w:w="21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$ 0.27</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$ 0.15</w:t>
            </w:r>
          </w:p>
        </w:tc>
      </w:tr>
      <w:tr>
        <w:trPr>
          <w:trHeight w:val="203"/>
        </w:trPr>
        <w:tc>
          <w:tcPr>
            <w:tcW w:w="406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$ 0.27</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$ 0.14</w:t>
            </w:r>
          </w:p>
        </w:tc>
      </w:tr>
      <w:tr>
        <w:trPr>
          <w:trHeight w:val="203"/>
        </w:trPr>
        <w:tc>
          <w:tcPr>
            <w:tcW w:w="4060" w:type="dxa"/>
            <w:vAlign w:val="bottom"/>
          </w:tcPr>
          <w:p>
            <w:pPr>
              <w:spacing w:after="0"/>
              <w:rPr>
                <w:sz w:val="17"/>
                <w:szCs w:val="17"/>
                <w:color w:val="auto"/>
              </w:rPr>
            </w:pPr>
          </w:p>
        </w:tc>
        <w:tc>
          <w:tcPr>
            <w:tcW w:w="2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G - SEGMENT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operates under three reportable segments:</w:t>
      </w:r>
    </w:p>
    <w:p>
      <w:pPr>
        <w:spacing w:after="0" w:line="4" w:lineRule="exact"/>
        <w:rPr>
          <w:sz w:val="20"/>
          <w:szCs w:val="20"/>
          <w:color w:val="auto"/>
        </w:rPr>
      </w:pPr>
    </w:p>
    <w:p>
      <w:pPr>
        <w:jc w:val="both"/>
        <w:ind w:left="540" w:right="17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FEI-NY - consists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Gillam-FEI - the Company's Belgian subsidiary primarily sells wireline synchronization and network monitoring systems.</w:t>
      </w:r>
    </w:p>
    <w:p>
      <w:pPr>
        <w:spacing w:after="0" w:line="5"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Beginning with the first quarter of fiscal year 2007, the Company is reporting its segment information on a geographic basis. The former Commercial Communications and U.S. Government segments, which operate out of the Company's New York headquarters facility, have been combined into the new segment, FEI-NY. This segment also includes the operations of the Company's wholly-owned subsidiary, FEI-Asia, which functions primarily as a manufacturing facility for the FEI-NY segment.</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Previously, the Company identified its New York-based U.S. Government business as a separate segment even though that segment shared the same facility, equipment and personnel with the Commercial Communications segment. With the acquisition of FEI-Zyfer in fiscal year 2004, the Company now does business on U.S. Government programs out of two separate subsidiaries. The Company's Chief Executive Officer measures segment performance based on total revenues and profits generated by each geographic center rather than on the specific types of customers or end-users. Consequently, the Company determined that limiting the number of segments to the three indicated above more appropriately reflects the way the Company's management views the business.</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Prior year segment information has been reclassified to conform to the new segment presentation. This includes reclassifying the property, plant and equipment located in the New York facility to the FEI-NY segment and not to corporate assets.</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w:t>
      </w:r>
    </w:p>
    <w:p>
      <w:pPr>
        <w:sectPr>
          <w:pgSz w:w="11900" w:h="16838" w:orient="portrait"/>
          <w:cols w:equalWidth="0" w:num="1">
            <w:col w:w="10219"/>
          </w:cols>
          <w:pgMar w:left="240" w:top="919" w:right="1440"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1700" w:type="dxa"/>
            <w:vAlign w:val="bottom"/>
          </w:tcPr>
          <w:p>
            <w:pPr>
              <w:ind w:left="540"/>
              <w:spacing w:after="0"/>
              <w:rPr>
                <w:sz w:val="20"/>
                <w:szCs w:val="20"/>
                <w:color w:val="auto"/>
              </w:rPr>
            </w:pPr>
            <w:r>
              <w:rPr>
                <w:rFonts w:ascii="Courier New" w:cs="Courier New" w:eastAsia="Courier New" w:hAnsi="Courier New"/>
                <w:sz w:val="18"/>
                <w:szCs w:val="18"/>
                <w:color w:val="auto"/>
              </w:rPr>
              <w:t>The  table</w:t>
            </w:r>
          </w:p>
        </w:tc>
        <w:tc>
          <w:tcPr>
            <w:tcW w:w="1880" w:type="dxa"/>
            <w:vAlign w:val="bottom"/>
          </w:tcPr>
          <w:p>
            <w:pPr>
              <w:ind w:left="100"/>
              <w:spacing w:after="0"/>
              <w:rPr>
                <w:sz w:val="20"/>
                <w:szCs w:val="20"/>
                <w:color w:val="auto"/>
              </w:rPr>
            </w:pPr>
            <w:r>
              <w:rPr>
                <w:rFonts w:ascii="Courier New" w:cs="Courier New" w:eastAsia="Courier New" w:hAnsi="Courier New"/>
                <w:sz w:val="18"/>
                <w:szCs w:val="18"/>
                <w:color w:val="auto"/>
              </w:rPr>
              <w:t>below  presents</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information</w:t>
            </w:r>
          </w:p>
        </w:tc>
        <w:tc>
          <w:tcPr>
            <w:tcW w:w="9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about</w:t>
            </w:r>
          </w:p>
        </w:tc>
        <w:tc>
          <w:tcPr>
            <w:tcW w:w="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4"/>
              </w:rPr>
              <w:t>reported</w:t>
            </w:r>
          </w:p>
        </w:tc>
        <w:tc>
          <w:tcPr>
            <w:tcW w:w="12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segments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with</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reconciliation</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of segment  amounts to</w:t>
            </w:r>
          </w:p>
        </w:tc>
        <w:tc>
          <w:tcPr>
            <w:tcW w:w="442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consolidated  amounts as reported in the</w:t>
            </w:r>
          </w:p>
        </w:tc>
      </w:tr>
      <w:tr>
        <w:trPr>
          <w:trHeight w:val="203"/>
        </w:trPr>
        <w:tc>
          <w:tcPr>
            <w:tcW w:w="52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9"/>
              </w:rPr>
              <w:t>statement  of  operations  or the  balance  sheet</w:t>
            </w:r>
          </w:p>
        </w:tc>
        <w:tc>
          <w:tcPr>
            <w:tcW w:w="190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for each of the</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periods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rPr>
              <w:t>Six months</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Three months</w:t>
            </w:r>
          </w:p>
        </w:tc>
      </w:tr>
      <w:tr>
        <w:trPr>
          <w:trHeight w:val="203"/>
        </w:trPr>
        <w:tc>
          <w:tcPr>
            <w:tcW w:w="1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Periods</w:t>
            </w:r>
          </w:p>
        </w:tc>
        <w:tc>
          <w:tcPr>
            <w:tcW w:w="21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ended October 31,</w:t>
            </w:r>
          </w:p>
        </w:tc>
        <w:tc>
          <w:tcPr>
            <w:tcW w:w="4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2"/>
              </w:rPr>
              <w:t>2006</w:t>
            </w:r>
          </w:p>
        </w:tc>
        <w:tc>
          <w:tcPr>
            <w:tcW w:w="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2005</w:t>
            </w:r>
          </w:p>
        </w:tc>
        <w:tc>
          <w:tcPr>
            <w:tcW w:w="420" w:type="dxa"/>
            <w:vAlign w:val="bottom"/>
          </w:tcPr>
          <w:p>
            <w:pPr>
              <w:spacing w:after="0"/>
              <w:rPr>
                <w:sz w:val="17"/>
                <w:szCs w:val="17"/>
                <w:color w:val="auto"/>
              </w:rPr>
            </w:pPr>
          </w:p>
        </w:tc>
        <w:tc>
          <w:tcPr>
            <w:tcW w:w="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2006</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1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2"/>
              </w:rPr>
              <w:t>----</w:t>
            </w:r>
          </w:p>
        </w:tc>
        <w:tc>
          <w:tcPr>
            <w:tcW w:w="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1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FEI-NY</w:t>
            </w:r>
          </w:p>
        </w:tc>
        <w:tc>
          <w:tcPr>
            <w:tcW w:w="1880" w:type="dxa"/>
            <w:vAlign w:val="bottom"/>
          </w:tcPr>
          <w:p>
            <w:pPr>
              <w:spacing w:after="0"/>
              <w:rPr>
                <w:sz w:val="17"/>
                <w:szCs w:val="17"/>
                <w:color w:val="auto"/>
              </w:rPr>
            </w:pPr>
          </w:p>
        </w:tc>
        <w:tc>
          <w:tcPr>
            <w:tcW w:w="1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$20,205</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$14,579</w:t>
            </w:r>
          </w:p>
        </w:tc>
        <w:tc>
          <w:tcPr>
            <w:tcW w:w="42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$ 9,540</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$ 7,723</w:t>
            </w:r>
          </w:p>
        </w:tc>
      </w:tr>
      <w:tr>
        <w:trPr>
          <w:trHeight w:val="203"/>
        </w:trPr>
        <w:tc>
          <w:tcPr>
            <w:tcW w:w="1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Gillam-FEI</w:t>
            </w: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4,451</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4,059</w:t>
            </w:r>
          </w:p>
        </w:tc>
        <w:tc>
          <w:tcPr>
            <w:tcW w:w="42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2,421</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1,844</w:t>
            </w:r>
          </w:p>
        </w:tc>
      </w:tr>
      <w:tr>
        <w:trPr>
          <w:trHeight w:val="203"/>
        </w:trPr>
        <w:tc>
          <w:tcPr>
            <w:tcW w:w="1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FEI-Zyfer</w:t>
            </w: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4,738</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5,132</w:t>
            </w:r>
          </w:p>
        </w:tc>
        <w:tc>
          <w:tcPr>
            <w:tcW w:w="42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2,831</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2,687</w:t>
            </w:r>
          </w:p>
        </w:tc>
      </w:tr>
      <w:tr>
        <w:trPr>
          <w:trHeight w:val="203"/>
        </w:trPr>
        <w:tc>
          <w:tcPr>
            <w:tcW w:w="35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less intersegment sales</w:t>
            </w:r>
          </w:p>
        </w:tc>
        <w:tc>
          <w:tcPr>
            <w:tcW w:w="44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(760)</w:t>
            </w:r>
          </w:p>
        </w:tc>
        <w:tc>
          <w:tcPr>
            <w:tcW w:w="138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rPr>
              <w:t>(1,214)</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(472)</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(755)</w:t>
            </w:r>
          </w:p>
        </w:tc>
      </w:tr>
      <w:tr>
        <w:trPr>
          <w:trHeight w:val="203"/>
        </w:trPr>
        <w:tc>
          <w:tcPr>
            <w:tcW w:w="1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Consolidated sales</w:t>
            </w:r>
          </w:p>
        </w:tc>
        <w:tc>
          <w:tcPr>
            <w:tcW w:w="1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$28,634</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$22,556</w:t>
            </w:r>
          </w:p>
        </w:tc>
        <w:tc>
          <w:tcPr>
            <w:tcW w:w="42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$14,320</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$11,499</w:t>
            </w:r>
          </w:p>
        </w:tc>
      </w:tr>
      <w:tr>
        <w:trPr>
          <w:trHeight w:val="203"/>
        </w:trPr>
        <w:tc>
          <w:tcPr>
            <w:tcW w:w="1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Operating profit (loss):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1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FEI-NY</w:t>
            </w:r>
          </w:p>
        </w:tc>
        <w:tc>
          <w:tcPr>
            <w:tcW w:w="1880" w:type="dxa"/>
            <w:vAlign w:val="bottom"/>
          </w:tcPr>
          <w:p>
            <w:pPr>
              <w:spacing w:after="0"/>
              <w:rPr>
                <w:sz w:val="17"/>
                <w:szCs w:val="17"/>
                <w:color w:val="auto"/>
              </w:rPr>
            </w:pP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448</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w:t>
            </w:r>
          </w:p>
        </w:tc>
        <w:tc>
          <w:tcPr>
            <w:tcW w:w="42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(413)</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272</w:t>
            </w:r>
          </w:p>
        </w:tc>
      </w:tr>
      <w:tr>
        <w:trPr>
          <w:trHeight w:val="203"/>
        </w:trPr>
        <w:tc>
          <w:tcPr>
            <w:tcW w:w="1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Gillam-FEI</w:t>
            </w: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162</w:t>
            </w:r>
          </w:p>
        </w:tc>
        <w:tc>
          <w:tcPr>
            <w:tcW w:w="380" w:type="dxa"/>
            <w:vAlign w:val="bottom"/>
          </w:tcPr>
          <w:p>
            <w:pPr>
              <w:spacing w:after="0"/>
              <w:rPr>
                <w:sz w:val="17"/>
                <w:szCs w:val="17"/>
                <w:color w:val="auto"/>
              </w:rPr>
            </w:pPr>
          </w:p>
        </w:tc>
        <w:tc>
          <w:tcPr>
            <w:tcW w:w="10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(428)</w:t>
            </w:r>
          </w:p>
        </w:tc>
        <w:tc>
          <w:tcPr>
            <w:tcW w:w="460" w:type="dxa"/>
            <w:vAlign w:val="bottom"/>
          </w:tcPr>
          <w:p>
            <w:pPr>
              <w:spacing w:after="0"/>
              <w:rPr>
                <w:sz w:val="17"/>
                <w:szCs w:val="17"/>
                <w:color w:val="auto"/>
              </w:rPr>
            </w:pP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170</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(362)</w:t>
            </w:r>
          </w:p>
        </w:tc>
      </w:tr>
      <w:tr>
        <w:trPr>
          <w:trHeight w:val="203"/>
        </w:trPr>
        <w:tc>
          <w:tcPr>
            <w:tcW w:w="1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FEI-Zyfer</w:t>
            </w: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371</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715</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429</w:t>
            </w:r>
          </w:p>
        </w:tc>
        <w:tc>
          <w:tcPr>
            <w:tcW w:w="84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382</w:t>
            </w:r>
          </w:p>
        </w:tc>
      </w:tr>
      <w:tr>
        <w:trPr>
          <w:trHeight w:val="203"/>
        </w:trPr>
        <w:tc>
          <w:tcPr>
            <w:tcW w:w="1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Corporate</w:t>
            </w: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(271)</w:t>
            </w:r>
          </w:p>
        </w:tc>
        <w:tc>
          <w:tcPr>
            <w:tcW w:w="380" w:type="dxa"/>
            <w:vAlign w:val="bottom"/>
          </w:tcPr>
          <w:p>
            <w:pPr>
              <w:spacing w:after="0"/>
              <w:rPr>
                <w:sz w:val="17"/>
                <w:szCs w:val="17"/>
                <w:color w:val="auto"/>
              </w:rPr>
            </w:pPr>
          </w:p>
        </w:tc>
        <w:tc>
          <w:tcPr>
            <w:tcW w:w="10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(326)</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(167)</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(236)</w:t>
            </w:r>
          </w:p>
        </w:tc>
      </w:tr>
      <w:tr>
        <w:trPr>
          <w:trHeight w:val="203"/>
        </w:trPr>
        <w:tc>
          <w:tcPr>
            <w:tcW w:w="1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Consolidated operating profit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710</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w:t>
            </w:r>
          </w:p>
        </w:tc>
        <w:tc>
          <w:tcPr>
            <w:tcW w:w="420" w:type="dxa"/>
            <w:vAlign w:val="bottom"/>
          </w:tcPr>
          <w:p>
            <w:pPr>
              <w:spacing w:after="0"/>
              <w:rPr>
                <w:sz w:val="17"/>
                <w:szCs w:val="17"/>
                <w:color w:val="auto"/>
              </w:rPr>
            </w:pPr>
          </w:p>
        </w:tc>
        <w:tc>
          <w:tcPr>
            <w:tcW w:w="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October 31, 2006</w:t>
            </w:r>
          </w:p>
        </w:tc>
        <w:tc>
          <w:tcPr>
            <w:tcW w:w="46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April 30, 2006</w:t>
            </w:r>
          </w:p>
        </w:tc>
      </w:tr>
      <w:tr>
        <w:trPr>
          <w:trHeight w:val="203"/>
        </w:trPr>
        <w:tc>
          <w:tcPr>
            <w:tcW w:w="1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FEI-NY</w:t>
            </w: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$41,078</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$44,111</w:t>
            </w:r>
          </w:p>
        </w:tc>
        <w:tc>
          <w:tcPr>
            <w:tcW w:w="420" w:type="dxa"/>
            <w:vAlign w:val="bottom"/>
          </w:tcPr>
          <w:p>
            <w:pPr>
              <w:spacing w:after="0"/>
              <w:rPr>
                <w:sz w:val="17"/>
                <w:szCs w:val="17"/>
                <w:color w:val="auto"/>
              </w:rPr>
            </w:pPr>
          </w:p>
        </w:tc>
      </w:tr>
      <w:tr>
        <w:trPr>
          <w:trHeight w:val="203"/>
        </w:trPr>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Gillam-FEI</w:t>
            </w: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12,802</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13,755</w:t>
            </w:r>
          </w:p>
        </w:tc>
        <w:tc>
          <w:tcPr>
            <w:tcW w:w="420" w:type="dxa"/>
            <w:vAlign w:val="bottom"/>
          </w:tcPr>
          <w:p>
            <w:pPr>
              <w:spacing w:after="0"/>
              <w:rPr>
                <w:sz w:val="17"/>
                <w:szCs w:val="17"/>
                <w:color w:val="auto"/>
              </w:rPr>
            </w:pPr>
          </w:p>
        </w:tc>
      </w:tr>
      <w:tr>
        <w:trPr>
          <w:trHeight w:val="203"/>
        </w:trPr>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FEI-Zyfer</w:t>
            </w: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5,830</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5,356</w:t>
            </w:r>
          </w:p>
        </w:tc>
        <w:tc>
          <w:tcPr>
            <w:tcW w:w="420" w:type="dxa"/>
            <w:vAlign w:val="bottom"/>
          </w:tcPr>
          <w:p>
            <w:pPr>
              <w:spacing w:after="0"/>
              <w:rPr>
                <w:sz w:val="17"/>
                <w:szCs w:val="17"/>
                <w:color w:val="auto"/>
              </w:rPr>
            </w:pPr>
          </w:p>
        </w:tc>
      </w:tr>
      <w:tr>
        <w:trPr>
          <w:trHeight w:val="203"/>
        </w:trPr>
        <w:tc>
          <w:tcPr>
            <w:tcW w:w="3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less intercompany balances</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(10,075)</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(14,585)</w:t>
            </w:r>
          </w:p>
        </w:tc>
      </w:tr>
      <w:tr>
        <w:trPr>
          <w:trHeight w:val="203"/>
        </w:trPr>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Corporate</w:t>
            </w: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38,368</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38,104</w:t>
            </w:r>
          </w:p>
        </w:tc>
        <w:tc>
          <w:tcPr>
            <w:tcW w:w="4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r>
      <w:tr>
        <w:trPr>
          <w:trHeight w:val="203"/>
        </w:trPr>
        <w:tc>
          <w:tcPr>
            <w:tcW w:w="402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7"/>
              </w:rPr>
              <w:t>Consolidated Identifiable Assets</w:t>
            </w:r>
          </w:p>
        </w:tc>
        <w:tc>
          <w:tcPr>
            <w:tcW w:w="88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$88,003</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$86,741</w:t>
            </w:r>
          </w:p>
        </w:tc>
        <w:tc>
          <w:tcPr>
            <w:tcW w:w="4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H - RECENTLY ISSUED ACCOUNTING PRONOUNCEMENTS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June 2006, the FASB issued Financial Interpretation No. 48, "Accounting for Uncertainty in Income Taxes - an interpretation of FASB Statement No. 109." ("FIN 48") This interpretation clarifies the accounting for uncertainty in income taxes recognized in an entity's financial statements and prescribes recognition thresholds and measurement attributes for tax positions taken in a tax return. FIN 48 is effective for the Company beginning in fiscal year 2008. The Company will comply with the provisions of FIN 48 but the impact of such adoption is not determinable at this time.</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September 2006, the FASB issued Statement No. 157, "Fair Value Measurements." ("FAS 157") This statement defines fair value, establishes a framework for measuring fair value in generally accepted accounting principles ("GAAP") and expands disclosures about fair value measurements. FAS 157 does not require any new fair value measurements but simplifies and codifies related guidance. The Company will comply with the provisions of FAS 157 when it becomes effective in fiscal year 2009. The impact of such adoption is not expected to have a material impact on the Company's financial statements since the Company utilizes fair value measures wherever required by current GAAP.</w:t>
      </w:r>
    </w:p>
    <w:p>
      <w:pPr>
        <w:spacing w:after="0" w:line="20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bookmarkStart w:id="12" w:name="page13"/>
    <w:bookmarkEnd w:id="12"/>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Management's Discussion and Analysis of Financial Condition and</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208"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By making these forward-looking statements, the Company undertakes no obligation to update these statements for revisions or changes after the date of this report.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and Estimates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significant accounting policies are described in Note 1 to the consolidated financial statements included in the Company's April 30, 2006 Annual Report to Stockholders.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production-type contracts, revenue is recorded as units are delivered with the related cost of sales recognized on each shipment based upon a percentage of estimated final contract costs. Changes in job performance may result in revisions to costs and income and are recognized in the period in which revisions are determined to be required. Provisions for anticipated losses on contracts are made in the period in which they become determinable.</w:t>
      </w:r>
    </w:p>
    <w:p>
      <w:pPr>
        <w:spacing w:after="0" w:line="210"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For contracts in the Company's Gillam-FEI and FEI-Zyfer segments, smaller contracts or orders in the FEI-NY segment and sales of products and services to customers are reported in operating results based upon shipment of the product or performance of the services pursuant to contractual terms. When payment is contingent upon customer acceptance of the installed system, revenue is deferred until such acceptance is received and installation completed.</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Costs and Expenses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Contract costs include all direct material, direct labor, manufacturing overhead and other direct costs related to contract performance. Selling, general and administrative costs are charged to expense as incurred.</w:t>
      </w:r>
    </w:p>
    <w:p>
      <w:pPr>
        <w:sectPr>
          <w:pgSz w:w="11900" w:h="16838" w:orient="portrait"/>
          <w:cols w:equalWidth="0" w:num="1">
            <w:col w:w="10219"/>
          </w:cols>
          <w:pgMar w:left="240" w:top="919" w:right="1440" w:bottom="566"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Inventory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arising from revised expectations are reflected in cost of sales in the period the revision is made.</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Stock-based Compensation</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Effective May 1, 2006, the Company adopted the fair value recognition provisions of Statement of Financial Accounting Standards No. 123(R), "Share-Based Payment" ("FAS 123(R)"), using the modified prospective transition method. Under the modified prospective transition method, compensation cost of $277,000 and $162,000 was recognized during the six and three months ended October 31, 2006, respectively, and includes: (a) compensation cost for all share-based payments granted prior to, but not yet vested as of May 1, 2006, based on the grant date fair value estimated in accordance with the original provisions of FAS 123, and (b) compensation cost for all share-based payments granted subsequent to May 1, 2006, based on the grant-date fair value estimated in accordance with the provisions of FAS 123(R). Results for prior periods have not been restated.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table below sets forth for the respective periods of fiscal years 2006 and 2005 the percentage of consolidated net sales represented by certain items in the Company's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Six months</w:t>
            </w:r>
          </w:p>
        </w:tc>
        <w:tc>
          <w:tcPr>
            <w:tcW w:w="3040" w:type="dxa"/>
            <w:vAlign w:val="bottom"/>
            <w:gridSpan w:val="3"/>
          </w:tcPr>
          <w:p>
            <w:pPr>
              <w:jc w:val="right"/>
              <w:ind w:right="852"/>
              <w:spacing w:after="0"/>
              <w:rPr>
                <w:sz w:val="20"/>
                <w:szCs w:val="20"/>
                <w:color w:val="auto"/>
              </w:rPr>
            </w:pPr>
            <w:r>
              <w:rPr>
                <w:rFonts w:ascii="Courier New" w:cs="Courier New" w:eastAsia="Courier New" w:hAnsi="Courier New"/>
                <w:sz w:val="18"/>
                <w:szCs w:val="18"/>
                <w:color w:val="auto"/>
              </w:rPr>
              <w:t>Three months</w:t>
            </w:r>
          </w:p>
        </w:tc>
        <w:tc>
          <w:tcPr>
            <w:tcW w:w="3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04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Periods</w:t>
            </w:r>
          </w:p>
        </w:tc>
        <w:tc>
          <w:tcPr>
            <w:tcW w:w="1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ended October 31,</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2006</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2006</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2005</w:t>
            </w:r>
          </w:p>
        </w:tc>
        <w:tc>
          <w:tcPr>
            <w:tcW w:w="3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FEI-NY</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66.6%</w:t>
            </w:r>
          </w:p>
        </w:tc>
        <w:tc>
          <w:tcPr>
            <w:tcW w:w="5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67.2%</w:t>
            </w:r>
          </w:p>
        </w:tc>
        <w:tc>
          <w:tcPr>
            <w:tcW w:w="320" w:type="dxa"/>
            <w:vAlign w:val="bottom"/>
          </w:tcPr>
          <w:p>
            <w:pPr>
              <w:spacing w:after="0"/>
              <w:rPr>
                <w:sz w:val="17"/>
                <w:szCs w:val="17"/>
                <w:color w:val="auto"/>
              </w:rPr>
            </w:pPr>
          </w:p>
        </w:tc>
      </w:tr>
      <w:tr>
        <w:trPr>
          <w:trHeight w:val="203"/>
        </w:trPr>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Gillam-FEI</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16.0</w:t>
            </w:r>
          </w:p>
        </w:tc>
        <w:tc>
          <w:tcPr>
            <w:tcW w:w="320" w:type="dxa"/>
            <w:vAlign w:val="bottom"/>
          </w:tcPr>
          <w:p>
            <w:pPr>
              <w:spacing w:after="0"/>
              <w:rPr>
                <w:sz w:val="17"/>
                <w:szCs w:val="17"/>
                <w:color w:val="auto"/>
              </w:rPr>
            </w:pPr>
          </w:p>
        </w:tc>
      </w:tr>
      <w:tr>
        <w:trPr>
          <w:trHeight w:val="203"/>
        </w:trPr>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FEI-Zyfer</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23.4</w:t>
            </w:r>
          </w:p>
        </w:tc>
        <w:tc>
          <w:tcPr>
            <w:tcW w:w="320" w:type="dxa"/>
            <w:vAlign w:val="bottom"/>
          </w:tcPr>
          <w:p>
            <w:pPr>
              <w:spacing w:after="0"/>
              <w:rPr>
                <w:sz w:val="17"/>
                <w:szCs w:val="17"/>
                <w:color w:val="auto"/>
              </w:rPr>
            </w:pPr>
          </w:p>
        </w:tc>
      </w:tr>
      <w:tr>
        <w:trPr>
          <w:trHeight w:val="203"/>
        </w:trPr>
        <w:tc>
          <w:tcPr>
            <w:tcW w:w="3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Less intersegment sales</w:t>
            </w:r>
          </w:p>
        </w:tc>
        <w:tc>
          <w:tcPr>
            <w:tcW w:w="9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5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(6.6)</w:t>
            </w:r>
          </w:p>
        </w:tc>
        <w:tc>
          <w:tcPr>
            <w:tcW w:w="3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6"/>
              </w:rPr>
              <w:t>100.0</w:t>
            </w:r>
          </w:p>
        </w:tc>
        <w:tc>
          <w:tcPr>
            <w:tcW w:w="3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64.4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62.7</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64.4</w:t>
            </w:r>
          </w:p>
        </w:tc>
        <w:tc>
          <w:tcPr>
            <w:tcW w:w="3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r>
      <w:tr>
        <w:trPr>
          <w:trHeight w:val="203"/>
        </w:trPr>
        <w:tc>
          <w:tcPr>
            <w:tcW w:w="31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Gross Margin</w:t>
            </w:r>
          </w:p>
        </w:tc>
        <w:tc>
          <w:tcPr>
            <w:tcW w:w="9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35.6</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37.3</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35.6</w:t>
            </w:r>
          </w:p>
        </w:tc>
        <w:tc>
          <w:tcPr>
            <w:tcW w:w="320" w:type="dxa"/>
            <w:vAlign w:val="bottom"/>
          </w:tcPr>
          <w:p>
            <w:pPr>
              <w:spacing w:after="0"/>
              <w:rPr>
                <w:sz w:val="17"/>
                <w:szCs w:val="17"/>
                <w:color w:val="auto"/>
              </w:rPr>
            </w:pPr>
          </w:p>
        </w:tc>
      </w:tr>
      <w:tr>
        <w:trPr>
          <w:trHeight w:val="203"/>
        </w:trPr>
        <w:tc>
          <w:tcPr>
            <w:tcW w:w="4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Selling and administrative expenses</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19.0</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22.0</w:t>
            </w:r>
          </w:p>
        </w:tc>
        <w:tc>
          <w:tcPr>
            <w:tcW w:w="320" w:type="dxa"/>
            <w:vAlign w:val="bottom"/>
          </w:tcPr>
          <w:p>
            <w:pPr>
              <w:spacing w:after="0"/>
              <w:rPr>
                <w:sz w:val="17"/>
                <w:szCs w:val="17"/>
                <w:color w:val="auto"/>
              </w:rPr>
            </w:pPr>
          </w:p>
        </w:tc>
      </w:tr>
      <w:tr>
        <w:trPr>
          <w:trHeight w:val="203"/>
        </w:trPr>
        <w:tc>
          <w:tcPr>
            <w:tcW w:w="4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14.1</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13.1</w:t>
            </w:r>
          </w:p>
        </w:tc>
        <w:tc>
          <w:tcPr>
            <w:tcW w:w="3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r>
      <w:tr>
        <w:trPr>
          <w:trHeight w:val="203"/>
        </w:trPr>
        <w:tc>
          <w:tcPr>
            <w:tcW w:w="31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Operating Profit</w:t>
            </w:r>
          </w:p>
        </w:tc>
        <w:tc>
          <w:tcPr>
            <w:tcW w:w="9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0.5</w:t>
            </w:r>
          </w:p>
        </w:tc>
        <w:tc>
          <w:tcPr>
            <w:tcW w:w="3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Other income, net</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3.1</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16.0</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w:t>
            </w:r>
          </w:p>
        </w:tc>
        <w:tc>
          <w:tcPr>
            <w:tcW w:w="520" w:type="dxa"/>
            <w:vAlign w:val="bottom"/>
          </w:tcPr>
          <w:p>
            <w:pPr>
              <w:spacing w:after="0"/>
              <w:rPr>
                <w:sz w:val="24"/>
                <w:szCs w:val="24"/>
                <w:color w:val="auto"/>
              </w:rPr>
            </w:pPr>
          </w:p>
        </w:tc>
        <w:tc>
          <w:tcPr>
            <w:tcW w:w="126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18.2</w:t>
            </w:r>
          </w:p>
        </w:tc>
        <w:tc>
          <w:tcPr>
            <w:tcW w:w="32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Pretax Income</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5.6</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18.7</w:t>
            </w:r>
          </w:p>
        </w:tc>
        <w:tc>
          <w:tcPr>
            <w:tcW w:w="320" w:type="dxa"/>
            <w:vAlign w:val="bottom"/>
          </w:tcPr>
          <w:p>
            <w:pPr>
              <w:spacing w:after="0"/>
              <w:rPr>
                <w:sz w:val="17"/>
                <w:szCs w:val="17"/>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9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7.1</w:t>
            </w:r>
          </w:p>
        </w:tc>
        <w:tc>
          <w:tcPr>
            <w:tcW w:w="3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r>
      <w:tr>
        <w:trPr>
          <w:trHeight w:val="203"/>
        </w:trPr>
        <w:tc>
          <w:tcPr>
            <w:tcW w:w="2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9"/>
              </w:rPr>
              <w:t>Net Income</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5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11.6%</w:t>
            </w:r>
          </w:p>
        </w:tc>
        <w:tc>
          <w:tcPr>
            <w:tcW w:w="3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r>
      <w:tr>
        <w:trPr>
          <w:trHeight w:val="608"/>
        </w:trPr>
        <w:tc>
          <w:tcPr>
            <w:tcW w:w="7800" w:type="dxa"/>
            <w:vAlign w:val="bottom"/>
            <w:gridSpan w:val="7"/>
          </w:tcPr>
          <w:p>
            <w:pPr>
              <w:ind w:left="860"/>
              <w:spacing w:after="0"/>
              <w:rPr>
                <w:sz w:val="20"/>
                <w:szCs w:val="20"/>
                <w:color w:val="auto"/>
              </w:rPr>
            </w:pPr>
            <w:r>
              <w:rPr>
                <w:rFonts w:ascii="Courier New" w:cs="Courier New" w:eastAsia="Courier New" w:hAnsi="Courier New"/>
                <w:sz w:val="18"/>
                <w:szCs w:val="18"/>
                <w:color w:val="auto"/>
              </w:rPr>
              <w:t>(Note: All dollar amounts in following tables are in thousands,</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5220" w:type="dxa"/>
            <w:vAlign w:val="bottom"/>
            <w:gridSpan w:val="5"/>
          </w:tcPr>
          <w:p>
            <w:pPr>
              <w:jc w:val="right"/>
              <w:ind w:right="972"/>
              <w:spacing w:after="0" w:line="203" w:lineRule="exact"/>
              <w:rPr>
                <w:sz w:val="20"/>
                <w:szCs w:val="20"/>
                <w:color w:val="auto"/>
              </w:rPr>
            </w:pPr>
            <w:r>
              <w:rPr>
                <w:rFonts w:ascii="Courier New" w:cs="Courier New" w:eastAsia="Courier New" w:hAnsi="Courier New"/>
                <w:sz w:val="18"/>
                <w:szCs w:val="18"/>
                <w:color w:val="auto"/>
                <w:w w:val="98"/>
              </w:rPr>
              <w:t>except Net Sales which are in millions)</w:t>
            </w: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5"/>
              </w:rPr>
              <w:t>- ---------</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(in millions)</w:t>
            </w: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608"/>
        </w:trPr>
        <w:tc>
          <w:tcPr>
            <w:tcW w:w="2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Six months</w:t>
            </w:r>
          </w:p>
        </w:tc>
        <w:tc>
          <w:tcPr>
            <w:tcW w:w="1000" w:type="dxa"/>
            <w:vAlign w:val="bottom"/>
          </w:tcPr>
          <w:p>
            <w:pPr>
              <w:spacing w:after="0"/>
              <w:rPr>
                <w:sz w:val="24"/>
                <w:szCs w:val="24"/>
                <w:color w:val="auto"/>
              </w:rPr>
            </w:pPr>
          </w:p>
        </w:tc>
        <w:tc>
          <w:tcPr>
            <w:tcW w:w="304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Three months</w:t>
            </w:r>
          </w:p>
        </w:tc>
        <w:tc>
          <w:tcPr>
            <w:tcW w:w="32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3960" w:type="dxa"/>
            <w:vAlign w:val="bottom"/>
            <w:gridSpan w:val="4"/>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Periods ended</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31,</w:t>
            </w: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Segment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2006</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c>
          <w:tcPr>
            <w:tcW w:w="19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Change</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2006</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w:t>
            </w:r>
          </w:p>
        </w:tc>
        <w:tc>
          <w:tcPr>
            <w:tcW w:w="15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Change</w:t>
            </w:r>
          </w:p>
        </w:tc>
      </w:tr>
      <w:tr>
        <w:trPr>
          <w:trHeight w:val="203"/>
        </w:trPr>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FEI-NY</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$20.2</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$14.6</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39%</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$ 9.5</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$ 7.7</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24%</w:t>
            </w:r>
          </w:p>
        </w:tc>
      </w:tr>
    </w:tbl>
    <w:p>
      <w:pPr>
        <w:sectPr>
          <w:pgSz w:w="11900" w:h="16838" w:orient="portrait"/>
          <w:cols w:equalWidth="0" w:num="1">
            <w:col w:w="10219"/>
          </w:cols>
          <w:pgMar w:left="240" w:top="919"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Gillam-FEI</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4.5</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4.1</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0.4</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10%</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0.6</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FEI-Zyfer</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Intersegment sales</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0.5</w:t>
            </w:r>
          </w:p>
        </w:tc>
        <w:tc>
          <w:tcPr>
            <w:tcW w:w="84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w:t>
            </w:r>
          </w:p>
        </w:tc>
        <w:tc>
          <w:tcPr>
            <w:tcW w:w="52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$28.6</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$22.6</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27%</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$14.3</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21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r>
    </w:tbl>
    <w:p>
      <w:pPr>
        <w:sectPr>
          <w:pgSz w:w="11900" w:h="16838" w:orient="portrait"/>
          <w:cols w:equalWidth="0" w:num="1">
            <w:col w:w="10219"/>
          </w:cols>
          <w:pgMar w:left="240" w:top="136" w:right="1440" w:bottom="1440" w:gutter="0" w:footer="0" w:header="0"/>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As illustrated in the table above, the 27% and 25% increases in revenues for the six and three month periods ended October 31, 2006, respectively, were driven by the 39% and 24%, respectively, improvement in revenues in the FEI-NY segment. Revenues from space programs were significantly higher than in the prior fiscal year while sales to wireless infrastructure equipment manufacturers also strengthened. Revenues in the Gillam-FEI segment also improved 10% and 31%, respectively, from the same periods of fiscal year 2006 due primarily to a significant increase in business from its major customer. Revenues for the FEI-Zyfer segment declined by 8% for the six months ended October 31, 2006 and improved by 5% for the three month period then ended as compared to the same periods of fiscal year 2006. The decrease in the fiscal year 2007 six month period is primarily due to customer delays in releasing orders for additional product during the first quarter of the year. Total revenues from U.S. Government related programs, which are recorded in both the FEI-NY and FEI-Zyfer segments, were lower in the six month period ended October 31, 2006, but were higher in the three month period then ended compared to the same periods of fiscal year 2006. As U.S. Government programs receive funding, the Company expects to realize increased revenues from such programs in the future periods of fiscal year 2007. In particular, the Company expects revenues from both U.S. Government and commercial satellite programs to show sequential growth in the second half of fiscal year 2007. Similarly, revenues from wireless equipment manufacturers are expected to increase, particularly when China and India make decisions regarding the implementation of their new networks.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Gross margin</w:t>
            </w: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Six months</w:t>
            </w:r>
          </w:p>
        </w:tc>
        <w:tc>
          <w:tcPr>
            <w:tcW w:w="1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Three months</w:t>
            </w:r>
          </w:p>
        </w:tc>
        <w:tc>
          <w:tcPr>
            <w:tcW w:w="13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2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2"/>
              </w:rPr>
              <w:t>---------------------------------</w:t>
            </w:r>
          </w:p>
        </w:tc>
        <w:tc>
          <w:tcPr>
            <w:tcW w:w="1620" w:type="dxa"/>
            <w:vAlign w:val="bottom"/>
          </w:tcPr>
          <w:p>
            <w:pPr>
              <w:spacing w:after="0"/>
              <w:rPr>
                <w:sz w:val="17"/>
                <w:szCs w:val="17"/>
                <w:color w:val="auto"/>
              </w:rPr>
            </w:pPr>
          </w:p>
        </w:tc>
        <w:tc>
          <w:tcPr>
            <w:tcW w:w="3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Periods ended October 31,</w:t>
            </w:r>
          </w:p>
        </w:tc>
        <w:tc>
          <w:tcPr>
            <w:tcW w:w="13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11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2006</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2005</w:t>
            </w:r>
          </w:p>
        </w:tc>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Change</w:t>
            </w: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2006</w:t>
            </w:r>
          </w:p>
        </w:tc>
        <w:tc>
          <w:tcPr>
            <w:tcW w:w="13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2005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Change</w:t>
            </w:r>
          </w:p>
        </w:tc>
      </w:tr>
      <w:tr>
        <w:trPr>
          <w:trHeight w:val="203"/>
        </w:trPr>
        <w:tc>
          <w:tcPr>
            <w:tcW w:w="860" w:type="dxa"/>
            <w:vAlign w:val="bottom"/>
          </w:tcPr>
          <w:p>
            <w:pPr>
              <w:spacing w:after="0"/>
              <w:rPr>
                <w:sz w:val="17"/>
                <w:szCs w:val="17"/>
                <w:color w:val="auto"/>
              </w:rPr>
            </w:pPr>
          </w:p>
        </w:tc>
        <w:tc>
          <w:tcPr>
            <w:tcW w:w="11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w:t>
            </w:r>
          </w:p>
        </w:tc>
        <w:tc>
          <w:tcPr>
            <w:tcW w:w="1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60" w:type="dxa"/>
            <w:vAlign w:val="bottom"/>
          </w:tcPr>
          <w:p>
            <w:pPr>
              <w:spacing w:after="0"/>
              <w:rPr>
                <w:sz w:val="17"/>
                <w:szCs w:val="17"/>
                <w:color w:val="auto"/>
              </w:rPr>
            </w:pP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$10,193</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$8,195</w:t>
            </w:r>
          </w:p>
        </w:tc>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$1,998   24%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$5,340</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$4,098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$1,242   30%</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GM Rate</w:t>
            </w:r>
          </w:p>
        </w:tc>
        <w:tc>
          <w:tcPr>
            <w:tcW w:w="1140" w:type="dxa"/>
            <w:vAlign w:val="bottom"/>
          </w:tcPr>
          <w:p>
            <w:pPr>
              <w:ind w:left="300"/>
              <w:spacing w:after="0"/>
              <w:rPr>
                <w:sz w:val="20"/>
                <w:szCs w:val="20"/>
                <w:color w:val="auto"/>
              </w:rPr>
            </w:pPr>
            <w:r>
              <w:rPr>
                <w:rFonts w:ascii="Courier New" w:cs="Courier New" w:eastAsia="Courier New" w:hAnsi="Courier New"/>
                <w:sz w:val="18"/>
                <w:szCs w:val="18"/>
                <w:color w:val="auto"/>
              </w:rPr>
              <w:t>35.6%</w:t>
            </w:r>
          </w:p>
        </w:tc>
        <w:tc>
          <w:tcPr>
            <w:tcW w:w="1120" w:type="dxa"/>
            <w:vAlign w:val="bottom"/>
          </w:tcPr>
          <w:p>
            <w:pPr>
              <w:ind w:left="220"/>
              <w:spacing w:after="0"/>
              <w:rPr>
                <w:sz w:val="20"/>
                <w:szCs w:val="20"/>
                <w:color w:val="auto"/>
              </w:rPr>
            </w:pPr>
            <w:r>
              <w:rPr>
                <w:rFonts w:ascii="Courier New" w:cs="Courier New" w:eastAsia="Courier New" w:hAnsi="Courier New"/>
                <w:sz w:val="18"/>
                <w:szCs w:val="18"/>
                <w:color w:val="auto"/>
              </w:rPr>
              <w:t>36.3%</w:t>
            </w:r>
          </w:p>
        </w:tc>
        <w:tc>
          <w:tcPr>
            <w:tcW w:w="1620" w:type="dxa"/>
            <w:vAlign w:val="bottom"/>
          </w:tcPr>
          <w:p>
            <w:pPr>
              <w:spacing w:after="0"/>
              <w:rPr>
                <w:sz w:val="24"/>
                <w:szCs w:val="24"/>
                <w:color w:val="auto"/>
              </w:rPr>
            </w:pPr>
          </w:p>
        </w:tc>
        <w:tc>
          <w:tcPr>
            <w:tcW w:w="1000" w:type="dxa"/>
            <w:vAlign w:val="bottom"/>
          </w:tcPr>
          <w:p>
            <w:pPr>
              <w:ind w:left="420"/>
              <w:spacing w:after="0"/>
              <w:rPr>
                <w:sz w:val="20"/>
                <w:szCs w:val="20"/>
                <w:color w:val="auto"/>
              </w:rPr>
            </w:pPr>
            <w:r>
              <w:rPr>
                <w:rFonts w:ascii="Courier New" w:cs="Courier New" w:eastAsia="Courier New" w:hAnsi="Courier New"/>
                <w:sz w:val="18"/>
                <w:szCs w:val="18"/>
                <w:color w:val="auto"/>
              </w:rPr>
              <w:t>37.3%</w:t>
            </w:r>
          </w:p>
        </w:tc>
        <w:tc>
          <w:tcPr>
            <w:tcW w:w="1380" w:type="dxa"/>
            <w:vAlign w:val="bottom"/>
          </w:tcPr>
          <w:p>
            <w:pPr>
              <w:ind w:left="480"/>
              <w:spacing w:after="0"/>
              <w:rPr>
                <w:sz w:val="20"/>
                <w:szCs w:val="20"/>
                <w:color w:val="auto"/>
              </w:rPr>
            </w:pPr>
            <w:r>
              <w:rPr>
                <w:rFonts w:ascii="Courier New" w:cs="Courier New" w:eastAsia="Courier New" w:hAnsi="Courier New"/>
                <w:sz w:val="18"/>
                <w:szCs w:val="18"/>
                <w:color w:val="auto"/>
              </w:rPr>
              <w:t>35.6%</w:t>
            </w:r>
          </w:p>
        </w:tc>
        <w:tc>
          <w:tcPr>
            <w:tcW w:w="1320" w:type="dxa"/>
            <w:vAlign w:val="bottom"/>
          </w:tcPr>
          <w:p>
            <w:pPr>
              <w:spacing w:after="0"/>
              <w:rPr>
                <w:sz w:val="24"/>
                <w:szCs w:val="24"/>
                <w:color w:val="auto"/>
              </w:rPr>
            </w:pPr>
          </w:p>
        </w:tc>
      </w:tr>
    </w:tbl>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24% and 30% improvement in gross margin for the six and three months ended October 31, 2006, respectively, is primarily due to the increase in revenues over the same periods of fiscal year 2006. The gross margin rate for the six month period ended October 31, 2006, was lower than that for the same period of the prior year reflecting high engineering costs applied to certain of the Company's long-term contracts primarily during the first quarter of fiscal year 2007. The level of engineering effort applied to such contracts decreased in the second quarter of fiscal year 2007 which led to the improved gross margin rate for the three months ended October 31, 2006. As revenues increase and engineering costs return to more normal levels, the Company expects the gross margin rate to approach and exceed its target of 40%.</w:t>
      </w:r>
    </w:p>
    <w:p>
      <w:pPr>
        <w:spacing w:after="0" w:line="216"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Also, for the six and three months ended October 31, 2006, gross margin was reduced by $140,000 and $87,000, respectively, due to the inclusion in cost of sales of a charge for stock compensation expense. As disclosed in the footnotes to the financial statements, as of May 1, 2006, the Company is complying with the provisions of FAS 123(R), Accounting for Stock-Based Compensation. In the prior fiscal year, the Company applied the disclosure-only provisions of FAS No. 148, "Accounting for Stock-Based Compensation- Transition and Disclosure" and measured compensation cost in accordance with APB Opinion No. 25, "Accounting for Stock Issued to Employees." This method did not result in compensation cost upon the grant of options under a qualified stock option plan.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and administrative expenses</w:t>
      </w:r>
    </w:p>
    <w:p>
      <w:pPr>
        <w:spacing w:after="0" w:line="238" w:lineRule="auto"/>
        <w:rPr>
          <w:sz w:val="20"/>
          <w:szCs w:val="20"/>
          <w:color w:val="auto"/>
        </w:rPr>
      </w:pPr>
      <w:r>
        <w:rPr>
          <w:rFonts w:ascii="Courier New" w:cs="Courier New" w:eastAsia="Courier New" w:hAnsi="Courier New"/>
          <w:sz w:val="18"/>
          <w:szCs w:val="18"/>
          <w:color w:val="auto"/>
        </w:rPr>
        <w:t>- -----------------------------------</w:t>
      </w:r>
    </w:p>
    <w:p>
      <w:pPr>
        <w:ind w:left="1900"/>
        <w:spacing w:after="0"/>
        <w:tabs>
          <w:tab w:leader="none" w:pos="5680" w:val="left"/>
        </w:tabs>
        <w:rPr>
          <w:sz w:val="20"/>
          <w:szCs w:val="20"/>
          <w:color w:val="auto"/>
        </w:rPr>
      </w:pPr>
      <w:r>
        <w:rPr>
          <w:rFonts w:ascii="Courier New" w:cs="Courier New" w:eastAsia="Courier New" w:hAnsi="Courier New"/>
          <w:sz w:val="18"/>
          <w:szCs w:val="18"/>
          <w:color w:val="auto"/>
        </w:rPr>
        <w:t>Six months</w:t>
      </w:r>
      <w:r>
        <w:rPr>
          <w:sz w:val="20"/>
          <w:szCs w:val="20"/>
          <w:color w:val="auto"/>
        </w:rPr>
        <w:tab/>
      </w:r>
      <w:r>
        <w:rPr>
          <w:rFonts w:ascii="Courier New" w:cs="Courier New" w:eastAsia="Courier New" w:hAnsi="Courier New"/>
          <w:sz w:val="16"/>
          <w:szCs w:val="16"/>
          <w:color w:val="auto"/>
        </w:rPr>
        <w:t>Three months</w:t>
      </w:r>
    </w:p>
    <w:p>
      <w:pPr>
        <w:spacing w:after="0" w:line="3" w:lineRule="exact"/>
        <w:rPr>
          <w:sz w:val="20"/>
          <w:szCs w:val="20"/>
          <w:color w:val="auto"/>
        </w:rPr>
      </w:pPr>
    </w:p>
    <w:p>
      <w:pPr>
        <w:ind w:left="960"/>
        <w:spacing w:after="0"/>
        <w:tabs>
          <w:tab w:leader="none" w:pos="50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Periods ended October 31,</w:t>
      </w:r>
    </w:p>
    <w:p>
      <w:pPr>
        <w:ind w:left="1160"/>
        <w:spacing w:after="0"/>
        <w:tabs>
          <w:tab w:leader="none" w:pos="2200" w:val="left"/>
          <w:tab w:leader="none" w:pos="3460" w:val="left"/>
          <w:tab w:leader="none" w:pos="5140" w:val="left"/>
          <w:tab w:leader="none" w:pos="6200" w:val="left"/>
          <w:tab w:leader="none" w:pos="7460" w:val="left"/>
        </w:tabs>
        <w:rPr>
          <w:sz w:val="20"/>
          <w:szCs w:val="20"/>
          <w:color w:val="auto"/>
        </w:rPr>
      </w:pP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Change</w:t>
      </w:r>
      <w:r>
        <w:rPr>
          <w:sz w:val="20"/>
          <w:szCs w:val="20"/>
          <w:color w:val="auto"/>
        </w:rPr>
        <w:tab/>
      </w: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6"/>
          <w:szCs w:val="16"/>
          <w:color w:val="auto"/>
        </w:rPr>
        <w:t>Change</w:t>
      </w:r>
    </w:p>
    <w:p>
      <w:pPr>
        <w:ind w:left="1160"/>
        <w:spacing w:after="0"/>
        <w:tabs>
          <w:tab w:leader="none" w:pos="2200" w:val="left"/>
          <w:tab w:leader="none" w:pos="3140" w:val="left"/>
          <w:tab w:leader="none" w:pos="5140" w:val="left"/>
          <w:tab w:leader="none" w:pos="6200" w:val="left"/>
          <w:tab w:leader="none" w:pos="7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960"/>
        <w:spacing w:after="0"/>
        <w:tabs>
          <w:tab w:leader="none" w:pos="1980" w:val="left"/>
          <w:tab w:leader="none" w:pos="3260" w:val="left"/>
          <w:tab w:leader="none" w:pos="4000" w:val="left"/>
          <w:tab w:leader="none" w:pos="4940" w:val="left"/>
          <w:tab w:leader="none" w:pos="6000" w:val="left"/>
          <w:tab w:leader="none" w:pos="7260" w:val="left"/>
          <w:tab w:leader="none" w:pos="8000" w:val="left"/>
        </w:tabs>
        <w:rPr>
          <w:sz w:val="20"/>
          <w:szCs w:val="20"/>
          <w:color w:val="auto"/>
        </w:rPr>
      </w:pPr>
      <w:r>
        <w:rPr>
          <w:rFonts w:ascii="Courier New" w:cs="Courier New" w:eastAsia="Courier New" w:hAnsi="Courier New"/>
          <w:sz w:val="18"/>
          <w:szCs w:val="18"/>
          <w:color w:val="auto"/>
        </w:rPr>
        <w:t>$5,455</w:t>
      </w:r>
      <w:r>
        <w:rPr>
          <w:sz w:val="20"/>
          <w:szCs w:val="20"/>
          <w:color w:val="auto"/>
        </w:rPr>
        <w:tab/>
      </w:r>
      <w:r>
        <w:rPr>
          <w:rFonts w:ascii="Courier New" w:cs="Courier New" w:eastAsia="Courier New" w:hAnsi="Courier New"/>
          <w:sz w:val="18"/>
          <w:szCs w:val="18"/>
          <w:color w:val="auto"/>
        </w:rPr>
        <w:t>$5,077</w:t>
      </w:r>
      <w:r>
        <w:rPr>
          <w:sz w:val="20"/>
          <w:szCs w:val="20"/>
          <w:color w:val="auto"/>
        </w:rPr>
        <w:tab/>
      </w:r>
      <w:r>
        <w:rPr>
          <w:rFonts w:ascii="Courier New" w:cs="Courier New" w:eastAsia="Courier New" w:hAnsi="Courier New"/>
          <w:sz w:val="18"/>
          <w:szCs w:val="18"/>
          <w:color w:val="auto"/>
        </w:rPr>
        <w:t>$378</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$2,674</w:t>
      </w:r>
      <w:r>
        <w:rPr>
          <w:sz w:val="20"/>
          <w:szCs w:val="20"/>
          <w:color w:val="auto"/>
        </w:rPr>
        <w:tab/>
      </w:r>
      <w:r>
        <w:rPr>
          <w:rFonts w:ascii="Courier New" w:cs="Courier New" w:eastAsia="Courier New" w:hAnsi="Courier New"/>
          <w:sz w:val="18"/>
          <w:szCs w:val="18"/>
          <w:color w:val="auto"/>
        </w:rPr>
        <w:t>$2,533</w:t>
      </w:r>
      <w:r>
        <w:rPr>
          <w:sz w:val="20"/>
          <w:szCs w:val="20"/>
          <w:color w:val="auto"/>
        </w:rPr>
        <w:tab/>
      </w:r>
      <w:r>
        <w:rPr>
          <w:rFonts w:ascii="Courier New" w:cs="Courier New" w:eastAsia="Courier New" w:hAnsi="Courier New"/>
          <w:sz w:val="18"/>
          <w:szCs w:val="18"/>
          <w:color w:val="auto"/>
        </w:rPr>
        <w:t>$141</w:t>
      </w:r>
      <w:r>
        <w:rPr>
          <w:sz w:val="20"/>
          <w:szCs w:val="20"/>
          <w:color w:val="auto"/>
        </w:rPr>
        <w:tab/>
      </w:r>
      <w:r>
        <w:rPr>
          <w:rFonts w:ascii="Courier New" w:cs="Courier New" w:eastAsia="Courier New" w:hAnsi="Courier New"/>
          <w:sz w:val="16"/>
          <w:szCs w:val="16"/>
          <w:color w:val="auto"/>
        </w:rPr>
        <w:t>6%</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For the six and three months ended October 31, 2006, selling and administrative expenses were 19% of revenues which achieved the Company's target for such expenses. For the comparable periods of fiscal year 2006, selling and administrative expenses were 22% of revenues, reflecting the lower level of sales for those periods compared to the administrative structure of the Company. The primary increases in expenses in the fiscal year 2007 periods were related to compensation, including additional personnel, accruals for incentive compensation, normal salary increases and stock compensation costs as indicated</w:t>
      </w:r>
    </w:p>
    <w:p>
      <w:pPr>
        <w:sectPr>
          <w:pgSz w:w="11900" w:h="16838" w:orient="portrait"/>
          <w:cols w:equalWidth="0" w:num="1">
            <w:col w:w="10219"/>
          </w:cols>
          <w:pgMar w:left="240" w:top="717" w:right="1440" w:bottom="0" w:gutter="0" w:footer="0" w:header="0"/>
        </w:sectPr>
      </w:pPr>
    </w:p>
    <w:bookmarkStart w:id="16" w:name="page17"/>
    <w:bookmarkEnd w:id="16"/>
    <w:p>
      <w:pPr>
        <w:jc w:val="both"/>
        <w:ind w:right="1779"/>
        <w:spacing w:after="0" w:line="236" w:lineRule="auto"/>
        <w:rPr>
          <w:sz w:val="20"/>
          <w:szCs w:val="20"/>
          <w:color w:val="auto"/>
        </w:rPr>
      </w:pPr>
      <w:r>
        <w:rPr>
          <w:rFonts w:ascii="Courier New" w:cs="Courier New" w:eastAsia="Courier New" w:hAnsi="Courier New"/>
          <w:sz w:val="18"/>
          <w:szCs w:val="18"/>
          <w:color w:val="auto"/>
        </w:rPr>
        <w:t>in the next paragraph. Increased compensation expense in the United States operations were partially offset by decreases in personnel costs in the Company's European subsidiaries.</w:t>
      </w:r>
    </w:p>
    <w:p>
      <w:pPr>
        <w:sectPr>
          <w:pgSz w:w="11900" w:h="16838" w:orient="portrait"/>
          <w:cols w:equalWidth="0" w:num="1">
            <w:col w:w="10219"/>
          </w:cols>
          <w:pgMar w:left="240" w:top="142" w:right="1440" w:bottom="1440"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Included in selling and administrative expenses for the six and three months ended October 31, 2006, is $137,000 and $75,000, respectively, related to stock compensation expense as described above and in the footnotes to the financial statements.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With fiscal year 2007 revenues at current or increasing levels, the Company expects selling and administrative expenses to be incurred at 20% or less of revenues.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expense</w:t>
      </w:r>
    </w:p>
    <w:p>
      <w:pPr>
        <w:spacing w:after="0" w:line="238" w:lineRule="auto"/>
        <w:rPr>
          <w:sz w:val="20"/>
          <w:szCs w:val="20"/>
          <w:color w:val="auto"/>
        </w:rPr>
      </w:pPr>
      <w:r>
        <w:rPr>
          <w:rFonts w:ascii="Courier New" w:cs="Courier New" w:eastAsia="Courier New" w:hAnsi="Courier New"/>
          <w:sz w:val="18"/>
          <w:szCs w:val="18"/>
          <w:color w:val="auto"/>
        </w:rPr>
        <w:t>- --------------------------------</w:t>
      </w:r>
    </w:p>
    <w:p>
      <w:pPr>
        <w:ind w:left="2000"/>
        <w:spacing w:after="0"/>
        <w:tabs>
          <w:tab w:leader="none" w:pos="6100" w:val="left"/>
        </w:tabs>
        <w:rPr>
          <w:sz w:val="20"/>
          <w:szCs w:val="20"/>
          <w:color w:val="auto"/>
        </w:rPr>
      </w:pPr>
      <w:r>
        <w:rPr>
          <w:rFonts w:ascii="Courier New" w:cs="Courier New" w:eastAsia="Courier New" w:hAnsi="Courier New"/>
          <w:sz w:val="18"/>
          <w:szCs w:val="18"/>
          <w:color w:val="auto"/>
        </w:rPr>
        <w:t>Six months</w:t>
      </w:r>
      <w:r>
        <w:rPr>
          <w:sz w:val="20"/>
          <w:szCs w:val="20"/>
          <w:color w:val="auto"/>
        </w:rPr>
        <w:tab/>
      </w:r>
      <w:r>
        <w:rPr>
          <w:rFonts w:ascii="Courier New" w:cs="Courier New" w:eastAsia="Courier New" w:hAnsi="Courier New"/>
          <w:sz w:val="16"/>
          <w:szCs w:val="16"/>
          <w:color w:val="auto"/>
        </w:rPr>
        <w:t>Three months</w:t>
      </w:r>
    </w:p>
    <w:p>
      <w:pPr>
        <w:ind w:left="960"/>
        <w:spacing w:after="0" w:line="237" w:lineRule="auto"/>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Periods ended October 31,</w:t>
      </w:r>
    </w:p>
    <w:p>
      <w:pPr>
        <w:ind w:left="1160"/>
        <w:spacing w:after="0"/>
        <w:tabs>
          <w:tab w:leader="none" w:pos="2200" w:val="left"/>
          <w:tab w:leader="none" w:pos="3460" w:val="left"/>
          <w:tab w:leader="none" w:pos="5140" w:val="left"/>
          <w:tab w:leader="none" w:pos="6200" w:val="left"/>
          <w:tab w:leader="none" w:pos="7460" w:val="left"/>
        </w:tabs>
        <w:rPr>
          <w:sz w:val="20"/>
          <w:szCs w:val="20"/>
          <w:color w:val="auto"/>
        </w:rPr>
      </w:pP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Change</w:t>
      </w:r>
      <w:r>
        <w:rPr>
          <w:sz w:val="20"/>
          <w:szCs w:val="20"/>
          <w:color w:val="auto"/>
        </w:rPr>
        <w:tab/>
      </w: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6"/>
          <w:szCs w:val="16"/>
          <w:color w:val="auto"/>
        </w:rPr>
        <w:t>Change</w:t>
      </w:r>
    </w:p>
    <w:p>
      <w:pPr>
        <w:ind w:left="1160"/>
        <w:spacing w:after="0"/>
        <w:tabs>
          <w:tab w:leader="none" w:pos="2200" w:val="left"/>
          <w:tab w:leader="none" w:pos="3140" w:val="left"/>
          <w:tab w:leader="none" w:pos="5140" w:val="left"/>
          <w:tab w:leader="none" w:pos="6200" w:val="left"/>
          <w:tab w:leader="none" w:pos="7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960"/>
        <w:spacing w:after="0"/>
        <w:tabs>
          <w:tab w:leader="none" w:pos="1980" w:val="left"/>
          <w:tab w:leader="none" w:pos="3140" w:val="left"/>
          <w:tab w:leader="none" w:pos="4100" w:val="left"/>
          <w:tab w:leader="none" w:pos="4940" w:val="left"/>
          <w:tab w:leader="none" w:pos="6000" w:val="left"/>
          <w:tab w:leader="none" w:pos="7160" w:val="left"/>
          <w:tab w:leader="none" w:pos="8100" w:val="left"/>
        </w:tabs>
        <w:rPr>
          <w:sz w:val="20"/>
          <w:szCs w:val="20"/>
          <w:color w:val="auto"/>
        </w:rPr>
      </w:pPr>
      <w:r>
        <w:rPr>
          <w:rFonts w:ascii="Courier New" w:cs="Courier New" w:eastAsia="Courier New" w:hAnsi="Courier New"/>
          <w:sz w:val="18"/>
          <w:szCs w:val="18"/>
          <w:color w:val="auto"/>
        </w:rPr>
        <w:t>$4,028</w:t>
      </w:r>
      <w:r>
        <w:rPr>
          <w:sz w:val="20"/>
          <w:szCs w:val="20"/>
          <w:color w:val="auto"/>
        </w:rPr>
        <w:tab/>
      </w:r>
      <w:r>
        <w:rPr>
          <w:rFonts w:ascii="Courier New" w:cs="Courier New" w:eastAsia="Courier New" w:hAnsi="Courier New"/>
          <w:sz w:val="18"/>
          <w:szCs w:val="18"/>
          <w:color w:val="auto"/>
        </w:rPr>
        <w:t>$2,951</w:t>
      </w:r>
      <w:r>
        <w:rPr>
          <w:sz w:val="20"/>
          <w:szCs w:val="20"/>
          <w:color w:val="auto"/>
        </w:rPr>
        <w:tab/>
      </w:r>
      <w:r>
        <w:rPr>
          <w:rFonts w:ascii="Courier New" w:cs="Courier New" w:eastAsia="Courier New" w:hAnsi="Courier New"/>
          <w:sz w:val="18"/>
          <w:szCs w:val="18"/>
          <w:color w:val="auto"/>
        </w:rPr>
        <w:t>$1,077</w:t>
      </w:r>
      <w:r>
        <w:rPr>
          <w:sz w:val="20"/>
          <w:szCs w:val="20"/>
          <w:color w:val="auto"/>
        </w:rPr>
        <w:tab/>
      </w: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8"/>
          <w:szCs w:val="18"/>
          <w:color w:val="auto"/>
        </w:rPr>
        <w:t>$2,647</w:t>
      </w:r>
      <w:r>
        <w:rPr>
          <w:sz w:val="20"/>
          <w:szCs w:val="20"/>
          <w:color w:val="auto"/>
        </w:rPr>
        <w:tab/>
      </w:r>
      <w:r>
        <w:rPr>
          <w:rFonts w:ascii="Courier New" w:cs="Courier New" w:eastAsia="Courier New" w:hAnsi="Courier New"/>
          <w:sz w:val="18"/>
          <w:szCs w:val="18"/>
          <w:color w:val="auto"/>
        </w:rPr>
        <w:t>$1,509</w:t>
      </w:r>
      <w:r>
        <w:rPr>
          <w:sz w:val="20"/>
          <w:szCs w:val="20"/>
          <w:color w:val="auto"/>
        </w:rPr>
        <w:tab/>
      </w:r>
      <w:r>
        <w:rPr>
          <w:rFonts w:ascii="Courier New" w:cs="Courier New" w:eastAsia="Courier New" w:hAnsi="Courier New"/>
          <w:sz w:val="18"/>
          <w:szCs w:val="18"/>
          <w:color w:val="auto"/>
        </w:rPr>
        <w:t>$1,138</w:t>
      </w:r>
      <w:r>
        <w:rPr>
          <w:sz w:val="20"/>
          <w:szCs w:val="20"/>
          <w:color w:val="auto"/>
        </w:rPr>
        <w:tab/>
      </w:r>
      <w:r>
        <w:rPr>
          <w:rFonts w:ascii="Courier New" w:cs="Courier New" w:eastAsia="Courier New" w:hAnsi="Courier New"/>
          <w:sz w:val="16"/>
          <w:szCs w:val="16"/>
          <w:color w:val="auto"/>
        </w:rPr>
        <w:t>75%</w:t>
      </w:r>
    </w:p>
    <w:p>
      <w:pPr>
        <w:spacing w:after="0" w:line="206"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Research and development expenditures represent investments that keep the Company's products at the leading edge of time and frequency technology and enhance competitiveness for future sales. Particularly during the second quarter of fiscal year 2007, the Company incurred high engineering costs to design and substantially improve the manufacturability of certain products for current and anticipated satellite payload programs. Such efforts account for the 36% and 75% increases in R&amp;D spending for the six and three months ended October 31, 2006, respectively, compared to the same periods of fiscal year 2006. The Company also spent development money on new initiatives to design a ruggedized rubidium clock for secure military communications, enhance and miniaturize products for wireless communications, upgrade its GPS-based synchronization product line, and to develop enhanced network monitoring equipment and software.</w:t>
      </w:r>
    </w:p>
    <w:p>
      <w:pPr>
        <w:spacing w:after="0" w:line="39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spending for the six and three months ended October 31, 2006, was 14.1% and 18.5% of revenues, respectively, compared to 13.1% of revenues for the same periods of fiscal year 2006. The Company targets research and development spending at approximately 10% of sales, but the rate of spending can increase or decrease from quarter to quarter as new projects are identified and others are concluded. The Company will continue to devote significant resources to develop new products, enhance existing products and implement efficient manufacturing processes. Where possible, the Company attempts to obtain development contracts from its customers. For programs without such funding, internally generated cash and cash reserves are adequate to fund these development efforts.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160" w:type="dxa"/>
            <w:vAlign w:val="bottom"/>
            <w:gridSpan w:val="3"/>
          </w:tcPr>
          <w:p>
            <w:pPr>
              <w:ind w:left="2120"/>
              <w:spacing w:after="0" w:line="203" w:lineRule="exact"/>
              <w:rPr>
                <w:sz w:val="20"/>
                <w:szCs w:val="20"/>
                <w:color w:val="auto"/>
              </w:rPr>
            </w:pPr>
            <w:r>
              <w:rPr>
                <w:rFonts w:ascii="Courier New" w:cs="Courier New" w:eastAsia="Courier New" w:hAnsi="Courier New"/>
                <w:sz w:val="18"/>
                <w:szCs w:val="18"/>
                <w:color w:val="auto"/>
                <w:w w:val="94"/>
              </w:rPr>
              <w:t>Six months</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w w:val="97"/>
              </w:rPr>
              <w:t>Three months</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60" w:type="dxa"/>
            <w:vAlign w:val="bottom"/>
            <w:gridSpan w:val="5"/>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Periods ended October 31,</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2006</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2005</w:t>
            </w:r>
          </w:p>
        </w:tc>
        <w:tc>
          <w:tcPr>
            <w:tcW w:w="420" w:type="dxa"/>
            <w:vAlign w:val="bottom"/>
          </w:tcPr>
          <w:p>
            <w:pPr>
              <w:spacing w:after="0"/>
              <w:rPr>
                <w:sz w:val="17"/>
                <w:szCs w:val="17"/>
                <w:color w:val="auto"/>
              </w:rPr>
            </w:pPr>
          </w:p>
        </w:tc>
        <w:tc>
          <w:tcPr>
            <w:tcW w:w="2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Change</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2006</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2005</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Change</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200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w w:val="97"/>
              </w:rPr>
              <w:t>------------</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r>
      <w:tr>
        <w:trPr>
          <w:trHeight w:val="203"/>
        </w:trPr>
        <w:tc>
          <w:tcPr>
            <w:tcW w:w="2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$710</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$167</w:t>
            </w:r>
          </w:p>
        </w:tc>
        <w:tc>
          <w:tcPr>
            <w:tcW w:w="420" w:type="dxa"/>
            <w:vAlign w:val="bottom"/>
          </w:tcPr>
          <w:p>
            <w:pPr>
              <w:spacing w:after="0"/>
              <w:rPr>
                <w:sz w:val="17"/>
                <w:szCs w:val="17"/>
                <w:color w:val="auto"/>
              </w:rPr>
            </w:pPr>
          </w:p>
        </w:tc>
        <w:tc>
          <w:tcPr>
            <w:tcW w:w="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$543</w:t>
            </w:r>
          </w:p>
        </w:tc>
        <w:tc>
          <w:tcPr>
            <w:tcW w:w="11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2"/>
              </w:rPr>
              <w:t>325%</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$19</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$56</w:t>
            </w:r>
          </w:p>
        </w:tc>
        <w:tc>
          <w:tcPr>
            <w:tcW w:w="23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($37)   (66%)</w:t>
            </w:r>
          </w:p>
        </w:tc>
        <w:tc>
          <w:tcPr>
            <w:tcW w:w="640" w:type="dxa"/>
            <w:vAlign w:val="bottom"/>
          </w:tcPr>
          <w:p>
            <w:pPr>
              <w:spacing w:after="0"/>
              <w:rPr>
                <w:sz w:val="17"/>
                <w:szCs w:val="17"/>
                <w:color w:val="auto"/>
              </w:rPr>
            </w:pPr>
          </w:p>
        </w:tc>
      </w:tr>
      <w:tr>
        <w:trPr>
          <w:trHeight w:val="405"/>
        </w:trPr>
        <w:tc>
          <w:tcPr>
            <w:tcW w:w="2220" w:type="dxa"/>
            <w:vAlign w:val="bottom"/>
          </w:tcPr>
          <w:p>
            <w:pPr>
              <w:ind w:left="540"/>
              <w:spacing w:after="0"/>
              <w:rPr>
                <w:sz w:val="20"/>
                <w:szCs w:val="20"/>
                <w:color w:val="auto"/>
              </w:rPr>
            </w:pPr>
            <w:r>
              <w:rPr>
                <w:rFonts w:ascii="Courier New" w:cs="Courier New" w:eastAsia="Courier New" w:hAnsi="Courier New"/>
                <w:sz w:val="18"/>
                <w:szCs w:val="18"/>
                <w:color w:val="auto"/>
                <w:w w:val="96"/>
              </w:rPr>
              <w:t>The  improvement</w:t>
            </w:r>
          </w:p>
        </w:tc>
        <w:tc>
          <w:tcPr>
            <w:tcW w:w="7060" w:type="dxa"/>
            <w:vAlign w:val="bottom"/>
            <w:gridSpan w:val="8"/>
          </w:tcPr>
          <w:p>
            <w:pPr>
              <w:jc w:val="right"/>
              <w:ind w:right="752"/>
              <w:spacing w:after="0"/>
              <w:rPr>
                <w:sz w:val="20"/>
                <w:szCs w:val="20"/>
                <w:color w:val="auto"/>
              </w:rPr>
            </w:pPr>
            <w:r>
              <w:rPr>
                <w:rFonts w:ascii="Courier New" w:cs="Courier New" w:eastAsia="Courier New" w:hAnsi="Courier New"/>
                <w:sz w:val="18"/>
                <w:szCs w:val="18"/>
                <w:color w:val="auto"/>
              </w:rPr>
              <w:t>in operating  profit for the six months ended October 31,</w:t>
            </w:r>
          </w:p>
        </w:tc>
        <w:tc>
          <w:tcPr>
            <w:tcW w:w="640" w:type="dxa"/>
            <w:vAlign w:val="bottom"/>
          </w:tcPr>
          <w:p>
            <w:pPr>
              <w:spacing w:after="0"/>
              <w:rPr>
                <w:sz w:val="24"/>
                <w:szCs w:val="24"/>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2006,  compared  to the same</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period</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of fiscal</w:t>
            </w:r>
          </w:p>
        </w:tc>
        <w:tc>
          <w:tcPr>
            <w:tcW w:w="4120" w:type="dxa"/>
            <w:vAlign w:val="bottom"/>
            <w:gridSpan w:val="4"/>
          </w:tcPr>
          <w:p>
            <w:pPr>
              <w:jc w:val="right"/>
              <w:ind w:right="752"/>
              <w:spacing w:after="0" w:line="203" w:lineRule="exact"/>
              <w:rPr>
                <w:sz w:val="20"/>
                <w:szCs w:val="20"/>
                <w:color w:val="auto"/>
              </w:rPr>
            </w:pPr>
            <w:r>
              <w:rPr>
                <w:rFonts w:ascii="Courier New" w:cs="Courier New" w:eastAsia="Courier New" w:hAnsi="Courier New"/>
                <w:sz w:val="18"/>
                <w:szCs w:val="18"/>
                <w:color w:val="auto"/>
                <w:w w:val="97"/>
              </w:rPr>
              <w:t>year  2006 is due to  increased</w:t>
            </w:r>
          </w:p>
        </w:tc>
        <w:tc>
          <w:tcPr>
            <w:tcW w:w="64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revenues of $6.1 million</w:t>
            </w:r>
          </w:p>
        </w:tc>
        <w:tc>
          <w:tcPr>
            <w:tcW w:w="242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(27%).  The operating</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profit</w:t>
            </w:r>
          </w:p>
        </w:tc>
        <w:tc>
          <w:tcPr>
            <w:tcW w:w="338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w w:val="97"/>
              </w:rPr>
              <w:t>was reduced by increased</w:t>
            </w:r>
          </w:p>
        </w:tc>
        <w:tc>
          <w:tcPr>
            <w:tcW w:w="64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spending on research and</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development.</w:t>
            </w:r>
          </w:p>
        </w:tc>
        <w:tc>
          <w:tcPr>
            <w:tcW w:w="18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Such increased</w:t>
            </w:r>
          </w:p>
        </w:tc>
        <w:tc>
          <w:tcPr>
            <w:tcW w:w="338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w w:val="97"/>
              </w:rPr>
              <w:t>spending on research and</w:t>
            </w:r>
          </w:p>
        </w:tc>
        <w:tc>
          <w:tcPr>
            <w:tcW w:w="640" w:type="dxa"/>
            <w:vAlign w:val="bottom"/>
          </w:tcPr>
          <w:p>
            <w:pPr>
              <w:spacing w:after="0"/>
              <w:rPr>
                <w:sz w:val="17"/>
                <w:szCs w:val="17"/>
                <w:color w:val="auto"/>
              </w:rPr>
            </w:pPr>
          </w:p>
        </w:tc>
      </w:tr>
      <w:tr>
        <w:trPr>
          <w:trHeight w:val="203"/>
        </w:trPr>
        <w:tc>
          <w:tcPr>
            <w:tcW w:w="9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development is also the primary reason that operating profits were lower for the</w:t>
            </w:r>
          </w:p>
        </w:tc>
        <w:tc>
          <w:tcPr>
            <w:tcW w:w="64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three month  period ended</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October 31,</w:t>
            </w:r>
          </w:p>
        </w:tc>
        <w:tc>
          <w:tcPr>
            <w:tcW w:w="5260" w:type="dxa"/>
            <w:vAlign w:val="bottom"/>
            <w:gridSpan w:val="5"/>
          </w:tcPr>
          <w:p>
            <w:pPr>
              <w:jc w:val="right"/>
              <w:ind w:right="752"/>
              <w:spacing w:after="0" w:line="203" w:lineRule="exact"/>
              <w:rPr>
                <w:sz w:val="20"/>
                <w:szCs w:val="20"/>
                <w:color w:val="auto"/>
              </w:rPr>
            </w:pPr>
            <w:r>
              <w:rPr>
                <w:rFonts w:ascii="Courier New" w:cs="Courier New" w:eastAsia="Courier New" w:hAnsi="Courier New"/>
                <w:sz w:val="18"/>
                <w:szCs w:val="18"/>
                <w:color w:val="auto"/>
              </w:rPr>
              <w:t>2006,  compared to fiscal year 2006 even</w:t>
            </w:r>
          </w:p>
        </w:tc>
        <w:tc>
          <w:tcPr>
            <w:tcW w:w="640" w:type="dxa"/>
            <w:vAlign w:val="bottom"/>
          </w:tcPr>
          <w:p>
            <w:pPr>
              <w:spacing w:after="0"/>
              <w:rPr>
                <w:sz w:val="17"/>
                <w:szCs w:val="17"/>
                <w:color w:val="auto"/>
              </w:rPr>
            </w:pPr>
          </w:p>
        </w:tc>
      </w:tr>
      <w:tr>
        <w:trPr>
          <w:trHeight w:val="203"/>
        </w:trPr>
        <w:tc>
          <w:tcPr>
            <w:tcW w:w="696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though revenues were 25% higher in the fiscal year 2007 period.</w:t>
            </w: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2740" w:type="dxa"/>
            <w:vAlign w:val="bottom"/>
            <w:gridSpan w:val="2"/>
          </w:tcPr>
          <w:p>
            <w:pPr>
              <w:spacing w:after="0"/>
              <w:rPr>
                <w:sz w:val="20"/>
                <w:szCs w:val="20"/>
                <w:color w:val="auto"/>
              </w:rPr>
            </w:pPr>
            <w:r>
              <w:rPr>
                <w:rFonts w:ascii="Courier New" w:cs="Courier New" w:eastAsia="Courier New" w:hAnsi="Courier New"/>
                <w:sz w:val="18"/>
                <w:szCs w:val="18"/>
                <w:color w:val="auto"/>
              </w:rPr>
              <w:t>Other income (expense)</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608"/>
        </w:trPr>
        <w:tc>
          <w:tcPr>
            <w:tcW w:w="2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Six months</w:t>
            </w: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2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Three months</w:t>
            </w:r>
          </w:p>
        </w:tc>
        <w:tc>
          <w:tcPr>
            <w:tcW w:w="64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68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40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0" w:type="dxa"/>
            <w:vAlign w:val="bottom"/>
            <w:gridSpan w:val="4"/>
          </w:tcPr>
          <w:p>
            <w:pPr>
              <w:jc w:val="right"/>
              <w:ind w:right="952"/>
              <w:spacing w:after="0" w:line="203" w:lineRule="exact"/>
              <w:rPr>
                <w:sz w:val="20"/>
                <w:szCs w:val="20"/>
                <w:color w:val="auto"/>
              </w:rPr>
            </w:pPr>
            <w:r>
              <w:rPr>
                <w:rFonts w:ascii="Courier New" w:cs="Courier New" w:eastAsia="Courier New" w:hAnsi="Courier New"/>
                <w:sz w:val="18"/>
                <w:szCs w:val="18"/>
                <w:color w:val="auto"/>
              </w:rPr>
              <w:t>Periods ended October 31,</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2006</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c>
          <w:tcPr>
            <w:tcW w:w="18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Change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2006</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2005</w:t>
            </w:r>
          </w:p>
        </w:tc>
        <w:tc>
          <w:tcPr>
            <w:tcW w:w="17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Change</w:t>
            </w:r>
          </w:p>
        </w:tc>
      </w:tr>
      <w:tr>
        <w:trPr>
          <w:trHeight w:val="203"/>
        </w:trPr>
        <w:tc>
          <w:tcPr>
            <w:tcW w:w="22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Investment income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$579</w:t>
            </w:r>
          </w:p>
        </w:tc>
        <w:tc>
          <w:tcPr>
            <w:tcW w:w="42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$2,666</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($2,087)</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(78%)</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$280</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$1,341</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($1,061)</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(79%)</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Morion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229</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(57)</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767</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22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18" w:name="page19"/>
    <w:bookmarkEnd w:id="18"/>
    <w:p>
      <w:pPr>
        <w:ind w:left="1120"/>
        <w:spacing w:after="0"/>
        <w:tabs>
          <w:tab w:leader="none" w:pos="2060" w:val="left"/>
          <w:tab w:leader="none" w:pos="3100" w:val="left"/>
          <w:tab w:leader="none" w:pos="4160" w:val="left"/>
          <w:tab w:leader="none" w:pos="5100" w:val="left"/>
          <w:tab w:leader="none" w:pos="6060" w:val="left"/>
          <w:tab w:leader="none" w:pos="7120" w:val="left"/>
          <w:tab w:leader="none" w:pos="8160" w:val="left"/>
        </w:tabs>
        <w:rPr>
          <w:sz w:val="20"/>
          <w:szCs w:val="20"/>
          <w:color w:val="auto"/>
        </w:rPr>
      </w:pPr>
      <w:r>
        <w:rPr>
          <w:rFonts w:ascii="Courier New" w:cs="Courier New" w:eastAsia="Courier New" w:hAnsi="Courier New"/>
          <w:sz w:val="18"/>
          <w:szCs w:val="18"/>
          <w:color w:val="auto"/>
        </w:rPr>
        <w:t>$896</w:t>
      </w:r>
      <w:r>
        <w:rPr>
          <w:sz w:val="20"/>
          <w:szCs w:val="20"/>
          <w:color w:val="auto"/>
        </w:rPr>
        <w:tab/>
      </w:r>
      <w:r>
        <w:rPr>
          <w:rFonts w:ascii="Courier New" w:cs="Courier New" w:eastAsia="Courier New" w:hAnsi="Courier New"/>
          <w:sz w:val="18"/>
          <w:szCs w:val="18"/>
          <w:color w:val="auto"/>
        </w:rPr>
        <w:t>$3,603</w:t>
      </w:r>
      <w:r>
        <w:rPr>
          <w:sz w:val="20"/>
          <w:szCs w:val="20"/>
          <w:color w:val="auto"/>
        </w:rPr>
        <w:tab/>
      </w:r>
      <w:r>
        <w:rPr>
          <w:rFonts w:ascii="Courier New" w:cs="Courier New" w:eastAsia="Courier New" w:hAnsi="Courier New"/>
          <w:sz w:val="18"/>
          <w:szCs w:val="18"/>
          <w:color w:val="auto"/>
        </w:rPr>
        <w:t>($2,707)</w:t>
        <w:tab/>
        <w:t>(75%)</w:t>
      </w:r>
      <w:r>
        <w:rPr>
          <w:sz w:val="20"/>
          <w:szCs w:val="20"/>
          <w:color w:val="auto"/>
        </w:rPr>
        <w:tab/>
      </w:r>
      <w:r>
        <w:rPr>
          <w:rFonts w:ascii="Courier New" w:cs="Courier New" w:eastAsia="Courier New" w:hAnsi="Courier New"/>
          <w:sz w:val="18"/>
          <w:szCs w:val="18"/>
          <w:color w:val="auto"/>
        </w:rPr>
        <w:t>$349</w:t>
      </w:r>
      <w:r>
        <w:rPr>
          <w:sz w:val="20"/>
          <w:szCs w:val="20"/>
          <w:color w:val="auto"/>
        </w:rPr>
        <w:tab/>
      </w:r>
      <w:r>
        <w:rPr>
          <w:rFonts w:ascii="Courier New" w:cs="Courier New" w:eastAsia="Courier New" w:hAnsi="Courier New"/>
          <w:sz w:val="18"/>
          <w:szCs w:val="18"/>
          <w:color w:val="auto"/>
        </w:rPr>
        <w:t>$2,093</w:t>
      </w:r>
      <w:r>
        <w:rPr>
          <w:sz w:val="20"/>
          <w:szCs w:val="20"/>
          <w:color w:val="auto"/>
        </w:rPr>
        <w:tab/>
      </w:r>
      <w:r>
        <w:rPr>
          <w:rFonts w:ascii="Courier New" w:cs="Courier New" w:eastAsia="Courier New" w:hAnsi="Courier New"/>
          <w:sz w:val="18"/>
          <w:szCs w:val="18"/>
          <w:color w:val="auto"/>
        </w:rPr>
        <w:t>($1,744)</w:t>
        <w:tab/>
        <w:t>(83%)</w:t>
      </w:r>
    </w:p>
    <w:p>
      <w:pPr>
        <w:sectPr>
          <w:pgSz w:w="11900" w:h="16838" w:orient="portrait"/>
          <w:cols w:equalWidth="0" w:num="1">
            <w:col w:w="9019"/>
          </w:cols>
          <w:pgMar w:left="1440" w:top="136" w:right="1440" w:bottom="1440" w:gutter="0" w:footer="0" w:header="0"/>
        </w:sectPr>
      </w:pPr>
    </w:p>
    <w:bookmarkStart w:id="19" w:name="page20"/>
    <w:bookmarkEnd w:id="19"/>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decrease in investment income for the six and three months ended October 31, 2006, is due to realized gains of approximately $2.1 million and $1.1 million, respectively, recorded in the prior fiscal year periods on the sale of a portion of the shares of Reckson Associates Realty Corp. stock ("REIT"). Such shares were obtained during fiscal year 2005 upon the conversion of certain REIT units related to the Company's fiscal year 1998 sale and leaseback of its headquarters building. Similar gains were not recorded in the fiscal year 2007 periods.</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records equity income in Morion, Inc. based on its 36% ownership interest in Morion's outstanding shares. The fluctuation in equity income is due to higher profitability at Morion for the six months ended October 31, 2006 but lower profits recorded for the three months then ended as compared to the same periods of fiscal year 2006. Morion recorded higher revenues in each of the fiscal year 2007 periods than the prior year but higher costs in the second quarter of fiscal year 2007 reduced its profitability compared to the same period of fiscal year 2006.</w:t>
      </w:r>
    </w:p>
    <w:p>
      <w:pPr>
        <w:spacing w:after="0" w:line="212"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The increase in interest expense for the six month period ended October 31, 2006 resulted primarily from an increase in borrowings under the Company's line of credit during the first quarter of fiscal year 2007. The line was repaid in the second quarter thus reducing interest expense during the fiscal year 2007 quarter as compared to the three month period ended October 31, 2005.</w:t>
      </w:r>
    </w:p>
    <w:p>
      <w:pPr>
        <w:spacing w:after="0" w:line="18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Under the provisions of sale and leaseback accounting, a portion of the capital gain realized on the real estate transaction referred to above is deferred and recognized in income over the initial lease term. Under the caption "Other, income" the Company recognized deferred gain of $176,000 and $88,000 for the six and three months ended October 31, 2006 and 2005, respectively. Offsetting the gain in the fiscal year 2007 periods is realized foreign exchange losses at the Company's European subsidiary. In the second quarter of fiscal year 2006, the European subsidiary recorded a $680,000 gain on the sale of a building to the subsidiary's president. Other insignificant income and expense items are also recorded under this caption.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w:t>
      </w:r>
    </w:p>
    <w:p>
      <w:pPr>
        <w:spacing w:after="0" w:line="238" w:lineRule="auto"/>
        <w:rPr>
          <w:sz w:val="20"/>
          <w:szCs w:val="20"/>
          <w:color w:val="auto"/>
        </w:rPr>
      </w:pPr>
      <w:r>
        <w:rPr>
          <w:rFonts w:ascii="Courier New" w:cs="Courier New" w:eastAsia="Courier New" w:hAnsi="Courier New"/>
          <w:sz w:val="18"/>
          <w:szCs w:val="18"/>
          <w:color w:val="auto"/>
        </w:rPr>
        <w:t>- ----------</w:t>
      </w:r>
    </w:p>
    <w:p>
      <w:pPr>
        <w:ind w:left="2000"/>
        <w:spacing w:after="0"/>
        <w:tabs>
          <w:tab w:leader="none" w:pos="6000" w:val="left"/>
        </w:tabs>
        <w:rPr>
          <w:sz w:val="20"/>
          <w:szCs w:val="20"/>
          <w:color w:val="auto"/>
        </w:rPr>
      </w:pPr>
      <w:r>
        <w:rPr>
          <w:rFonts w:ascii="Courier New" w:cs="Courier New" w:eastAsia="Courier New" w:hAnsi="Courier New"/>
          <w:sz w:val="18"/>
          <w:szCs w:val="18"/>
          <w:color w:val="auto"/>
        </w:rPr>
        <w:t>Six months</w:t>
      </w:r>
      <w:r>
        <w:rPr>
          <w:sz w:val="20"/>
          <w:szCs w:val="20"/>
          <w:color w:val="auto"/>
        </w:rPr>
        <w:tab/>
      </w:r>
      <w:r>
        <w:rPr>
          <w:rFonts w:ascii="Courier New" w:cs="Courier New" w:eastAsia="Courier New" w:hAnsi="Courier New"/>
          <w:sz w:val="16"/>
          <w:szCs w:val="16"/>
          <w:color w:val="auto"/>
        </w:rPr>
        <w:t>Three months</w:t>
      </w:r>
    </w:p>
    <w:p>
      <w:pPr>
        <w:spacing w:after="0" w:line="3" w:lineRule="exact"/>
        <w:rPr>
          <w:sz w:val="20"/>
          <w:szCs w:val="20"/>
          <w:color w:val="auto"/>
        </w:rPr>
      </w:pPr>
    </w:p>
    <w:p>
      <w:pPr>
        <w:ind w:left="960"/>
        <w:spacing w:after="0"/>
        <w:tabs>
          <w:tab w:leader="none" w:pos="5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Periods ended October 31,</w:t>
      </w:r>
    </w:p>
    <w:p>
      <w:pPr>
        <w:ind w:left="1160"/>
        <w:spacing w:after="0"/>
        <w:tabs>
          <w:tab w:leader="none" w:pos="2200" w:val="left"/>
          <w:tab w:leader="none" w:pos="3460" w:val="left"/>
          <w:tab w:leader="none" w:pos="5140" w:val="left"/>
          <w:tab w:leader="none" w:pos="6200" w:val="left"/>
          <w:tab w:leader="none" w:pos="7360" w:val="left"/>
        </w:tabs>
        <w:rPr>
          <w:sz w:val="20"/>
          <w:szCs w:val="20"/>
          <w:color w:val="auto"/>
        </w:rPr>
      </w:pP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Change</w:t>
      </w:r>
      <w:r>
        <w:rPr>
          <w:sz w:val="20"/>
          <w:szCs w:val="20"/>
          <w:color w:val="auto"/>
        </w:rPr>
        <w:tab/>
      </w:r>
      <w:r>
        <w:rPr>
          <w:rFonts w:ascii="Courier New" w:cs="Courier New" w:eastAsia="Courier New" w:hAnsi="Courier New"/>
          <w:sz w:val="18"/>
          <w:szCs w:val="18"/>
          <w:color w:val="auto"/>
        </w:rPr>
        <w:t>2006</w:t>
      </w:r>
      <w:r>
        <w:rPr>
          <w:sz w:val="20"/>
          <w:szCs w:val="20"/>
          <w:color w:val="auto"/>
        </w:rPr>
        <w:tab/>
      </w: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6"/>
          <w:szCs w:val="16"/>
          <w:color w:val="auto"/>
        </w:rPr>
        <w:t>Change</w:t>
      </w:r>
    </w:p>
    <w:p>
      <w:pPr>
        <w:ind w:left="1160"/>
        <w:spacing w:after="0"/>
        <w:tabs>
          <w:tab w:leader="none" w:pos="2200" w:val="left"/>
          <w:tab w:leader="none" w:pos="2940" w:val="left"/>
          <w:tab w:leader="none" w:pos="5140" w:val="left"/>
          <w:tab w:leader="none" w:pos="6200" w:val="left"/>
          <w:tab w:leader="none" w:pos="6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960"/>
        <w:spacing w:after="0" w:line="237" w:lineRule="auto"/>
        <w:tabs>
          <w:tab w:leader="none" w:pos="1980" w:val="left"/>
          <w:tab w:leader="none" w:pos="2940" w:val="left"/>
          <w:tab w:leader="none" w:pos="4100" w:val="left"/>
          <w:tab w:leader="none" w:pos="5140" w:val="left"/>
          <w:tab w:leader="none" w:pos="6000" w:val="left"/>
          <w:tab w:leader="none" w:pos="6840" w:val="left"/>
          <w:tab w:leader="none" w:pos="7880" w:val="left"/>
        </w:tabs>
        <w:rPr>
          <w:sz w:val="20"/>
          <w:szCs w:val="20"/>
          <w:color w:val="auto"/>
        </w:rPr>
      </w:pPr>
      <w:r>
        <w:rPr>
          <w:rFonts w:ascii="Courier New" w:cs="Courier New" w:eastAsia="Courier New" w:hAnsi="Courier New"/>
          <w:sz w:val="18"/>
          <w:szCs w:val="18"/>
          <w:color w:val="auto"/>
        </w:rPr>
        <w:t>$1,085</w:t>
      </w:r>
      <w:r>
        <w:rPr>
          <w:sz w:val="20"/>
          <w:szCs w:val="20"/>
          <w:color w:val="auto"/>
        </w:rPr>
        <w:tab/>
      </w:r>
      <w:r>
        <w:rPr>
          <w:rFonts w:ascii="Courier New" w:cs="Courier New" w:eastAsia="Courier New" w:hAnsi="Courier New"/>
          <w:sz w:val="18"/>
          <w:szCs w:val="18"/>
          <w:color w:val="auto"/>
        </w:rPr>
        <w:t>$2,474</w:t>
      </w:r>
      <w:r>
        <w:rPr>
          <w:sz w:val="20"/>
          <w:szCs w:val="20"/>
          <w:color w:val="auto"/>
        </w:rPr>
        <w:tab/>
      </w:r>
      <w:r>
        <w:rPr>
          <w:rFonts w:ascii="Courier New" w:cs="Courier New" w:eastAsia="Courier New" w:hAnsi="Courier New"/>
          <w:sz w:val="18"/>
          <w:szCs w:val="18"/>
          <w:color w:val="auto"/>
        </w:rPr>
        <w:t>($1,389)</w:t>
      </w:r>
      <w:r>
        <w:rPr>
          <w:sz w:val="20"/>
          <w:szCs w:val="20"/>
          <w:color w:val="auto"/>
        </w:rPr>
        <w:tab/>
      </w: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8"/>
          <w:szCs w:val="18"/>
          <w:color w:val="auto"/>
        </w:rPr>
        <w:t>$187</w:t>
      </w:r>
      <w:r>
        <w:rPr>
          <w:sz w:val="20"/>
          <w:szCs w:val="20"/>
          <w:color w:val="auto"/>
        </w:rPr>
        <w:tab/>
      </w:r>
      <w:r>
        <w:rPr>
          <w:rFonts w:ascii="Courier New" w:cs="Courier New" w:eastAsia="Courier New" w:hAnsi="Courier New"/>
          <w:sz w:val="18"/>
          <w:szCs w:val="18"/>
          <w:color w:val="auto"/>
        </w:rPr>
        <w:t>$1,332</w:t>
        <w:tab/>
        <w:t>($1,145)</w:t>
        <w:tab/>
        <w:t>(86%)</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Net income for the six and three months ended October 31, 2006, was lower than that realized in the same periods of fiscal year 2006 primarily as the result of gains recognized in the prior year. As indicated above, the Company recognized gains of $2.1 million and $1.1 million, respectively, on the sale of certain marketable securities during the six and three months ended October 31, 2005 and, in the three month period then ended, recorded a gain of $680,000 on the sale of a subsidiary's building. Excluding the effects of those gains, net income for the six months ended October 31, 2006, was higher than the same period of fiscal year 2006 largely on the basis of the 27% increase in revenues. For the three month period ended October 31, 2006, net income was approximately the same as the prior year period exclusive of the gains. Although revenues were 25% higher in the fiscal year 2007 three month period, increased investment in research and development reduced profitability compared to the same period of fiscal year 2006.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Company is subject to taxation in several countries as well as the states of New York and California. The statutory federal rates vary from 34% in the United States to 35% in Europe. The effective rate is impacted by the income or loss of certain of the Company's European and Asian subsidiaries which are currently not taxed. In addition, the Company utilizes the availability of research and development tax credits in the United States to lower its tax rate. The Company's European subsidiaries have available net operating loss carryforwards of approximately $2.4 million to offset future taxable income.</w:t>
      </w:r>
    </w:p>
    <w:p>
      <w:pPr>
        <w:sectPr>
          <w:pgSz w:w="11900" w:h="16838" w:orient="portrait"/>
          <w:cols w:equalWidth="0" w:num="1">
            <w:col w:w="10219"/>
          </w:cols>
          <w:pgMar w:left="240" w:top="919" w:right="1440" w:bottom="543" w:gutter="0" w:footer="0" w:header="0"/>
        </w:sectPr>
      </w:pPr>
    </w:p>
    <w:bookmarkStart w:id="20" w:name="page21"/>
    <w:bookmarkEnd w:id="20"/>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balance sheet continues to reflect a strong working capital position of $61 million at October 31, 2006, which is comparable to working capital at April 30, 2006. Included in working capital at October 31, 2006 is $23.8 million of cash, cash equivalents and marketable securities. The Company's current ratio at October 31, 2006 is 9.7 to 1.</w:t>
      </w:r>
    </w:p>
    <w:p>
      <w:pPr>
        <w:spacing w:after="0" w:line="209"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For the six months ended October 31, 2006, the Company generated $707,000 in cash from operating activities compared to $1.9 million used by operations in the comparable fiscal year 2006 period. The most significant use of cash in the fiscal year 2007 period was for the acquisition of additional parts inventory to support large programs currently in process and expected to be booked in the near future. Cash was generated by the collection of accounts receivable as well as by an increase in accounts payable. In the six month period ended October 31, 2005, the significant decrease in operating cash flow was due primarily to the payment of income taxes related to the investment gains realized in the previous fiscal year as well as increases in the value of the Company's accounts receivable and inventory. For the full fiscal year 2007, the Company expects to generate positive cash flow from operating activities, particularly as billing milestones are achieved on certain of its large production contracts.</w:t>
      </w:r>
    </w:p>
    <w:p>
      <w:pPr>
        <w:spacing w:after="0" w:line="389"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Net cash provided by investing activities for the six months ended October 31, 2006, was $2.2 million compared to $2.7 million for the same period of fiscal year 2006. The principal source of cash in the fiscal year 2007 period was the sale or redemption of certain marketable securities, net of purchases, aggregating $3.2 million. In the same period of the prior year, $3.8 million was recognized on the net sales of marketable securities, including REIT units as described above in the Results of Operations section. During the six months ended October 31, 2006 and 2005, the Company also acquired capital equipment for approximately $1.0 million and $933,000, respectively. The Company may continue to acquire or sell marketable securities as dictated by its investment strategies as well as by the cash requirements for its development activities. Capital equipment purchases for all of fiscal year 2007 are expected to aggregate approximately $2.5 million. Internally generated cash is adequate to acquire this level of capital equipment.</w:t>
      </w:r>
    </w:p>
    <w:p>
      <w:pPr>
        <w:spacing w:after="0" w:line="38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Net cash used in financing activities for the six months ended October 31, 2006, was $795,000 compared to $852,000 during the comparable fiscal year 2006 period. Included in both fiscal periods is payment of the Company's semiannual dividend in the amount of $857,000 and $852,000, respectively. During the three months ended July 31, 2006, the Company borrowed $1.6 million under its line of credit to fund current operations rather than liquidating additional marketable securities. Such borrowings were repaid early in the second quarter of fiscal year 2007.</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During the quarter ended October 31, 2006, the Company did not acquire any shares of its stock under this authorization.</w:t>
      </w:r>
    </w:p>
    <w:p>
      <w:pPr>
        <w:spacing w:after="0" w:line="210"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Company will continue to expend resources to develop and improve products for wireless and wireline communication systems which management believes will result in future growth and continued profitability. During fiscal year 2007, the Company has made and intends to make a substantial investment of capital and technical resources to develop new products to meet the needs of the U.S. Government, commercial space and commercial communications marketplaces and to invest in more efficient product designs and manufacturing procedures. Where possible, the Company will secure partial customer funding for such development efforts but is targeting to spend its own funds at a rate of at least 10% of revenues to achieve its development goals. Internally generated cash will be adequate to fund these development efforts.</w:t>
      </w:r>
    </w:p>
    <w:p>
      <w:pPr>
        <w:spacing w:after="0" w:line="39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At October 31, 2006, the Company's backlog amounted to approximately $37 million compared to $36 million at April 30, 2006. Of this backlog, approximately 80% is realizable in the next twelve months.</w:t>
      </w:r>
    </w:p>
    <w:p>
      <w:pPr>
        <w:sectPr>
          <w:pgSz w:w="11900" w:h="16838" w:orient="portrait"/>
          <w:cols w:equalWidth="0" w:num="1">
            <w:col w:w="10219"/>
          </w:cols>
          <w:pgMar w:left="240" w:top="919" w:right="1440" w:bottom="971" w:gutter="0" w:footer="0" w:header="0"/>
        </w:sectPr>
      </w:pPr>
    </w:p>
    <w:bookmarkStart w:id="21" w:name="page22"/>
    <w:bookmarkEnd w:id="21"/>
    <w:p>
      <w:pPr>
        <w:jc w:val="center"/>
        <w:ind w:right="2100"/>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2000"/>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Off-Balance Sheet Arrangements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100" w:firstLine="527"/>
        <w:spacing w:after="0" w:line="237" w:lineRule="auto"/>
        <w:rPr>
          <w:sz w:val="20"/>
          <w:szCs w:val="20"/>
          <w:color w:val="auto"/>
        </w:rPr>
      </w:pPr>
      <w:r>
        <w:rPr>
          <w:rFonts w:ascii="Courier New" w:cs="Courier New" w:eastAsia="Courier New" w:hAnsi="Courier New"/>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Contractual obligations</w:t>
      </w:r>
    </w:p>
    <w:p>
      <w:pPr>
        <w:ind w:left="6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220" w:type="dxa"/>
        <w:tblCellMar>
          <w:top w:w="0" w:type="dxa"/>
          <w:left w:w="0" w:type="dxa"/>
          <w:bottom w:w="0" w:type="dxa"/>
          <w:right w:w="0" w:type="dxa"/>
        </w:tblCellMar>
      </w:tblPr>
      <w:tr>
        <w:trPr>
          <w:trHeight w:val="203"/>
        </w:trPr>
        <w:tc>
          <w:tcPr>
            <w:tcW w:w="4840" w:type="dxa"/>
            <w:vAlign w:val="bottom"/>
            <w:gridSpan w:val="2"/>
          </w:tcPr>
          <w:p>
            <w:pPr>
              <w:jc w:val="right"/>
              <w:ind w:right="1172"/>
              <w:spacing w:after="0"/>
              <w:rPr>
                <w:sz w:val="20"/>
                <w:szCs w:val="20"/>
                <w:color w:val="auto"/>
              </w:rPr>
            </w:pPr>
            <w:r>
              <w:rPr>
                <w:rFonts w:ascii="Courier New" w:cs="Courier New" w:eastAsia="Courier New" w:hAnsi="Courier New"/>
                <w:sz w:val="18"/>
                <w:szCs w:val="18"/>
                <w:color w:val="auto"/>
              </w:rPr>
              <w:t>As of October 31, 2006</w:t>
            </w:r>
          </w:p>
        </w:tc>
        <w:tc>
          <w:tcPr>
            <w:tcW w:w="1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10"/>
        </w:trPr>
        <w:tc>
          <w:tcPr>
            <w:tcW w:w="3100" w:type="dxa"/>
            <w:vAlign w:val="bottom"/>
          </w:tcPr>
          <w:p>
            <w:pPr>
              <w:spacing w:after="0"/>
              <w:rPr>
                <w:sz w:val="24"/>
                <w:szCs w:val="24"/>
                <w:color w:val="auto"/>
              </w:rPr>
            </w:pP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Total</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Less than</w:t>
            </w: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4"/>
              </w:rPr>
              <w:t>More than</w:t>
            </w:r>
          </w:p>
        </w:tc>
      </w:tr>
      <w:tr>
        <w:trPr>
          <w:trHeight w:val="203"/>
        </w:trPr>
        <w:tc>
          <w:tcPr>
            <w:tcW w:w="3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Contractual Obligations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 thousands)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 Year</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 to 3 Years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 to</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 Years</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00" w:type="dxa"/>
            <w:vAlign w:val="bottom"/>
          </w:tcPr>
          <w:p>
            <w:pPr>
              <w:spacing w:after="0"/>
              <w:rPr>
                <w:sz w:val="20"/>
                <w:szCs w:val="20"/>
                <w:color w:val="auto"/>
              </w:rPr>
            </w:pPr>
            <w:r>
              <w:rPr>
                <w:rFonts w:ascii="Courier New" w:cs="Courier New" w:eastAsia="Courier New" w:hAnsi="Courier New"/>
                <w:sz w:val="18"/>
                <w:szCs w:val="18"/>
                <w:color w:val="auto"/>
              </w:rPr>
              <w:t>Operating Lease Obligations</w:t>
            </w:r>
          </w:p>
        </w:tc>
        <w:tc>
          <w:tcPr>
            <w:tcW w:w="17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$1,264</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$ 584</w:t>
            </w:r>
          </w:p>
        </w:tc>
        <w:tc>
          <w:tcPr>
            <w:tcW w:w="15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$ 572</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72</w:t>
            </w:r>
          </w:p>
        </w:tc>
        <w:tc>
          <w:tcPr>
            <w:tcW w:w="360" w:type="dxa"/>
            <w:vAlign w:val="bottom"/>
          </w:tcPr>
          <w:p>
            <w:pPr>
              <w:ind w:left="260"/>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8,375*</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317</w:t>
            </w:r>
          </w:p>
        </w:tc>
        <w:tc>
          <w:tcPr>
            <w:tcW w:w="1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332</w:t>
            </w:r>
          </w:p>
        </w:tc>
        <w:tc>
          <w:tcPr>
            <w:tcW w:w="620" w:type="dxa"/>
            <w:vAlign w:val="bottom"/>
          </w:tcPr>
          <w:p>
            <w:pPr>
              <w:spacing w:after="0"/>
              <w:rPr>
                <w:sz w:val="17"/>
                <w:szCs w:val="17"/>
                <w:color w:val="auto"/>
              </w:rPr>
            </w:pPr>
          </w:p>
        </w:tc>
        <w:tc>
          <w:tcPr>
            <w:tcW w:w="9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191</w:t>
            </w:r>
          </w:p>
        </w:tc>
        <w:tc>
          <w:tcPr>
            <w:tcW w:w="3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7,535</w:t>
            </w:r>
          </w:p>
        </w:tc>
      </w:tr>
      <w:tr>
        <w:trPr>
          <w:trHeight w:val="203"/>
        </w:trPr>
        <w:tc>
          <w:tcPr>
            <w:tcW w:w="3100" w:type="dxa"/>
            <w:vAlign w:val="bottom"/>
          </w:tcPr>
          <w:p>
            <w:pPr>
              <w:spacing w:after="0"/>
              <w:rPr>
                <w:sz w:val="17"/>
                <w:szCs w:val="17"/>
                <w:color w:val="auto"/>
              </w:rPr>
            </w:pP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$9,639</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$ 901</w:t>
            </w:r>
          </w:p>
        </w:tc>
        <w:tc>
          <w:tcPr>
            <w:tcW w:w="1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$ 904</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263</w:t>
            </w:r>
          </w:p>
        </w:tc>
        <w:tc>
          <w:tcPr>
            <w:tcW w:w="11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$7,571</w:t>
            </w:r>
          </w:p>
        </w:tc>
      </w:tr>
      <w:tr>
        <w:trPr>
          <w:trHeight w:val="203"/>
        </w:trPr>
        <w:tc>
          <w:tcPr>
            <w:tcW w:w="3100" w:type="dxa"/>
            <w:vAlign w:val="bottom"/>
          </w:tcPr>
          <w:p>
            <w:pPr>
              <w:spacing w:after="0"/>
              <w:rPr>
                <w:sz w:val="17"/>
                <w:szCs w:val="17"/>
                <w:color w:val="auto"/>
              </w:rPr>
            </w:pP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100" w:firstLine="527"/>
        <w:spacing w:after="0" w:line="237" w:lineRule="auto"/>
        <w:rPr>
          <w:sz w:val="20"/>
          <w:szCs w:val="20"/>
          <w:color w:val="auto"/>
        </w:rPr>
      </w:pPr>
      <w:r>
        <w:rPr>
          <w:rFonts w:ascii="Courier New" w:cs="Courier New" w:eastAsia="Courier New" w:hAnsi="Courier New"/>
          <w:sz w:val="18"/>
          <w:szCs w:val="18"/>
          <w:color w:val="auto"/>
        </w:rPr>
        <w:t>*Deferred Compensation liability reflects payments due to current retirees receiving benefits. The amount of $7,535 in the more than 5 years column includes benefits due to participants in the plan who are not yet receiving benefits although some participants may opt to retire and begin receiving benefits within the next 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t>
      </w:r>
    </w:p>
    <w:p>
      <w:pPr>
        <w:ind w:left="3900"/>
        <w:spacing w:after="0" w:line="238" w:lineRule="auto"/>
        <w:rPr>
          <w:sz w:val="20"/>
          <w:szCs w:val="20"/>
          <w:color w:val="auto"/>
        </w:rPr>
      </w:pPr>
      <w:r>
        <w:rPr>
          <w:rFonts w:ascii="Courier New" w:cs="Courier New" w:eastAsia="Courier New" w:hAnsi="Courier New"/>
          <w:sz w:val="18"/>
          <w:szCs w:val="18"/>
          <w:color w:val="auto"/>
        </w:rPr>
        <w:t>Item 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w:t>
      </w:r>
    </w:p>
    <w:p>
      <w:pPr>
        <w:spacing w:after="0" w:line="207" w:lineRule="exact"/>
        <w:rPr>
          <w:sz w:val="20"/>
          <w:szCs w:val="20"/>
          <w:color w:val="auto"/>
        </w:rPr>
      </w:pPr>
    </w:p>
    <w:p>
      <w:pPr>
        <w:jc w:val="both"/>
        <w:ind w:right="2100" w:firstLine="527"/>
        <w:spacing w:after="0" w:line="238" w:lineRule="auto"/>
        <w:rPr>
          <w:sz w:val="20"/>
          <w:szCs w:val="20"/>
          <w:color w:val="auto"/>
        </w:rPr>
      </w:pPr>
      <w:r>
        <w:rPr>
          <w:rFonts w:ascii="Courier New" w:cs="Courier New" w:eastAsia="Courier New" w:hAnsi="Courier New"/>
          <w:sz w:val="18"/>
          <w:szCs w:val="18"/>
          <w:color w:val="auto"/>
        </w:rPr>
        <w:t>The Company is exposed to market risk related to changes in interest rates and market values of securities. The Company's investments in fixed income and equity securities were approximately $19.0 million and $87,000, respectively, at October 31, 2006. The investments are carried at fair value with changes in unrealized gains and losses recorded as adjustments to stockholders' equity. The fair value of investments in marketable securities is generally based on quoted market prices. Typically, the fair market value of investments in fixed interest rate debt securities will increase as interest rates fall and decrease as interest rates rise. Based on the Company's overall interest rate exposure at October 31, 2006, a 10% change in market interest rates would not have a material effect on the fair value of the Company's fixed income securities or 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Risk</w:t>
      </w:r>
    </w:p>
    <w:p>
      <w:pPr>
        <w:spacing w:after="0" w:line="207" w:lineRule="exact"/>
        <w:rPr>
          <w:sz w:val="20"/>
          <w:szCs w:val="20"/>
          <w:color w:val="auto"/>
        </w:rPr>
      </w:pPr>
    </w:p>
    <w:p>
      <w:pPr>
        <w:jc w:val="both"/>
        <w:ind w:right="2100" w:firstLine="527"/>
        <w:spacing w:after="0" w:line="271" w:lineRule="auto"/>
        <w:rPr>
          <w:sz w:val="20"/>
          <w:szCs w:val="20"/>
          <w:color w:val="auto"/>
        </w:rPr>
      </w:pPr>
      <w:r>
        <w:rPr>
          <w:rFonts w:ascii="Courier New" w:cs="Courier New" w:eastAsia="Courier New" w:hAnsi="Courier New"/>
          <w:sz w:val="16"/>
          <w:szCs w:val="16"/>
          <w:color w:val="auto"/>
        </w:rPr>
        <w:t>The Company is subject to foreign currency translation risk. The Company does not have any near-term intentions to repatriate invested cash in any of its foreign-based subsidiaries. For this reason, the Company does not intend to initiate any exchange rate hedging strategies which could be used to mitigate the effects of foreign currency fluctuations. The effects of foreign currency rate fluctuations will be recorded in the equity section of the balance sheet as a component of other comprehensive income. As of October 31, 2006, the amount related to foreign currency exchange rates is a $3,333,000 unrealized gain.</w:t>
      </w:r>
    </w:p>
    <w:p>
      <w:pPr>
        <w:spacing w:after="0" w:line="186" w:lineRule="exact"/>
        <w:rPr>
          <w:sz w:val="20"/>
          <w:szCs w:val="20"/>
          <w:color w:val="auto"/>
        </w:rPr>
      </w:pPr>
    </w:p>
    <w:p>
      <w:pPr>
        <w:jc w:val="both"/>
        <w:ind w:right="2100" w:firstLine="527"/>
        <w:spacing w:after="0" w:line="237" w:lineRule="auto"/>
        <w:rPr>
          <w:sz w:val="20"/>
          <w:szCs w:val="20"/>
          <w:color w:val="auto"/>
        </w:rPr>
      </w:pPr>
      <w:r>
        <w:rPr>
          <w:rFonts w:ascii="Courier New" w:cs="Courier New" w:eastAsia="Courier New" w:hAnsi="Courier New"/>
          <w:sz w:val="18"/>
          <w:szCs w:val="18"/>
          <w:color w:val="auto"/>
        </w:rPr>
        <w:t>The results of operations of foreign subsidiaries, when translated into US dollars, will reflect the average rates of exchange for the periods presented. As a result, similar results of operations measured in local currencies can vary significantly upon translation into US dollars if exchange rates fluctuate significantly from one period to the next.</w:t>
      </w:r>
    </w:p>
    <w:p>
      <w:pPr>
        <w:sectPr>
          <w:pgSz w:w="11900" w:h="16838" w:orient="portrait"/>
          <w:cols w:equalWidth="0" w:num="1">
            <w:col w:w="10540"/>
          </w:cols>
          <w:pgMar w:left="240" w:top="919" w:right="1119" w:bottom="566" w:gutter="0" w:footer="0" w:header="0"/>
        </w:sectPr>
      </w:pPr>
    </w:p>
    <w:bookmarkStart w:id="22" w:name="page23"/>
    <w:bookmarkEnd w:id="22"/>
    <w:p>
      <w:pPr>
        <w:jc w:val="center"/>
        <w:ind w:right="1779"/>
        <w:spacing w:after="0"/>
        <w:rPr>
          <w:sz w:val="20"/>
          <w:szCs w:val="20"/>
          <w:color w:val="auto"/>
        </w:rPr>
      </w:pPr>
      <w:r>
        <w:rPr>
          <w:rFonts w:ascii="Courier New" w:cs="Courier New" w:eastAsia="Courier New" w:hAnsi="Courier New"/>
          <w:sz w:val="18"/>
          <w:szCs w:val="18"/>
          <w:color w:val="auto"/>
        </w:rPr>
        <w:t>FREQUENCY ELECTRONICS,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Controls and Procedures</w:t>
      </w:r>
    </w:p>
    <w:p>
      <w:pPr>
        <w:spacing w:after="0" w:line="202" w:lineRule="exact"/>
        <w:rPr>
          <w:sz w:val="20"/>
          <w:szCs w:val="20"/>
          <w:color w:val="auto"/>
        </w:rPr>
      </w:pPr>
    </w:p>
    <w:p>
      <w:pPr>
        <w:ind w:left="540"/>
        <w:spacing w:after="0"/>
        <w:tabs>
          <w:tab w:leader="none" w:pos="1780" w:val="left"/>
          <w:tab w:leader="none" w:pos="3260" w:val="left"/>
        </w:tabs>
        <w:rPr>
          <w:sz w:val="20"/>
          <w:szCs w:val="20"/>
          <w:color w:val="auto"/>
        </w:rPr>
      </w:pPr>
      <w:r>
        <w:rPr>
          <w:rFonts w:ascii="Courier New" w:cs="Courier New" w:eastAsia="Courier New" w:hAnsi="Courier New"/>
          <w:sz w:val="18"/>
          <w:szCs w:val="18"/>
          <w:color w:val="auto"/>
        </w:rPr>
        <w:t>Disclosure</w:t>
        <w:tab/>
        <w:t>Controls and</w:t>
      </w:r>
      <w:r>
        <w:rPr>
          <w:sz w:val="20"/>
          <w:szCs w:val="20"/>
          <w:color w:val="auto"/>
        </w:rPr>
        <w:tab/>
      </w:r>
      <w:r>
        <w:rPr>
          <w:rFonts w:ascii="Courier New" w:cs="Courier New" w:eastAsia="Courier New" w:hAnsi="Courier New"/>
          <w:sz w:val="16"/>
          <w:szCs w:val="16"/>
          <w:color w:val="auto"/>
        </w:rPr>
        <w:t>Procedures.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 to ensure that information required to be disclosed by the Company in the reports that it files or submits under the Exchange Act is recorded, processed, summarized and reported, within the time periods specified in the SEC's rules and forms and</w:t>
      </w:r>
    </w:p>
    <w:p>
      <w:pPr>
        <w:spacing w:after="0" w:line="13" w:lineRule="exact"/>
        <w:rPr>
          <w:sz w:val="20"/>
          <w:szCs w:val="20"/>
          <w:color w:val="auto"/>
        </w:rPr>
      </w:pPr>
    </w:p>
    <w:p>
      <w:pPr>
        <w:jc w:val="both"/>
        <w:ind w:right="1779" w:firstLine="8"/>
        <w:spacing w:after="0" w:line="237"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ensure that information required to be disclosed by the Company in the reports that it submits under the Exchange Act is accumulated and communicated to its management, including the Company's principal executive and principal financial officers, or persons performing similar functions, as appropriate, to allow timely decisions regarding required disclosure.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Internal Control Over Financial Reporting.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There have not been any changes in the Company's internal control over financial reporting (as such term is defined in Rules 13a-15(f) and 15d-15(f) under the Exchange Act) during the period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1, 1A, 2, 3 and 5 are omitted because they are 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On September 27, 2006, at the Annual Meeting of Stockholders, the following matters were approved by the shareholders of the Company:</w:t>
      </w:r>
    </w:p>
    <w:p>
      <w:pPr>
        <w:spacing w:after="0" w:line="203"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the following six directors:</w:t>
      </w:r>
    </w:p>
    <w:p>
      <w:pPr>
        <w:spacing w:after="0" w:line="20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2380" w:type="dxa"/>
            <w:vAlign w:val="bottom"/>
          </w:tcPr>
          <w:p>
            <w:pPr>
              <w:ind w:left="320"/>
              <w:spacing w:after="0"/>
              <w:rPr>
                <w:sz w:val="20"/>
                <w:szCs w:val="20"/>
                <w:color w:val="auto"/>
              </w:rPr>
            </w:pPr>
            <w:r>
              <w:rPr>
                <w:rFonts w:ascii="Courier New" w:cs="Courier New" w:eastAsia="Courier New" w:hAnsi="Courier New"/>
                <w:sz w:val="18"/>
                <w:szCs w:val="18"/>
                <w:color w:val="auto"/>
              </w:rPr>
              <w:t>DIRECTOR</w:t>
            </w:r>
          </w:p>
        </w:tc>
        <w:tc>
          <w:tcPr>
            <w:tcW w:w="1480" w:type="dxa"/>
            <w:vAlign w:val="bottom"/>
          </w:tcPr>
          <w:p>
            <w:pPr>
              <w:ind w:left="580"/>
              <w:spacing w:after="0"/>
              <w:rPr>
                <w:sz w:val="20"/>
                <w:szCs w:val="20"/>
                <w:color w:val="auto"/>
              </w:rPr>
            </w:pPr>
            <w:r>
              <w:rPr>
                <w:rFonts w:ascii="Courier New" w:cs="Courier New" w:eastAsia="Courier New" w:hAnsi="Courier New"/>
                <w:sz w:val="18"/>
                <w:szCs w:val="18"/>
                <w:color w:val="auto"/>
              </w:rPr>
              <w:t>FOR</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WITHHELD</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BROKER NON-VOTES</w:t>
            </w: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P. Franklin</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6,524,723</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1,278,834</w:t>
            </w: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Martin B. Bloch</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6,550,769</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1,252,788</w:t>
            </w: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Joel Girsky</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6,551,396</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1,252,161</w:t>
            </w: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E. Donald Shapiro</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7,704,510</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99,047</w:t>
            </w: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 Robert Foley, Jr.</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7,706,609</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96,948</w:t>
            </w: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Schwartz</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7,605,235</w:t>
            </w:r>
          </w:p>
        </w:tc>
        <w:tc>
          <w:tcPr>
            <w:tcW w:w="16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198,322</w:t>
            </w:r>
          </w:p>
        </w:tc>
        <w:tc>
          <w:tcPr>
            <w:tcW w:w="2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jc w:val="both"/>
        <w:ind w:left="1060" w:right="1779" w:hanging="525"/>
        <w:spacing w:after="0" w:line="236"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the appointment of Holtz Rubenstein Reminick LLP as independent auditors for fiscal year 2007. The results of the voting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jc w:val="center"/>
              <w:ind w:left="612"/>
              <w:spacing w:after="0"/>
              <w:rPr>
                <w:sz w:val="20"/>
                <w:szCs w:val="20"/>
                <w:color w:val="auto"/>
              </w:rPr>
            </w:pPr>
            <w:r>
              <w:rPr>
                <w:rFonts w:ascii="Courier New" w:cs="Courier New" w:eastAsia="Courier New" w:hAnsi="Courier New"/>
                <w:sz w:val="18"/>
                <w:szCs w:val="18"/>
                <w:color w:val="auto"/>
                <w:w w:val="98"/>
              </w:rPr>
              <w:t>FOR</w:t>
            </w:r>
          </w:p>
        </w:tc>
        <w:tc>
          <w:tcPr>
            <w:tcW w:w="1700" w:type="dxa"/>
            <w:vAlign w:val="bottom"/>
          </w:tcPr>
          <w:p>
            <w:pPr>
              <w:ind w:left="480"/>
              <w:spacing w:after="0"/>
              <w:rPr>
                <w:sz w:val="20"/>
                <w:szCs w:val="20"/>
                <w:color w:val="auto"/>
              </w:rPr>
            </w:pPr>
            <w:r>
              <w:rPr>
                <w:rFonts w:ascii="Courier New" w:cs="Courier New" w:eastAsia="Courier New" w:hAnsi="Courier New"/>
                <w:sz w:val="18"/>
                <w:szCs w:val="18"/>
                <w:color w:val="auto"/>
              </w:rPr>
              <w:t>AGAINST</w:t>
            </w:r>
          </w:p>
        </w:tc>
        <w:tc>
          <w:tcPr>
            <w:tcW w:w="16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ABSTAIN</w:t>
            </w:r>
          </w:p>
        </w:tc>
        <w:tc>
          <w:tcPr>
            <w:tcW w:w="2120" w:type="dxa"/>
            <w:vAlign w:val="bottom"/>
          </w:tcPr>
          <w:p>
            <w:pPr>
              <w:ind w:left="420"/>
              <w:spacing w:after="0"/>
              <w:rPr>
                <w:sz w:val="20"/>
                <w:szCs w:val="20"/>
                <w:color w:val="auto"/>
              </w:rPr>
            </w:pPr>
            <w:r>
              <w:rPr>
                <w:rFonts w:ascii="Courier New" w:cs="Courier New" w:eastAsia="Courier New" w:hAnsi="Courier New"/>
                <w:sz w:val="18"/>
                <w:szCs w:val="18"/>
                <w:color w:val="auto"/>
                <w:w w:val="97"/>
              </w:rPr>
              <w:t>BROKER NON-VOTES</w:t>
            </w:r>
          </w:p>
        </w:tc>
      </w:tr>
      <w:tr>
        <w:trPr>
          <w:trHeight w:val="203"/>
        </w:trPr>
        <w:tc>
          <w:tcPr>
            <w:tcW w:w="258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8"/>
              </w:rPr>
              <w:t>---------</w:t>
            </w:r>
          </w:p>
        </w:tc>
        <w:tc>
          <w:tcPr>
            <w:tcW w:w="17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8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8"/>
              </w:rPr>
              <w:t>7,737,922</w:t>
            </w:r>
          </w:p>
        </w:tc>
        <w:tc>
          <w:tcPr>
            <w:tcW w:w="17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48,180</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17,455</w:t>
            </w:r>
          </w:p>
        </w:tc>
        <w:tc>
          <w:tcPr>
            <w:tcW w:w="21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ITEM 6 - Exhibits</w:t>
            </w: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207" w:lineRule="exact"/>
        <w:rPr>
          <w:sz w:val="20"/>
          <w:szCs w:val="20"/>
          <w:color w:val="auto"/>
        </w:rPr>
      </w:pPr>
    </w:p>
    <w:p>
      <w:pPr>
        <w:jc w:val="both"/>
        <w:ind w:left="1060" w:right="1779" w:hanging="526"/>
        <w:spacing w:after="0" w:line="235" w:lineRule="auto"/>
        <w:rPr>
          <w:sz w:val="20"/>
          <w:szCs w:val="20"/>
          <w:color w:val="auto"/>
        </w:rPr>
      </w:pPr>
      <w:r>
        <w:rPr>
          <w:rFonts w:ascii="Courier New" w:cs="Courier New" w:eastAsia="Courier New" w:hAnsi="Courier New"/>
          <w:sz w:val="18"/>
          <w:szCs w:val="18"/>
          <w:color w:val="auto"/>
        </w:rPr>
        <w:t>31.1 - Certification by the Chief Executive Officer Pursuant to Section 302 of the Sarbanes-Oxley Act of 2002.</w:t>
      </w:r>
    </w:p>
    <w:p>
      <w:pPr>
        <w:spacing w:after="0" w:line="6" w:lineRule="exact"/>
        <w:rPr>
          <w:sz w:val="20"/>
          <w:szCs w:val="20"/>
          <w:color w:val="auto"/>
        </w:rPr>
      </w:pPr>
    </w:p>
    <w:p>
      <w:pPr>
        <w:jc w:val="both"/>
        <w:ind w:left="1060" w:right="1779" w:hanging="526"/>
        <w:spacing w:after="0" w:line="235" w:lineRule="auto"/>
        <w:rPr>
          <w:sz w:val="20"/>
          <w:szCs w:val="20"/>
          <w:color w:val="auto"/>
        </w:rPr>
      </w:pPr>
      <w:r>
        <w:rPr>
          <w:rFonts w:ascii="Courier New" w:cs="Courier New" w:eastAsia="Courier New" w:hAnsi="Courier New"/>
          <w:sz w:val="18"/>
          <w:szCs w:val="18"/>
          <w:color w:val="auto"/>
        </w:rPr>
        <w:t>31.2 - Certification by the Chief Financial Officer Pursuant to Section 302 of the Sarbanes-Oxley Act of 2002</w:t>
      </w:r>
    </w:p>
    <w:p>
      <w:pPr>
        <w:spacing w:after="0" w:line="6" w:lineRule="exact"/>
        <w:rPr>
          <w:sz w:val="20"/>
          <w:szCs w:val="20"/>
          <w:color w:val="auto"/>
        </w:rPr>
      </w:pPr>
    </w:p>
    <w:p>
      <w:pPr>
        <w:jc w:val="both"/>
        <w:ind w:left="1060" w:right="1779" w:hanging="526"/>
        <w:spacing w:after="0"/>
        <w:rPr>
          <w:sz w:val="20"/>
          <w:szCs w:val="20"/>
          <w:color w:val="auto"/>
        </w:rPr>
      </w:pPr>
      <w:r>
        <w:rPr>
          <w:rFonts w:ascii="Courier New" w:cs="Courier New" w:eastAsia="Courier New" w:hAnsi="Courier New"/>
          <w:sz w:val="18"/>
          <w:szCs w:val="18"/>
          <w:color w:val="auto"/>
        </w:rPr>
        <w:t>32.1 - Certification</w:t>
      </w:r>
      <w:r>
        <w:rPr>
          <w:sz w:val="20"/>
          <w:szCs w:val="20"/>
          <w:color w:val="auto"/>
        </w:rPr>
        <w:t xml:space="preserve"> </w:t>
      </w:r>
      <w:r>
        <w:rPr>
          <w:rFonts w:ascii="Courier New" w:cs="Courier New" w:eastAsia="Courier New" w:hAnsi="Courier New"/>
          <w:sz w:val="18"/>
          <w:szCs w:val="18"/>
          <w:color w:val="auto"/>
        </w:rPr>
        <w:t>by the Chief Executive Officer Pursuant to 18 U.S.C. Section 1350 Adopted Pursuant to Section 906 of the Sarbanes-Oxley Act of 2002.</w:t>
      </w:r>
    </w:p>
    <w:p>
      <w:pPr>
        <w:spacing w:after="0" w:line="200" w:lineRule="exact"/>
        <w:rPr>
          <w:sz w:val="20"/>
          <w:szCs w:val="20"/>
          <w:color w:val="auto"/>
        </w:rPr>
      </w:pPr>
    </w:p>
    <w:p>
      <w:pPr>
        <w:jc w:val="both"/>
        <w:ind w:left="1060" w:right="1779" w:hanging="526"/>
        <w:spacing w:after="0"/>
        <w:rPr>
          <w:sz w:val="20"/>
          <w:szCs w:val="20"/>
          <w:color w:val="auto"/>
        </w:rPr>
      </w:pPr>
      <w:r>
        <w:rPr>
          <w:rFonts w:ascii="Courier New" w:cs="Courier New" w:eastAsia="Courier New" w:hAnsi="Courier New"/>
          <w:sz w:val="18"/>
          <w:szCs w:val="18"/>
          <w:color w:val="auto"/>
        </w:rPr>
        <w:t>32.2 - Certification</w:t>
      </w:r>
      <w:r>
        <w:rPr>
          <w:sz w:val="20"/>
          <w:szCs w:val="20"/>
          <w:color w:val="auto"/>
        </w:rPr>
        <w:t xml:space="preserve"> </w:t>
      </w:r>
      <w:r>
        <w:rPr>
          <w:rFonts w:ascii="Courier New" w:cs="Courier New" w:eastAsia="Courier New" w:hAnsi="Courier New"/>
          <w:sz w:val="18"/>
          <w:szCs w:val="18"/>
          <w:color w:val="auto"/>
        </w:rPr>
        <w:t>by the Chief Financial Officer Pursuant to 18 U.S.C. Section 1350 Adopted Pursuant to Section 906 of the Sarbanes-Oxley Act of 2002.</w:t>
      </w:r>
    </w:p>
    <w:p>
      <w:pPr>
        <w:sectPr>
          <w:pgSz w:w="11900" w:h="16838" w:orient="portrait"/>
          <w:cols w:equalWidth="0" w:num="1">
            <w:col w:w="10219"/>
          </w:cols>
          <w:pgMar w:left="240" w:top="919" w:right="1440" w:bottom="152" w:gutter="0" w:footer="0" w:header="0"/>
        </w:sectPr>
      </w:pPr>
    </w:p>
    <w:bookmarkStart w:id="23" w:name="page24"/>
    <w:bookmarkEnd w:id="23"/>
    <w:p>
      <w:pPr>
        <w:jc w:val="both"/>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FREQUENCY ELECTRONICS, INC.</w:t>
      </w:r>
    </w:p>
    <w:p>
      <w:pPr>
        <w:ind w:left="538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15, 2006</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20"/>
        <w:spacing w:after="0"/>
        <w:tabs>
          <w:tab w:leader="none" w:pos="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Miller</w:t>
      </w:r>
    </w:p>
    <w:p>
      <w:pPr>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Alan Miller</w:t>
      </w:r>
    </w:p>
    <w:p>
      <w:pPr>
        <w:ind w:left="320"/>
        <w:spacing w:after="0" w:line="237" w:lineRule="auto"/>
        <w:rPr>
          <w:sz w:val="20"/>
          <w:szCs w:val="20"/>
          <w:color w:val="auto"/>
        </w:rPr>
      </w:pPr>
      <w:r>
        <w:rPr>
          <w:rFonts w:ascii="Courier New" w:cs="Courier New" w:eastAsia="Courier New" w:hAnsi="Courier New"/>
          <w:sz w:val="18"/>
          <w:szCs w:val="18"/>
          <w:color w:val="auto"/>
        </w:rPr>
        <w:t>Treasurer and</w:t>
      </w:r>
    </w:p>
    <w:p>
      <w:pPr>
        <w:ind w:left="3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(principal financial officer and</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duly authorized officer)</w:t>
      </w:r>
    </w:p>
    <w:p>
      <w:pPr>
        <w:sectPr>
          <w:pgSz w:w="11900" w:h="16838" w:orient="portrait"/>
          <w:cols w:equalWidth="0" w:num="3">
            <w:col w:w="3820" w:space="720"/>
            <w:col w:w="200" w:space="0"/>
            <w:col w:w="5479"/>
          </w:cols>
          <w:pgMar w:left="240" w:top="1122" w:right="1440" w:bottom="1440" w:gutter="0" w:footer="0" w:header="0"/>
          <w:type w:val="continuous"/>
        </w:sectPr>
      </w:pPr>
    </w:p>
    <w:bookmarkStart w:id="25" w:name="page26"/>
    <w:bookmarkEnd w:id="25"/>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I, Martin B. Bloch,</w:t>
      </w:r>
      <w:r>
        <w:rPr>
          <w:sz w:val="20"/>
          <w:szCs w:val="20"/>
          <w:color w:val="auto"/>
        </w:rPr>
        <w:tab/>
      </w:r>
      <w:r>
        <w:rPr>
          <w:rFonts w:ascii="Courier New" w:cs="Courier New" w:eastAsia="Courier New" w:hAnsi="Courier New"/>
          <w:sz w:val="16"/>
          <w:szCs w:val="16"/>
          <w:color w:val="auto"/>
        </w:rPr>
        <w:t>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hanging="525"/>
        <w:spacing w:after="0" w:line="275" w:lineRule="auto"/>
        <w:tabs>
          <w:tab w:leader="none" w:pos="106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Martin Bloch</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Martin B. Bloch</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15, 2006</w:t>
      </w:r>
    </w:p>
    <w:p>
      <w:pPr>
        <w:sectPr>
          <w:pgSz w:w="11900" w:h="16838" w:orient="portrait"/>
          <w:cols w:equalWidth="0" w:num="2">
            <w:col w:w="5500" w:space="720"/>
            <w:col w:w="3999"/>
          </w:cols>
          <w:pgMar w:left="240" w:top="919" w:right="1440" w:bottom="1440" w:gutter="0" w:footer="0" w:header="0"/>
          <w:type w:val="continuous"/>
        </w:sectPr>
      </w:pPr>
    </w:p>
    <w:bookmarkStart w:id="26" w:name="page27"/>
    <w:bookmarkEnd w:id="26"/>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Alan L. Miller,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Frequency Electronics,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78"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hanging="525"/>
        <w:spacing w:after="0" w:line="275" w:lineRule="auto"/>
        <w:tabs>
          <w:tab w:leader="none" w:pos="106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919" w:right="1440" w:bottom="1440" w:gutter="0" w:footer="0" w:header="0"/>
        </w:sectPr>
      </w:pPr>
    </w:p>
    <w:p>
      <w:pPr>
        <w:spacing w:after="0" w:line="203"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Miller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Alan L. Miller</w:t>
      </w:r>
    </w:p>
    <w:p>
      <w:pPr>
        <w:ind w:left="54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15, 2006</w:t>
      </w:r>
    </w:p>
    <w:p>
      <w:pPr>
        <w:sectPr>
          <w:pgSz w:w="11900" w:h="16838" w:orient="portrait"/>
          <w:cols w:equalWidth="0" w:num="2">
            <w:col w:w="5600" w:space="720"/>
            <w:col w:w="3899"/>
          </w:cols>
          <w:pgMar w:left="240" w:top="919" w:right="1440" w:bottom="1440" w:gutter="0" w:footer="0" w:header="0"/>
          <w:type w:val="continuous"/>
        </w:sectPr>
      </w:pPr>
    </w:p>
    <w:bookmarkStart w:id="27" w:name="page28"/>
    <w:bookmarkEnd w:id="27"/>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jc w:val="center"/>
        <w:ind w:right="1659"/>
        <w:spacing w:after="0"/>
        <w:rPr>
          <w:sz w:val="20"/>
          <w:szCs w:val="20"/>
          <w:color w:val="auto"/>
        </w:rPr>
      </w:pPr>
      <w:r>
        <w:rPr>
          <w:rFonts w:ascii="Courier New" w:cs="Courier New" w:eastAsia="Courier New" w:hAnsi="Courier New"/>
          <w:sz w:val="18"/>
          <w:szCs w:val="18"/>
          <w:color w:val="auto"/>
        </w:rPr>
        <w:t>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CEO</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October 31, 2006 as filed with the Securities and Exchange Commission on the date hereof (the "Report"), I, Martin B. Bloch, Chief Executive Officer of the Company, certify, pursuant to 18 U.S.C. Section 1350, as adopted pursuant to Section 906 of the Sarbanes-Oxley Act of 2002, that to my knowledge:</w:t>
      </w:r>
    </w:p>
    <w:p>
      <w:pPr>
        <w:spacing w:after="0" w:line="210" w:lineRule="exact"/>
        <w:rPr>
          <w:sz w:val="20"/>
          <w:szCs w:val="20"/>
          <w:color w:val="auto"/>
        </w:rPr>
      </w:pPr>
    </w:p>
    <w:p>
      <w:pPr>
        <w:ind w:left="540" w:right="177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540" w:right="1779" w:hanging="532"/>
        <w:spacing w:after="0" w:line="290"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919" w:right="1440" w:bottom="1440" w:gutter="0" w:footer="0" w:header="0"/>
        </w:sectPr>
      </w:pPr>
    </w:p>
    <w:p>
      <w:pPr>
        <w:spacing w:after="0" w:line="367"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Martin Bloch</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Martin B. Bloch</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15, 2006</w:t>
      </w:r>
    </w:p>
    <w:p>
      <w:pPr>
        <w:spacing w:after="0" w:line="807" w:lineRule="exact"/>
        <w:rPr>
          <w:sz w:val="20"/>
          <w:szCs w:val="20"/>
          <w:color w:val="auto"/>
        </w:rPr>
      </w:pPr>
    </w:p>
    <w:p>
      <w:pPr>
        <w:sectPr>
          <w:pgSz w:w="11900" w:h="16838" w:orient="portrait"/>
          <w:cols w:equalWidth="0" w:num="2">
            <w:col w:w="5720" w:space="720"/>
            <w:col w:w="3779"/>
          </w:cols>
          <w:pgMar w:left="240" w:top="919"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12"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0219"/>
          </w:cols>
          <w:pgMar w:left="240" w:top="919" w:right="1440" w:bottom="1440" w:gutter="0" w:footer="0" w:header="0"/>
          <w:type w:val="continuous"/>
        </w:sectPr>
      </w:pPr>
    </w:p>
    <w:bookmarkStart w:id="28" w:name="page29"/>
    <w:bookmarkEnd w:id="28"/>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jc w:val="center"/>
        <w:ind w:right="1659"/>
        <w:spacing w:after="0"/>
        <w:rPr>
          <w:sz w:val="20"/>
          <w:szCs w:val="20"/>
          <w:color w:val="auto"/>
        </w:rPr>
      </w:pPr>
      <w:r>
        <w:rPr>
          <w:rFonts w:ascii="Courier New" w:cs="Courier New" w:eastAsia="Courier New" w:hAnsi="Courier New"/>
          <w:sz w:val="18"/>
          <w:szCs w:val="18"/>
          <w:color w:val="auto"/>
        </w:rPr>
        <w:t>ADOPTED PURSUANT TO</w:t>
      </w:r>
    </w:p>
    <w:p>
      <w:pPr>
        <w:jc w:val="center"/>
        <w:ind w:right="1659"/>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CFO</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Frequency Electronics, Inc. (the "Company") on Form 10-Q for the period ended October 31, 2006 as filed with the Securities and Exchange Commission on the date hereof (the "Report"), I, Alan L. Miller, Chief Financial Officer of the Company, certify, pursuant to 18 U.S.C. Section 1350, as adopted pursuant to Section 906 of the Sarbanes-Oxley Act of 2002, that to my knowledge:</w:t>
      </w:r>
    </w:p>
    <w:p>
      <w:pPr>
        <w:spacing w:after="0" w:line="210" w:lineRule="exact"/>
        <w:rPr>
          <w:sz w:val="20"/>
          <w:szCs w:val="20"/>
          <w:color w:val="auto"/>
        </w:rPr>
      </w:pPr>
    </w:p>
    <w:p>
      <w:pPr>
        <w:ind w:left="540" w:right="1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jc w:val="both"/>
        <w:ind w:left="540" w:right="1779" w:hanging="532"/>
        <w:spacing w:after="0" w:line="290"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919" w:right="1440" w:bottom="1440" w:gutter="0" w:footer="0" w:header="0"/>
        </w:sectPr>
      </w:pPr>
    </w:p>
    <w:p>
      <w:pPr>
        <w:spacing w:after="0" w:line="367"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Alan Miller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Alan L. Miller</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15, 2006</w:t>
      </w:r>
    </w:p>
    <w:p>
      <w:pPr>
        <w:spacing w:after="0" w:line="807" w:lineRule="exact"/>
        <w:rPr>
          <w:sz w:val="20"/>
          <w:szCs w:val="20"/>
          <w:color w:val="auto"/>
        </w:rPr>
      </w:pPr>
    </w:p>
    <w:p>
      <w:pPr>
        <w:sectPr>
          <w:pgSz w:w="11900" w:h="16838" w:orient="portrait"/>
          <w:cols w:equalWidth="0" w:num="2">
            <w:col w:w="5720" w:space="720"/>
            <w:col w:w="3779"/>
          </w:cols>
          <w:pgMar w:left="240" w:top="919"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12"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Roman"/>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2019-12-12T09:19:52Z</dcterms:created>
  <dcterms:modified xsi:type="dcterms:W3CDTF">2019-12-12T09:19:52Z</dcterms:modified>
</cp:coreProperties>
</file>