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1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7" w:lineRule="exact"/>
        <w:rPr>
          <w:sz w:val="24"/>
          <w:szCs w:val="24"/>
          <w:color w:val="auto"/>
        </w:rPr>
      </w:pPr>
    </w:p>
    <w:p>
      <w:pPr>
        <w:ind w:left="4240" w:right="1800" w:hanging="3422"/>
        <w:spacing w:after="0" w:line="521" w:lineRule="auto"/>
        <w:tabs>
          <w:tab w:leader="none" w:pos="1298" w:val="left"/>
        </w:tabs>
        <w:numPr>
          <w:ilvl w:val="0"/>
          <w:numId w:val="1"/>
        </w:numPr>
        <w:rPr>
          <w:rFonts w:ascii="Arial" w:cs="Arial" w:eastAsia="Arial" w:hAnsi="Arial"/>
          <w:sz w:val="18"/>
          <w:szCs w:val="18"/>
          <w:color w:val="auto"/>
        </w:rPr>
      </w:pPr>
      <w:r>
        <w:rPr>
          <w:rFonts w:ascii="Arial" w:cs="Arial" w:eastAsia="Arial" w:hAnsi="Arial"/>
          <w:sz w:val="18"/>
          <w:szCs w:val="18"/>
          <w:color w:val="auto"/>
        </w:rPr>
        <w:t>ANNUAL REPORT PURSUANT TO SECTION 13 or 15 (d) OF THE SECURITIES EXCHANGE ACT OF 1934 For the Fiscal Year ended April 30, 2011</w:t>
      </w:r>
    </w:p>
    <w:p>
      <w:pPr>
        <w:spacing w:after="0" w:line="1"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b w:val="1"/>
          <w:bCs w:val="1"/>
          <w:color w:val="auto"/>
        </w:rPr>
        <w:t>OR</w:t>
      </w:r>
    </w:p>
    <w:p>
      <w:pPr>
        <w:spacing w:after="0" w:line="256" w:lineRule="exact"/>
        <w:rPr>
          <w:sz w:val="24"/>
          <w:szCs w:val="24"/>
          <w:color w:val="auto"/>
        </w:rPr>
      </w:pPr>
    </w:p>
    <w:p>
      <w:pPr>
        <w:jc w:val="center"/>
        <w:ind w:left="3600" w:right="1480" w:hanging="2782"/>
        <w:spacing w:after="0" w:line="532" w:lineRule="auto"/>
        <w:tabs>
          <w:tab w:leader="none" w:pos="1298"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 (d) OF THE SECURITIES EXCHANGE ACT OF 1934 For the transition period from __________ to __________</w:t>
      </w:r>
    </w:p>
    <w:p>
      <w:pPr>
        <w:ind w:left="4660"/>
        <w:spacing w:after="0"/>
        <w:rPr>
          <w:rFonts w:ascii="MS PGothic" w:cs="MS PGothic" w:eastAsia="MS PGothic" w:hAnsi="MS PGothic"/>
          <w:sz w:val="18"/>
          <w:szCs w:val="18"/>
          <w:color w:val="auto"/>
        </w:rPr>
      </w:pPr>
      <w:r>
        <w:rPr>
          <w:rFonts w:ascii="Arial" w:cs="Arial" w:eastAsia="Arial" w:hAnsi="Arial"/>
          <w:sz w:val="18"/>
          <w:szCs w:val="18"/>
          <w:color w:val="auto"/>
        </w:rPr>
        <w:t>Commission File No. 1-8061</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FREQUENCY ELECTRONICS, INC.</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32"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6260" w:type="dxa"/>
            <w:vAlign w:val="bottom"/>
          </w:tcPr>
          <w:p>
            <w:pPr>
              <w:jc w:val="center"/>
              <w:ind w:right="450"/>
              <w:spacing w:after="0"/>
              <w:rPr>
                <w:sz w:val="20"/>
                <w:szCs w:val="20"/>
                <w:color w:val="auto"/>
              </w:rPr>
            </w:pPr>
            <w:r>
              <w:rPr>
                <w:rFonts w:ascii="Arial" w:cs="Arial" w:eastAsia="Arial" w:hAnsi="Arial"/>
                <w:sz w:val="18"/>
                <w:szCs w:val="18"/>
                <w:b w:val="1"/>
                <w:bCs w:val="1"/>
                <w:color w:val="auto"/>
                <w:w w:val="91"/>
              </w:rPr>
              <w:t>Delaware</w:t>
            </w:r>
          </w:p>
        </w:tc>
        <w:tc>
          <w:tcPr>
            <w:tcW w:w="3620" w:type="dxa"/>
            <w:vAlign w:val="bottom"/>
          </w:tcPr>
          <w:p>
            <w:pPr>
              <w:jc w:val="right"/>
              <w:ind w:right="790"/>
              <w:spacing w:after="0"/>
              <w:rPr>
                <w:sz w:val="20"/>
                <w:szCs w:val="20"/>
                <w:color w:val="auto"/>
              </w:rPr>
            </w:pPr>
            <w:r>
              <w:rPr>
                <w:rFonts w:ascii="Arial" w:cs="Arial" w:eastAsia="Arial" w:hAnsi="Arial"/>
                <w:sz w:val="18"/>
                <w:szCs w:val="18"/>
                <w:b w:val="1"/>
                <w:bCs w:val="1"/>
                <w:color w:val="auto"/>
              </w:rPr>
              <w:t>11-1986657</w:t>
            </w:r>
          </w:p>
        </w:tc>
      </w:tr>
      <w:tr>
        <w:trPr>
          <w:trHeight w:val="216"/>
        </w:trPr>
        <w:tc>
          <w:tcPr>
            <w:tcW w:w="6260" w:type="dxa"/>
            <w:vAlign w:val="bottom"/>
          </w:tcPr>
          <w:p>
            <w:pPr>
              <w:jc w:val="center"/>
              <w:ind w:right="450"/>
              <w:spacing w:after="0"/>
              <w:rPr>
                <w:sz w:val="20"/>
                <w:szCs w:val="20"/>
                <w:color w:val="auto"/>
              </w:rPr>
            </w:pPr>
            <w:r>
              <w:rPr>
                <w:rFonts w:ascii="Arial" w:cs="Arial" w:eastAsia="Arial" w:hAnsi="Arial"/>
                <w:sz w:val="18"/>
                <w:szCs w:val="18"/>
                <w:color w:val="auto"/>
                <w:w w:val="92"/>
              </w:rPr>
              <w:t>(State or other jurisdiction of</w:t>
            </w:r>
          </w:p>
        </w:tc>
        <w:tc>
          <w:tcPr>
            <w:tcW w:w="3620" w:type="dxa"/>
            <w:vAlign w:val="bottom"/>
          </w:tcPr>
          <w:p>
            <w:pPr>
              <w:jc w:val="center"/>
              <w:ind w:left="91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6260" w:type="dxa"/>
            <w:vAlign w:val="bottom"/>
          </w:tcPr>
          <w:p>
            <w:pPr>
              <w:jc w:val="center"/>
              <w:ind w:right="450"/>
              <w:spacing w:after="0"/>
              <w:rPr>
                <w:sz w:val="20"/>
                <w:szCs w:val="20"/>
                <w:color w:val="auto"/>
              </w:rPr>
            </w:pPr>
            <w:r>
              <w:rPr>
                <w:rFonts w:ascii="Arial" w:cs="Arial" w:eastAsia="Arial" w:hAnsi="Arial"/>
                <w:sz w:val="18"/>
                <w:szCs w:val="18"/>
                <w:color w:val="auto"/>
                <w:w w:val="92"/>
              </w:rPr>
              <w:t>incorporation or organization)</w:t>
            </w:r>
          </w:p>
        </w:tc>
        <w:tc>
          <w:tcPr>
            <w:tcW w:w="3620" w:type="dxa"/>
            <w:vAlign w:val="bottom"/>
          </w:tcPr>
          <w:p>
            <w:pPr>
              <w:spacing w:after="0"/>
              <w:rPr>
                <w:sz w:val="20"/>
                <w:szCs w:val="20"/>
                <w:color w:val="auto"/>
              </w:rPr>
            </w:pPr>
          </w:p>
        </w:tc>
      </w:tr>
      <w:tr>
        <w:trPr>
          <w:trHeight w:val="418"/>
        </w:trPr>
        <w:tc>
          <w:tcPr>
            <w:tcW w:w="6260" w:type="dxa"/>
            <w:vAlign w:val="bottom"/>
          </w:tcPr>
          <w:p>
            <w:pPr>
              <w:jc w:val="center"/>
              <w:ind w:right="430"/>
              <w:spacing w:after="0"/>
              <w:rPr>
                <w:sz w:val="20"/>
                <w:szCs w:val="20"/>
                <w:color w:val="auto"/>
              </w:rPr>
            </w:pPr>
            <w:r>
              <w:rPr>
                <w:rFonts w:ascii="Arial" w:cs="Arial" w:eastAsia="Arial" w:hAnsi="Arial"/>
                <w:sz w:val="18"/>
                <w:szCs w:val="18"/>
                <w:b w:val="1"/>
                <w:bCs w:val="1"/>
                <w:color w:val="auto"/>
              </w:rPr>
              <w:t>55 CHARLES LINDBERGH BLVD., MITCHEL FIELD, N.Y.</w:t>
            </w:r>
          </w:p>
        </w:tc>
        <w:tc>
          <w:tcPr>
            <w:tcW w:w="3620" w:type="dxa"/>
            <w:vAlign w:val="bottom"/>
          </w:tcPr>
          <w:p>
            <w:pPr>
              <w:jc w:val="right"/>
              <w:ind w:right="990"/>
              <w:spacing w:after="0"/>
              <w:rPr>
                <w:sz w:val="20"/>
                <w:szCs w:val="20"/>
                <w:color w:val="auto"/>
              </w:rPr>
            </w:pPr>
            <w:r>
              <w:rPr>
                <w:rFonts w:ascii="Arial" w:cs="Arial" w:eastAsia="Arial" w:hAnsi="Arial"/>
                <w:sz w:val="18"/>
                <w:szCs w:val="18"/>
                <w:b w:val="1"/>
                <w:bCs w:val="1"/>
                <w:color w:val="auto"/>
              </w:rPr>
              <w:t>11553</w:t>
            </w:r>
          </w:p>
        </w:tc>
      </w:tr>
      <w:tr>
        <w:trPr>
          <w:trHeight w:val="230"/>
        </w:trPr>
        <w:tc>
          <w:tcPr>
            <w:tcW w:w="6260" w:type="dxa"/>
            <w:vAlign w:val="bottom"/>
          </w:tcPr>
          <w:p>
            <w:pPr>
              <w:jc w:val="center"/>
              <w:ind w:right="430"/>
              <w:spacing w:after="0"/>
              <w:rPr>
                <w:sz w:val="20"/>
                <w:szCs w:val="20"/>
                <w:color w:val="auto"/>
              </w:rPr>
            </w:pPr>
            <w:r>
              <w:rPr>
                <w:rFonts w:ascii="Arial" w:cs="Arial" w:eastAsia="Arial" w:hAnsi="Arial"/>
                <w:sz w:val="18"/>
                <w:szCs w:val="18"/>
                <w:color w:val="auto"/>
                <w:w w:val="92"/>
              </w:rPr>
              <w:t>(Address of principal executive offices)</w:t>
            </w:r>
          </w:p>
        </w:tc>
        <w:tc>
          <w:tcPr>
            <w:tcW w:w="3620" w:type="dxa"/>
            <w:vAlign w:val="bottom"/>
          </w:tcPr>
          <w:p>
            <w:pPr>
              <w:jc w:val="center"/>
              <w:ind w:left="910"/>
              <w:spacing w:after="0"/>
              <w:rPr>
                <w:sz w:val="20"/>
                <w:szCs w:val="20"/>
                <w:color w:val="auto"/>
              </w:rPr>
            </w:pPr>
            <w:r>
              <w:rPr>
                <w:rFonts w:ascii="Arial" w:cs="Arial" w:eastAsia="Arial" w:hAnsi="Arial"/>
                <w:sz w:val="18"/>
                <w:szCs w:val="18"/>
                <w:color w:val="auto"/>
                <w:w w:val="91"/>
              </w:rPr>
              <w:t>(Zip Code)</w:t>
            </w:r>
          </w:p>
        </w:tc>
      </w:tr>
      <w:tr>
        <w:trPr>
          <w:trHeight w:val="432"/>
        </w:trPr>
        <w:tc>
          <w:tcPr>
            <w:tcW w:w="6260" w:type="dxa"/>
            <w:vAlign w:val="bottom"/>
          </w:tcPr>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516-794-4500</w:t>
            </w:r>
          </w:p>
        </w:tc>
        <w:tc>
          <w:tcPr>
            <w:tcW w:w="3620" w:type="dxa"/>
            <w:vAlign w:val="bottom"/>
          </w:tcPr>
          <w:p>
            <w:pPr>
              <w:spacing w:after="0"/>
              <w:rPr>
                <w:sz w:val="24"/>
                <w:szCs w:val="24"/>
                <w:color w:val="auto"/>
              </w:rPr>
            </w:pPr>
          </w:p>
        </w:tc>
      </w:tr>
    </w:tbl>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 (b) of the Act:</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89"/>
              </w:rPr>
              <w:t>Name of each exchange on</w:t>
            </w:r>
          </w:p>
        </w:tc>
      </w:tr>
      <w:tr>
        <w:trPr>
          <w:trHeight w:val="237"/>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00" w:type="dxa"/>
            <w:vAlign w:val="bottom"/>
          </w:tcPr>
          <w:p>
            <w:pPr>
              <w:spacing w:after="0"/>
              <w:rPr>
                <w:sz w:val="20"/>
                <w:szCs w:val="20"/>
                <w:color w:val="auto"/>
              </w:rPr>
            </w:pPr>
          </w:p>
        </w:tc>
        <w:tc>
          <w:tcPr>
            <w:tcW w:w="5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which registered</w:t>
            </w:r>
          </w:p>
        </w:tc>
      </w:tr>
      <w:tr>
        <w:trPr>
          <w:trHeight w:val="234"/>
        </w:trPr>
        <w:tc>
          <w:tcPr>
            <w:tcW w:w="5620" w:type="dxa"/>
            <w:vAlign w:val="bottom"/>
          </w:tcPr>
          <w:p>
            <w:pPr>
              <w:jc w:val="center"/>
              <w:spacing w:after="0"/>
              <w:rPr>
                <w:sz w:val="20"/>
                <w:szCs w:val="20"/>
                <w:color w:val="auto"/>
              </w:rPr>
            </w:pPr>
            <w:r>
              <w:rPr>
                <w:rFonts w:ascii="Arial" w:cs="Arial" w:eastAsia="Arial" w:hAnsi="Arial"/>
                <w:sz w:val="18"/>
                <w:szCs w:val="18"/>
                <w:b w:val="1"/>
                <w:bCs w:val="1"/>
                <w:color w:val="auto"/>
                <w:w w:val="90"/>
              </w:rPr>
              <w:t>Common Stock (par value $1.00 per share)</w:t>
            </w:r>
          </w:p>
        </w:tc>
        <w:tc>
          <w:tcPr>
            <w:tcW w:w="200" w:type="dxa"/>
            <w:vAlign w:val="bottom"/>
          </w:tcPr>
          <w:p>
            <w:pPr>
              <w:spacing w:after="0"/>
              <w:rPr>
                <w:sz w:val="20"/>
                <w:szCs w:val="20"/>
                <w:color w:val="auto"/>
              </w:rPr>
            </w:pPr>
          </w:p>
        </w:tc>
        <w:tc>
          <w:tcPr>
            <w:tcW w:w="5600" w:type="dxa"/>
            <w:vAlign w:val="bottom"/>
          </w:tcPr>
          <w:p>
            <w:pPr>
              <w:jc w:val="center"/>
              <w:spacing w:after="0"/>
              <w:rPr>
                <w:sz w:val="20"/>
                <w:szCs w:val="20"/>
                <w:color w:val="auto"/>
              </w:rPr>
            </w:pPr>
            <w:r>
              <w:rPr>
                <w:rFonts w:ascii="Arial" w:cs="Arial" w:eastAsia="Arial" w:hAnsi="Arial"/>
                <w:sz w:val="18"/>
                <w:szCs w:val="18"/>
                <w:b w:val="1"/>
                <w:bCs w:val="1"/>
                <w:color w:val="auto"/>
                <w:w w:val="96"/>
              </w:rPr>
              <w:t>NASDAQ Global Market</w:t>
            </w:r>
          </w:p>
        </w:tc>
      </w:tr>
    </w:tbl>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 (g) of the Act:</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None</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1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p>
      <w:pPr>
        <w:spacing w:after="0" w:line="21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p>
      <w:pPr>
        <w:spacing w:after="0" w:line="285"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21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(para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208" w:lineRule="exact"/>
        <w:rPr>
          <w:sz w:val="24"/>
          <w:szCs w:val="24"/>
          <w:color w:val="auto"/>
        </w:rPr>
      </w:pPr>
    </w:p>
    <w:p>
      <w:pPr>
        <w:jc w:val="both"/>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41" w:lineRule="exact"/>
        <w:rPr>
          <w:sz w:val="24"/>
          <w:szCs w:val="24"/>
          <w:color w:val="auto"/>
        </w:rPr>
      </w:pPr>
    </w:p>
    <w:p>
      <w:pPr>
        <w:spacing w:after="0" w:line="207" w:lineRule="exact"/>
        <w:tabs>
          <w:tab w:leader="none" w:pos="3180" w:val="left"/>
          <w:tab w:leader="none" w:pos="5420" w:val="left"/>
          <w:tab w:leader="none" w:pos="80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Smaller Reporting Company x</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p>
      <w:pPr>
        <w:spacing w:after="0" w:line="285" w:lineRule="exact"/>
        <w:rPr>
          <w:sz w:val="24"/>
          <w:szCs w:val="24"/>
          <w:color w:val="auto"/>
        </w:rPr>
      </w:pPr>
    </w:p>
    <w:p>
      <w:pPr>
        <w:spacing w:after="0"/>
        <w:rPr>
          <w:sz w:val="20"/>
          <w:szCs w:val="20"/>
          <w:color w:val="auto"/>
        </w:rPr>
      </w:pPr>
      <w:r>
        <w:rPr>
          <w:rFonts w:ascii="Arial" w:cs="Arial" w:eastAsia="Arial" w:hAnsi="Arial"/>
          <w:sz w:val="18"/>
          <w:szCs w:val="18"/>
          <w:color w:val="auto"/>
        </w:rPr>
        <w:t>The aggregate market value of voting stock held by non-affiliates of the Registrant as of October 31, 2010 - $38,200,000</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APPLICABLE ONLY TO CORPORATE ISSUERS:</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Registrant's Common Stock, par value $1.00 as of July 22, 2011 – 8,310,129</w:t>
      </w:r>
    </w:p>
    <w:p>
      <w:pPr>
        <w:spacing w:after="0" w:line="25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DOCUMENTS INCORPORATED BY REFERENCE: PART III incorporates information by reference from the definitive proxy statement for the Annual Meeting of Stockholders to be held on or about October 11, 2011.</w:t>
      </w:r>
    </w:p>
    <w:p>
      <w:pPr>
        <w:sectPr>
          <w:pgSz w:w="11900" w:h="16838" w:orient="portrait"/>
          <w:cols w:equalWidth="0" w:num="1">
            <w:col w:w="11420"/>
          </w:cols>
          <w:pgMar w:left="240" w:top="472" w:right="239" w:bottom="0" w:gutter="0" w:footer="0" w:header="0"/>
        </w:sectPr>
      </w:pPr>
    </w:p>
    <w:bookmarkStart w:id="1" w:name="page2"/>
    <w:bookmarkEnd w:id="1"/>
    <w:p>
      <w:pPr>
        <w:jc w:val="both"/>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309880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160" w:type="dxa"/>
            <w:vAlign w:val="bottom"/>
          </w:tcPr>
          <w:p>
            <w:pPr>
              <w:jc w:val="center"/>
              <w:ind w:right="110"/>
              <w:spacing w:after="0"/>
              <w:rPr>
                <w:sz w:val="20"/>
                <w:szCs w:val="20"/>
                <w:color w:val="auto"/>
              </w:rPr>
            </w:pPr>
            <w:r>
              <w:rPr>
                <w:rFonts w:ascii="Arial" w:cs="Arial" w:eastAsia="Arial" w:hAnsi="Arial"/>
                <w:sz w:val="18"/>
                <w:szCs w:val="18"/>
                <w:color w:val="auto"/>
                <w:w w:val="95"/>
              </w:rPr>
              <w:t>FREQUENCY ELECTRONICS, INC. and SUBSIDIARIES</w:t>
            </w: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160" w:type="dxa"/>
            <w:vAlign w:val="bottom"/>
          </w:tcPr>
          <w:p>
            <w:pPr>
              <w:jc w:val="center"/>
              <w:ind w:right="110"/>
              <w:spacing w:after="0"/>
              <w:rPr>
                <w:sz w:val="20"/>
                <w:szCs w:val="20"/>
                <w:color w:val="auto"/>
              </w:rPr>
            </w:pPr>
            <w:r>
              <w:rPr>
                <w:rFonts w:ascii="Arial" w:cs="Arial" w:eastAsia="Arial" w:hAnsi="Arial"/>
                <w:sz w:val="18"/>
                <w:szCs w:val="18"/>
                <w:color w:val="auto"/>
              </w:rPr>
              <w:t>INDEX</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9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9160" w:type="dxa"/>
            <w:vAlign w:val="bottom"/>
            <w:shd w:val="clear" w:color="auto" w:fill="CCFFCC"/>
          </w:tcPr>
          <w:p>
            <w:pPr>
              <w:jc w:val="center"/>
              <w:ind w:right="130"/>
              <w:spacing w:after="0"/>
              <w:rPr>
                <w:sz w:val="20"/>
                <w:szCs w:val="20"/>
                <w:color w:val="auto"/>
              </w:rPr>
            </w:pPr>
            <w:r>
              <w:rPr>
                <w:rFonts w:ascii="Arial" w:cs="Arial" w:eastAsia="Arial" w:hAnsi="Arial"/>
                <w:sz w:val="18"/>
                <w:szCs w:val="18"/>
                <w:color w:val="auto"/>
                <w:w w:val="92"/>
              </w:rPr>
              <w:t>PART I</w:t>
            </w:r>
          </w:p>
        </w:tc>
        <w:tc>
          <w:tcPr>
            <w:tcW w:w="102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20" w:type="dxa"/>
            <w:vAlign w:val="bottom"/>
            <w:shd w:val="clear" w:color="auto" w:fill="CCFFCC"/>
          </w:tcPr>
          <w:p>
            <w:pPr>
              <w:spacing w:after="0"/>
              <w:rPr>
                <w:sz w:val="20"/>
                <w:szCs w:val="20"/>
                <w:color w:val="auto"/>
              </w:rPr>
            </w:pPr>
            <w:r>
              <w:rPr>
                <w:rFonts w:ascii="Arial" w:cs="Arial" w:eastAsia="Arial" w:hAnsi="Arial"/>
                <w:sz w:val="18"/>
                <w:szCs w:val="18"/>
                <w:color w:val="auto"/>
              </w:rPr>
              <w:t>Item I.</w:t>
            </w:r>
          </w:p>
        </w:tc>
        <w:tc>
          <w:tcPr>
            <w:tcW w:w="9160" w:type="dxa"/>
            <w:vAlign w:val="bottom"/>
            <w:shd w:val="clear" w:color="auto" w:fill="CCFFCC"/>
          </w:tcPr>
          <w:p>
            <w:pPr>
              <w:ind w:left="140"/>
              <w:spacing w:after="0"/>
              <w:rPr>
                <w:sz w:val="20"/>
                <w:szCs w:val="20"/>
                <w:color w:val="auto"/>
              </w:rPr>
            </w:pPr>
            <w:r>
              <w:rPr>
                <w:rFonts w:ascii="Arial" w:cs="Arial" w:eastAsia="Arial" w:hAnsi="Arial"/>
                <w:sz w:val="18"/>
                <w:szCs w:val="18"/>
                <w:color w:val="auto"/>
              </w:rPr>
              <w:t>Business.</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Item 2.</w:t>
            </w:r>
          </w:p>
        </w:tc>
        <w:tc>
          <w:tcPr>
            <w:tcW w:w="9160" w:type="dxa"/>
            <w:vAlign w:val="bottom"/>
          </w:tcPr>
          <w:p>
            <w:pPr>
              <w:ind w:left="140"/>
              <w:spacing w:after="0"/>
              <w:rPr>
                <w:sz w:val="20"/>
                <w:szCs w:val="20"/>
                <w:color w:val="auto"/>
              </w:rPr>
            </w:pPr>
            <w:r>
              <w:rPr>
                <w:rFonts w:ascii="Arial" w:cs="Arial" w:eastAsia="Arial" w:hAnsi="Arial"/>
                <w:sz w:val="18"/>
                <w:szCs w:val="18"/>
                <w:color w:val="auto"/>
              </w:rPr>
              <w:t>Properties.</w:t>
            </w:r>
          </w:p>
        </w:tc>
        <w:tc>
          <w:tcPr>
            <w:tcW w:w="102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FFCC"/>
          </w:tcPr>
          <w:p>
            <w:pPr>
              <w:spacing w:after="0"/>
              <w:rPr>
                <w:sz w:val="20"/>
                <w:szCs w:val="20"/>
                <w:color w:val="auto"/>
              </w:rPr>
            </w:pPr>
            <w:r>
              <w:rPr>
                <w:rFonts w:ascii="Arial" w:cs="Arial" w:eastAsia="Arial" w:hAnsi="Arial"/>
                <w:sz w:val="18"/>
                <w:szCs w:val="18"/>
                <w:color w:val="auto"/>
              </w:rPr>
              <w:t>Item 3.</w:t>
            </w:r>
          </w:p>
        </w:tc>
        <w:tc>
          <w:tcPr>
            <w:tcW w:w="9160" w:type="dxa"/>
            <w:vAlign w:val="bottom"/>
            <w:shd w:val="clear" w:color="auto" w:fill="CCFFCC"/>
          </w:tcPr>
          <w:p>
            <w:pPr>
              <w:ind w:left="140"/>
              <w:spacing w:after="0"/>
              <w:rPr>
                <w:sz w:val="20"/>
                <w:szCs w:val="20"/>
                <w:color w:val="auto"/>
              </w:rPr>
            </w:pPr>
            <w:r>
              <w:rPr>
                <w:rFonts w:ascii="Arial" w:cs="Arial" w:eastAsia="Arial" w:hAnsi="Arial"/>
                <w:sz w:val="18"/>
                <w:szCs w:val="18"/>
                <w:color w:val="auto"/>
              </w:rPr>
              <w:t>Legal Proceedings.</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Item 4.</w:t>
            </w:r>
          </w:p>
        </w:tc>
        <w:tc>
          <w:tcPr>
            <w:tcW w:w="9160" w:type="dxa"/>
            <w:vAlign w:val="bottom"/>
          </w:tcPr>
          <w:p>
            <w:pPr>
              <w:ind w:left="140"/>
              <w:spacing w:after="0"/>
              <w:rPr>
                <w:sz w:val="20"/>
                <w:szCs w:val="20"/>
                <w:color w:val="auto"/>
              </w:rPr>
            </w:pPr>
            <w:r>
              <w:rPr>
                <w:rFonts w:ascii="Arial" w:cs="Arial" w:eastAsia="Arial" w:hAnsi="Arial"/>
                <w:sz w:val="18"/>
                <w:szCs w:val="18"/>
                <w:color w:val="auto"/>
              </w:rPr>
              <w:t>[Removed and Reserved]</w:t>
            </w: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91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160" w:type="dxa"/>
            <w:vAlign w:val="bottom"/>
          </w:tcPr>
          <w:p>
            <w:pPr>
              <w:jc w:val="center"/>
              <w:ind w:right="110"/>
              <w:spacing w:after="0"/>
              <w:rPr>
                <w:sz w:val="20"/>
                <w:szCs w:val="20"/>
                <w:color w:val="auto"/>
              </w:rPr>
            </w:pPr>
            <w:r>
              <w:rPr>
                <w:rFonts w:ascii="Arial" w:cs="Arial" w:eastAsia="Arial" w:hAnsi="Arial"/>
                <w:sz w:val="18"/>
                <w:szCs w:val="18"/>
                <w:color w:val="auto"/>
                <w:w w:val="95"/>
              </w:rPr>
              <w:t>PART II</w:t>
            </w: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91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Item 5.</w:t>
            </w:r>
          </w:p>
        </w:tc>
        <w:tc>
          <w:tcPr>
            <w:tcW w:w="9160" w:type="dxa"/>
            <w:vAlign w:val="bottom"/>
          </w:tcPr>
          <w:p>
            <w:pPr>
              <w:ind w:left="140"/>
              <w:spacing w:after="0"/>
              <w:rPr>
                <w:sz w:val="20"/>
                <w:szCs w:val="20"/>
                <w:color w:val="auto"/>
              </w:rPr>
            </w:pPr>
            <w:r>
              <w:rPr>
                <w:rFonts w:ascii="Arial" w:cs="Arial" w:eastAsia="Arial" w:hAnsi="Arial"/>
                <w:sz w:val="18"/>
                <w:szCs w:val="18"/>
                <w:color w:val="auto"/>
                <w:w w:val="99"/>
              </w:rPr>
              <w:t>Market For Registrant’s Common Equity, Related Stockholder Matters and Issuer Purchases of Equity Securities.</w:t>
            </w:r>
          </w:p>
        </w:tc>
        <w:tc>
          <w:tcPr>
            <w:tcW w:w="102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FFCC"/>
          </w:tcPr>
          <w:p>
            <w:pPr>
              <w:spacing w:after="0"/>
              <w:rPr>
                <w:sz w:val="20"/>
                <w:szCs w:val="20"/>
                <w:color w:val="auto"/>
              </w:rPr>
            </w:pPr>
            <w:r>
              <w:rPr>
                <w:rFonts w:ascii="Arial" w:cs="Arial" w:eastAsia="Arial" w:hAnsi="Arial"/>
                <w:sz w:val="18"/>
                <w:szCs w:val="18"/>
                <w:color w:val="auto"/>
              </w:rPr>
              <w:t>Item 7.</w:t>
            </w:r>
          </w:p>
        </w:tc>
        <w:tc>
          <w:tcPr>
            <w:tcW w:w="9160" w:type="dxa"/>
            <w:vAlign w:val="bottom"/>
            <w:shd w:val="clear" w:color="auto" w:fill="CCFFCC"/>
          </w:tcPr>
          <w:p>
            <w:pPr>
              <w:ind w:left="1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Item 8.</w:t>
            </w:r>
          </w:p>
        </w:tc>
        <w:tc>
          <w:tcPr>
            <w:tcW w:w="9160" w:type="dxa"/>
            <w:vAlign w:val="bottom"/>
          </w:tcPr>
          <w:p>
            <w:pPr>
              <w:ind w:left="140"/>
              <w:spacing w:after="0"/>
              <w:rPr>
                <w:sz w:val="20"/>
                <w:szCs w:val="20"/>
                <w:color w:val="auto"/>
              </w:rPr>
            </w:pPr>
            <w:r>
              <w:rPr>
                <w:rFonts w:ascii="Arial" w:cs="Arial" w:eastAsia="Arial" w:hAnsi="Arial"/>
                <w:sz w:val="18"/>
                <w:szCs w:val="18"/>
                <w:color w:val="auto"/>
              </w:rPr>
              <w:t>Financial Statements and Supplementary Data.</w:t>
            </w:r>
          </w:p>
        </w:tc>
        <w:tc>
          <w:tcPr>
            <w:tcW w:w="102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FFCC"/>
          </w:tcPr>
          <w:p>
            <w:pPr>
              <w:spacing w:after="0"/>
              <w:rPr>
                <w:sz w:val="20"/>
                <w:szCs w:val="20"/>
                <w:color w:val="auto"/>
              </w:rPr>
            </w:pPr>
            <w:r>
              <w:rPr>
                <w:rFonts w:ascii="Arial" w:cs="Arial" w:eastAsia="Arial" w:hAnsi="Arial"/>
                <w:sz w:val="18"/>
                <w:szCs w:val="18"/>
                <w:color w:val="auto"/>
              </w:rPr>
              <w:t>Item 9.</w:t>
            </w:r>
          </w:p>
        </w:tc>
        <w:tc>
          <w:tcPr>
            <w:tcW w:w="9160" w:type="dxa"/>
            <w:vAlign w:val="bottom"/>
            <w:shd w:val="clear" w:color="auto" w:fill="CCFFCC"/>
          </w:tcPr>
          <w:p>
            <w:pPr>
              <w:ind w:left="140"/>
              <w:spacing w:after="0"/>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Item 9A</w:t>
            </w:r>
          </w:p>
        </w:tc>
        <w:tc>
          <w:tcPr>
            <w:tcW w:w="9160" w:type="dxa"/>
            <w:vAlign w:val="bottom"/>
          </w:tcPr>
          <w:p>
            <w:pPr>
              <w:ind w:left="140"/>
              <w:spacing w:after="0"/>
              <w:rPr>
                <w:sz w:val="20"/>
                <w:szCs w:val="20"/>
                <w:color w:val="auto"/>
              </w:rPr>
            </w:pPr>
            <w:r>
              <w:rPr>
                <w:rFonts w:ascii="Arial" w:cs="Arial" w:eastAsia="Arial" w:hAnsi="Arial"/>
                <w:sz w:val="18"/>
                <w:szCs w:val="18"/>
                <w:color w:val="auto"/>
              </w:rPr>
              <w:t>Controls and Procedures.</w:t>
            </w:r>
          </w:p>
        </w:tc>
        <w:tc>
          <w:tcPr>
            <w:tcW w:w="102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FFCC"/>
          </w:tcPr>
          <w:p>
            <w:pPr>
              <w:spacing w:after="0"/>
              <w:rPr>
                <w:sz w:val="20"/>
                <w:szCs w:val="20"/>
                <w:color w:val="auto"/>
              </w:rPr>
            </w:pPr>
            <w:r>
              <w:rPr>
                <w:rFonts w:ascii="Arial" w:cs="Arial" w:eastAsia="Arial" w:hAnsi="Arial"/>
                <w:sz w:val="18"/>
                <w:szCs w:val="18"/>
                <w:color w:val="auto"/>
              </w:rPr>
              <w:t>Item 9B.</w:t>
            </w:r>
          </w:p>
        </w:tc>
        <w:tc>
          <w:tcPr>
            <w:tcW w:w="9160" w:type="dxa"/>
            <w:vAlign w:val="bottom"/>
            <w:shd w:val="clear" w:color="auto" w:fill="CCFFCC"/>
          </w:tcPr>
          <w:p>
            <w:pPr>
              <w:ind w:left="140"/>
              <w:spacing w:after="0"/>
              <w:rPr>
                <w:sz w:val="20"/>
                <w:szCs w:val="20"/>
                <w:color w:val="auto"/>
              </w:rPr>
            </w:pPr>
            <w:r>
              <w:rPr>
                <w:rFonts w:ascii="Arial" w:cs="Arial" w:eastAsia="Arial" w:hAnsi="Arial"/>
                <w:sz w:val="18"/>
                <w:szCs w:val="18"/>
                <w:color w:val="auto"/>
              </w:rPr>
              <w:t>Other Information</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9160" w:type="dxa"/>
            <w:vAlign w:val="bottom"/>
            <w:shd w:val="clear" w:color="auto" w:fill="CCFFCC"/>
          </w:tcPr>
          <w:p>
            <w:pPr>
              <w:jc w:val="center"/>
              <w:ind w:right="130"/>
              <w:spacing w:after="0"/>
              <w:rPr>
                <w:sz w:val="20"/>
                <w:szCs w:val="20"/>
                <w:color w:val="auto"/>
              </w:rPr>
            </w:pPr>
            <w:r>
              <w:rPr>
                <w:rFonts w:ascii="Arial" w:cs="Arial" w:eastAsia="Arial" w:hAnsi="Arial"/>
                <w:sz w:val="18"/>
                <w:szCs w:val="18"/>
                <w:color w:val="auto"/>
                <w:w w:val="96"/>
              </w:rPr>
              <w:t>PART III</w:t>
            </w:r>
          </w:p>
        </w:tc>
        <w:tc>
          <w:tcPr>
            <w:tcW w:w="102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20" w:type="dxa"/>
            <w:vAlign w:val="bottom"/>
            <w:shd w:val="clear" w:color="auto" w:fill="CCFFCC"/>
          </w:tcPr>
          <w:p>
            <w:pPr>
              <w:spacing w:after="0"/>
              <w:rPr>
                <w:sz w:val="20"/>
                <w:szCs w:val="20"/>
                <w:color w:val="auto"/>
              </w:rPr>
            </w:pPr>
            <w:r>
              <w:rPr>
                <w:rFonts w:ascii="Arial" w:cs="Arial" w:eastAsia="Arial" w:hAnsi="Arial"/>
                <w:sz w:val="18"/>
                <w:szCs w:val="18"/>
                <w:color w:val="auto"/>
              </w:rPr>
              <w:t>Item 10.</w:t>
            </w:r>
          </w:p>
        </w:tc>
        <w:tc>
          <w:tcPr>
            <w:tcW w:w="9160" w:type="dxa"/>
            <w:vAlign w:val="bottom"/>
            <w:shd w:val="clear" w:color="auto" w:fill="CCFFCC"/>
          </w:tcPr>
          <w:p>
            <w:pPr>
              <w:ind w:left="140"/>
              <w:spacing w:after="0"/>
              <w:rPr>
                <w:sz w:val="20"/>
                <w:szCs w:val="20"/>
                <w:color w:val="auto"/>
              </w:rPr>
            </w:pPr>
            <w:r>
              <w:rPr>
                <w:rFonts w:ascii="Arial" w:cs="Arial" w:eastAsia="Arial" w:hAnsi="Arial"/>
                <w:sz w:val="18"/>
                <w:szCs w:val="18"/>
                <w:color w:val="auto"/>
              </w:rPr>
              <w:t>Directors, Executive Officers and Corporation Governance.</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Item 11.</w:t>
            </w:r>
          </w:p>
        </w:tc>
        <w:tc>
          <w:tcPr>
            <w:tcW w:w="9160" w:type="dxa"/>
            <w:vAlign w:val="bottom"/>
          </w:tcPr>
          <w:p>
            <w:pPr>
              <w:ind w:left="140"/>
              <w:spacing w:after="0"/>
              <w:rPr>
                <w:sz w:val="20"/>
                <w:szCs w:val="20"/>
                <w:color w:val="auto"/>
              </w:rPr>
            </w:pPr>
            <w:r>
              <w:rPr>
                <w:rFonts w:ascii="Arial" w:cs="Arial" w:eastAsia="Arial" w:hAnsi="Arial"/>
                <w:sz w:val="18"/>
                <w:szCs w:val="18"/>
                <w:color w:val="auto"/>
              </w:rPr>
              <w:t>Executive Compensation.</w:t>
            </w:r>
          </w:p>
        </w:tc>
        <w:tc>
          <w:tcPr>
            <w:tcW w:w="1020" w:type="dxa"/>
            <w:vAlign w:val="bottom"/>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FFCC"/>
          </w:tcPr>
          <w:p>
            <w:pPr>
              <w:spacing w:after="0"/>
              <w:rPr>
                <w:sz w:val="20"/>
                <w:szCs w:val="20"/>
                <w:color w:val="auto"/>
              </w:rPr>
            </w:pPr>
            <w:r>
              <w:rPr>
                <w:rFonts w:ascii="Arial" w:cs="Arial" w:eastAsia="Arial" w:hAnsi="Arial"/>
                <w:sz w:val="18"/>
                <w:szCs w:val="18"/>
                <w:color w:val="auto"/>
              </w:rPr>
              <w:t>Item 12.</w:t>
            </w:r>
          </w:p>
        </w:tc>
        <w:tc>
          <w:tcPr>
            <w:tcW w:w="9160" w:type="dxa"/>
            <w:vAlign w:val="bottom"/>
            <w:shd w:val="clear" w:color="auto" w:fill="CCFFCC"/>
          </w:tcPr>
          <w:p>
            <w:pPr>
              <w:ind w:left="140"/>
              <w:spacing w:after="0"/>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Item 13.</w:t>
            </w:r>
          </w:p>
        </w:tc>
        <w:tc>
          <w:tcPr>
            <w:tcW w:w="9160" w:type="dxa"/>
            <w:vAlign w:val="bottom"/>
          </w:tcPr>
          <w:p>
            <w:pPr>
              <w:ind w:left="14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1020" w:type="dxa"/>
            <w:vAlign w:val="bottom"/>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FFCC"/>
          </w:tcPr>
          <w:p>
            <w:pPr>
              <w:spacing w:after="0"/>
              <w:rPr>
                <w:sz w:val="20"/>
                <w:szCs w:val="20"/>
                <w:color w:val="auto"/>
              </w:rPr>
            </w:pPr>
            <w:r>
              <w:rPr>
                <w:rFonts w:ascii="Arial" w:cs="Arial" w:eastAsia="Arial" w:hAnsi="Arial"/>
                <w:sz w:val="18"/>
                <w:szCs w:val="18"/>
                <w:color w:val="auto"/>
              </w:rPr>
              <w:t>Item 14.</w:t>
            </w:r>
          </w:p>
        </w:tc>
        <w:tc>
          <w:tcPr>
            <w:tcW w:w="9160" w:type="dxa"/>
            <w:vAlign w:val="bottom"/>
            <w:shd w:val="clear" w:color="auto" w:fill="CCFFCC"/>
          </w:tcPr>
          <w:p>
            <w:pPr>
              <w:ind w:left="140"/>
              <w:spacing w:after="0"/>
              <w:rPr>
                <w:sz w:val="20"/>
                <w:szCs w:val="20"/>
                <w:color w:val="auto"/>
              </w:rPr>
            </w:pPr>
            <w:r>
              <w:rPr>
                <w:rFonts w:ascii="Arial" w:cs="Arial" w:eastAsia="Arial" w:hAnsi="Arial"/>
                <w:sz w:val="18"/>
                <w:szCs w:val="18"/>
                <w:color w:val="auto"/>
              </w:rPr>
              <w:t>Principal Accountant Fees and Services.</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9160" w:type="dxa"/>
            <w:vAlign w:val="bottom"/>
            <w:shd w:val="clear" w:color="auto" w:fill="CCFFCC"/>
          </w:tcPr>
          <w:p>
            <w:pPr>
              <w:jc w:val="center"/>
              <w:ind w:right="130"/>
              <w:spacing w:after="0"/>
              <w:rPr>
                <w:sz w:val="20"/>
                <w:szCs w:val="20"/>
                <w:color w:val="auto"/>
              </w:rPr>
            </w:pPr>
            <w:r>
              <w:rPr>
                <w:rFonts w:ascii="Arial" w:cs="Arial" w:eastAsia="Arial" w:hAnsi="Arial"/>
                <w:sz w:val="18"/>
                <w:szCs w:val="18"/>
                <w:color w:val="auto"/>
                <w:w w:val="94"/>
              </w:rPr>
              <w:t>PART IV</w:t>
            </w:r>
          </w:p>
        </w:tc>
        <w:tc>
          <w:tcPr>
            <w:tcW w:w="102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20" w:type="dxa"/>
            <w:vAlign w:val="bottom"/>
            <w:shd w:val="clear" w:color="auto" w:fill="CCFFCC"/>
          </w:tcPr>
          <w:p>
            <w:pPr>
              <w:spacing w:after="0"/>
              <w:rPr>
                <w:sz w:val="20"/>
                <w:szCs w:val="20"/>
                <w:color w:val="auto"/>
              </w:rPr>
            </w:pPr>
            <w:r>
              <w:rPr>
                <w:rFonts w:ascii="Arial" w:cs="Arial" w:eastAsia="Arial" w:hAnsi="Arial"/>
                <w:sz w:val="18"/>
                <w:szCs w:val="18"/>
                <w:color w:val="auto"/>
              </w:rPr>
              <w:t>Item 15.</w:t>
            </w:r>
          </w:p>
        </w:tc>
        <w:tc>
          <w:tcPr>
            <w:tcW w:w="9160" w:type="dxa"/>
            <w:vAlign w:val="bottom"/>
            <w:shd w:val="clear" w:color="auto" w:fill="CCFFCC"/>
          </w:tcPr>
          <w:p>
            <w:pPr>
              <w:ind w:left="140"/>
              <w:spacing w:after="0"/>
              <w:rPr>
                <w:sz w:val="20"/>
                <w:szCs w:val="20"/>
                <w:color w:val="auto"/>
              </w:rPr>
            </w:pPr>
            <w:r>
              <w:rPr>
                <w:rFonts w:ascii="Arial" w:cs="Arial" w:eastAsia="Arial" w:hAnsi="Arial"/>
                <w:sz w:val="18"/>
                <w:szCs w:val="18"/>
                <w:color w:val="auto"/>
              </w:rPr>
              <w:t>Exhibits and Financial Statement Schedules.</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20" w:type="dxa"/>
            <w:vAlign w:val="bottom"/>
            <w:shd w:val="clear" w:color="auto" w:fill="CCFFCC"/>
          </w:tcPr>
          <w:p>
            <w:pPr>
              <w:spacing w:after="0"/>
              <w:rPr>
                <w:sz w:val="20"/>
                <w:szCs w:val="20"/>
                <w:color w:val="auto"/>
              </w:rPr>
            </w:pPr>
            <w:r>
              <w:rPr>
                <w:rFonts w:ascii="Arial" w:cs="Arial" w:eastAsia="Arial" w:hAnsi="Arial"/>
                <w:sz w:val="18"/>
                <w:szCs w:val="18"/>
                <w:color w:val="auto"/>
              </w:rPr>
              <w:t>SIGNATURES</w:t>
            </w:r>
          </w:p>
        </w:tc>
        <w:tc>
          <w:tcPr>
            <w:tcW w:w="916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380" w:type="dxa"/>
            <w:vAlign w:val="bottom"/>
            <w:gridSpan w:val="2"/>
          </w:tcPr>
          <w:p>
            <w:pPr>
              <w:spacing w:after="0"/>
              <w:rPr>
                <w:sz w:val="20"/>
                <w:szCs w:val="20"/>
                <w:color w:val="auto"/>
              </w:rPr>
            </w:pPr>
            <w:r>
              <w:rPr>
                <w:rFonts w:ascii="Arial" w:cs="Arial" w:eastAsia="Arial" w:hAnsi="Arial"/>
                <w:sz w:val="18"/>
                <w:szCs w:val="18"/>
                <w:color w:val="auto"/>
              </w:rPr>
              <w:t>INDEX TO EXHIBITS</w:t>
            </w:r>
          </w:p>
        </w:tc>
        <w:tc>
          <w:tcPr>
            <w:tcW w:w="1020" w:type="dxa"/>
            <w:vAlign w:val="bottom"/>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3"/>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160" w:type="dxa"/>
            <w:vAlign w:val="bottom"/>
          </w:tcPr>
          <w:p>
            <w:pPr>
              <w:jc w:val="center"/>
              <w:ind w:right="130"/>
              <w:spacing w:after="0"/>
              <w:rPr>
                <w:sz w:val="20"/>
                <w:szCs w:val="20"/>
                <w:color w:val="auto"/>
              </w:rPr>
            </w:pPr>
            <w:r>
              <w:rPr>
                <w:rFonts w:ascii="Arial" w:cs="Arial" w:eastAsia="Arial" w:hAnsi="Arial"/>
                <w:sz w:val="18"/>
                <w:szCs w:val="18"/>
                <w:color w:val="auto"/>
                <w:w w:val="99"/>
              </w:rPr>
              <w:t>2</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916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PART 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 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 DISCUSSION</w:t>
      </w:r>
    </w:p>
    <w:p>
      <w:pPr>
        <w:spacing w:after="0" w:line="252"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Frequency Electronics, Inc. (sometimes referred to as "Registrant", "Frequency Electronics" or the "Company") was founded in 1961 as a research and development firm in the technology of time and frequency control. Unless the context indicates otherwise, references to the Registrant or the Company are to Frequency Electronics, Inc. and its subsidiaries. References to “FEI” are to the parent company alone and do not refer to any of the subsidiaries.</w:t>
      </w:r>
    </w:p>
    <w:p>
      <w:pPr>
        <w:spacing w:after="0" w:line="174"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 xml:space="preserve">Frequency Electronics was incorporated in Delaware in 1968 and became the successor to the business of Frequency Electronics, Inc., a New York corporation, organized in 1961. The principal executive office of Frequency Electronics is located at 55 Charles Lindbergh Boulevard, Mitchel Field, New York 11553. Its telephone number is 516-794-4500 and its website is </w:t>
      </w:r>
      <w:r>
        <w:rPr>
          <w:rFonts w:ascii="Arial" w:cs="Arial" w:eastAsia="Arial" w:hAnsi="Arial"/>
          <w:sz w:val="18"/>
          <w:szCs w:val="18"/>
          <w:i w:val="1"/>
          <w:iCs w:val="1"/>
          <w:u w:val="single" w:color="auto"/>
          <w:color w:val="auto"/>
        </w:rPr>
        <w:t>www.frequencyelectronics.com</w:t>
      </w:r>
      <w:r>
        <w:rPr>
          <w:rFonts w:ascii="Arial" w:cs="Arial" w:eastAsia="Arial" w:hAnsi="Arial"/>
          <w:sz w:val="18"/>
          <w:szCs w:val="18"/>
          <w:i w:val="1"/>
          <w:iCs w:val="1"/>
          <w:color w:val="auto"/>
        </w:rPr>
        <w:t>.</w:t>
      </w:r>
    </w:p>
    <w:p>
      <w:pPr>
        <w:spacing w:after="0" w:line="208"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In the mid-1990’s, the Company transformed itself from primarily a defense contract manufacturer into a high-tech provider of precision time and frequency products for commercial applications found in both ground-based communication stations and on-board satellites. The Company also continues to support the United States government with products for defense and space applications.</w:t>
      </w:r>
    </w:p>
    <w:p>
      <w:pPr>
        <w:spacing w:after="0" w:line="208"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The Company is a world leader in the design, development and manufacture of high-technology frequency, timing and synchronization products for satellite and terrestrial voice, video and data telecommunications. The Company’s technologies provide unique solutions that are essential building blocks for the next generations of broadband wireless and for the ongoing expansion of existing wireless and wireline networks. The Company’s mission is to provide the most advanced control of frequency and time - essential factors for synchronizing communication networks and for providing reference frequencies for certain military, commercial and scientific, terrestrial and space applications.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MARKETS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has identified the following major markets for its products and technology:</w:t>
      </w:r>
    </w:p>
    <w:p>
      <w:pPr>
        <w:spacing w:after="0" w:line="248"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Satellite Payloads</w:t>
      </w:r>
    </w:p>
    <w:p>
      <w:pPr>
        <w:spacing w:after="0" w:line="256" w:lineRule="exact"/>
        <w:rPr>
          <w:sz w:val="20"/>
          <w:szCs w:val="20"/>
          <w:color w:val="auto"/>
        </w:rPr>
      </w:pPr>
    </w:p>
    <w:p>
      <w:pPr>
        <w:ind w:firstLine="494"/>
        <w:spacing w:after="0" w:line="308" w:lineRule="auto"/>
        <w:tabs>
          <w:tab w:leader="none" w:pos="752" w:val="left"/>
        </w:tabs>
        <w:numPr>
          <w:ilvl w:val="0"/>
          <w:numId w:val="3"/>
        </w:numPr>
        <w:rPr>
          <w:rFonts w:ascii="Arial" w:cs="Arial" w:eastAsia="Arial" w:hAnsi="Arial"/>
          <w:sz w:val="17"/>
          <w:szCs w:val="17"/>
          <w:color w:val="auto"/>
        </w:rPr>
      </w:pPr>
      <w:r>
        <w:rPr>
          <w:rFonts w:ascii="Arial" w:cs="Arial" w:eastAsia="Arial" w:hAnsi="Arial"/>
          <w:sz w:val="17"/>
          <w:szCs w:val="17"/>
          <w:color w:val="auto"/>
        </w:rPr>
        <w:t>Commercial communication satellites- The globe is encircled by multiple satellites used for communication, TV and video broadcasting, Internet access and data transmission. These satellites go through replacement and augmentation cycles over a period of many years.</w:t>
      </w:r>
    </w:p>
    <w:p>
      <w:pPr>
        <w:spacing w:after="0" w:line="173" w:lineRule="exact"/>
        <w:rPr>
          <w:rFonts w:ascii="Arial" w:cs="Arial" w:eastAsia="Arial" w:hAnsi="Arial"/>
          <w:sz w:val="17"/>
          <w:szCs w:val="17"/>
          <w:color w:val="auto"/>
        </w:rPr>
      </w:pPr>
    </w:p>
    <w:p>
      <w:pPr>
        <w:jc w:val="both"/>
        <w:ind w:firstLine="494"/>
        <w:spacing w:after="0" w:line="264" w:lineRule="auto"/>
        <w:tabs>
          <w:tab w:leader="none" w:pos="778" w:val="left"/>
        </w:tabs>
        <w:numPr>
          <w:ilvl w:val="0"/>
          <w:numId w:val="3"/>
        </w:numPr>
        <w:rPr>
          <w:rFonts w:ascii="Arial" w:cs="Arial" w:eastAsia="Arial" w:hAnsi="Arial"/>
          <w:sz w:val="18"/>
          <w:szCs w:val="18"/>
          <w:color w:val="auto"/>
        </w:rPr>
      </w:pPr>
      <w:r>
        <w:rPr>
          <w:rFonts w:ascii="Arial" w:cs="Arial" w:eastAsia="Arial" w:hAnsi="Arial"/>
          <w:sz w:val="18"/>
          <w:szCs w:val="18"/>
          <w:color w:val="auto"/>
        </w:rPr>
        <w:t>Satellites for the U.S. Department of Defense (“DOD”), National Aeronautics and Space Administrations (“NASA”) and other government agencies- Such satellites, which may be in geostationary, mid- and low-earth orbits, are used for secure communications, surveillance, guidance, global positioning (GPS) and weather tracking in addition to scientific missions and deep space exploration.</w:t>
      </w:r>
    </w:p>
    <w:p>
      <w:pPr>
        <w:spacing w:after="0" w:line="208"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The Company offers its satellite payload customers a full range of space-qualified precision oscillators, frequency generation subsystems and DC-DC power converters.</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U.S. Government &amp; DOD (non-space)</w:t>
      </w:r>
    </w:p>
    <w:p>
      <w:pPr>
        <w:spacing w:after="0" w:line="256" w:lineRule="exact"/>
        <w:rPr>
          <w:sz w:val="20"/>
          <w:szCs w:val="20"/>
          <w:color w:val="auto"/>
        </w:rPr>
      </w:pPr>
    </w:p>
    <w:p>
      <w:pPr>
        <w:jc w:val="both"/>
        <w:ind w:firstLine="494"/>
        <w:spacing w:after="0" w:line="279" w:lineRule="auto"/>
        <w:tabs>
          <w:tab w:leader="none" w:pos="761" w:val="left"/>
        </w:tabs>
        <w:numPr>
          <w:ilvl w:val="0"/>
          <w:numId w:val="4"/>
        </w:numPr>
        <w:rPr>
          <w:rFonts w:ascii="Arial" w:cs="Arial" w:eastAsia="Arial" w:hAnsi="Arial"/>
          <w:sz w:val="17"/>
          <w:szCs w:val="17"/>
          <w:color w:val="auto"/>
        </w:rPr>
      </w:pPr>
      <w:r>
        <w:rPr>
          <w:rFonts w:ascii="Arial" w:cs="Arial" w:eastAsia="Arial" w:hAnsi="Arial"/>
          <w:sz w:val="17"/>
          <w:szCs w:val="17"/>
          <w:color w:val="auto"/>
        </w:rPr>
        <w:t>U.S. Government applications- In addition to satellites, the U.S. Government is in need of ever more secure communication capabilities and is developing secure radios for all branches of the military. The military is also increasing its use of unmanned aerial vehicles (UAVs) and improving the accuracy of the radar and guidance systems on all moving platforms. The Company has expanded its role as a leading supplier of ruggedized precision oscillators and timing systems that significantly improve the performance of communication and targeting systems.</w:t>
      </w:r>
    </w:p>
    <w:p>
      <w:pPr>
        <w:spacing w:after="0" w:line="194"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Network Infrastructure</w:t>
      </w:r>
    </w:p>
    <w:p>
      <w:pPr>
        <w:spacing w:after="0" w:line="256" w:lineRule="exact"/>
        <w:rPr>
          <w:sz w:val="20"/>
          <w:szCs w:val="20"/>
          <w:color w:val="auto"/>
        </w:rPr>
      </w:pPr>
    </w:p>
    <w:p>
      <w:pPr>
        <w:jc w:val="both"/>
        <w:ind w:firstLine="494"/>
        <w:spacing w:after="0" w:line="264" w:lineRule="auto"/>
        <w:tabs>
          <w:tab w:leader="none" w:pos="752" w:val="left"/>
        </w:tabs>
        <w:numPr>
          <w:ilvl w:val="0"/>
          <w:numId w:val="5"/>
        </w:numPr>
        <w:rPr>
          <w:rFonts w:ascii="Arial" w:cs="Arial" w:eastAsia="Arial" w:hAnsi="Arial"/>
          <w:sz w:val="18"/>
          <w:szCs w:val="18"/>
          <w:color w:val="auto"/>
        </w:rPr>
      </w:pPr>
      <w:r>
        <w:rPr>
          <w:rFonts w:ascii="Arial" w:cs="Arial" w:eastAsia="Arial" w:hAnsi="Arial"/>
          <w:sz w:val="18"/>
          <w:szCs w:val="18"/>
          <w:color w:val="auto"/>
        </w:rPr>
        <w:t>Wireless communications- Cellular telephone infrastructure requires precise signal synchronization. In the architecture of many cellular systems, this synchronization is obtained through oscillators provided by the Company. As more services are added and more users come online, the need for synchronization is increased to maintain quality of service.</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 w:name="page5"/>
    <w:bookmarkEnd w:id="4"/>
    <w:p>
      <w:pPr>
        <w:jc w:val="both"/>
        <w:ind w:firstLine="494"/>
        <w:spacing w:after="0" w:line="264" w:lineRule="auto"/>
        <w:tabs>
          <w:tab w:leader="none" w:pos="749" w:val="left"/>
        </w:tabs>
        <w:numPr>
          <w:ilvl w:val="0"/>
          <w:numId w:val="6"/>
        </w:numPr>
        <w:rPr>
          <w:rFonts w:ascii="Arial" w:cs="Arial" w:eastAsia="Arial" w:hAnsi="Arial"/>
          <w:sz w:val="18"/>
          <w:szCs w:val="18"/>
          <w:color w:val="auto"/>
        </w:rPr>
      </w:pPr>
      <w:r>
        <w:rPr>
          <w:rFonts w:ascii="Arial" w:cs="Arial" w:eastAsia="Arial" w:hAnsi="Arial"/>
          <w:sz w:val="18"/>
          <w:szCs w:val="18"/>
          <w:color w:val="auto"/>
        </w:rPr>
        <w:t>WiMAX/LTE- Nascent Internet access technologies are part of new wireless communications alternatives. The consortium of Motorola, Intel and Sprint, for example, are currently building WiMax networks in select cities in the United States as well as in other countries. For some mobile WiMax or LTE (“Long Term Evolution”) networks, precise signal synchronization is provided by Frequency’s oscillators.</w:t>
      </w:r>
    </w:p>
    <w:p>
      <w:pPr>
        <w:spacing w:after="0" w:line="208" w:lineRule="exact"/>
        <w:rPr>
          <w:rFonts w:ascii="Arial" w:cs="Arial" w:eastAsia="Arial" w:hAnsi="Arial"/>
          <w:sz w:val="18"/>
          <w:szCs w:val="18"/>
          <w:color w:val="auto"/>
        </w:rPr>
      </w:pPr>
    </w:p>
    <w:p>
      <w:pPr>
        <w:jc w:val="both"/>
        <w:ind w:firstLine="494"/>
        <w:spacing w:after="0" w:line="259" w:lineRule="auto"/>
        <w:tabs>
          <w:tab w:leader="none" w:pos="747" w:val="left"/>
        </w:tabs>
        <w:numPr>
          <w:ilvl w:val="0"/>
          <w:numId w:val="6"/>
        </w:numPr>
        <w:rPr>
          <w:rFonts w:ascii="Arial" w:cs="Arial" w:eastAsia="Arial" w:hAnsi="Arial"/>
          <w:sz w:val="18"/>
          <w:szCs w:val="18"/>
          <w:color w:val="auto"/>
        </w:rPr>
      </w:pPr>
      <w:r>
        <w:rPr>
          <w:rFonts w:ascii="Arial" w:cs="Arial" w:eastAsia="Arial" w:hAnsi="Arial"/>
          <w:sz w:val="18"/>
          <w:szCs w:val="18"/>
          <w:color w:val="auto"/>
        </w:rPr>
        <w:t>Wireline synchronization- World-wide, a vast infrastructure supports the wired communications networks. These networks also require significant synchronization equipment which is housed in thousands of Central Offices operated by telephone companies. These equipments require upgrade and replacement to maintain the integrity of the wireline networks and inter-connectivity. The Company provides scalable synchronization equipment to telecommunications companies world-wide.</w:t>
      </w:r>
    </w:p>
    <w:p>
      <w:pPr>
        <w:spacing w:after="0" w:line="210"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Other Industrial Applications</w:t>
      </w:r>
    </w:p>
    <w:p>
      <w:pPr>
        <w:spacing w:after="0" w:line="256" w:lineRule="exact"/>
        <w:rPr>
          <w:sz w:val="20"/>
          <w:szCs w:val="20"/>
          <w:color w:val="auto"/>
        </w:rPr>
      </w:pPr>
    </w:p>
    <w:p>
      <w:pPr>
        <w:ind w:left="740" w:hanging="246"/>
        <w:spacing w:after="0"/>
        <w:tabs>
          <w:tab w:leader="none" w:pos="74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Remote management of networks, such as power grids and gas lines, can be accomplished through the Company’s LYNX SCADA system.</w:t>
      </w:r>
    </w:p>
    <w:p>
      <w:pPr>
        <w:spacing w:after="0" w:line="263" w:lineRule="exact"/>
        <w:rPr>
          <w:rFonts w:ascii="Arial" w:cs="Arial" w:eastAsia="Arial" w:hAnsi="Arial"/>
          <w:sz w:val="17"/>
          <w:szCs w:val="17"/>
          <w:color w:val="auto"/>
        </w:rPr>
      </w:pPr>
    </w:p>
    <w:p>
      <w:pPr>
        <w:ind w:right="20" w:firstLine="494"/>
        <w:spacing w:after="0" w:line="277" w:lineRule="auto"/>
        <w:tabs>
          <w:tab w:leader="none" w:pos="764" w:val="left"/>
        </w:tabs>
        <w:numPr>
          <w:ilvl w:val="0"/>
          <w:numId w:val="7"/>
        </w:numPr>
        <w:rPr>
          <w:rFonts w:ascii="Arial" w:cs="Arial" w:eastAsia="Arial" w:hAnsi="Arial"/>
          <w:sz w:val="18"/>
          <w:szCs w:val="18"/>
          <w:color w:val="auto"/>
        </w:rPr>
      </w:pPr>
      <w:r>
        <w:rPr>
          <w:rFonts w:ascii="Arial" w:cs="Arial" w:eastAsia="Arial" w:hAnsi="Arial"/>
          <w:sz w:val="18"/>
          <w:szCs w:val="18"/>
          <w:color w:val="auto"/>
        </w:rPr>
        <w:t>Deep earth drilling for oil and gas in harsh environments can be done more efficiently through utilization of the Company’s high temperature tolerant oscillators and GPS timing technology.</w:t>
      </w:r>
    </w:p>
    <w:p>
      <w:pPr>
        <w:spacing w:after="0" w:line="197"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To address these markets, the Company has formed several corporate entities which operate under three reportable segments. (See also the section entitled REPORTABLE SEGMENTS below):</w:t>
      </w:r>
    </w:p>
    <w:p>
      <w:pPr>
        <w:spacing w:after="0" w:line="193" w:lineRule="exact"/>
        <w:rPr>
          <w:sz w:val="20"/>
          <w:szCs w:val="20"/>
          <w:color w:val="auto"/>
        </w:rPr>
      </w:pPr>
    </w:p>
    <w:p>
      <w:pPr>
        <w:jc w:val="both"/>
        <w:ind w:left="500" w:hanging="492"/>
        <w:spacing w:after="0" w:line="289" w:lineRule="auto"/>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b w:val="1"/>
          <w:bCs w:val="1"/>
          <w:u w:val="single" w:color="auto"/>
          <w:color w:val="auto"/>
        </w:rPr>
        <w:t>FEI-NY</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Company’s space and terrestrial commercial communications products are designed, developed and manufactured by its wholly-owned</w:t>
      </w:r>
      <w:r>
        <w:rPr>
          <w:rFonts w:ascii="Arial" w:cs="Arial" w:eastAsia="Arial" w:hAnsi="Arial"/>
          <w:sz w:val="17"/>
          <w:szCs w:val="17"/>
          <w:b w:val="1"/>
          <w:bCs w:val="1"/>
          <w:color w:val="auto"/>
        </w:rPr>
        <w:t xml:space="preserve"> </w:t>
      </w:r>
      <w:r>
        <w:rPr>
          <w:rFonts w:ascii="Arial" w:cs="Arial" w:eastAsia="Arial" w:hAnsi="Arial"/>
          <w:sz w:val="17"/>
          <w:szCs w:val="17"/>
          <w:color w:val="auto"/>
        </w:rPr>
        <w:t>subsidiary, FEI Communications, Inc. (“FEIC”). FEIC was incorporated in Delaware in December 1991, as a separate subsidiary company to provide ownership and management of assets and other services appropriate for commercial clients, both domestic and foreign.</w:t>
      </w:r>
    </w:p>
    <w:p>
      <w:pPr>
        <w:spacing w:after="0" w:line="189" w:lineRule="exact"/>
        <w:rPr>
          <w:rFonts w:ascii="Arial" w:cs="Arial" w:eastAsia="Arial" w:hAnsi="Arial"/>
          <w:sz w:val="17"/>
          <w:szCs w:val="17"/>
          <w:color w:val="auto"/>
        </w:rPr>
      </w:pPr>
    </w:p>
    <w:p>
      <w:pPr>
        <w:jc w:val="both"/>
        <w:ind w:left="500"/>
        <w:spacing w:after="0" w:line="264" w:lineRule="auto"/>
        <w:rPr>
          <w:rFonts w:ascii="Arial" w:cs="Arial" w:eastAsia="Arial" w:hAnsi="Arial"/>
          <w:sz w:val="17"/>
          <w:szCs w:val="17"/>
          <w:color w:val="auto"/>
        </w:rPr>
      </w:pPr>
      <w:r>
        <w:rPr>
          <w:rFonts w:ascii="Arial" w:cs="Arial" w:eastAsia="Arial" w:hAnsi="Arial"/>
          <w:sz w:val="18"/>
          <w:szCs w:val="18"/>
          <w:color w:val="auto"/>
        </w:rPr>
        <w:t>Frequency Electronics, Inc. Asia (“FEI-Asia”) was established in fiscal year 2002 to be the Company’s Asian-based low cost manufacturer of certain commercial communications products used primarily in the wireless and wireline markets. FEI-Asia is located in the Free-Trade Zone in Tianjin, China.</w:t>
      </w:r>
    </w:p>
    <w:p>
      <w:pPr>
        <w:spacing w:after="0" w:line="208" w:lineRule="exact"/>
        <w:rPr>
          <w:rFonts w:ascii="Arial" w:cs="Arial" w:eastAsia="Arial" w:hAnsi="Arial"/>
          <w:sz w:val="17"/>
          <w:szCs w:val="17"/>
          <w:color w:val="auto"/>
        </w:rPr>
      </w:pPr>
    </w:p>
    <w:p>
      <w:pPr>
        <w:ind w:left="500"/>
        <w:spacing w:after="0" w:line="277" w:lineRule="auto"/>
        <w:rPr>
          <w:rFonts w:ascii="Arial" w:cs="Arial" w:eastAsia="Arial" w:hAnsi="Arial"/>
          <w:sz w:val="17"/>
          <w:szCs w:val="17"/>
          <w:color w:val="auto"/>
        </w:rPr>
      </w:pPr>
      <w:r>
        <w:rPr>
          <w:rFonts w:ascii="Arial" w:cs="Arial" w:eastAsia="Arial" w:hAnsi="Arial"/>
          <w:sz w:val="18"/>
          <w:szCs w:val="18"/>
          <w:color w:val="auto"/>
        </w:rPr>
        <w:t>The Company’s subsidiary, FEI Government Systems, Inc. (“FEI-GSI”), was formed in fiscal year 2002 to focus on supplying the Company’s technology and legacy proprietary products to the United States military and other U.S. Government agencies.</w:t>
      </w:r>
    </w:p>
    <w:p>
      <w:pPr>
        <w:spacing w:after="0" w:line="193" w:lineRule="exact"/>
        <w:rPr>
          <w:rFonts w:ascii="Arial" w:cs="Arial" w:eastAsia="Arial" w:hAnsi="Arial"/>
          <w:sz w:val="17"/>
          <w:szCs w:val="17"/>
          <w:color w:val="auto"/>
        </w:rPr>
      </w:pPr>
    </w:p>
    <w:p>
      <w:pPr>
        <w:jc w:val="both"/>
        <w:ind w:left="500" w:hanging="492"/>
        <w:spacing w:after="0" w:line="266"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b w:val="1"/>
          <w:bCs w:val="1"/>
          <w:u w:val="single" w:color="auto"/>
          <w:color w:val="auto"/>
        </w:rPr>
        <w:t>Gillam-FEI</w:t>
      </w:r>
      <w:r>
        <w:rPr>
          <w:rFonts w:ascii="Arial" w:cs="Arial" w:eastAsia="Arial" w:hAnsi="Arial"/>
          <w:sz w:val="18"/>
          <w:szCs w:val="18"/>
          <w:b w:val="1"/>
          <w:bCs w:val="1"/>
          <w:color w:val="auto"/>
        </w:rPr>
        <w:t xml:space="preserve"> </w:t>
      </w:r>
      <w:r>
        <w:rPr>
          <w:rFonts w:ascii="Arial" w:cs="Arial" w:eastAsia="Arial" w:hAnsi="Arial"/>
          <w:sz w:val="18"/>
          <w:szCs w:val="18"/>
          <w:color w:val="auto"/>
        </w:rPr>
        <w:t>- The Company’s Belgian subsidiary, acquired in September 2000, develops and manufactures products for wireline and network</w:t>
      </w:r>
      <w:r>
        <w:rPr>
          <w:rFonts w:ascii="Arial" w:cs="Arial" w:eastAsia="Arial" w:hAnsi="Arial"/>
          <w:sz w:val="18"/>
          <w:szCs w:val="18"/>
          <w:b w:val="1"/>
          <w:bCs w:val="1"/>
          <w:color w:val="auto"/>
        </w:rPr>
        <w:t xml:space="preserve"> </w:t>
      </w:r>
      <w:r>
        <w:rPr>
          <w:rFonts w:ascii="Arial" w:cs="Arial" w:eastAsia="Arial" w:hAnsi="Arial"/>
          <w:sz w:val="18"/>
          <w:szCs w:val="18"/>
          <w:color w:val="auto"/>
        </w:rPr>
        <w:t>synchronization systems. Products delivered by Gillam-FEI provide essential network management and wireline synchronization for a variety of industries and telecommunications providers in Europe, Africa, the Middle East and Asia.</w:t>
      </w:r>
    </w:p>
    <w:p>
      <w:pPr>
        <w:spacing w:after="0" w:line="203" w:lineRule="exact"/>
        <w:rPr>
          <w:rFonts w:ascii="Arial" w:cs="Arial" w:eastAsia="Arial" w:hAnsi="Arial"/>
          <w:sz w:val="18"/>
          <w:szCs w:val="18"/>
          <w:color w:val="auto"/>
        </w:rPr>
      </w:pPr>
    </w:p>
    <w:p>
      <w:pPr>
        <w:jc w:val="both"/>
        <w:ind w:left="500" w:hanging="492"/>
        <w:spacing w:after="0" w:line="258"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b w:val="1"/>
          <w:bCs w:val="1"/>
          <w:u w:val="single" w:color="auto"/>
          <w:color w:val="auto"/>
        </w:rPr>
        <w:t>FEI-Zyfer</w:t>
      </w:r>
      <w:r>
        <w:rPr>
          <w:rFonts w:ascii="Arial" w:cs="Arial" w:eastAsia="Arial" w:hAnsi="Arial"/>
          <w:sz w:val="18"/>
          <w:szCs w:val="18"/>
          <w:b w:val="1"/>
          <w:bCs w:val="1"/>
          <w:color w:val="auto"/>
        </w:rPr>
        <w:t xml:space="preserve"> </w:t>
      </w:r>
      <w:r>
        <w:rPr>
          <w:rFonts w:ascii="Arial" w:cs="Arial" w:eastAsia="Arial" w:hAnsi="Arial"/>
          <w:sz w:val="18"/>
          <w:szCs w:val="18"/>
          <w:color w:val="auto"/>
        </w:rPr>
        <w:t>- Precision time and frequency generation and synchronization products that incorporate global positioning systems (“GPS”) technology are</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manufactured by the Company’s subsidiary FEI-Zyfer, Inc. (“FEI-Zyfer”), which was acquired in fiscal year 2004. FEI-Zyfer’s GPS capability complements the Company’s existing technologies and permits the combined entities to provide a broader range of embedded systems for a variety of timing functions. FEI-Zyfer also provides sales and support in the United States for the Company’s wireline telecommunications family of products including the next generation carrier network synchronization product line, US5G.</w:t>
      </w:r>
    </w:p>
    <w:p>
      <w:pPr>
        <w:spacing w:after="0" w:line="215"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In addition to the operating segments, the Company has made a strategic investment in Morion, Inc. (“Morion”), a Russian crystal oscillator manufacturer located in St. Petersburg, Russia. The Company’s ownership of 4.6% of the outstanding shares of Morion’s common stock permits the Company to secure a cost-effective source for high precision quartz resonators and crystal oscillators, many of which are based on the Company’s design and development work. The Morion investment is accounted for under the cost method. (See Note 9 to the Consolidated Financial Statements)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 w:name="page6"/>
    <w:bookmarkEnd w:id="5"/>
    <w:p>
      <w:pPr>
        <w:jc w:val="both"/>
        <w:ind w:firstLine="486"/>
        <w:spacing w:after="0" w:line="255" w:lineRule="auto"/>
        <w:rPr>
          <w:sz w:val="20"/>
          <w:szCs w:val="20"/>
          <w:color w:val="auto"/>
        </w:rPr>
      </w:pPr>
      <w:r>
        <w:rPr>
          <w:rFonts w:ascii="Arial" w:cs="Arial" w:eastAsia="Arial" w:hAnsi="Arial"/>
          <w:sz w:val="18"/>
          <w:szCs w:val="18"/>
          <w:color w:val="auto"/>
        </w:rPr>
        <w:t>In December 2006, the Company acquired a 25% interest (20% on a fully-diluted basis) in Elcom Technologies, Inc. (“Elcom”), a domestic U.S., privately-held RF microwave company. Elcom designs and manufactures high switching speed, low phase noise microwave synthesizers, up-down converters, receivers, ceramic resonant oscillators and dielectric resonant oscillators up to 40 GHz. These instruments and components are critical for communication, surveillance, signal intelligence, automatic testing, satellite ground stations and satellite payloads. The Company accounts for its Elcom investment on the equity basis and the Company’s statement of operations includes its proportionate share of Elcom’s operating results. (See Note 11 to the Consolidated Financial Statements)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FISCAL 2011 SIGNIFICANT MATTERS</w:t>
      </w:r>
    </w:p>
    <w:p>
      <w:pPr>
        <w:spacing w:after="0" w:line="24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Reduction of Deferred Tax Asset Valuation Allowance</w:t>
      </w:r>
    </w:p>
    <w:p>
      <w:pPr>
        <w:spacing w:after="0" w:line="256"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During the fourth quarter of fiscal year 2011, the Company reduced its valuation allowance against deferred tax assets in the amount of $3.6 million. This recognition was the result of a review of all available evidence as required by generally accepted accounting principles in the U.S., including the negative evidence of cumulative losses in prior years which required the recording of a substantial valuation allowance in fiscal year 2009. Management of the Company considered the profitable performance for fiscal years 2011 and 2010 as well as substantial new contract awards which have increased the Company’s long-term backlog to its highest level over the previous 20-year period. Such contracts will enable the Company to continue to generate operating profits in fiscal year 2012 and beyond. Management believes these factors overcome the prior years’ cumulative loss position. Based on this assessment, the Company’s management believes it is more likely than not that it will be able to realize the tax benefits from the future deductibility of many items included in its deferred tax assets. Accordingly, the Company reduced by $3.6 million the previous $8.1 million valuation allowance that had been established in prior periods. The amount of the non-cash valuation allowance reduction was based on management’s estimates of taxable income by reporting segment and taxing jurisdictions and the period over which the Company believes deferred tax assets will be realized.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REPORTABLE SEGMENTS AND PRODUCTS</w:t>
      </w:r>
    </w:p>
    <w:p>
      <w:pPr>
        <w:spacing w:after="0" w:line="252"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The Company operates under three reportable segments, primarily aligned with the geographical locations of its subsidiaries: (1) FEI-NY, (2) Gillam-FEI; and (3) FEI-Zyfer. Within each segment the Company designs, develops, manufactures and markets precision time and frequency control products for different markets as described below. The Company’s Chief Executive Officer measures segment performance based on total revenues and profits generated by each geographic center rather than on the specific types of customers or end-users. Consequently, the Company determined that limiting the number of segments to the three indicated above appropriately reflects the way the Company’s management views the business.</w:t>
      </w:r>
    </w:p>
    <w:p>
      <w:pPr>
        <w:spacing w:after="0" w:line="200"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Company reports its segment information on essentially a geographic basis. The FEI-NY segment, which operates out of the Company’s New York headquarters facility also includes the operations of the Company’s wholly-owned subsidiary, FEI-Asia. FEI-Asia functions primarily as a manufacturing facility for the FEI-NY segment with minimal sales to outside customers.</w:t>
      </w:r>
    </w:p>
    <w:p>
      <w:pPr>
        <w:spacing w:after="0" w:line="208"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products for the FEI-NY segment are principally marketed to the commercial and U.S. Government satellite markets, to other U.S. Department of Defense programs and to wireless communications networks. The Gillam-FEI segment operates out of Belgium and France and designs, develops and manufactures products for wireline and network synchronization. Its products are currently sold to non-U.S. customers and its US5G product line has recently been introduced to the domestic U.S. market through the Company’s FEI-Zyfer segment which provides sales and support for the US5G family of products. The primary business of the FEI-Zyfer segment, which operates out of California, is the design and manufacture of products which incorporate GPS technologies. FEI-Zyfer sells its products to both commercial and U.S. Government customers and collaborates with other FEI segments on joint product development activities.</w:t>
      </w:r>
    </w:p>
    <w:p>
      <w:pPr>
        <w:spacing w:after="0" w:line="21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During fiscal years 2011 and 2010 approximately 62% and 59%, respectively, of the Company’s consolidated revenues were from products sold by the FEI-NY segment. Sales by Gillam-FEI were approximately 25% and 26% of consolidated revenues for fiscal years 2011 and 2010, respectively. In fiscal years 2011 and 2010, sales for the FEI-Zyfer segment were 20% and 23% of consolidated revenues, respectively. (The sum of annual sales percentages exceeds 100% due to intersegment sales.)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 w:name="page7"/>
    <w:bookmarkEnd w:id="6"/>
    <w:p>
      <w:pPr>
        <w:jc w:val="both"/>
        <w:ind w:firstLine="486"/>
        <w:spacing w:after="0" w:line="264" w:lineRule="auto"/>
        <w:rPr>
          <w:sz w:val="20"/>
          <w:szCs w:val="20"/>
          <w:color w:val="auto"/>
        </w:rPr>
      </w:pPr>
      <w:r>
        <w:rPr>
          <w:rFonts w:ascii="Arial" w:cs="Arial" w:eastAsia="Arial" w:hAnsi="Arial"/>
          <w:sz w:val="18"/>
          <w:szCs w:val="18"/>
          <w:color w:val="auto"/>
        </w:rPr>
        <w:t>Consolidated revenues include sales to end-users in countries located outside of the United States. During fiscal years 2011 and 2010, foreign sales comprised 28% and 25%, respectively, of consolidated revenues. Segment information regarding revenues, including foreign sales, operating profits, depreciation and assets is more fully disclosed in Note 15 to the accompanying financial statements.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FEI-NY </w:t>
      </w:r>
      <w:r>
        <w:rPr>
          <w:rFonts w:ascii="Arial" w:cs="Arial" w:eastAsia="Arial" w:hAnsi="Arial"/>
          <w:sz w:val="12"/>
          <w:szCs w:val="12"/>
          <w:b w:val="1"/>
          <w:bCs w:val="1"/>
          <w:color w:val="auto"/>
        </w:rPr>
        <w:t>SEGMENT</w:t>
      </w:r>
      <w:r>
        <w:rPr>
          <w:rFonts w:ascii="Arial" w:cs="Arial" w:eastAsia="Arial" w:hAnsi="Arial"/>
          <w:sz w:val="18"/>
          <w:szCs w:val="18"/>
          <w:b w:val="1"/>
          <w:bCs w:val="1"/>
          <w:color w:val="auto"/>
        </w:rPr>
        <w:t>:</w:t>
      </w:r>
    </w:p>
    <w:p>
      <w:pPr>
        <w:spacing w:after="0" w:line="256"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The Company provides precision time, frequency generation and synchronization products and subsystems that are found in ground-based communication stations, on-board satellites and imbedded in moving platforms operated by the U.S. military. The Company has made a substantial investment in research and development to apply its core technologies to satellite payloads, non-space Department of Defense programs and network infrastructure markets. Revenues for this segment have varied considerably over the past ten fiscal years, based on infrastructure spending patterns by wireless telecommunication companies and demand for new satellites. Over this ten-year time frame, the Company initially experienced accelerated growth in wireless infrastructure revenues followed by a “telecom trough” in fiscal years 2002 and 2003. Accelerated growth began again in late fiscal year 2004 and continued through early fiscal year 2005, to be followed by another slow down into the first two quarters of fiscal year 2006. Beginning in the latter portion of fiscal year 2006, revenues from satellite payloads, both for commercial and U.S. Government applications and sales of ruggedized subsystems for moving platforms of the U.S. military, began to accelerate. The Company expects to continue to generate substantial revenues from deployment of new and replacement satellites and U.S. Government/DOD mission-essential radios and UAVs.</w:t>
      </w:r>
    </w:p>
    <w:p>
      <w:pPr>
        <w:spacing w:after="0" w:line="201"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Satellite Payloads</w:t>
      </w:r>
    </w:p>
    <w:p>
      <w:pPr>
        <w:spacing w:after="0" w:line="256"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The use of satellites launched for communications, navigation, weather forecasting, video and data transmissions and Internet access has expanded the need to transmit increasing amounts of voice, video, and data to earth-based receivers. This requires more precise timing and frequency control at the satellite. The Company manufactures the master clocks (quartz, rubidium and cesium) and other significant timing and frequency generation products for many satellite communication systems, and many of the Company’s other space assemblies are used onboard spacecraft for command, control and power distribution. Efficient and reliable DC-DC power converters are also manufactured for the Company’s own assemblies and as stand-alone products for space applications. The Company’s oven-controlled quartz crystal oscillators are cost-effective precision clocks suited for high-end performance required in satellite transmissions, airborne telephony and geophysical survey positioning systems. Newly developed and upgraded frequency generators, synthesizers, and up/down converters and receivers have augmented the Company’s product offerings and positioned the Company to provide a greater share of a typical satellite’s payload. Commercial satellite programs which utilize the Company’s space-qualified products include Iridium NEXT, MexSat, MSV, ICO, TerreStar, GlobalStar, Intelsat, Inmarsat and numerous others.</w:t>
      </w:r>
    </w:p>
    <w:p>
      <w:pPr>
        <w:spacing w:after="0" w:line="20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In the years ahead, the Company expects that the U.S. DOD will require more secure communication capabilities, more assets in space and greater bandwidth. The Global Positioning Satellite System, the MILSTAR Satellite System and the AEHF Satellite System are examples of the programs in which the Company participates - programs which are important to the success of the U.S. Government’s security, communication and intelligence needs. The Company has manufactured the master clock for the Trident missile, the basic timing system for the Voyager I and Voyager II deep space exploratory missions and the quartz timing system for the Space Shuttle. The Company’s product offerings for U.S. Government satellite programs are similar in design and function to those used on commercial satellites, as described above.</w:t>
      </w:r>
    </w:p>
    <w:p>
      <w:pPr>
        <w:spacing w:after="0" w:line="216"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U.S. Government- non-space:</w:t>
      </w:r>
    </w:p>
    <w:p>
      <w:pPr>
        <w:spacing w:after="0" w:line="256"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In addition to space-based programs, the Company’s proprietary products have been used in airborne and ground-based guidance, navigation, communications, radar, sonar surveillance and electronic countermeasure and timing systems. The Company has developed and patented a low g-sensitivity (gravity) oscillator which offers a 100-fold improvement in accuracy for certain guidance and targeting systems. The Company has demonstrated the functionality of its oscillators on over a dozen U.S. Government platforms and anticipates that many of these programs will be a source of substantial future revenue. Products are built in accordance with DOD standards and are in use on many of the United States’ most sophisticated military aircraft, satellites and missiles.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 w:name="page8"/>
    <w:bookmarkEnd w:id="7"/>
    <w:p>
      <w:pPr>
        <w:jc w:val="both"/>
        <w:ind w:firstLine="486"/>
        <w:spacing w:after="0" w:line="255" w:lineRule="auto"/>
        <w:rPr>
          <w:sz w:val="20"/>
          <w:szCs w:val="20"/>
          <w:color w:val="auto"/>
        </w:rPr>
      </w:pPr>
      <w:r>
        <w:rPr>
          <w:rFonts w:ascii="Arial" w:cs="Arial" w:eastAsia="Arial" w:hAnsi="Arial"/>
          <w:sz w:val="18"/>
          <w:szCs w:val="18"/>
          <w:color w:val="auto"/>
        </w:rPr>
        <w:t>The U.S. Congress and the President are engaged in serious discussions over the country’s budget deficits and the potential exists for significant reductions in future expenditures by the Department of Defense. However, as indicated above, many of the programs and platforms for which Frequency supplies products and systems, are important for maintaining secure communications world-wide, for obtaining vital intelligence and enabling precision targeting capabilities. The future success of the mission of the U.S. military and intelligence gathering community is heavily dependent on successful and timely deployment of these systems. Thus, the Company anticipates that adequate funds will be provided by the U.S. Government to ensure that the programs are completed.</w:t>
      </w:r>
    </w:p>
    <w:p>
      <w:pPr>
        <w:spacing w:after="0" w:line="220"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The Company’s sales on U.S. Government programs for both space and non-space applications are generally made under fixed price contracts either directly with U.S. Government agencies or indirectly through subcontracts intended for government end-use. The price paid to the Company is not subject to adjustment by reason of the costs incurred by the Company in the performance of the contract, except for costs incurred due to contract changes ordered by the customer. These contracts are negotiated on terms under which the Company bears the risk of cost overruns and derives the benefit from cost savings.</w:t>
      </w:r>
    </w:p>
    <w:p>
      <w:pPr>
        <w:spacing w:after="0" w:line="181" w:lineRule="exact"/>
        <w:rPr>
          <w:sz w:val="20"/>
          <w:szCs w:val="20"/>
          <w:color w:val="auto"/>
        </w:rPr>
      </w:pPr>
    </w:p>
    <w:p>
      <w:pPr>
        <w:jc w:val="both"/>
        <w:ind w:right="20" w:firstLine="486"/>
        <w:spacing w:after="0" w:line="308" w:lineRule="auto"/>
        <w:rPr>
          <w:sz w:val="20"/>
          <w:szCs w:val="20"/>
          <w:color w:val="auto"/>
        </w:rPr>
      </w:pPr>
      <w:r>
        <w:rPr>
          <w:rFonts w:ascii="Arial" w:cs="Arial" w:eastAsia="Arial" w:hAnsi="Arial"/>
          <w:sz w:val="17"/>
          <w:szCs w:val="17"/>
          <w:color w:val="auto"/>
        </w:rPr>
        <w:t>Recently the Company has also received several cost-plus-fee contracts. Under these contracts, the Company may be able to recover all of its direct and indirect costs related to the programs plus a pre-determined fee. In the event of substantial cost overruns, the fee may be reduced.</w:t>
      </w:r>
    </w:p>
    <w:p>
      <w:pPr>
        <w:spacing w:after="0" w:line="174"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Negotiations on U.S. Government contracts are sometimes based in part on Certificates of Current Costs. An inaccuracy in such certificates may entitle the government to an appropriate recovery. From time to time, the Defense Contracts Audit Agency ("DCAA") audits the Company's accounts with respect to these contracts. The Company is not aware of any basis for recovery with respect to past certificates.</w:t>
      </w:r>
    </w:p>
    <w:p>
      <w:pPr>
        <w:spacing w:after="0" w:line="208"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All U.S. Government end-use contracts are subject to termination by the purchaser for the convenience of the U.S. Government and are subject to various other provisions for the protection of the U.S. Government. In the event of such termination, the Company is entitled to receive compensation as provided under such contracts and in the applicable U.S. Government regulations.</w:t>
      </w:r>
    </w:p>
    <w:p>
      <w:pPr>
        <w:spacing w:after="0" w:line="204"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Network Infrastructure</w:t>
      </w:r>
    </w:p>
    <w:p>
      <w:pPr>
        <w:spacing w:after="0" w:line="25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development of new and enhanced technologies brings expanded and more reliable telecommunications and Internet services to the public. As digital cellular systems and Personal Communication Systems (“PCS”) networks grow they require more base stations to meet the demand for better connectivity, higher data rates and dependable high quality for cell phone service. Cellular infrastructure integrators and original equipment manufacturers, consisting of some of the world’s largest telecommunications companies, are building out existing networks even as they develop new technologies for future systems.</w:t>
      </w:r>
    </w:p>
    <w:p>
      <w:pPr>
        <w:spacing w:after="0" w:line="21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Wireless communication networks consist of numerous installations located throughout a service area, each with its own base station connected by wire or microwave radio through a network switch. Network operators are in the process of converting older networks to new digital technology and enhanced systems such as CDMA (Code Division Multiple Access), WiMax, LTE, etc. These upgrades require more precise frequency control at the base stations to achieve a higher dependability and quality of services.</w:t>
      </w:r>
    </w:p>
    <w:p>
      <w:pPr>
        <w:spacing w:after="0" w:line="214"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Over the past ten years, in conjunction with its European subsidiary, Gillam-FEI, the Company has developed state-of-the-art carrier network synchronization equipment identified as the US5G product line. These products are intended to provide synchronization and timing references for wireline networks within the United States where approximately 35,000 “shelves” are located in 25,000 Central Offices around the country. Most of the equipment in these Central Offices is obsolete and in need of upgrade or replacement. The Company completed the validation phase for the scalable US5G shelf in fiscal year 2008 at two of the Regional Bell Operating Companies (“RBOC”) and recorded meaningful sales of its US5G products in the United States during fiscal year 2009. In fiscal year 2011, the Company completed the validation phase for a prime reference source and is presently completing the validation phase for a second synchronization product that is intended for smaller offices. In fiscal years 2011 and 2010, sales of the US5G products increased by more than 50% over fiscal year 2009. The Company expects to realize increasing sales of this product line and derivative products during fiscal year 2012.</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G</w:t>
      </w:r>
      <w:r>
        <w:rPr>
          <w:rFonts w:ascii="Arial" w:cs="Arial" w:eastAsia="Arial" w:hAnsi="Arial"/>
          <w:sz w:val="12"/>
          <w:szCs w:val="12"/>
          <w:b w:val="1"/>
          <w:bCs w:val="1"/>
          <w:color w:val="auto"/>
        </w:rPr>
        <w:t>ILLAM</w:t>
      </w:r>
      <w:r>
        <w:rPr>
          <w:rFonts w:ascii="Arial" w:cs="Arial" w:eastAsia="Arial" w:hAnsi="Arial"/>
          <w:sz w:val="18"/>
          <w:szCs w:val="18"/>
          <w:b w:val="1"/>
          <w:bCs w:val="1"/>
          <w:color w:val="auto"/>
        </w:rPr>
        <w:t xml:space="preserve">-FEI </w:t>
      </w:r>
      <w:r>
        <w:rPr>
          <w:rFonts w:ascii="Arial" w:cs="Arial" w:eastAsia="Arial" w:hAnsi="Arial"/>
          <w:sz w:val="12"/>
          <w:szCs w:val="12"/>
          <w:b w:val="1"/>
          <w:bCs w:val="1"/>
          <w:color w:val="auto"/>
        </w:rPr>
        <w:t>SEGMENT</w:t>
      </w:r>
      <w:r>
        <w:rPr>
          <w:rFonts w:ascii="Arial" w:cs="Arial" w:eastAsia="Arial" w:hAnsi="Arial"/>
          <w:sz w:val="18"/>
          <w:szCs w:val="18"/>
          <w:b w:val="1"/>
          <w:bCs w:val="1"/>
          <w:color w:val="auto"/>
        </w:rPr>
        <w:t>:</w:t>
      </w:r>
    </w:p>
    <w:p>
      <w:pPr>
        <w:spacing w:after="0" w:line="256"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Gillam-FEI extends the Company’s competencies into wireline synchronization, network management, and specialized test equipment. With the advent of new digital broadband transmission technologies, reliable synchronization has become the warranty to quality of service for telecommunications operators. Gillam-FEI is among the world leaders in the field of wireline synchronization technology, and its products are targeted for telecommunication operators and network equipment manufacturers that utilize modular and flexible platforms to build reliable digital-network-systems worldwide. Telecommunications operators such as Belgacom, France Telecom, Telefonica and other service providers are among Gillam-FEI’s major customers. With the development of the US5G unit for the FEI-Zyfer segment and the U.S. market, Gillam-FEI also developed a state-of-the-art US5Ge unit and ancillary products intended for deployment in the European, Middle Eastern, Asian and African markets.</w:t>
      </w:r>
    </w:p>
    <w:p>
      <w:pPr>
        <w:spacing w:after="0" w:line="20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Network management systems marketed under the brand name LYNX, are a flexible suite of complementary software modules that are arranged to satisfy the specific needs of telecom operators, electrical utilities, and other operators of distribution networks. The multi-task capability of the LYNX system allows operators to supervise and manage the distribution of electricity, gas, video cables, public lighting, and other networks. Deregulation of utilities, especially in Europe, has created a greater demand for the LYNX product. Major customers presently using LYNX include SIG Electrical Services of Geneva, Switzerland; Electricity Distribution Management for the city of Lausanne, Switzerland; UEM Electricity Distribution Management for the city of Metz, France; Brussels International Airport and Belgian Railways.</w:t>
      </w:r>
    </w:p>
    <w:p>
      <w:pPr>
        <w:spacing w:after="0" w:line="22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Gillam-FEI’s specialized test equipment is mainly targeted for the telecommunications industry.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FEI-Z</w:t>
      </w:r>
      <w:r>
        <w:rPr>
          <w:rFonts w:ascii="Arial" w:cs="Arial" w:eastAsia="Arial" w:hAnsi="Arial"/>
          <w:sz w:val="12"/>
          <w:szCs w:val="12"/>
          <w:b w:val="1"/>
          <w:bCs w:val="1"/>
          <w:color w:val="auto"/>
        </w:rPr>
        <w:t>YFER SEGMENT</w:t>
      </w:r>
      <w:r>
        <w:rPr>
          <w:rFonts w:ascii="Arial" w:cs="Arial" w:eastAsia="Arial" w:hAnsi="Arial"/>
          <w:sz w:val="18"/>
          <w:szCs w:val="18"/>
          <w:b w:val="1"/>
          <w:bCs w:val="1"/>
          <w:color w:val="auto"/>
        </w:rPr>
        <w:t>:</w:t>
      </w:r>
    </w:p>
    <w:p>
      <w:pPr>
        <w:spacing w:after="0" w:line="256"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FEI-Zyfer designs, develops and manufactures products for precision time and frequency generation and synchronization, primarily incorporating GPS technology. FEI-Zyfer’s products make use of both “in-the-clear” civil and “crypto-secured” military signals from GPS. In most cases, FEI-Zyfer’s products are integrated into communications systems, computer networks, test equipment, and military command and control terminals for ground and satellite link applications. More than 60% of revenues are derived from sales where the end user is the U.S. Government. FEI-Zyfer’s products are an important extension of FEI’s core product line, specifically in the area of GPS capabilities. In addition, FEI-Zyfer provides sales and support for the Company’s family of wireline telecommunications US5G and derivative products.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BACKLOG</w:t>
      </w:r>
    </w:p>
    <w:p>
      <w:pPr>
        <w:spacing w:after="0" w:line="252"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As of April 30, 2011, the Company's consolidated backlog amounted to approximately $71 million as compared to approximately $30 million at the beginning of the fiscal year. (See Item 7. Management’s Discussion and Analysis of Financial Condition and Results of Operations). Approximately 60% of this backlog is expected to be filled during the Company’s fiscal year ending April 30, 2012. Included in the backlog at April 30, 2011 is approximately $3.7 million under cost-plus-fee contracts which the Company believes represent firm commitments from its customers for which the Company has not received full funding to date. The Company excludes from backlog any contracts or awards for which it has not received authorization to proceed. On fixed price contracts, the Company excludes any unfunded portion which, as of April 30, 2011, was approximately $4 million. The Company expects these contracts to become fully funded over time and will be added to its backlog at that time. The backlog is subject to change by reason of several factors including possible cancellation of orders, change orders, terms of the contracts and other factors beyond the Company's control. Accordingly, the backlog is not necessarily indicative of the revenues or profits (losses) which may be realized when the results of such contracts are reported.</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auto"/>
        </w:rPr>
        <w:t>CUSTOMERS AND SUPPLIERS</w:t>
      </w:r>
    </w:p>
    <w:p>
      <w:pPr>
        <w:spacing w:after="0" w:line="252"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Company markets its products both directly and through approximately 30 independent sales representative organizations located in the United States, Europe and Asia. Sales to non-U.S. end-users, including the revenues of its overseas subsidiaries, totaled approximately 28% and 25% of net revenues in fiscal years 2011 and 2010, respectively.</w:t>
      </w:r>
    </w:p>
    <w:p>
      <w:pPr>
        <w:spacing w:after="0" w:line="208" w:lineRule="exact"/>
        <w:rPr>
          <w:sz w:val="20"/>
          <w:szCs w:val="20"/>
          <w:color w:val="auto"/>
        </w:rPr>
      </w:pPr>
    </w:p>
    <w:p>
      <w:pPr>
        <w:jc w:val="both"/>
        <w:ind w:right="20" w:firstLine="486"/>
        <w:spacing w:after="0" w:line="308" w:lineRule="auto"/>
        <w:rPr>
          <w:sz w:val="20"/>
          <w:szCs w:val="20"/>
          <w:color w:val="auto"/>
        </w:rPr>
      </w:pPr>
      <w:r>
        <w:rPr>
          <w:rFonts w:ascii="Arial" w:cs="Arial" w:eastAsia="Arial" w:hAnsi="Arial"/>
          <w:sz w:val="17"/>
          <w:szCs w:val="17"/>
          <w:color w:val="auto"/>
        </w:rPr>
        <w:t>The Company's products are sold to both commercial and governmental customers. For each of the years ended April 30, 2011 and 2010, approximately 54% of the Company's sales were made under contracts to the U.S. Government or subcontracts for U.S. Government end-use.</w:t>
      </w:r>
    </w:p>
    <w:p>
      <w:pPr>
        <w:spacing w:after="0" w:line="174"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During fiscal year 2011, Northrop Grumman Corporation (“Northrop”) accounted for more than 10% of consolidated revenues and more than 20% of the FEI-NY segment’s sales. In addition, Motorola Corporation, Lockheed Martin Corporation (“Lockheed”), Boeing Corporation and ITT each accounted for more than 10% of the FEI-NY segment’s sales and, together with Northrop, accounted for approximately 70% of that segments revenues.</w:t>
      </w:r>
    </w:p>
    <w:p>
      <w:pPr>
        <w:spacing w:after="0" w:line="193"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During fiscal year 2010, Northrop and Lockheed each accounted for more than 10% of consolidated revenues and together aggregated approximately 25% of consolidated revenues and approximately 40% of the FEI-NY segment’s sales.</w:t>
      </w:r>
    </w:p>
    <w:p>
      <w:pPr>
        <w:spacing w:after="0" w:line="19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During fiscal years 2011 and 2010, Belgacom was a major customer of the Gillam-FEI segment, accounting for more than 10% of that segment’s revenues each year.</w:t>
      </w:r>
    </w:p>
    <w:p>
      <w:pPr>
        <w:spacing w:after="0" w:line="19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During fiscal year 2011, AT&amp;T and Spiral Solutions and Technologies were major customers of the FEI-Zyfer segment each accounting for more than 10% of that segment’s revenues.</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For the year ended April 30, 2010, AT&amp;T and the State of California each accounted for more than 10% of the FEI-Zyfer segment’s revenues.</w:t>
      </w:r>
    </w:p>
    <w:p>
      <w:pPr>
        <w:spacing w:after="0" w:line="264"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loss by the Company of any one of these customers could have a material adverse effect on the Company’s business. The Company believes its relationship with these companies to be mutually satisfactory and is not aware of any prospect for the cancellation or significant reduction of any of its commercial or existing U.S. Government contracts.</w:t>
      </w:r>
    </w:p>
    <w:p>
      <w:pPr>
        <w:spacing w:after="0" w:line="208"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Company purchases a variety of components such as transistors, resistors, capacitors, connectors and diodes for use in the manufacture of its products. The Company is not dependent upon any one supplier or source of supply for any of its component part purchases and maintains alternative sources of supply for all of its purchased components. The Company has found its suppliers generally to be reliable and price-competitive.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RESEARCH AND DEVELOPMENT</w:t>
      </w:r>
    </w:p>
    <w:p>
      <w:pPr>
        <w:spacing w:after="0" w:line="252"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Company's technological expertise continues to be an important factor to support future growth in revenues and earnings. The Company has focused its internal research and development efforts on improving the core physics and electronic packages in its time and frequency products, conducting research to develop new time and frequency technologies, improving product manufacturability by seeking to reduce its production costs through product redesign and process improvements and other measures to take advantage of lower cost components.</w:t>
      </w:r>
    </w:p>
    <w:p>
      <w:pPr>
        <w:spacing w:after="0" w:line="198"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Company continues to focus a significant portion of its own resources and efforts on developing hardware for satellite (commercial and U.S. Government) and terrestrial commercial communications systems, including wireless, wireline and GPS-related systems. During fiscal years 2011 and 2010, the Company expended $5.1 million and $5.3 million of its own funds, respectively, on such research and development activity. (See also Item 7. Management’s Discussion and Analysis of Financial Condition and Results of Operations.) During fiscal years 2011 and 2010, many of the Company’s development resources were applied to certain cost-plus-fee satellite payload programs. As a result, some of the Company’s development efforts were customer-funded and the costs appear in cost of revenues resulting in reduced internal research and development spending. For fiscal year 2012, the Company is targeting to spend between $4.5 million and $5.5 million on internal research and development projects. The actual amount spent in fiscal year 2012 will depend on market conditions and identification of new opportunities.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auto"/>
        </w:rPr>
        <w:t>PATENTS AND LICENSES</w:t>
      </w:r>
    </w:p>
    <w:p>
      <w:pPr>
        <w:spacing w:after="0" w:line="252"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The Company believes that its business is generally not dependent on patent or license protection. Rather, it is primarily dependent upon the Company's technical competence, the quality of its products and its prompt and responsible contract performance. However, employees working for the Company assign all rights to inventions to the Company and the Company presently holds such patents and licenses. In certain limited circumstances, the U.S. Government may use or permit the use by the Company’s competitors of certain patents or licenses the government has funded. During fiscal year 2003, the Company received a broad and significant patent for new, proprietary quartz oscillator technology which the Company intends to exploit in both legacy and new applications. In 2006, the Company obtained a basic patent for its low g-sensitivity technology.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COMPETITION</w:t>
      </w:r>
    </w:p>
    <w:p>
      <w:pPr>
        <w:spacing w:after="0" w:line="252"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The Company experiences competition in all areas of its business. The Company competes primarily on the basis of the accuracy, performance and reliability of its products, the ability of its products to function under severe conditions, such as in space or other extreme hostile environments, prompt and responsive contract performance, technical competence and price. The Company has a unique and broad product line which includes quartz, rubidium, and cesium based timing references and specialized RF microwave technology. Because of the very high precision of certain of its products, the Company has few competitors. For lower precision components there is significant competition from a number of suppliers.</w:t>
      </w:r>
    </w:p>
    <w:p>
      <w:pPr>
        <w:spacing w:after="0" w:line="200"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recent years, the Company has successfully outsourced certain component manufacturing processes to third parties and to its wholly-owned subsidiary, FEI-Asia in Tianjin, China and to Russian-based Morion, Inc., in which the Company is a minority shareholder. The Company expects this outsourcing to enhance its competitive position on cost while maintaining its high quality standards. The Company believes its ability to obtain raw materials, manufacture finished products, integrate them into systems and sub-systems and interface these systems with end-user applications provides a strong competitive advantage.</w:t>
      </w:r>
    </w:p>
    <w:p>
      <w:pPr>
        <w:spacing w:after="0" w:line="21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Certain of the Company's competitors are larger, have greater financial resources and have larger research and development and marketing staffs. The Company has a strong history of competing successfully in this environment due to the quality, reliability and outstanding record of performance its products have achieved.</w:t>
      </w:r>
    </w:p>
    <w:p>
      <w:pPr>
        <w:spacing w:after="0" w:line="208" w:lineRule="exact"/>
        <w:rPr>
          <w:sz w:val="20"/>
          <w:szCs w:val="20"/>
          <w:color w:val="auto"/>
        </w:rPr>
      </w:pPr>
    </w:p>
    <w:p>
      <w:pPr>
        <w:jc w:val="both"/>
        <w:ind w:right="20" w:firstLine="486"/>
        <w:spacing w:after="0" w:line="286" w:lineRule="auto"/>
        <w:rPr>
          <w:sz w:val="20"/>
          <w:szCs w:val="20"/>
          <w:color w:val="auto"/>
        </w:rPr>
      </w:pPr>
      <w:r>
        <w:rPr>
          <w:rFonts w:ascii="Arial" w:cs="Arial" w:eastAsia="Arial" w:hAnsi="Arial"/>
          <w:sz w:val="17"/>
          <w:szCs w:val="17"/>
          <w:color w:val="auto"/>
        </w:rPr>
        <w:t>With respect to its instruments and systems for timing and synchronization, the Company competes with Agilent Technologies, Symmetricom, Inc., E. G. and G., Inc., Vectron, Inc. and others. Systems for the wireline industry produced by the Gillam-FEI segment compete with Symmetricom, Inc. and Oscilloquartz, a division of Swatch. The Company’s principal competition for space products is the in-house capability of its major customers.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EMPLOYEES</w:t>
      </w:r>
    </w:p>
    <w:p>
      <w:pPr>
        <w:spacing w:after="0" w:line="25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Company employs approximately 350 full-time persons worldwide. None of the U.S., European or Chinese employees is represented by labor unions.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ASPECTS</w:t>
      </w:r>
    </w:p>
    <w:p>
      <w:pPr>
        <w:spacing w:after="0" w:line="252"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Company's business is not seasonal although it expects to experience some fluctuation in revenues during the second fiscal quarter as a result of extended summer holiday periods. No unusual working capital requirements exist.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EXECUTIVE OFFICERS OF THE COMPANY</w:t>
      </w:r>
    </w:p>
    <w:p>
      <w:pPr>
        <w:spacing w:after="0" w:line="25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executive officers hold office until the annual meeting of the Board of Directors following the annual meeting of stockholders, subject to earlier removal by the Board of Directors.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1" w:name="page12"/>
    <w:bookmarkEnd w:id="11"/>
    <w:p>
      <w:pPr>
        <w:ind w:left="500"/>
        <w:spacing w:after="0"/>
        <w:rPr>
          <w:sz w:val="20"/>
          <w:szCs w:val="20"/>
          <w:color w:val="auto"/>
        </w:rPr>
      </w:pPr>
      <w:r>
        <w:rPr>
          <w:rFonts w:ascii="Arial" w:cs="Arial" w:eastAsia="Arial" w:hAnsi="Arial"/>
          <w:sz w:val="17"/>
          <w:szCs w:val="17"/>
          <w:color w:val="auto"/>
        </w:rPr>
        <w:t>The names of all executive officers of the Company and all positions and offices with the Company which they presently hold are as follows:</w:t>
      </w:r>
    </w:p>
    <w:p>
      <w:pPr>
        <w:spacing w:after="0" w:line="264"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Joseph P. Franklin</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020" w:type="dxa"/>
            <w:vAlign w:val="bottom"/>
          </w:tcPr>
          <w:p>
            <w:pPr>
              <w:ind w:left="240"/>
              <w:spacing w:after="0"/>
              <w:rPr>
                <w:sz w:val="20"/>
                <w:szCs w:val="20"/>
                <w:color w:val="auto"/>
              </w:rPr>
            </w:pPr>
            <w:r>
              <w:rPr>
                <w:rFonts w:ascii="Arial" w:cs="Arial" w:eastAsia="Arial" w:hAnsi="Arial"/>
                <w:sz w:val="18"/>
                <w:szCs w:val="18"/>
                <w:color w:val="auto"/>
              </w:rPr>
              <w:t>Chairman of the Board of Directors</w:t>
            </w: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Martin B. Bloch</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020" w:type="dxa"/>
            <w:vAlign w:val="bottom"/>
          </w:tcPr>
          <w:p>
            <w:pPr>
              <w:ind w:left="240"/>
              <w:spacing w:after="0"/>
              <w:rPr>
                <w:sz w:val="20"/>
                <w:szCs w:val="20"/>
                <w:color w:val="auto"/>
              </w:rPr>
            </w:pPr>
            <w:r>
              <w:rPr>
                <w:rFonts w:ascii="Arial" w:cs="Arial" w:eastAsia="Arial" w:hAnsi="Arial"/>
                <w:sz w:val="18"/>
                <w:szCs w:val="18"/>
                <w:color w:val="auto"/>
              </w:rPr>
              <w:t>President, Chief Executive Officer and Director</w:t>
            </w: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Markus Hechler</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020" w:type="dxa"/>
            <w:vAlign w:val="bottom"/>
          </w:tcPr>
          <w:p>
            <w:pPr>
              <w:ind w:left="240"/>
              <w:spacing w:after="0"/>
              <w:rPr>
                <w:sz w:val="20"/>
                <w:szCs w:val="20"/>
                <w:color w:val="auto"/>
              </w:rPr>
            </w:pPr>
            <w:r>
              <w:rPr>
                <w:rFonts w:ascii="Arial" w:cs="Arial" w:eastAsia="Arial" w:hAnsi="Arial"/>
                <w:sz w:val="18"/>
                <w:szCs w:val="18"/>
                <w:color w:val="auto"/>
                <w:w w:val="90"/>
              </w:rPr>
              <w:t>Executive Vice President, President of FEI Government Systems, Inc. and Assistant Secretary</w:t>
            </w: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Steven Strang</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020" w:type="dxa"/>
            <w:vAlign w:val="bottom"/>
          </w:tcPr>
          <w:p>
            <w:pPr>
              <w:ind w:left="240"/>
              <w:spacing w:after="0"/>
              <w:rPr>
                <w:sz w:val="20"/>
                <w:szCs w:val="20"/>
                <w:color w:val="auto"/>
              </w:rPr>
            </w:pPr>
            <w:r>
              <w:rPr>
                <w:rFonts w:ascii="Arial" w:cs="Arial" w:eastAsia="Arial" w:hAnsi="Arial"/>
                <w:sz w:val="18"/>
                <w:szCs w:val="18"/>
                <w:color w:val="auto"/>
              </w:rPr>
              <w:t>President, FEI-Zyfer</w:t>
            </w: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Oleandro Mancini</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020" w:type="dxa"/>
            <w:vAlign w:val="bottom"/>
          </w:tcPr>
          <w:p>
            <w:pPr>
              <w:ind w:left="240"/>
              <w:spacing w:after="0"/>
              <w:rPr>
                <w:sz w:val="20"/>
                <w:szCs w:val="20"/>
                <w:color w:val="auto"/>
              </w:rPr>
            </w:pPr>
            <w:r>
              <w:rPr>
                <w:rFonts w:ascii="Arial" w:cs="Arial" w:eastAsia="Arial" w:hAnsi="Arial"/>
                <w:sz w:val="18"/>
                <w:szCs w:val="18"/>
                <w:color w:val="auto"/>
              </w:rPr>
              <w:t>Senior Vice President, Business Development</w:t>
            </w: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Leonard Martire</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020" w:type="dxa"/>
            <w:vAlign w:val="bottom"/>
          </w:tcPr>
          <w:p>
            <w:pPr>
              <w:ind w:left="240"/>
              <w:spacing w:after="0"/>
              <w:rPr>
                <w:sz w:val="20"/>
                <w:szCs w:val="20"/>
                <w:color w:val="auto"/>
              </w:rPr>
            </w:pPr>
            <w:r>
              <w:rPr>
                <w:rFonts w:ascii="Arial" w:cs="Arial" w:eastAsia="Arial" w:hAnsi="Arial"/>
                <w:sz w:val="18"/>
                <w:szCs w:val="18"/>
                <w:color w:val="auto"/>
              </w:rPr>
              <w:t>Vice President, Program Management</w:t>
            </w: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Thomas McClelland</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020" w:type="dxa"/>
            <w:vAlign w:val="bottom"/>
          </w:tcPr>
          <w:p>
            <w:pPr>
              <w:ind w:left="240"/>
              <w:spacing w:after="0"/>
              <w:rPr>
                <w:sz w:val="20"/>
                <w:szCs w:val="20"/>
                <w:color w:val="auto"/>
              </w:rPr>
            </w:pPr>
            <w:r>
              <w:rPr>
                <w:rFonts w:ascii="Arial" w:cs="Arial" w:eastAsia="Arial" w:hAnsi="Arial"/>
                <w:sz w:val="18"/>
                <w:szCs w:val="18"/>
                <w:color w:val="auto"/>
              </w:rPr>
              <w:t>Vice President, Advanced Development</w:t>
            </w: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Adrian Lalicata</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020" w:type="dxa"/>
            <w:vAlign w:val="bottom"/>
          </w:tcPr>
          <w:p>
            <w:pPr>
              <w:ind w:left="240"/>
              <w:spacing w:after="0"/>
              <w:rPr>
                <w:sz w:val="20"/>
                <w:szCs w:val="20"/>
                <w:color w:val="auto"/>
              </w:rPr>
            </w:pPr>
            <w:r>
              <w:rPr>
                <w:rFonts w:ascii="Arial" w:cs="Arial" w:eastAsia="Arial" w:hAnsi="Arial"/>
                <w:sz w:val="18"/>
                <w:szCs w:val="18"/>
                <w:color w:val="auto"/>
              </w:rPr>
              <w:t>Vice President, RF &amp; Microwave Systems</w:t>
            </w: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Alan Miller</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020" w:type="dxa"/>
            <w:vAlign w:val="bottom"/>
          </w:tcPr>
          <w:p>
            <w:pPr>
              <w:ind w:left="240"/>
              <w:spacing w:after="0"/>
              <w:rPr>
                <w:sz w:val="20"/>
                <w:szCs w:val="20"/>
                <w:color w:val="auto"/>
              </w:rPr>
            </w:pPr>
            <w:r>
              <w:rPr>
                <w:rFonts w:ascii="Arial" w:cs="Arial" w:eastAsia="Arial" w:hAnsi="Arial"/>
                <w:sz w:val="18"/>
                <w:szCs w:val="18"/>
                <w:color w:val="auto"/>
              </w:rPr>
              <w:t>Secretary/Treasurer and Chief Financial Officer</w:t>
            </w: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Robert Klomp</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020" w:type="dxa"/>
            <w:vAlign w:val="bottom"/>
          </w:tcPr>
          <w:p>
            <w:pPr>
              <w:ind w:left="240"/>
              <w:spacing w:after="0"/>
              <w:rPr>
                <w:sz w:val="20"/>
                <w:szCs w:val="20"/>
                <w:color w:val="auto"/>
              </w:rPr>
            </w:pPr>
            <w:r>
              <w:rPr>
                <w:rFonts w:ascii="Arial" w:cs="Arial" w:eastAsia="Arial" w:hAnsi="Arial"/>
                <w:sz w:val="18"/>
                <w:szCs w:val="18"/>
                <w:color w:val="auto"/>
              </w:rPr>
              <w:t>Assistant Secretary</w:t>
            </w:r>
          </w:p>
        </w:tc>
      </w:tr>
      <w:tr>
        <w:trPr>
          <w:trHeight w:val="230"/>
        </w:trPr>
        <w:tc>
          <w:tcPr>
            <w:tcW w:w="2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020" w:type="dxa"/>
            <w:vAlign w:val="bottom"/>
          </w:tcPr>
          <w:p>
            <w:pPr>
              <w:ind w:left="240"/>
              <w:spacing w:after="0"/>
              <w:rPr>
                <w:sz w:val="20"/>
                <w:szCs w:val="20"/>
                <w:color w:val="auto"/>
              </w:rPr>
            </w:pPr>
            <w:r>
              <w:rPr>
                <w:rFonts w:ascii="Arial" w:cs="Arial" w:eastAsia="Arial" w:hAnsi="Arial"/>
                <w:sz w:val="18"/>
                <w:szCs w:val="18"/>
                <w:color w:val="auto"/>
              </w:rPr>
              <w:t>None of the officers and directors is related.</w:t>
            </w:r>
          </w:p>
        </w:tc>
      </w:tr>
    </w:tbl>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Joseph P. Franklin, age 77, has served as a Director of the Company since March 1990. In December 1993 he was elected Chairman of the Board of Directors. He also served as Chief Executive Officer from December 1993 through October 1998 and as Chief Financial Officer from September 1996 through October 1998. From August 1987 to November 1993, he was the Chief Executive Officer of Franklin S.A., a Spanish business consulting company located in Madrid, Spain, specializing in joint ventures, and was a director of several prominent Spanish companies. General Franklin was a Major General in the United States Army until he retired in July 1987.</w:t>
      </w:r>
    </w:p>
    <w:p>
      <w:pPr>
        <w:spacing w:after="0" w:line="2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Martin B. Bloch, age 75, has been a Director of the Company and of its predecessor since 1961. Mr. Bloch is the Company’s President and Chief Executive Officer and has held such positions since inception of the Company, except for the period from December 1993 through October 1998 when General Franklin held the CEO position. Previous to forming the Company, Mr. Bloch served as chief electronics engineer of the Electronics Division of Bulova Watch Company.</w:t>
      </w:r>
    </w:p>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Markus Hechler, age 65, joined the Company in 1967. He was elected to the position of Executive Vice President in February 1999, prior to which he served as Vice President, Manufacturing since 1982. In October 2001, he was named President of the Company’s subsidiary, FEI Government Systems, Inc. He has served as Assistant Secretary since 1978.</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Steven Strang, age 47, was named President of FEI-Zyfer, Inc., effective May 1, 2005. Previously, Mr. Strang was Executive Vice President of this subsidiary and its predecessor companies where he has served for 18 years in various technical and management positions.</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Oleandro Mancini, age 62, joined the Company in August 2000 as Vice President, Business Development and was promoted to Senior Vice President in 2010. Prior to joining the Company, Mr. Mancini served from 1998 as Vice President, Sales and Marketing at Satellite Transmission Systems, Inc. and from 1995 to 1998 as Vice President, Business Development at Cardion, Inc., a Siemens A.G. company. From 1987 to 1995, he held the position of Vice President, Engineering at Cardion, Inc.</w:t>
      </w:r>
    </w:p>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Leonard Martire, age 74, joined the Company in August 1987 and served as Executive Vice President of FEI Microwave, Inc., the Company's wholly-owned subsidiary, until May 1993 when he was elected Vice President, Marketing and Sales. In fiscal year 2007, Mr. Martire assumed the role of Vice President Program Management.</w:t>
      </w:r>
    </w:p>
    <w:p>
      <w:pPr>
        <w:spacing w:after="0" w:line="20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Thomas McClelland, age 56, joined the Company as an engineer in 1984 and was elected Vice President, Commercial Products in March 1999. In fiscal year 2011, Mr. McClelland’s title was modified to Vice President Advanced Development to describe his expanded role in the Company.</w:t>
      </w:r>
    </w:p>
    <w:p>
      <w:pPr>
        <w:spacing w:after="0" w:line="17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Adrian Lalicata, age 64, joined the Company in 2006 as Vice President, RF &amp; Microwave Systems. Prior to joining the Company, Mr. Lalicata served as Vice President of Engineering at Herley-CTI and Communication Techniques, a Dover Company. Mr Lalicata has served as Director of Engineering at Microphase Corp. and Adcomm, Inc. He also held leading engineering positions at Loral Electronic Systems, Cardion Electronics, and Airborne Instruments Laboratories.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2" w:name="page13"/>
    <w:bookmarkEnd w:id="12"/>
    <w:p>
      <w:pPr>
        <w:jc w:val="both"/>
        <w:ind w:firstLine="648"/>
        <w:spacing w:after="0" w:line="259" w:lineRule="auto"/>
        <w:rPr>
          <w:sz w:val="20"/>
          <w:szCs w:val="20"/>
          <w:color w:val="auto"/>
        </w:rPr>
      </w:pPr>
      <w:r>
        <w:rPr>
          <w:rFonts w:ascii="Arial" w:cs="Arial" w:eastAsia="Arial" w:hAnsi="Arial"/>
          <w:sz w:val="18"/>
          <w:szCs w:val="18"/>
          <w:color w:val="auto"/>
        </w:rPr>
        <w:t>Alan Miller, age 62, joined the Company in November 1995 as its corporate controller and was elected to the position of Treasurer and Chief Financial Officer in October 1998. In May 2010, Mr. Miller was also named corporate Secretary. Prior to joining the Company, Mr. Miller served as an operations manager and a consultant to small businesses from 1992 through 1995 and as a Senior Audit Manager with Ernst &amp; Young, L.L.P. from 1980 to 1991.</w:t>
      </w:r>
    </w:p>
    <w:p>
      <w:pPr>
        <w:spacing w:after="0" w:line="21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Robert Klomp, age 67, Assistant Secretary, has been employed by the Company since 1989 as its Director of Human Resources. Prior to joining the Company Mr. Klomp served as Director of Personnel at several technology companies including a division of GEC Marconi Company, Deutsch Relays, Inc. and Lafayette Radio Electronics. Mr. Klomp was elected Assistant Secretary to the Company during fiscal year 2009.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Properties</w:t>
      </w:r>
    </w:p>
    <w:p>
      <w:pPr>
        <w:spacing w:after="0" w:line="25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Company operates out of several facilities located around the world. Each facility is used for manufacturing its products and for administrative activities. The following table presents the location, size and terms of ownership/occupation:</w:t>
      </w:r>
    </w:p>
    <w:p>
      <w:pPr>
        <w:spacing w:after="0" w:line="197" w:lineRule="exact"/>
        <w:rPr>
          <w:sz w:val="20"/>
          <w:szCs w:val="20"/>
          <w:color w:val="auto"/>
        </w:rPr>
      </w:pPr>
    </w:p>
    <w:tbl>
      <w:tblPr>
        <w:tblLayout w:type="fixed"/>
        <w:tblInd w:w="114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920" w:type="dxa"/>
            <w:vAlign w:val="bottom"/>
            <w:tcBorders>
              <w:bottom w:val="single" w:sz="8" w:color="auto"/>
            </w:tcBorders>
          </w:tcPr>
          <w:p>
            <w:pPr>
              <w:ind w:left="1640"/>
              <w:spacing w:after="0"/>
              <w:rPr>
                <w:sz w:val="20"/>
                <w:szCs w:val="20"/>
                <w:color w:val="auto"/>
              </w:rPr>
            </w:pPr>
            <w:r>
              <w:rPr>
                <w:rFonts w:ascii="Arial" w:cs="Arial" w:eastAsia="Arial" w:hAnsi="Arial"/>
                <w:sz w:val="18"/>
                <w:szCs w:val="18"/>
                <w:color w:val="auto"/>
              </w:rPr>
              <w:t>Location</w:t>
            </w:r>
          </w:p>
        </w:tc>
        <w:tc>
          <w:tcPr>
            <w:tcW w:w="280" w:type="dxa"/>
            <w:vAlign w:val="bottom"/>
          </w:tcPr>
          <w:p>
            <w:pPr>
              <w:spacing w:after="0"/>
              <w:rPr>
                <w:sz w:val="20"/>
                <w:szCs w:val="20"/>
                <w:color w:val="auto"/>
              </w:rPr>
            </w:pPr>
          </w:p>
        </w:tc>
        <w:tc>
          <w:tcPr>
            <w:tcW w:w="238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Size (sq. ft.)</w:t>
            </w:r>
          </w:p>
        </w:tc>
        <w:tc>
          <w:tcPr>
            <w:tcW w:w="260" w:type="dxa"/>
            <w:vAlign w:val="bottom"/>
          </w:tcPr>
          <w:p>
            <w:pPr>
              <w:spacing w:after="0"/>
              <w:rPr>
                <w:sz w:val="20"/>
                <w:szCs w:val="20"/>
                <w:color w:val="auto"/>
              </w:rPr>
            </w:pPr>
          </w:p>
        </w:tc>
        <w:tc>
          <w:tcPr>
            <w:tcW w:w="228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Own or Lease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shd w:val="clear" w:color="auto" w:fill="CCFFCC"/>
          </w:tcPr>
          <w:p>
            <w:pPr>
              <w:spacing w:after="0"/>
              <w:rPr>
                <w:sz w:val="20"/>
                <w:szCs w:val="20"/>
                <w:color w:val="auto"/>
              </w:rPr>
            </w:pPr>
            <w:r>
              <w:rPr>
                <w:rFonts w:ascii="Arial" w:cs="Arial" w:eastAsia="Arial" w:hAnsi="Arial"/>
                <w:sz w:val="18"/>
                <w:szCs w:val="18"/>
                <w:color w:val="auto"/>
              </w:rPr>
              <w:t>Long Island, NY</w:t>
            </w:r>
          </w:p>
        </w:tc>
        <w:tc>
          <w:tcPr>
            <w:tcW w:w="26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93,000</w:t>
            </w:r>
          </w:p>
        </w:tc>
        <w:tc>
          <w:tcPr>
            <w:tcW w:w="260" w:type="dxa"/>
            <w:vAlign w:val="bottom"/>
            <w:shd w:val="clear" w:color="auto" w:fill="CCFFCC"/>
          </w:tcPr>
          <w:p>
            <w:pPr>
              <w:spacing w:after="0"/>
              <w:rPr>
                <w:sz w:val="18"/>
                <w:szCs w:val="18"/>
                <w:color w:val="auto"/>
              </w:rPr>
            </w:pPr>
          </w:p>
        </w:tc>
        <w:tc>
          <w:tcPr>
            <w:tcW w:w="2280" w:type="dxa"/>
            <w:vAlign w:val="bottom"/>
            <w:shd w:val="clear" w:color="auto" w:fill="CCFFCC"/>
          </w:tcPr>
          <w:p>
            <w:pPr>
              <w:ind w:left="640"/>
              <w:spacing w:after="0"/>
              <w:rPr>
                <w:sz w:val="20"/>
                <w:szCs w:val="20"/>
                <w:color w:val="auto"/>
              </w:rPr>
            </w:pPr>
            <w:r>
              <w:rPr>
                <w:rFonts w:ascii="Arial" w:cs="Arial" w:eastAsia="Arial" w:hAnsi="Arial"/>
                <w:sz w:val="18"/>
                <w:szCs w:val="18"/>
                <w:color w:val="auto"/>
              </w:rPr>
              <w:t>Lease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shd w:val="clear" w:color="auto" w:fill="CCFFCC"/>
          </w:tcPr>
          <w:p>
            <w:pPr>
              <w:spacing w:after="0"/>
              <w:rPr>
                <w:sz w:val="20"/>
                <w:szCs w:val="20"/>
                <w:color w:val="auto"/>
              </w:rPr>
            </w:pPr>
            <w:r>
              <w:rPr>
                <w:rFonts w:ascii="Arial" w:cs="Arial" w:eastAsia="Arial" w:hAnsi="Arial"/>
                <w:sz w:val="18"/>
                <w:szCs w:val="18"/>
                <w:color w:val="auto"/>
              </w:rPr>
              <w:t>Garden Grove, CA</w:t>
            </w:r>
          </w:p>
        </w:tc>
        <w:tc>
          <w:tcPr>
            <w:tcW w:w="26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27,850</w:t>
            </w:r>
          </w:p>
        </w:tc>
        <w:tc>
          <w:tcPr>
            <w:tcW w:w="260" w:type="dxa"/>
            <w:vAlign w:val="bottom"/>
            <w:shd w:val="clear" w:color="auto" w:fill="CCFFCC"/>
          </w:tcPr>
          <w:p>
            <w:pPr>
              <w:spacing w:after="0"/>
              <w:rPr>
                <w:sz w:val="18"/>
                <w:szCs w:val="18"/>
                <w:color w:val="auto"/>
              </w:rPr>
            </w:pPr>
          </w:p>
        </w:tc>
        <w:tc>
          <w:tcPr>
            <w:tcW w:w="2280" w:type="dxa"/>
            <w:vAlign w:val="bottom"/>
            <w:shd w:val="clear" w:color="auto" w:fill="CCFFCC"/>
          </w:tcPr>
          <w:p>
            <w:pPr>
              <w:ind w:left="640"/>
              <w:spacing w:after="0"/>
              <w:rPr>
                <w:sz w:val="20"/>
                <w:szCs w:val="20"/>
                <w:color w:val="auto"/>
              </w:rPr>
            </w:pPr>
            <w:r>
              <w:rPr>
                <w:rFonts w:ascii="Arial" w:cs="Arial" w:eastAsia="Arial" w:hAnsi="Arial"/>
                <w:sz w:val="18"/>
                <w:szCs w:val="18"/>
                <w:color w:val="auto"/>
              </w:rPr>
              <w:t>Lease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shd w:val="clear" w:color="auto" w:fill="CCFFCC"/>
          </w:tcPr>
          <w:p>
            <w:pPr>
              <w:spacing w:after="0"/>
              <w:rPr>
                <w:sz w:val="20"/>
                <w:szCs w:val="20"/>
                <w:color w:val="auto"/>
              </w:rPr>
            </w:pPr>
            <w:r>
              <w:rPr>
                <w:rFonts w:ascii="Arial" w:cs="Arial" w:eastAsia="Arial" w:hAnsi="Arial"/>
                <w:sz w:val="18"/>
                <w:szCs w:val="18"/>
                <w:color w:val="auto"/>
              </w:rPr>
              <w:t>Liege, Belgium</w:t>
            </w:r>
          </w:p>
        </w:tc>
        <w:tc>
          <w:tcPr>
            <w:tcW w:w="26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34,000</w:t>
            </w:r>
          </w:p>
        </w:tc>
        <w:tc>
          <w:tcPr>
            <w:tcW w:w="260" w:type="dxa"/>
            <w:vAlign w:val="bottom"/>
            <w:shd w:val="clear" w:color="auto" w:fill="CCFFCC"/>
          </w:tcPr>
          <w:p>
            <w:pPr>
              <w:spacing w:after="0"/>
              <w:rPr>
                <w:sz w:val="18"/>
                <w:szCs w:val="18"/>
                <w:color w:val="auto"/>
              </w:rPr>
            </w:pPr>
          </w:p>
        </w:tc>
        <w:tc>
          <w:tcPr>
            <w:tcW w:w="2280" w:type="dxa"/>
            <w:vAlign w:val="bottom"/>
            <w:shd w:val="clear" w:color="auto" w:fill="CCFFCC"/>
          </w:tcPr>
          <w:p>
            <w:pPr>
              <w:ind w:left="640"/>
              <w:spacing w:after="0"/>
              <w:rPr>
                <w:sz w:val="20"/>
                <w:szCs w:val="20"/>
                <w:color w:val="auto"/>
              </w:rPr>
            </w:pPr>
            <w:r>
              <w:rPr>
                <w:rFonts w:ascii="Arial" w:cs="Arial" w:eastAsia="Arial" w:hAnsi="Arial"/>
                <w:sz w:val="18"/>
                <w:szCs w:val="18"/>
                <w:color w:val="auto"/>
              </w:rPr>
              <w:t>Own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shd w:val="clear" w:color="auto" w:fill="CCFFCC"/>
          </w:tcPr>
          <w:p>
            <w:pPr>
              <w:spacing w:after="0"/>
              <w:rPr>
                <w:sz w:val="20"/>
                <w:szCs w:val="20"/>
                <w:color w:val="auto"/>
              </w:rPr>
            </w:pPr>
            <w:r>
              <w:rPr>
                <w:rFonts w:ascii="Arial" w:cs="Arial" w:eastAsia="Arial" w:hAnsi="Arial"/>
                <w:sz w:val="18"/>
                <w:szCs w:val="18"/>
                <w:color w:val="auto"/>
              </w:rPr>
              <w:t>Chalon Sur Saone, France</w:t>
            </w:r>
          </w:p>
        </w:tc>
        <w:tc>
          <w:tcPr>
            <w:tcW w:w="26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5,000</w:t>
            </w:r>
          </w:p>
        </w:tc>
        <w:tc>
          <w:tcPr>
            <w:tcW w:w="260" w:type="dxa"/>
            <w:vAlign w:val="bottom"/>
            <w:shd w:val="clear" w:color="auto" w:fill="CCFFCC"/>
          </w:tcPr>
          <w:p>
            <w:pPr>
              <w:spacing w:after="0"/>
              <w:rPr>
                <w:sz w:val="18"/>
                <w:szCs w:val="18"/>
                <w:color w:val="auto"/>
              </w:rPr>
            </w:pPr>
          </w:p>
        </w:tc>
        <w:tc>
          <w:tcPr>
            <w:tcW w:w="2280" w:type="dxa"/>
            <w:vAlign w:val="bottom"/>
            <w:shd w:val="clear" w:color="auto" w:fill="CCFFCC"/>
          </w:tcPr>
          <w:p>
            <w:pPr>
              <w:ind w:left="640"/>
              <w:spacing w:after="0"/>
              <w:rPr>
                <w:sz w:val="20"/>
                <w:szCs w:val="20"/>
                <w:color w:val="auto"/>
              </w:rPr>
            </w:pPr>
            <w:r>
              <w:rPr>
                <w:rFonts w:ascii="Arial" w:cs="Arial" w:eastAsia="Arial" w:hAnsi="Arial"/>
                <w:sz w:val="18"/>
                <w:szCs w:val="18"/>
                <w:color w:val="auto"/>
              </w:rPr>
              <w:t>Lease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shd w:val="clear" w:color="auto" w:fill="CCFFCC"/>
          </w:tcPr>
          <w:p>
            <w:pPr>
              <w:spacing w:after="0"/>
              <w:rPr>
                <w:sz w:val="20"/>
                <w:szCs w:val="20"/>
                <w:color w:val="auto"/>
              </w:rPr>
            </w:pPr>
            <w:r>
              <w:rPr>
                <w:rFonts w:ascii="Arial" w:cs="Arial" w:eastAsia="Arial" w:hAnsi="Arial"/>
                <w:sz w:val="18"/>
                <w:szCs w:val="18"/>
                <w:color w:val="auto"/>
              </w:rPr>
              <w:t>Tianjin, China</w:t>
            </w:r>
          </w:p>
        </w:tc>
        <w:tc>
          <w:tcPr>
            <w:tcW w:w="26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28,000</w:t>
            </w:r>
          </w:p>
        </w:tc>
        <w:tc>
          <w:tcPr>
            <w:tcW w:w="260" w:type="dxa"/>
            <w:vAlign w:val="bottom"/>
            <w:shd w:val="clear" w:color="auto" w:fill="CCFFCC"/>
          </w:tcPr>
          <w:p>
            <w:pPr>
              <w:spacing w:after="0"/>
              <w:rPr>
                <w:sz w:val="18"/>
                <w:szCs w:val="18"/>
                <w:color w:val="auto"/>
              </w:rPr>
            </w:pPr>
          </w:p>
        </w:tc>
        <w:tc>
          <w:tcPr>
            <w:tcW w:w="2280" w:type="dxa"/>
            <w:vAlign w:val="bottom"/>
            <w:shd w:val="clear" w:color="auto" w:fill="CCFFCC"/>
          </w:tcPr>
          <w:p>
            <w:pPr>
              <w:ind w:left="640"/>
              <w:spacing w:after="0"/>
              <w:rPr>
                <w:sz w:val="20"/>
                <w:szCs w:val="20"/>
                <w:color w:val="auto"/>
              </w:rPr>
            </w:pPr>
            <w:r>
              <w:rPr>
                <w:rFonts w:ascii="Arial" w:cs="Arial" w:eastAsia="Arial" w:hAnsi="Arial"/>
                <w:sz w:val="18"/>
                <w:szCs w:val="18"/>
                <w:color w:val="auto"/>
              </w:rPr>
              <w:t>Lease</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Company’s facility located in Mitchel Field, Long Island, New York, is part of the building that the Company constructed in 1981 and expanded in 1988 on land leased from Nassau County. In January 1998, the Company sold this building and the related land lease to Reckson Associates Realty Corp. (“Reckson”), leasing back the space that it presently occupies.</w:t>
      </w:r>
    </w:p>
    <w:p>
      <w:pPr>
        <w:spacing w:after="0" w:line="208"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The Company leased its manufacturing and office space from Reckson under an initial 11-year lease at an annual rental of $400,000 per year with the Company paying its pro rata share of real estate taxes along with the costs of utilities and insurance. During fiscal year 2009, the Company renewed the lease with Reckson for the first 5-year renewal period at an annual rental of $600,000. The lease will end in January 2014 unless the Company exercises its option to continue the lease for a second 5-year renewal period with annual rental of $800,000. The leased space is adequate to meet the Company’s domestic operational needs which encompass the principal operations of the FEI-NY segment and also serves as the Company’s world-wide corporate headquarters.</w:t>
      </w:r>
    </w:p>
    <w:p>
      <w:pPr>
        <w:spacing w:after="0" w:line="18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Garden Grove, California facility is leased by the Company’s subsidiary, FEI-Zyfer, Inc. The facility consists of a combination office and manufacturing space. The lease, which expires in August 2017, currently requires monthly payments of $27,021 and will increase each year over the remaining 76 months of the lease term.</w:t>
      </w:r>
    </w:p>
    <w:p>
      <w:pPr>
        <w:spacing w:after="0" w:line="208"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Company’s subsidiary, Gillam-FEI, owns a manufacturing and office facility in Liege, Belgium. Gillam-FEI’s French operation leases space in Chalon Sur Saone, France. These facilities are adequate to meet the present and future operational requirements of Gillam-FEI.</w:t>
      </w:r>
    </w:p>
    <w:p>
      <w:pPr>
        <w:spacing w:after="0" w:line="197"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Tianjin, China facility is the location of the Company’s wholly-owned subsidiary, FEI-Asia. The subsidiary’s office and manufacturing facility is located in the Tianjin Free-Trade Zone. The lease is renewable annually with monthly rent of $6,700 through February 2012. The facility is adequate for the near-term manufacturing expectations for the Company.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Legal Proceedings</w:t>
      </w:r>
    </w:p>
    <w:p>
      <w:pPr>
        <w:spacing w:after="0" w:line="25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From time to time, the Company is a defendant in litigation arising out of the ordinary course of business. The Company is not a party to any material, pending legal proceeding other than routine litigation incidental to its business.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u w:val="single" w:color="auto"/>
          <w:color w:val="auto"/>
        </w:rPr>
        <w:t>PART II</w:t>
      </w:r>
    </w:p>
    <w:p>
      <w:pPr>
        <w:spacing w:after="0" w:line="25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u w:val="single" w:color="auto"/>
          <w:color w:val="auto"/>
        </w:rPr>
        <w:t>Item 5.</w:t>
      </w:r>
      <w:r>
        <w:rPr>
          <w:sz w:val="20"/>
          <w:szCs w:val="20"/>
          <w:color w:val="auto"/>
        </w:rPr>
        <w:tab/>
      </w:r>
      <w:r>
        <w:rPr>
          <w:rFonts w:ascii="Arial" w:cs="Arial" w:eastAsia="Arial" w:hAnsi="Arial"/>
          <w:sz w:val="16"/>
          <w:szCs w:val="16"/>
          <w:u w:val="single" w:color="auto"/>
          <w:color w:val="auto"/>
        </w:rPr>
        <w:t>Market for Registrant's Common Equity, Related Stockholder Matters and Issuer Purchases of Equity Securities</w:t>
      </w:r>
    </w:p>
    <w:p>
      <w:pPr>
        <w:spacing w:after="0" w:line="25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Common Stock of the Company is listed on The Nasdaq Global Market (“NASDAQ”) under the ticker symbol “FEIM.” (Prior to August 1, 2006, the Company’s shares were traded on the American Stock Exchange under the symbol "FEI".)</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shows the high and low sale price for the Company's Common Stock for the quarters indicated, as reported on the NASDAQ.</w:t>
      </w:r>
    </w:p>
    <w:p>
      <w:pPr>
        <w:spacing w:after="0" w:line="264" w:lineRule="exact"/>
        <w:rPr>
          <w:sz w:val="20"/>
          <w:szCs w:val="20"/>
          <w:color w:val="auto"/>
        </w:rPr>
      </w:pPr>
    </w:p>
    <w:tbl>
      <w:tblPr>
        <w:tblLayout w:type="fixed"/>
        <w:tblInd w:w="860" w:type="dxa"/>
        <w:tblCellMar>
          <w:top w:w="0" w:type="dxa"/>
          <w:left w:w="0" w:type="dxa"/>
          <w:bottom w:w="0" w:type="dxa"/>
          <w:right w:w="0" w:type="dxa"/>
        </w:tblCellMar>
      </w:tblPr>
      <w:tr>
        <w:trPr>
          <w:trHeight w:val="237"/>
        </w:trPr>
        <w:tc>
          <w:tcPr>
            <w:tcW w:w="6420" w:type="dxa"/>
            <w:vAlign w:val="bottom"/>
            <w:gridSpan w:val="2"/>
          </w:tcPr>
          <w:p>
            <w:pPr>
              <w:spacing w:after="0"/>
              <w:rPr>
                <w:sz w:val="20"/>
                <w:szCs w:val="20"/>
                <w:color w:val="auto"/>
              </w:rPr>
            </w:pPr>
            <w:r>
              <w:rPr>
                <w:rFonts w:ascii="Arial" w:cs="Arial" w:eastAsia="Arial" w:hAnsi="Arial"/>
                <w:sz w:val="18"/>
                <w:szCs w:val="18"/>
                <w:color w:val="auto"/>
              </w:rPr>
              <w:t>FISCAL QUARTER</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170"/>
              <w:spacing w:after="0"/>
              <w:rPr>
                <w:sz w:val="20"/>
                <w:szCs w:val="20"/>
                <w:color w:val="auto"/>
              </w:rPr>
            </w:pPr>
            <w:r>
              <w:rPr>
                <w:rFonts w:ascii="Arial" w:cs="Arial" w:eastAsia="Arial" w:hAnsi="Arial"/>
                <w:sz w:val="18"/>
                <w:szCs w:val="18"/>
                <w:color w:val="auto"/>
              </w:rPr>
              <w:t>HIGH SALE</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rPr>
              <w:t>LOW SALE</w:t>
            </w:r>
          </w:p>
        </w:tc>
      </w:tr>
      <w:tr>
        <w:trPr>
          <w:trHeight w:val="216"/>
        </w:trPr>
        <w:tc>
          <w:tcPr>
            <w:tcW w:w="20" w:type="dxa"/>
            <w:vAlign w:val="bottom"/>
          </w:tcPr>
          <w:p>
            <w:pPr>
              <w:spacing w:after="0"/>
              <w:rPr>
                <w:sz w:val="18"/>
                <w:szCs w:val="18"/>
                <w:color w:val="auto"/>
              </w:rPr>
            </w:pPr>
          </w:p>
        </w:tc>
        <w:tc>
          <w:tcPr>
            <w:tcW w:w="640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2011–</w:t>
            </w:r>
          </w:p>
        </w:tc>
        <w:tc>
          <w:tcPr>
            <w:tcW w:w="100" w:type="dxa"/>
            <w:vAlign w:val="bottom"/>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130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spacing w:after="0"/>
              <w:rPr>
                <w:sz w:val="18"/>
                <w:szCs w:val="18"/>
                <w:color w:val="auto"/>
              </w:rPr>
            </w:pPr>
          </w:p>
        </w:tc>
        <w:tc>
          <w:tcPr>
            <w:tcW w:w="128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300"/>
              <w:spacing w:after="0"/>
              <w:rPr>
                <w:sz w:val="20"/>
                <w:szCs w:val="20"/>
                <w:color w:val="auto"/>
              </w:rPr>
            </w:pPr>
            <w:r>
              <w:rPr>
                <w:rFonts w:ascii="Arial" w:cs="Arial" w:eastAsia="Arial" w:hAnsi="Arial"/>
                <w:sz w:val="18"/>
                <w:szCs w:val="18"/>
                <w:color w:val="auto"/>
              </w:rPr>
              <w:t>FIRST QUARTER</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5.69</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4.24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FFCC"/>
          </w:tcPr>
          <w:p>
            <w:pPr>
              <w:ind w:left="300"/>
              <w:spacing w:after="0"/>
              <w:rPr>
                <w:sz w:val="20"/>
                <w:szCs w:val="20"/>
                <w:color w:val="auto"/>
              </w:rPr>
            </w:pPr>
            <w:r>
              <w:rPr>
                <w:rFonts w:ascii="Arial" w:cs="Arial" w:eastAsia="Arial" w:hAnsi="Arial"/>
                <w:sz w:val="18"/>
                <w:szCs w:val="18"/>
                <w:color w:val="auto"/>
              </w:rPr>
              <w:t>SECOND QUARTER</w:t>
            </w: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6.68</w:t>
            </w:r>
          </w:p>
        </w:tc>
        <w:tc>
          <w:tcPr>
            <w:tcW w:w="1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4.81</w:t>
            </w:r>
          </w:p>
        </w:tc>
        <w:tc>
          <w:tcPr>
            <w:tcW w:w="8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300"/>
              <w:spacing w:after="0"/>
              <w:rPr>
                <w:sz w:val="20"/>
                <w:szCs w:val="20"/>
                <w:color w:val="auto"/>
              </w:rPr>
            </w:pPr>
            <w:r>
              <w:rPr>
                <w:rFonts w:ascii="Arial" w:cs="Arial" w:eastAsia="Arial" w:hAnsi="Arial"/>
                <w:sz w:val="18"/>
                <w:szCs w:val="18"/>
                <w:color w:val="auto"/>
              </w:rPr>
              <w:t>THIRD QUARTER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7.49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5.61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FFCC"/>
          </w:tcPr>
          <w:p>
            <w:pPr>
              <w:ind w:left="300"/>
              <w:spacing w:after="0"/>
              <w:rPr>
                <w:sz w:val="20"/>
                <w:szCs w:val="20"/>
                <w:color w:val="auto"/>
              </w:rPr>
            </w:pPr>
            <w:r>
              <w:rPr>
                <w:rFonts w:ascii="Arial" w:cs="Arial" w:eastAsia="Arial" w:hAnsi="Arial"/>
                <w:sz w:val="18"/>
                <w:szCs w:val="18"/>
                <w:color w:val="auto"/>
              </w:rPr>
              <w:t>FOURTH QUARTER</w:t>
            </w: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11.41</w:t>
            </w:r>
          </w:p>
        </w:tc>
        <w:tc>
          <w:tcPr>
            <w:tcW w:w="1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6.70</w:t>
            </w:r>
          </w:p>
        </w:tc>
        <w:tc>
          <w:tcPr>
            <w:tcW w:w="8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2010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FFCC"/>
          </w:tcPr>
          <w:p>
            <w:pPr>
              <w:ind w:left="300"/>
              <w:spacing w:after="0"/>
              <w:rPr>
                <w:sz w:val="20"/>
                <w:szCs w:val="20"/>
                <w:color w:val="auto"/>
              </w:rPr>
            </w:pPr>
            <w:r>
              <w:rPr>
                <w:rFonts w:ascii="Arial" w:cs="Arial" w:eastAsia="Arial" w:hAnsi="Arial"/>
                <w:sz w:val="18"/>
                <w:szCs w:val="18"/>
                <w:color w:val="auto"/>
              </w:rPr>
              <w:t>FIRST QUARTER</w:t>
            </w:r>
          </w:p>
        </w:tc>
        <w:tc>
          <w:tcPr>
            <w:tcW w:w="2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4.33</w:t>
            </w:r>
          </w:p>
        </w:tc>
        <w:tc>
          <w:tcPr>
            <w:tcW w:w="3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3.04</w:t>
            </w:r>
          </w:p>
        </w:tc>
        <w:tc>
          <w:tcPr>
            <w:tcW w:w="8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300"/>
              <w:spacing w:after="0"/>
              <w:rPr>
                <w:sz w:val="20"/>
                <w:szCs w:val="20"/>
                <w:color w:val="auto"/>
              </w:rPr>
            </w:pPr>
            <w:r>
              <w:rPr>
                <w:rFonts w:ascii="Arial" w:cs="Arial" w:eastAsia="Arial" w:hAnsi="Arial"/>
                <w:sz w:val="18"/>
                <w:szCs w:val="18"/>
                <w:color w:val="auto"/>
              </w:rPr>
              <w:t>SECOND QUARTER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5.97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2.99</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FFCC"/>
          </w:tcPr>
          <w:p>
            <w:pPr>
              <w:ind w:left="300"/>
              <w:spacing w:after="0"/>
              <w:rPr>
                <w:sz w:val="20"/>
                <w:szCs w:val="20"/>
                <w:color w:val="auto"/>
              </w:rPr>
            </w:pPr>
            <w:r>
              <w:rPr>
                <w:rFonts w:ascii="Arial" w:cs="Arial" w:eastAsia="Arial" w:hAnsi="Arial"/>
                <w:sz w:val="18"/>
                <w:szCs w:val="18"/>
                <w:color w:val="auto"/>
              </w:rPr>
              <w:t>THIRD QUARTER</w:t>
            </w: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5.85</w:t>
            </w:r>
          </w:p>
        </w:tc>
        <w:tc>
          <w:tcPr>
            <w:tcW w:w="1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4.42</w:t>
            </w:r>
          </w:p>
        </w:tc>
        <w:tc>
          <w:tcPr>
            <w:tcW w:w="80" w:type="dxa"/>
            <w:vAlign w:val="bottom"/>
            <w:shd w:val="clear" w:color="auto" w:fill="CCFFC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400" w:type="dxa"/>
            <w:vAlign w:val="bottom"/>
          </w:tcPr>
          <w:p>
            <w:pPr>
              <w:ind w:left="300"/>
              <w:spacing w:after="0"/>
              <w:rPr>
                <w:sz w:val="20"/>
                <w:szCs w:val="20"/>
                <w:color w:val="auto"/>
              </w:rPr>
            </w:pPr>
            <w:r>
              <w:rPr>
                <w:rFonts w:ascii="Arial" w:cs="Arial" w:eastAsia="Arial" w:hAnsi="Arial"/>
                <w:sz w:val="18"/>
                <w:szCs w:val="18"/>
                <w:color w:val="auto"/>
              </w:rPr>
              <w:t>FOURTH QUARTER</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5.70</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4.75</w:t>
            </w:r>
          </w:p>
        </w:tc>
        <w:tc>
          <w:tcPr>
            <w:tcW w:w="80" w:type="dxa"/>
            <w:vAlign w:val="bottom"/>
          </w:tcPr>
          <w:p>
            <w:pPr>
              <w:spacing w:after="0"/>
              <w:rPr>
                <w:sz w:val="20"/>
                <w:szCs w:val="20"/>
                <w:color w:val="auto"/>
              </w:rPr>
            </w:pPr>
          </w:p>
        </w:tc>
      </w:tr>
    </w:tbl>
    <w:p>
      <w:pPr>
        <w:spacing w:after="0" w:line="214"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As of July 22, 2011, the approximate number of holders of record of common stock was 420. The closing share price of the Company’s stock on April 29, 2011 was $10.28. The closing share price of the Company’s stock on July 22, 2011 was $11.03.</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DIVIDEND POLICY</w:t>
      </w:r>
    </w:p>
    <w:p>
      <w:pPr>
        <w:spacing w:after="0" w:line="252"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In 1997, the Company initiated a policy of paying a cash dividend to stockholders of record as of April 30 and October 31 of each year subject to prevailing financial conditions. The Board of Directors determines dividend amounts prior to each declaration. During 2008, in the context of extraordinary uncertainties in credit and capital markets and the importance of preserving capital, the Board decided not to pay a cash dividend. The Board of Directors reviews the Company’s dividend policy at each regular meeting but has not since elected to resume paying a dividend.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BUYBACK PROGRAM</w:t>
      </w:r>
    </w:p>
    <w:p>
      <w:pPr>
        <w:spacing w:after="0" w:line="252"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In March 2005, the Company’s Board of Directors authorized a stock repurchase program for up to $5 million of the Company’s outstanding common stock. Shares may be purchased in open market purchases, private transactions or otherwise at such times and from time to time, and at such prices and in such amounts as the Company believes appropriate and in the best interests of its shareholders. The timing and volume of repurchases will vary depending on market conditions and other factors. Purchases may be commenced or suspended at any time without notice. During fiscal year 2009, the Company repurchased 724,632 shares under the buyback program, including a block purchase of 615,000 shares from its former largest institutional shareholder. The average purchase price was $4.29 per share or an aggregate amount of approximately $3.1 million. With these purchases, the Company has acquired approximately $4 million of its common stock out of the total authorization of $5 million. The Company did not make any purchases of stock for the treasury during fiscal years 2011 or 2010.</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5460" w:type="dxa"/>
            <w:vAlign w:val="bottom"/>
            <w:gridSpan w:val="3"/>
          </w:tcPr>
          <w:p>
            <w:pPr>
              <w:spacing w:after="0"/>
              <w:rPr>
                <w:sz w:val="20"/>
                <w:szCs w:val="20"/>
                <w:color w:val="auto"/>
              </w:rPr>
            </w:pPr>
            <w:r>
              <w:rPr>
                <w:rFonts w:ascii="Arial" w:cs="Arial" w:eastAsia="Arial" w:hAnsi="Arial"/>
                <w:sz w:val="18"/>
                <w:szCs w:val="18"/>
                <w:color w:val="auto"/>
              </w:rPr>
              <w:t>EQUITY COMPENSATION PLAN INFORMATION</w:t>
            </w: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5"/>
        </w:trPr>
        <w:tc>
          <w:tcPr>
            <w:tcW w:w="20" w:type="dxa"/>
            <w:vAlign w:val="bottom"/>
          </w:tcPr>
          <w:p>
            <w:pPr>
              <w:spacing w:after="0"/>
              <w:rPr>
                <w:sz w:val="24"/>
                <w:szCs w:val="24"/>
                <w:color w:val="auto"/>
              </w:rPr>
            </w:pPr>
          </w:p>
        </w:tc>
        <w:tc>
          <w:tcPr>
            <w:tcW w:w="3900" w:type="dxa"/>
            <w:vAlign w:val="bottom"/>
            <w:tcBorders>
              <w:top w:val="single" w:sz="8" w:color="auto"/>
            </w:tcBorders>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Number of securities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remaining available for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3"/>
          </w:tcPr>
          <w:p>
            <w:pPr>
              <w:jc w:val="center"/>
              <w:ind w:right="100"/>
              <w:spacing w:after="0"/>
              <w:rPr>
                <w:sz w:val="20"/>
                <w:szCs w:val="20"/>
                <w:color w:val="auto"/>
              </w:rPr>
            </w:pPr>
            <w:r>
              <w:rPr>
                <w:rFonts w:ascii="Arial" w:cs="Arial" w:eastAsia="Arial" w:hAnsi="Arial"/>
                <w:sz w:val="18"/>
                <w:szCs w:val="18"/>
                <w:color w:val="auto"/>
                <w:w w:val="91"/>
              </w:rPr>
              <w:t>Number of securities to</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Weighted-average</w:t>
            </w:r>
          </w:p>
        </w:tc>
        <w:tc>
          <w:tcPr>
            <w:tcW w:w="20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future issuance under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900" w:type="dxa"/>
            <w:vAlign w:val="bottom"/>
            <w:gridSpan w:val="4"/>
          </w:tcPr>
          <w:p>
            <w:pPr>
              <w:jc w:val="center"/>
              <w:spacing w:after="0"/>
              <w:rPr>
                <w:sz w:val="20"/>
                <w:szCs w:val="20"/>
                <w:color w:val="auto"/>
              </w:rPr>
            </w:pPr>
            <w:r>
              <w:rPr>
                <w:rFonts w:ascii="Arial" w:cs="Arial" w:eastAsia="Arial" w:hAnsi="Arial"/>
                <w:sz w:val="18"/>
                <w:szCs w:val="18"/>
                <w:color w:val="auto"/>
                <w:w w:val="87"/>
              </w:rPr>
              <w:t>be issued upon exercise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exercise price of</w:t>
            </w:r>
          </w:p>
        </w:tc>
        <w:tc>
          <w:tcPr>
            <w:tcW w:w="2020" w:type="dxa"/>
            <w:vAlign w:val="bottom"/>
            <w:gridSpan w:val="2"/>
          </w:tcPr>
          <w:p>
            <w:pPr>
              <w:spacing w:after="0"/>
              <w:rPr>
                <w:sz w:val="20"/>
                <w:szCs w:val="20"/>
                <w:color w:val="auto"/>
              </w:rPr>
            </w:pPr>
            <w:r>
              <w:rPr>
                <w:rFonts w:ascii="Arial" w:cs="Arial" w:eastAsia="Arial" w:hAnsi="Arial"/>
                <w:sz w:val="18"/>
                <w:szCs w:val="18"/>
                <w:color w:val="auto"/>
                <w:w w:val="93"/>
              </w:rPr>
              <w:t>equity compensation plans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3"/>
          </w:tcPr>
          <w:p>
            <w:pPr>
              <w:jc w:val="center"/>
              <w:ind w:right="100"/>
              <w:spacing w:after="0"/>
              <w:rPr>
                <w:sz w:val="20"/>
                <w:szCs w:val="20"/>
                <w:color w:val="auto"/>
              </w:rPr>
            </w:pPr>
            <w:r>
              <w:rPr>
                <w:rFonts w:ascii="Arial" w:cs="Arial" w:eastAsia="Arial" w:hAnsi="Arial"/>
                <w:sz w:val="18"/>
                <w:szCs w:val="18"/>
                <w:color w:val="auto"/>
                <w:w w:val="91"/>
              </w:rPr>
              <w:t>of outstanding options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outstanding options</w:t>
            </w:r>
          </w:p>
        </w:tc>
        <w:tc>
          <w:tcPr>
            <w:tcW w:w="20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(excluding securities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40" w:type="dxa"/>
            <w:vAlign w:val="bottom"/>
            <w:gridSpan w:val="2"/>
          </w:tcPr>
          <w:p>
            <w:pPr>
              <w:ind w:left="2200"/>
              <w:spacing w:after="0"/>
              <w:rPr>
                <w:sz w:val="20"/>
                <w:szCs w:val="20"/>
                <w:color w:val="auto"/>
              </w:rPr>
            </w:pPr>
            <w:r>
              <w:rPr>
                <w:rFonts w:ascii="Arial" w:cs="Arial" w:eastAsia="Arial" w:hAnsi="Arial"/>
                <w:sz w:val="18"/>
                <w:szCs w:val="18"/>
                <w:color w:val="auto"/>
              </w:rPr>
              <w:t>Plan Category</w:t>
            </w:r>
          </w:p>
        </w:tc>
        <w:tc>
          <w:tcPr>
            <w:tcW w:w="100" w:type="dxa"/>
            <w:vAlign w:val="bottom"/>
          </w:tcPr>
          <w:p>
            <w:pPr>
              <w:spacing w:after="0"/>
              <w:rPr>
                <w:sz w:val="20"/>
                <w:szCs w:val="20"/>
                <w:color w:val="auto"/>
              </w:rPr>
            </w:pPr>
          </w:p>
        </w:tc>
        <w:tc>
          <w:tcPr>
            <w:tcW w:w="180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warrants and rights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warrants and rights</w:t>
            </w:r>
          </w:p>
        </w:tc>
        <w:tc>
          <w:tcPr>
            <w:tcW w:w="20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reflected in column (a))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color w:val="auto"/>
                <w:w w:val="99"/>
              </w:rPr>
              <w:t>(b)</w:t>
            </w:r>
          </w:p>
        </w:tc>
        <w:tc>
          <w:tcPr>
            <w:tcW w:w="220" w:type="dxa"/>
            <w:vAlign w:val="bottom"/>
          </w:tcPr>
          <w:p>
            <w:pPr>
              <w:spacing w:after="0"/>
              <w:rPr>
                <w:sz w:val="18"/>
                <w:szCs w:val="18"/>
                <w:color w:val="auto"/>
              </w:rPr>
            </w:pPr>
          </w:p>
        </w:tc>
        <w:tc>
          <w:tcPr>
            <w:tcW w:w="1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(c)</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Equity Compensation Plans Approved by Security Holders (1)</w:t>
            </w:r>
          </w:p>
        </w:tc>
        <w:tc>
          <w:tcPr>
            <w:tcW w:w="182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1,441,025</w:t>
            </w:r>
          </w:p>
        </w:tc>
        <w:tc>
          <w:tcPr>
            <w:tcW w:w="80" w:type="dxa"/>
            <w:vAlign w:val="bottom"/>
            <w:shd w:val="clear" w:color="auto" w:fill="CCFFCC"/>
          </w:tcPr>
          <w:p>
            <w:pPr>
              <w:spacing w:after="0"/>
              <w:rPr>
                <w:sz w:val="18"/>
                <w:szCs w:val="18"/>
                <w:color w:val="auto"/>
              </w:rPr>
            </w:pPr>
          </w:p>
        </w:tc>
        <w:tc>
          <w:tcPr>
            <w:tcW w:w="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8.33</w:t>
            </w:r>
          </w:p>
        </w:tc>
        <w:tc>
          <w:tcPr>
            <w:tcW w:w="2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51,341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4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Equity Compensation Plans Not Approved by Security Holders (1)</w:t>
            </w:r>
          </w:p>
        </w:tc>
        <w:tc>
          <w:tcPr>
            <w:tcW w:w="100" w:type="dxa"/>
            <w:vAlign w:val="bottom"/>
            <w:shd w:val="clear" w:color="auto" w:fill="CCFFCC"/>
          </w:tcPr>
          <w:p>
            <w:pPr>
              <w:spacing w:after="0"/>
              <w:rPr>
                <w:sz w:val="19"/>
                <w:szCs w:val="19"/>
                <w:color w:val="auto"/>
              </w:rPr>
            </w:pPr>
          </w:p>
        </w:tc>
        <w:tc>
          <w:tcPr>
            <w:tcW w:w="180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30,000</w:t>
            </w:r>
          </w:p>
        </w:tc>
        <w:tc>
          <w:tcPr>
            <w:tcW w:w="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14.76</w:t>
            </w:r>
          </w:p>
        </w:tc>
        <w:tc>
          <w:tcPr>
            <w:tcW w:w="2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Borders>
              <w:top w:val="single" w:sz="8" w:color="CCFFCC"/>
            </w:tcBorders>
            <w:gridSpan w:val="2"/>
          </w:tcPr>
          <w:p>
            <w:pPr>
              <w:ind w:left="32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CCFFCC"/>
            </w:tcBorders>
          </w:tcPr>
          <w:p>
            <w:pPr>
              <w:spacing w:after="0"/>
              <w:rPr>
                <w:sz w:val="18"/>
                <w:szCs w:val="18"/>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1,471,025</w:t>
            </w:r>
          </w:p>
        </w:tc>
        <w:tc>
          <w:tcPr>
            <w:tcW w:w="2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40" w:type="dxa"/>
            <w:vAlign w:val="bottom"/>
            <w:tcBorders>
              <w:top w:val="single" w:sz="8" w:color="CCFFCC"/>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1800" w:type="dxa"/>
            <w:vAlign w:val="bottom"/>
            <w:tcBorders>
              <w:top w:val="single" w:sz="8" w:color="CCFFCC"/>
            </w:tcBorders>
            <w:gridSpan w:val="2"/>
          </w:tcPr>
          <w:p>
            <w:pPr>
              <w:jc w:val="right"/>
              <w:ind w:right="220"/>
              <w:spacing w:after="0"/>
              <w:rPr>
                <w:sz w:val="20"/>
                <w:szCs w:val="20"/>
                <w:color w:val="auto"/>
              </w:rPr>
            </w:pPr>
            <w:r>
              <w:rPr>
                <w:rFonts w:ascii="Arial" w:cs="Arial" w:eastAsia="Arial" w:hAnsi="Arial"/>
                <w:sz w:val="18"/>
                <w:szCs w:val="18"/>
                <w:color w:val="auto"/>
              </w:rPr>
              <w:t>8.46</w:t>
            </w:r>
          </w:p>
        </w:tc>
        <w:tc>
          <w:tcPr>
            <w:tcW w:w="1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51,341</w:t>
            </w: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920" w:firstLine="332"/>
        <w:spacing w:after="0" w:line="561" w:lineRule="auto"/>
        <w:tabs>
          <w:tab w:leader="none" w:pos="648"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The Company’s equity compensation plans are described in Note 12 of the consolidated financial statements. </w:t>
      </w:r>
      <w:r>
        <w:rPr>
          <w:rFonts w:ascii="Arial" w:cs="Arial" w:eastAsia="Arial" w:hAnsi="Arial"/>
          <w:sz w:val="17"/>
          <w:szCs w:val="17"/>
          <w:u w:val="single" w:color="auto"/>
          <w:color w:val="auto"/>
        </w:rPr>
        <w:t>Item 7. Management’s Discussion and Analysis of Financial Condition and Results of Operations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“Safe Harbor” Statement under the Private Securities Litigation Reform Act of 1995:</w:t>
      </w:r>
    </w:p>
    <w:p>
      <w:pPr>
        <w:spacing w:after="0" w:line="256"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The statements in this Annual Report on Form 10-K regarding future earnings and operations and other statements relating to the future constitute "forward-looking" statements pursuant to the safe harbor provisions of the Private Securities Litigation Reform Act of 1995. Forward-looking statements inherently involve risks and uncertainties that could cause actual results to differ materially from the forward-looking statements. Factors that would cause or contribute to such differences include, but are not limited to, inability to integrate operations and personnel, actions by significant customers or competitors, general domestic and international economic conditions, consumer spending trends, reliance on key customers, continued acceptance of the Company's products in the marketplace, competitive factors, new products and technological changes, product prices and raw material costs, dependence upon third-party vendors, competitive developments, changes in manufacturing and transportation costs, the availability of capital, and the outcome of any litigation and arbitration proceedings. The factors listed above are not exhaustive. Other sections of this 10-K include additional factors that could materially and adversely impact the Company’s business, financial condition and results of operations. Moreover, the Company operates in a very competitive and rapidly changing environment. New factors emerge from time to time and it is not possible for management to predict the impact of all these factors on the Company’s business, financial condition or results of operations or the extent to which any factor, or combination of factors, may cause actual results to differ materially from those contained in any forward-looking statements. Given these risks and uncertainties, investors should not rely on forward-looking statements as a prediction of actual results. Any or all of the forward-looking statements contained in this 10-K and any other public statement made by the Company or its management may turn out to be incorrect. The Company expressly disclaims any obligation to update or revise any forward-looking statements, whether as a result of new information, future events or otherwise.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Company’s significant accounting policies are described in Note 1 to the consolidated financial statements. The Company believes its most critical accounting policies to be the recognition of revenue and costs on production contracts and the valuation of inventory. Each of these areas requires the Company to make use of reasonable estimates including estimating the cost to complete a contract, the realizable value of its inventory or the market value of its products. Changes in estimates can have a material impact on the Company’s financial position and results of operations.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15" w:name="page16"/>
    <w:bookmarkEnd w:id="15"/>
    <w:p>
      <w:pPr>
        <w:ind w:left="500"/>
        <w:spacing w:after="0"/>
        <w:rPr>
          <w:sz w:val="20"/>
          <w:szCs w:val="20"/>
          <w:color w:val="auto"/>
        </w:rPr>
      </w:pPr>
      <w:r>
        <w:rPr>
          <w:rFonts w:ascii="Arial" w:cs="Arial" w:eastAsia="Arial" w:hAnsi="Arial"/>
          <w:sz w:val="18"/>
          <w:szCs w:val="18"/>
          <w:u w:val="single" w:color="auto"/>
          <w:color w:val="auto"/>
        </w:rPr>
        <w:t>Revenue Recognition</w:t>
      </w:r>
    </w:p>
    <w:p>
      <w:pPr>
        <w:spacing w:after="0" w:line="252"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Revenues under larger, long-term contracts which generally require billings based on achievement of milestones rather than delivery of product, are reported in operating results using the percentage of completion method. On fixed-price contracts, which are typical for commercial and U.S. Government satellite programs and other long-term U.S. Government projects, and which require initial design and development of the product, revenue is recognized on the cost-to-cost method. Under this method, revenue is recorded based upon the ratio that incurred costs bear to total estimated contract costs with related cost of sales recorded as the costs are incurred. Each month management reviews estimated contract costs through a process of aggregating actual costs incurred and estimating additional costs to completion based upon the current available information and status of the contract. The effect of any change in the estimated gross margin percentage for a contract is reflected in revenues in the period in which the change is known. Provisions for anticipated losses on contracts are made in the period in which they become determinable.</w:t>
      </w:r>
    </w:p>
    <w:p>
      <w:pPr>
        <w:spacing w:after="0" w:line="20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On production-type orders, revenue is recorded as units are delivered with the related cost of sales recognized on each shipment based upon a percentage of estimated final program costs. Changes in job performance may result in revisions to costs and income and are recognized in the period in which revisions are determined to be required. Provisions for anticipated losses on customer orders are made in the period in which they become determinable.</w:t>
      </w:r>
    </w:p>
    <w:p>
      <w:pPr>
        <w:spacing w:after="0" w:line="21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For customer orders in the Company’s Gillam-FEI and FEI-Zyfer segments or smaller contracts or orders in the FEI-NY segment, sales of products and services to customers are reported in operating results based upon (i) shipment of the product or (ii) performance of the services pursuant to terms of the customer order. When payment is contingent upon customer acceptance of the installed system, revenue is deferred until such acceptance is received and installation completed.</w:t>
      </w:r>
    </w:p>
    <w:p>
      <w:pPr>
        <w:spacing w:after="0" w:line="214"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Costs and Expenses</w:t>
      </w:r>
    </w:p>
    <w:p>
      <w:pPr>
        <w:spacing w:after="0" w:line="25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Contract costs include all direct material, direct labor costs, manufacturing overhead and other direct costs related to contract performance. Selling, general and administrative costs are charged to expense as incurred.</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Inventory</w:t>
      </w:r>
    </w:p>
    <w:p>
      <w:pPr>
        <w:spacing w:after="0" w:line="25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accordance with industry practice, inventoried costs contain amounts relating to contracts and programs with long production cycles, a portion of which will not be realized within one year. Inventory write downs are established for slow-moving and obsolete items and are based upon management’s experience and expectations for future business. Any changes arising from revised expectations are reflected in cost of sales in the period the revision is made.</w:t>
      </w:r>
    </w:p>
    <w:p>
      <w:pPr>
        <w:spacing w:after="0" w:line="214"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Marketable Securities</w:t>
      </w:r>
    </w:p>
    <w:p>
      <w:pPr>
        <w:spacing w:after="0" w:line="252"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All of the Company’s investments in marketable securities are Level 1 securities which trade on public markets and have current prices that are readily available. In general, investments in fixed price securities are only in the commercial paper of financially sound corporations or the bonds of U.S. Government agencies. Although the value of such investments may fluctuate significantly based on economic factors, the Company’s own financial strength enables it to wait for the securities to either recover their value or to mature such that any interim unrealized gains or losses are deemed to be temporary.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Significant Matters:  Reduction of Deferred Tax Asset Valuation Allowance</w:t>
      </w:r>
    </w:p>
    <w:p>
      <w:pPr>
        <w:spacing w:after="0" w:line="256"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During the fourth quarter of fiscal year 2011, the Company reduced its valuation allowance against deferred tax assets in the amount of $3.6 million. This recognition was the result of a review of all available evidence as required by generally accepted accounting principles in the U.S., including the negative evidence of cumulative losses in prior years which required the recording of a substantial valuation allowance in fiscal year 2009. Management of the Company considered the profitable performance for fiscal years 2011 and 2010 as well as substantial new contract awards which have increased the Company’s long-term backlog to its highest level over the previous 20-year period. Such contracts will enable the Company to continue to generate operating profits in fiscal year 2012 and beyond. Management believes these factors overcome the prior years’ cumulative loss position. Based on this assessment, the Company’s management believes it is more likely than not that it will be able to realize the tax benefits from the future deductibility of many items included in its deferred tax assets. Accordingly, the Company reduced by $3.6 million the previous $8.1 million valuation allowance that had been established in prior periods. The amount of the non-cash valuation allowance reduction was based on management’s estimates of taxable income by reporting segment and taxing jurisdictions and the period over which the Company believes deferred tax assets will be realized.</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6" w:name="page17"/>
    <w:bookmarkEnd w:id="16"/>
    <w:p>
      <w:pPr>
        <w:jc w:val="both"/>
        <w:ind w:right="20" w:firstLine="486"/>
        <w:spacing w:after="0" w:line="277" w:lineRule="auto"/>
        <w:rPr>
          <w:sz w:val="20"/>
          <w:szCs w:val="20"/>
          <w:color w:val="auto"/>
        </w:rPr>
      </w:pPr>
      <w:r>
        <w:rPr>
          <w:rFonts w:ascii="Arial" w:cs="Arial" w:eastAsia="Arial" w:hAnsi="Arial"/>
          <w:sz w:val="18"/>
          <w:szCs w:val="18"/>
          <w:color w:val="auto"/>
        </w:rPr>
        <w:t>The table below sets forth for the fiscal years ended April 30, 2011 and 2010, the percentage of consolidated net sales represented by certain items in the Company’s consolidated statements of operations:</w:t>
      </w:r>
    </w:p>
    <w:p>
      <w:pPr>
        <w:spacing w:after="0" w:line="197" w:lineRule="exact"/>
        <w:rPr>
          <w:sz w:val="20"/>
          <w:szCs w:val="20"/>
          <w:color w:val="auto"/>
        </w:rPr>
      </w:pPr>
    </w:p>
    <w:tbl>
      <w:tblPr>
        <w:tblLayout w:type="fixed"/>
        <w:tblInd w:w="50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13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2011</w:t>
            </w:r>
          </w:p>
        </w:tc>
        <w:tc>
          <w:tcPr>
            <w:tcW w:w="240" w:type="dxa"/>
            <w:vAlign w:val="bottom"/>
          </w:tcPr>
          <w:p>
            <w:pPr>
              <w:spacing w:after="0"/>
              <w:rPr>
                <w:sz w:val="20"/>
                <w:szCs w:val="20"/>
                <w:color w:val="auto"/>
              </w:rPr>
            </w:pPr>
          </w:p>
        </w:tc>
        <w:tc>
          <w:tcPr>
            <w:tcW w:w="13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2010</w:t>
            </w:r>
          </w:p>
        </w:tc>
        <w:tc>
          <w:tcPr>
            <w:tcW w:w="1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FFCC"/>
          </w:tcPr>
          <w:p>
            <w:pPr>
              <w:spacing w:after="0"/>
              <w:rPr>
                <w:sz w:val="20"/>
                <w:szCs w:val="20"/>
                <w:color w:val="auto"/>
              </w:rPr>
            </w:pPr>
            <w:r>
              <w:rPr>
                <w:rFonts w:ascii="Arial" w:cs="Arial" w:eastAsia="Arial" w:hAnsi="Arial"/>
                <w:sz w:val="18"/>
                <w:szCs w:val="18"/>
                <w:color w:val="auto"/>
              </w:rPr>
              <w:t>Revenues</w:t>
            </w:r>
          </w:p>
        </w:tc>
        <w:tc>
          <w:tcPr>
            <w:tcW w:w="13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300"/>
              <w:spacing w:after="0"/>
              <w:rPr>
                <w:sz w:val="20"/>
                <w:szCs w:val="20"/>
                <w:color w:val="auto"/>
              </w:rPr>
            </w:pPr>
            <w:r>
              <w:rPr>
                <w:rFonts w:ascii="Arial" w:cs="Arial" w:eastAsia="Arial" w:hAnsi="Arial"/>
                <w:sz w:val="18"/>
                <w:szCs w:val="18"/>
                <w:color w:val="auto"/>
              </w:rPr>
              <w:t>FEI-NY</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62.3%</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59.1%</w:t>
            </w:r>
          </w:p>
        </w:tc>
      </w:tr>
      <w:tr>
        <w:trPr>
          <w:trHeight w:val="216"/>
        </w:trPr>
        <w:tc>
          <w:tcPr>
            <w:tcW w:w="20" w:type="dxa"/>
            <w:vAlign w:val="bottom"/>
          </w:tcPr>
          <w:p>
            <w:pPr>
              <w:spacing w:after="0"/>
              <w:rPr>
                <w:sz w:val="18"/>
                <w:szCs w:val="18"/>
                <w:color w:val="auto"/>
              </w:rPr>
            </w:pPr>
          </w:p>
        </w:tc>
        <w:tc>
          <w:tcPr>
            <w:tcW w:w="5720" w:type="dxa"/>
            <w:vAlign w:val="bottom"/>
            <w:shd w:val="clear" w:color="auto" w:fill="CCFFCC"/>
          </w:tcPr>
          <w:p>
            <w:pPr>
              <w:ind w:left="300"/>
              <w:spacing w:after="0"/>
              <w:rPr>
                <w:sz w:val="20"/>
                <w:szCs w:val="20"/>
                <w:color w:val="auto"/>
              </w:rPr>
            </w:pPr>
            <w:r>
              <w:rPr>
                <w:rFonts w:ascii="Arial" w:cs="Arial" w:eastAsia="Arial" w:hAnsi="Arial"/>
                <w:sz w:val="18"/>
                <w:szCs w:val="18"/>
                <w:color w:val="auto"/>
              </w:rPr>
              <w:t>Gillam-FEI</w:t>
            </w:r>
          </w:p>
        </w:tc>
        <w:tc>
          <w:tcPr>
            <w:tcW w:w="154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24.7</w:t>
            </w:r>
          </w:p>
        </w:tc>
        <w:tc>
          <w:tcPr>
            <w:tcW w:w="14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26.5</w:t>
            </w:r>
          </w:p>
        </w:tc>
      </w:tr>
      <w:tr>
        <w:trPr>
          <w:trHeight w:val="216"/>
        </w:trPr>
        <w:tc>
          <w:tcPr>
            <w:tcW w:w="20" w:type="dxa"/>
            <w:vAlign w:val="bottom"/>
          </w:tcPr>
          <w:p>
            <w:pPr>
              <w:spacing w:after="0"/>
              <w:rPr>
                <w:sz w:val="18"/>
                <w:szCs w:val="18"/>
                <w:color w:val="auto"/>
              </w:rPr>
            </w:pPr>
          </w:p>
        </w:tc>
        <w:tc>
          <w:tcPr>
            <w:tcW w:w="5720" w:type="dxa"/>
            <w:vAlign w:val="bottom"/>
          </w:tcPr>
          <w:p>
            <w:pPr>
              <w:ind w:left="300"/>
              <w:spacing w:after="0"/>
              <w:rPr>
                <w:sz w:val="20"/>
                <w:szCs w:val="20"/>
                <w:color w:val="auto"/>
              </w:rPr>
            </w:pPr>
            <w:r>
              <w:rPr>
                <w:rFonts w:ascii="Arial" w:cs="Arial" w:eastAsia="Arial" w:hAnsi="Arial"/>
                <w:sz w:val="18"/>
                <w:szCs w:val="18"/>
                <w:color w:val="auto"/>
              </w:rPr>
              <w:t>FEI-Zyfer</w:t>
            </w: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20.2</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23.1</w:t>
            </w:r>
          </w:p>
        </w:tc>
      </w:tr>
      <w:tr>
        <w:trPr>
          <w:trHeight w:val="223"/>
        </w:trPr>
        <w:tc>
          <w:tcPr>
            <w:tcW w:w="20" w:type="dxa"/>
            <w:vAlign w:val="bottom"/>
          </w:tcPr>
          <w:p>
            <w:pPr>
              <w:spacing w:after="0"/>
              <w:rPr>
                <w:sz w:val="19"/>
                <w:szCs w:val="19"/>
                <w:color w:val="auto"/>
              </w:rPr>
            </w:pPr>
          </w:p>
        </w:tc>
        <w:tc>
          <w:tcPr>
            <w:tcW w:w="5720" w:type="dxa"/>
            <w:vAlign w:val="bottom"/>
            <w:shd w:val="clear" w:color="auto" w:fill="CCFFCC"/>
          </w:tcPr>
          <w:p>
            <w:pPr>
              <w:ind w:left="300"/>
              <w:spacing w:after="0"/>
              <w:rPr>
                <w:sz w:val="20"/>
                <w:szCs w:val="20"/>
                <w:color w:val="auto"/>
              </w:rPr>
            </w:pPr>
            <w:r>
              <w:rPr>
                <w:rFonts w:ascii="Arial" w:cs="Arial" w:eastAsia="Arial" w:hAnsi="Arial"/>
                <w:sz w:val="18"/>
                <w:szCs w:val="18"/>
                <w:color w:val="auto"/>
              </w:rPr>
              <w:t>Less intersegment revenues</w:t>
            </w:r>
          </w:p>
        </w:tc>
        <w:tc>
          <w:tcPr>
            <w:tcW w:w="15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(7.2)</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(8.7)</w:t>
            </w:r>
          </w:p>
        </w:tc>
      </w:tr>
      <w:tr>
        <w:trPr>
          <w:trHeight w:val="216"/>
        </w:trPr>
        <w:tc>
          <w:tcPr>
            <w:tcW w:w="20" w:type="dxa"/>
            <w:vAlign w:val="bottom"/>
          </w:tcPr>
          <w:p>
            <w:pPr>
              <w:spacing w:after="0"/>
              <w:rPr>
                <w:sz w:val="18"/>
                <w:szCs w:val="18"/>
                <w:color w:val="auto"/>
              </w:rPr>
            </w:pPr>
          </w:p>
        </w:tc>
        <w:tc>
          <w:tcPr>
            <w:tcW w:w="5720" w:type="dxa"/>
            <w:vAlign w:val="bottom"/>
            <w:tcBorders>
              <w:top w:val="single" w:sz="8" w:color="CCFFCC"/>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Borders>
              <w:top w:val="single" w:sz="8" w:color="CCFFCC"/>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top w:val="single" w:sz="8" w:color="CCFFCC"/>
            </w:tcBorders>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7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Cost of Revenues</w:t>
            </w:r>
          </w:p>
        </w:tc>
        <w:tc>
          <w:tcPr>
            <w:tcW w:w="13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62.5</w:t>
            </w:r>
          </w:p>
        </w:tc>
        <w:tc>
          <w:tcPr>
            <w:tcW w:w="240" w:type="dxa"/>
            <w:vAlign w:val="bottom"/>
            <w:tcBorders>
              <w:bottom w:val="single" w:sz="8" w:color="CCFFCC"/>
            </w:tcBorders>
            <w:shd w:val="clear" w:color="auto" w:fill="CCFFCC"/>
          </w:tcPr>
          <w:p>
            <w:pPr>
              <w:spacing w:after="0"/>
              <w:rPr>
                <w:sz w:val="19"/>
                <w:szCs w:val="19"/>
                <w:color w:val="auto"/>
              </w:rPr>
            </w:pPr>
          </w:p>
        </w:tc>
        <w:tc>
          <w:tcPr>
            <w:tcW w:w="13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64.1</w:t>
            </w:r>
          </w:p>
        </w:tc>
        <w:tc>
          <w:tcPr>
            <w:tcW w:w="160" w:type="dxa"/>
            <w:vAlign w:val="bottom"/>
            <w:tcBorders>
              <w:bottom w:val="single" w:sz="8" w:color="CCFFCC"/>
            </w:tcBorders>
            <w:shd w:val="clear" w:color="auto" w:fill="CCFFCC"/>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720" w:type="dxa"/>
            <w:vAlign w:val="bottom"/>
          </w:tcPr>
          <w:p>
            <w:pPr>
              <w:jc w:val="right"/>
              <w:spacing w:after="0"/>
              <w:rPr>
                <w:sz w:val="20"/>
                <w:szCs w:val="20"/>
                <w:color w:val="auto"/>
              </w:rPr>
            </w:pPr>
            <w:r>
              <w:rPr>
                <w:rFonts w:ascii="Arial" w:cs="Arial" w:eastAsia="Arial" w:hAnsi="Arial"/>
                <w:sz w:val="18"/>
                <w:szCs w:val="18"/>
                <w:color w:val="auto"/>
              </w:rPr>
              <w:t>Gross Margin</w:t>
            </w: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37.5</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35.9</w:t>
            </w:r>
          </w:p>
        </w:tc>
      </w:tr>
      <w:tr>
        <w:trPr>
          <w:trHeight w:val="216"/>
        </w:trPr>
        <w:tc>
          <w:tcPr>
            <w:tcW w:w="20" w:type="dxa"/>
            <w:vAlign w:val="bottom"/>
          </w:tcPr>
          <w:p>
            <w:pPr>
              <w:spacing w:after="0"/>
              <w:rPr>
                <w:sz w:val="18"/>
                <w:szCs w:val="18"/>
                <w:color w:val="auto"/>
              </w:rPr>
            </w:pPr>
          </w:p>
        </w:tc>
        <w:tc>
          <w:tcPr>
            <w:tcW w:w="5720" w:type="dxa"/>
            <w:vAlign w:val="bottom"/>
            <w:shd w:val="clear" w:color="auto" w:fill="CCFFCC"/>
          </w:tcPr>
          <w:p>
            <w:pPr>
              <w:spacing w:after="0"/>
              <w:rPr>
                <w:sz w:val="20"/>
                <w:szCs w:val="20"/>
                <w:color w:val="auto"/>
              </w:rPr>
            </w:pPr>
            <w:r>
              <w:rPr>
                <w:rFonts w:ascii="Arial" w:cs="Arial" w:eastAsia="Arial" w:hAnsi="Arial"/>
                <w:sz w:val="18"/>
                <w:szCs w:val="18"/>
                <w:color w:val="auto"/>
              </w:rPr>
              <w:t>Selling and Administrative expenses</w:t>
            </w:r>
          </w:p>
        </w:tc>
        <w:tc>
          <w:tcPr>
            <w:tcW w:w="154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21.4</w:t>
            </w:r>
          </w:p>
        </w:tc>
        <w:tc>
          <w:tcPr>
            <w:tcW w:w="14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21.5</w:t>
            </w:r>
          </w:p>
        </w:tc>
      </w:tr>
      <w:tr>
        <w:trPr>
          <w:trHeight w:val="223"/>
        </w:trPr>
        <w:tc>
          <w:tcPr>
            <w:tcW w:w="20" w:type="dxa"/>
            <w:vAlign w:val="bottom"/>
          </w:tcPr>
          <w:p>
            <w:pPr>
              <w:spacing w:after="0"/>
              <w:rPr>
                <w:sz w:val="19"/>
                <w:szCs w:val="19"/>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24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Operating Profit</w:t>
            </w:r>
          </w:p>
        </w:tc>
        <w:tc>
          <w:tcPr>
            <w:tcW w:w="154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6.6</w:t>
            </w:r>
          </w:p>
        </w:tc>
        <w:tc>
          <w:tcPr>
            <w:tcW w:w="14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3.6</w:t>
            </w: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Other Income (Expenses), net</w:t>
            </w: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0.2</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r>
      <w:tr>
        <w:trPr>
          <w:trHeight w:val="223"/>
        </w:trPr>
        <w:tc>
          <w:tcPr>
            <w:tcW w:w="20" w:type="dxa"/>
            <w:vAlign w:val="bottom"/>
          </w:tcPr>
          <w:p>
            <w:pPr>
              <w:spacing w:after="0"/>
              <w:rPr>
                <w:sz w:val="19"/>
                <w:szCs w:val="19"/>
                <w:color w:val="auto"/>
              </w:rPr>
            </w:pPr>
          </w:p>
        </w:tc>
        <w:tc>
          <w:tcPr>
            <w:tcW w:w="57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Benefit for Income Taxes</w:t>
            </w:r>
          </w:p>
        </w:tc>
        <w:tc>
          <w:tcPr>
            <w:tcW w:w="13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4.5</w:t>
            </w:r>
          </w:p>
        </w:tc>
        <w:tc>
          <w:tcPr>
            <w:tcW w:w="240" w:type="dxa"/>
            <w:vAlign w:val="bottom"/>
            <w:tcBorders>
              <w:bottom w:val="single" w:sz="8" w:color="CCFFCC"/>
            </w:tcBorders>
            <w:shd w:val="clear" w:color="auto" w:fill="CCFFCC"/>
          </w:tcPr>
          <w:p>
            <w:pPr>
              <w:spacing w:after="0"/>
              <w:rPr>
                <w:sz w:val="19"/>
                <w:szCs w:val="19"/>
                <w:color w:val="auto"/>
              </w:rPr>
            </w:pPr>
          </w:p>
        </w:tc>
        <w:tc>
          <w:tcPr>
            <w:tcW w:w="13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3.1</w:t>
            </w:r>
          </w:p>
        </w:tc>
        <w:tc>
          <w:tcPr>
            <w:tcW w:w="160" w:type="dxa"/>
            <w:vAlign w:val="bottom"/>
            <w:tcBorders>
              <w:bottom w:val="single" w:sz="8" w:color="CCFFCC"/>
            </w:tcBorders>
            <w:shd w:val="clear" w:color="auto" w:fill="CCFFCC"/>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720" w:type="dxa"/>
            <w:vAlign w:val="bottom"/>
          </w:tcPr>
          <w:p>
            <w:pPr>
              <w:jc w:val="right"/>
              <w:spacing w:after="0"/>
              <w:rPr>
                <w:sz w:val="20"/>
                <w:szCs w:val="20"/>
                <w:color w:val="auto"/>
              </w:rPr>
            </w:pPr>
            <w:r>
              <w:rPr>
                <w:rFonts w:ascii="Arial" w:cs="Arial" w:eastAsia="Arial" w:hAnsi="Arial"/>
                <w:sz w:val="18"/>
                <w:szCs w:val="18"/>
                <w:color w:val="auto"/>
              </w:rPr>
              <w:t>Net Income</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11.3%</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r>
      <w:tr>
        <w:trPr>
          <w:trHeight w:val="21"/>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2"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3260" w:type="dxa"/>
            <w:vAlign w:val="bottom"/>
            <w:gridSpan w:val="3"/>
          </w:tcPr>
          <w:p>
            <w:pPr>
              <w:spacing w:after="0"/>
              <w:rPr>
                <w:sz w:val="20"/>
                <w:szCs w:val="20"/>
                <w:color w:val="auto"/>
              </w:rPr>
            </w:pPr>
            <w:r>
              <w:rPr>
                <w:rFonts w:ascii="Arial" w:cs="Arial" w:eastAsia="Arial" w:hAnsi="Arial"/>
                <w:sz w:val="18"/>
                <w:szCs w:val="18"/>
                <w:b w:val="1"/>
                <w:bCs w:val="1"/>
                <w:color w:val="auto"/>
              </w:rPr>
              <w:t>Revenues</w:t>
            </w: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940" w:type="dxa"/>
            <w:vAlign w:val="bottom"/>
            <w:gridSpan w:val="8"/>
            <w:vMerge w:val="restart"/>
          </w:tcPr>
          <w:p>
            <w:pPr>
              <w:ind w:left="180"/>
              <w:spacing w:after="0"/>
              <w:rPr>
                <w:sz w:val="20"/>
                <w:szCs w:val="20"/>
                <w:color w:val="auto"/>
              </w:rPr>
            </w:pPr>
            <w:r>
              <w:rPr>
                <w:rFonts w:ascii="Arial" w:cs="Arial" w:eastAsia="Arial" w:hAnsi="Arial"/>
                <w:sz w:val="18"/>
                <w:szCs w:val="18"/>
                <w:color w:val="auto"/>
              </w:rPr>
              <w:t>Fiscal years ended April 30,</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20" w:type="dxa"/>
            <w:vAlign w:val="bottom"/>
            <w:tcBorders>
              <w:top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40" w:type="dxa"/>
            <w:vAlign w:val="bottom"/>
            <w:gridSpan w:val="8"/>
            <w:vMerge w:val="continue"/>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80" w:type="dxa"/>
            <w:vAlign w:val="bottom"/>
            <w:gridSpan w:val="4"/>
          </w:tcPr>
          <w:p>
            <w:pPr>
              <w:jc w:val="right"/>
              <w:ind w:right="290"/>
              <w:spacing w:after="0"/>
              <w:rPr>
                <w:sz w:val="20"/>
                <w:szCs w:val="20"/>
                <w:color w:val="auto"/>
              </w:rPr>
            </w:pPr>
            <w:r>
              <w:rPr>
                <w:rFonts w:ascii="Arial" w:cs="Arial" w:eastAsia="Arial" w:hAnsi="Arial"/>
                <w:sz w:val="18"/>
                <w:szCs w:val="18"/>
                <w:color w:val="auto"/>
                <w:w w:val="96"/>
              </w:rPr>
              <w:t>(in millions)</w:t>
            </w:r>
          </w:p>
        </w:tc>
        <w:tc>
          <w:tcPr>
            <w:tcW w:w="920" w:type="dxa"/>
            <w:vAlign w:val="bottom"/>
            <w:gridSpan w:val="3"/>
            <w:vMerge w:val="restart"/>
          </w:tcPr>
          <w:p>
            <w:pPr>
              <w:ind w:left="220"/>
              <w:spacing w:after="0"/>
              <w:rPr>
                <w:sz w:val="20"/>
                <w:szCs w:val="20"/>
                <w:color w:val="auto"/>
              </w:rPr>
            </w:pPr>
            <w:r>
              <w:rPr>
                <w:rFonts w:ascii="Arial" w:cs="Arial" w:eastAsia="Arial" w:hAnsi="Arial"/>
                <w:sz w:val="18"/>
                <w:szCs w:val="18"/>
                <w:color w:val="auto"/>
              </w:rPr>
              <w:t>Change</w:t>
            </w: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3"/>
            <w:vMerge w:val="continue"/>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2011</w:t>
            </w:r>
          </w:p>
        </w:tc>
        <w:tc>
          <w:tcPr>
            <w:tcW w:w="3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2010</w:t>
            </w:r>
          </w:p>
        </w:tc>
        <w:tc>
          <w:tcPr>
            <w:tcW w:w="3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760" w:type="dxa"/>
            <w:vAlign w:val="bottom"/>
            <w:shd w:val="clear" w:color="auto" w:fill="CCFFCC"/>
          </w:tcPr>
          <w:p>
            <w:pPr>
              <w:spacing w:after="0"/>
              <w:rPr>
                <w:sz w:val="20"/>
                <w:szCs w:val="20"/>
                <w:color w:val="auto"/>
              </w:rPr>
            </w:pPr>
            <w:r>
              <w:rPr>
                <w:rFonts w:ascii="Arial" w:cs="Arial" w:eastAsia="Arial" w:hAnsi="Arial"/>
                <w:sz w:val="18"/>
                <w:szCs w:val="18"/>
                <w:color w:val="auto"/>
              </w:rPr>
              <w:t>FEI-NY</w:t>
            </w:r>
          </w:p>
        </w:tc>
        <w:tc>
          <w:tcPr>
            <w:tcW w:w="1200" w:type="dxa"/>
            <w:vAlign w:val="bottom"/>
            <w:gridSpan w:val="2"/>
            <w:shd w:val="clear" w:color="auto" w:fill="CCFFCC"/>
          </w:tcPr>
          <w:p>
            <w:pPr>
              <w:jc w:val="right"/>
              <w:ind w:right="59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w w:val="91"/>
              </w:rPr>
              <w:t>33.2</w:t>
            </w:r>
          </w:p>
        </w:tc>
        <w:tc>
          <w:tcPr>
            <w:tcW w:w="800" w:type="dxa"/>
            <w:vAlign w:val="bottom"/>
            <w:gridSpan w:val="2"/>
            <w:shd w:val="clear" w:color="auto" w:fill="CCFFCC"/>
          </w:tcPr>
          <w:p>
            <w:pPr>
              <w:jc w:val="right"/>
              <w:ind w:right="55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29.2</w:t>
            </w:r>
          </w:p>
        </w:tc>
        <w:tc>
          <w:tcPr>
            <w:tcW w:w="780" w:type="dxa"/>
            <w:vAlign w:val="bottom"/>
            <w:gridSpan w:val="2"/>
            <w:shd w:val="clear" w:color="auto" w:fill="CCFFCC"/>
          </w:tcPr>
          <w:p>
            <w:pPr>
              <w:jc w:val="right"/>
              <w:ind w:right="53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4.0</w:t>
            </w:r>
          </w:p>
        </w:tc>
        <w:tc>
          <w:tcPr>
            <w:tcW w:w="32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Gillam-FEI</w:t>
            </w: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13.2</w:t>
            </w: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13.1</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0.1</w:t>
            </w:r>
          </w:p>
        </w:tc>
        <w:tc>
          <w:tcPr>
            <w:tcW w:w="3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760" w:type="dxa"/>
            <w:vAlign w:val="bottom"/>
            <w:shd w:val="clear" w:color="auto" w:fill="CCFFCC"/>
          </w:tcPr>
          <w:p>
            <w:pPr>
              <w:spacing w:after="0"/>
              <w:rPr>
                <w:sz w:val="20"/>
                <w:szCs w:val="20"/>
                <w:color w:val="auto"/>
              </w:rPr>
            </w:pPr>
            <w:r>
              <w:rPr>
                <w:rFonts w:ascii="Arial" w:cs="Arial" w:eastAsia="Arial" w:hAnsi="Arial"/>
                <w:sz w:val="18"/>
                <w:szCs w:val="18"/>
                <w:color w:val="auto"/>
              </w:rPr>
              <w:t>FEI-Zyfer</w:t>
            </w:r>
          </w:p>
        </w:tc>
        <w:tc>
          <w:tcPr>
            <w:tcW w:w="44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4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w w:val="91"/>
              </w:rPr>
              <w:t>10.7</w:t>
            </w:r>
          </w:p>
        </w:tc>
        <w:tc>
          <w:tcPr>
            <w:tcW w:w="6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5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11.4</w:t>
            </w:r>
          </w:p>
        </w:tc>
        <w:tc>
          <w:tcPr>
            <w:tcW w:w="8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6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(0.7)</w:t>
            </w:r>
          </w:p>
        </w:tc>
        <w:tc>
          <w:tcPr>
            <w:tcW w:w="32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Intersegment sales</w:t>
            </w: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(3.9)</w:t>
            </w: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0.4</w:t>
            </w: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76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59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w w:val="91"/>
              </w:rPr>
              <w:t>53.2</w:t>
            </w:r>
          </w:p>
        </w:tc>
        <w:tc>
          <w:tcPr>
            <w:tcW w:w="800" w:type="dxa"/>
            <w:vAlign w:val="bottom"/>
            <w:gridSpan w:val="2"/>
            <w:shd w:val="clear" w:color="auto" w:fill="CCFFCC"/>
          </w:tcPr>
          <w:p>
            <w:pPr>
              <w:jc w:val="right"/>
              <w:ind w:right="55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49.4</w:t>
            </w:r>
          </w:p>
        </w:tc>
        <w:tc>
          <w:tcPr>
            <w:tcW w:w="780" w:type="dxa"/>
            <w:vAlign w:val="bottom"/>
            <w:gridSpan w:val="2"/>
            <w:shd w:val="clear" w:color="auto" w:fill="CCFFCC"/>
          </w:tcPr>
          <w:p>
            <w:pPr>
              <w:jc w:val="right"/>
              <w:ind w:right="53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3.8</w:t>
            </w:r>
          </w:p>
        </w:tc>
        <w:tc>
          <w:tcPr>
            <w:tcW w:w="32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8% increase in revenues for fiscal year 2011 compared to fiscal year 2010, is due primarily to growth in all business areas served by the FEI-NY segment: satellite payloads for both U.S. Government and commercial applications, U.S. Government/DOD non-space products and wireless telecommunications networks. Revenue increases in the first two business areas were anticipated based on recently awarded contracts by satellite manufacturers for payload time and frequency systems and from U.S. Government contractors for low g-sensitivity products. Certain telecommunication network infrastructure OEM’s unexpectedly increased their orders for components for use in wireless networks, including replacing systems destroyed by the recent earthquake and tsunami in Japan. Revenues for the Gillam-FEI segment which are derived from wireline telecommunications networks and network management systems, were relatively flat year-over-year, while sales at FEI-Zyfer declined 6%. The decrease in FEI-Zyfer’s sales volume reflects some of the impact from the current U.S. Government budgetary issues which are preventing certain DOD programs from obtaining funding and therefore may either delay the program or cause it to be canceled.</w:t>
      </w:r>
    </w:p>
    <w:p>
      <w:pPr>
        <w:spacing w:after="0" w:line="20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Revenues for fiscal year 2010 decreased by 6% compared to fiscal year 2009, as a result of lower revenues from sales of wireless infrastructure products and other commercial products recorded in the FEI-NY segment. As discussed in prior years, future revenues for wireless telecommunications products are uncertain as OEMs slow installation of new network equipment or migrate to different technologies supporting shorter independent timing capabilities or reduced quality of service which do not require the precision timing devices that the Company supplies. These lower revenues in fiscal year 2010 were partially offset by increased sales from the Company’s US5G productline for the U.S. domestic wireline market which are generated by the FEI-Zyfer segment. Many of the US5G products are produced and sold by Gillam-FEI to FEI-Zyfer accounting for a significant element of intersegment sales. Revenues from satellite payload programs were moderately lower in fiscal year 2010 compared to fiscal year 2009. Revenues from U.S. Government space programs increased by 6% year-over-year but these increases were offset by continued low levels of activity in commercial satellite space programs. Revenues from U.S. Government/DOD non-space programs, which are recorded in the FEI-NY and FEI-Zyfer segments, increased by more than 25% year-over-year and accounted for approximately 27% of consolidated revenue in fiscal year 2010 compared to 20% in fiscal year 2009.</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7" w:name="page18"/>
    <w:bookmarkEnd w:id="17"/>
    <w:p>
      <w:pPr>
        <w:jc w:val="both"/>
        <w:ind w:firstLine="486"/>
        <w:spacing w:after="0" w:line="302" w:lineRule="auto"/>
        <w:rPr>
          <w:sz w:val="20"/>
          <w:szCs w:val="20"/>
          <w:color w:val="auto"/>
        </w:rPr>
      </w:pPr>
      <w:r>
        <w:rPr>
          <w:rFonts w:ascii="Arial" w:cs="Arial" w:eastAsia="Arial" w:hAnsi="Arial"/>
          <w:sz w:val="16"/>
          <w:szCs w:val="16"/>
          <w:color w:val="auto"/>
        </w:rPr>
        <w:t>Based on the Company’s current backlog and potential for additional new orders, the Company, expects fiscal year 2012 revenues from satellite payloads to increase substantially, growing to nearly half of consolidated revenues. Revenues from the other major business areas, U.S. Government/DOD non-space and network infrastructure, are expected to remain at approximately the same levels as in fiscal year 2011. Consolidated revenues for fiscal year 2012 are expected to increase significantly compared to fiscal year 2011 with the major portion of that increase occurring in the FEI-NY segment.</w:t>
      </w:r>
    </w:p>
    <w:p>
      <w:pPr>
        <w:spacing w:after="0" w:line="177"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Gross Margin Rates</w:t>
      </w:r>
    </w:p>
    <w:p>
      <w:pPr>
        <w:spacing w:after="0" w:line="256"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gridSpan w:val="7"/>
          </w:tcPr>
          <w:p>
            <w:pPr>
              <w:jc w:val="center"/>
              <w:ind w:right="660"/>
              <w:spacing w:after="0"/>
              <w:rPr>
                <w:sz w:val="20"/>
                <w:szCs w:val="20"/>
                <w:color w:val="auto"/>
              </w:rPr>
            </w:pPr>
            <w:r>
              <w:rPr>
                <w:rFonts w:ascii="Arial" w:cs="Arial" w:eastAsia="Arial" w:hAnsi="Arial"/>
                <w:sz w:val="18"/>
                <w:szCs w:val="18"/>
                <w:color w:val="auto"/>
                <w:w w:val="90"/>
              </w:rPr>
              <w:t>Fiscal years ended April 30,</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4"/>
          </w:tcPr>
          <w:p>
            <w:pPr>
              <w:jc w:val="center"/>
              <w:ind w:left="350"/>
              <w:spacing w:after="0"/>
              <w:rPr>
                <w:sz w:val="20"/>
                <w:szCs w:val="20"/>
                <w:color w:val="auto"/>
              </w:rPr>
            </w:pPr>
            <w:r>
              <w:rPr>
                <w:rFonts w:ascii="Arial" w:cs="Arial" w:eastAsia="Arial" w:hAnsi="Arial"/>
                <w:sz w:val="18"/>
                <w:szCs w:val="18"/>
                <w:color w:val="auto"/>
                <w:w w:val="89"/>
              </w:rPr>
              <w:t>(in thousands)</w:t>
            </w:r>
          </w:p>
        </w:tc>
        <w:tc>
          <w:tcPr>
            <w:tcW w:w="1100" w:type="dxa"/>
            <w:vAlign w:val="bottom"/>
            <w:gridSpan w:val="3"/>
            <w:vMerge w:val="restart"/>
          </w:tcPr>
          <w:p>
            <w:pPr>
              <w:ind w:left="420"/>
              <w:spacing w:after="0"/>
              <w:rPr>
                <w:sz w:val="20"/>
                <w:szCs w:val="20"/>
                <w:color w:val="auto"/>
              </w:rPr>
            </w:pPr>
            <w:r>
              <w:rPr>
                <w:rFonts w:ascii="Arial" w:cs="Arial" w:eastAsia="Arial" w:hAnsi="Arial"/>
                <w:sz w:val="18"/>
                <w:szCs w:val="18"/>
                <w:color w:val="auto"/>
              </w:rPr>
              <w:t>Change</w:t>
            </w: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vMerge w:val="continue"/>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2011</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2010</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19,969</w:t>
            </w:r>
          </w:p>
        </w:tc>
        <w:tc>
          <w:tcPr>
            <w:tcW w:w="1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17,722</w:t>
            </w:r>
          </w:p>
        </w:tc>
        <w:tc>
          <w:tcPr>
            <w:tcW w:w="46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2,247</w:t>
            </w:r>
          </w:p>
        </w:tc>
        <w:tc>
          <w:tcPr>
            <w:tcW w:w="30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40" w:type="dxa"/>
            <w:vAlign w:val="bottom"/>
            <w:gridSpan w:val="2"/>
          </w:tcPr>
          <w:p>
            <w:pPr>
              <w:jc w:val="right"/>
              <w:ind w:right="1500"/>
              <w:spacing w:after="0"/>
              <w:rPr>
                <w:sz w:val="20"/>
                <w:szCs w:val="20"/>
                <w:color w:val="auto"/>
              </w:rPr>
            </w:pPr>
            <w:r>
              <w:rPr>
                <w:rFonts w:ascii="Arial" w:cs="Arial" w:eastAsia="Arial" w:hAnsi="Arial"/>
                <w:sz w:val="18"/>
                <w:szCs w:val="18"/>
                <w:color w:val="auto"/>
                <w:w w:val="86"/>
              </w:rPr>
              <w:t>GM Rate</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37.5%</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35.9%</w:t>
            </w: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For each of the years ended April 30, 2011 and 2010, gross margin increased both in total and as a percentage of revenues as compared to the prior year. The $2.2 million increase in gross margin for fiscal year 2011 is due to both increased revenue and an improved rate. The 37.5% and 35.9% gross margin rates in fiscal years 2011 and 2010 approach the Company’s expected rate at current revenue levels. During fiscal years 2011 and 2010, cost of sales includes inventory write downs of $1.4 million and $1.3 million, respectively, which reduced gross margin rates by 2.6% and 2.7%, respectively. During fiscal year 2010, the Company reached an agreement with a wireless telecommunications network customer and received $650,000 representing a portion of the cost of certain unique inventory items that the customer no longer required and recorded this amount as a reduction to cost of goods sold during the period. The fiscal year 2010 inventory write downs included the unique inventory items. With the current mix of programs and orders in its backlog, the Company expects to realize gross margin rates in the upper 30% to low 40% range during fiscal year 2012. As revenues increase in future periods, the Company expects to realize a higher gross margin as more of its fixed costs are covered.</w:t>
      </w:r>
    </w:p>
    <w:p>
      <w:pPr>
        <w:spacing w:after="0" w:line="205"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Selling and Administrative expenses</w:t>
      </w:r>
    </w:p>
    <w:p>
      <w:pPr>
        <w:spacing w:after="0" w:line="256" w:lineRule="exact"/>
        <w:rPr>
          <w:sz w:val="20"/>
          <w:szCs w:val="20"/>
          <w:color w:val="auto"/>
        </w:rPr>
      </w:pPr>
    </w:p>
    <w:tbl>
      <w:tblPr>
        <w:tblLayout w:type="fixed"/>
        <w:tblInd w:w="2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80" w:type="dxa"/>
            <w:vAlign w:val="bottom"/>
            <w:gridSpan w:val="6"/>
          </w:tcPr>
          <w:p>
            <w:pPr>
              <w:jc w:val="center"/>
              <w:ind w:right="740"/>
              <w:spacing w:after="0"/>
              <w:rPr>
                <w:sz w:val="20"/>
                <w:szCs w:val="20"/>
                <w:color w:val="auto"/>
              </w:rPr>
            </w:pPr>
            <w:r>
              <w:rPr>
                <w:rFonts w:ascii="Arial" w:cs="Arial" w:eastAsia="Arial" w:hAnsi="Arial"/>
                <w:sz w:val="18"/>
                <w:szCs w:val="18"/>
                <w:color w:val="auto"/>
                <w:w w:val="91"/>
              </w:rPr>
              <w:t>Fiscal years ended April 30,</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gridSpan w:val="3"/>
          </w:tcPr>
          <w:p>
            <w:pPr>
              <w:jc w:val="center"/>
              <w:ind w:left="450"/>
              <w:spacing w:after="0"/>
              <w:rPr>
                <w:sz w:val="20"/>
                <w:szCs w:val="20"/>
                <w:color w:val="auto"/>
              </w:rPr>
            </w:pPr>
            <w:r>
              <w:rPr>
                <w:rFonts w:ascii="Arial" w:cs="Arial" w:eastAsia="Arial" w:hAnsi="Arial"/>
                <w:sz w:val="18"/>
                <w:szCs w:val="18"/>
                <w:color w:val="auto"/>
                <w:w w:val="91"/>
              </w:rPr>
              <w:t>(in thousands)</w:t>
            </w:r>
          </w:p>
        </w:tc>
        <w:tc>
          <w:tcPr>
            <w:tcW w:w="1280" w:type="dxa"/>
            <w:vAlign w:val="bottom"/>
            <w:gridSpan w:val="3"/>
            <w:vMerge w:val="restart"/>
          </w:tcPr>
          <w:p>
            <w:pPr>
              <w:ind w:left="560"/>
              <w:spacing w:after="0"/>
              <w:rPr>
                <w:sz w:val="20"/>
                <w:szCs w:val="20"/>
                <w:color w:val="auto"/>
              </w:rPr>
            </w:pPr>
            <w:r>
              <w:rPr>
                <w:rFonts w:ascii="Arial" w:cs="Arial" w:eastAsia="Arial" w:hAnsi="Arial"/>
                <w:sz w:val="18"/>
                <w:szCs w:val="18"/>
                <w:color w:val="auto"/>
              </w:rPr>
              <w:t>Change</w:t>
            </w: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vMerge w:val="continue"/>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2011</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2010</w:t>
            </w:r>
          </w:p>
        </w:tc>
        <w:tc>
          <w:tcPr>
            <w:tcW w:w="2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11,398</w:t>
            </w:r>
          </w:p>
        </w:tc>
        <w:tc>
          <w:tcPr>
            <w:tcW w:w="4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10,621</w:t>
            </w:r>
          </w:p>
        </w:tc>
        <w:tc>
          <w:tcPr>
            <w:tcW w:w="700" w:type="dxa"/>
            <w:vAlign w:val="bottom"/>
            <w:gridSpan w:val="2"/>
            <w:shd w:val="clear" w:color="auto" w:fill="CCFFCC"/>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777</w:t>
            </w:r>
          </w:p>
        </w:tc>
        <w:tc>
          <w:tcPr>
            <w:tcW w:w="2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In both fiscal years ended April 30, 2011 and 2010, selling and administrative costs were 21% of revenues. The increase in expenses for fiscal year 2011 compared to fiscal year 2010 is due primarily to increased deferred and incentive compensation expenses resulting from greater profitability and partially offset by a decrease in professional fee expense. Fiscal year 2010 expenses declined from fiscal year 2009 due to decreases in sales commissions and personnel costs including decreased employee benefits resulting from reductions in personnel that took place during the latter portion of fiscal year 2009. Such decreases were partially offset by higher incentive compensation expense as a result of the Company’s improved profitability. For the years ended April 30, 2011 and 2010, selling and administrative expenses include stock compensation expense of $186,100 and $235,700, respectively.</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8" w:name="page19"/>
    <w:bookmarkEnd w:id="18"/>
    <w:p>
      <w:pPr>
        <w:jc w:val="both"/>
        <w:ind w:firstLine="486"/>
        <w:spacing w:after="0" w:line="277" w:lineRule="auto"/>
        <w:rPr>
          <w:sz w:val="20"/>
          <w:szCs w:val="20"/>
          <w:color w:val="auto"/>
        </w:rPr>
      </w:pPr>
      <w:r>
        <w:rPr>
          <w:rFonts w:ascii="Arial" w:cs="Arial" w:eastAsia="Arial" w:hAnsi="Arial"/>
          <w:sz w:val="18"/>
          <w:szCs w:val="18"/>
          <w:color w:val="auto"/>
        </w:rPr>
        <w:t>The Company targets selling and administrative expenses at 20% of consolidated sales. For fiscal year 2012, with rising revenues, the Company expects to incur selling and administrative expenses at less than 20% of revenues.</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Research and Development expenses</w:t>
      </w:r>
    </w:p>
    <w:p>
      <w:pPr>
        <w:spacing w:after="0" w:line="256" w:lineRule="exact"/>
        <w:rPr>
          <w:sz w:val="20"/>
          <w:szCs w:val="20"/>
          <w:color w:val="auto"/>
        </w:rPr>
      </w:pPr>
    </w:p>
    <w:tbl>
      <w:tblPr>
        <w:tblLayout w:type="fixed"/>
        <w:tblInd w:w="2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60" w:type="dxa"/>
            <w:vAlign w:val="bottom"/>
            <w:gridSpan w:val="6"/>
          </w:tcPr>
          <w:p>
            <w:pPr>
              <w:ind w:left="100"/>
              <w:spacing w:after="0"/>
              <w:rPr>
                <w:sz w:val="20"/>
                <w:szCs w:val="20"/>
                <w:color w:val="auto"/>
              </w:rPr>
            </w:pPr>
            <w:r>
              <w:rPr>
                <w:rFonts w:ascii="Arial" w:cs="Arial" w:eastAsia="Arial" w:hAnsi="Arial"/>
                <w:sz w:val="18"/>
                <w:szCs w:val="18"/>
                <w:color w:val="auto"/>
              </w:rPr>
              <w:t>Fiscal years ended April 30,</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gridSpan w:val="3"/>
          </w:tcPr>
          <w:p>
            <w:pPr>
              <w:ind w:left="600"/>
              <w:spacing w:after="0"/>
              <w:rPr>
                <w:sz w:val="20"/>
                <w:szCs w:val="20"/>
                <w:color w:val="auto"/>
              </w:rPr>
            </w:pPr>
            <w:r>
              <w:rPr>
                <w:rFonts w:ascii="Arial" w:cs="Arial" w:eastAsia="Arial" w:hAnsi="Arial"/>
                <w:sz w:val="18"/>
                <w:szCs w:val="18"/>
                <w:color w:val="auto"/>
                <w:w w:val="94"/>
              </w:rPr>
              <w:t>(in thousands)</w:t>
            </w:r>
          </w:p>
        </w:tc>
        <w:tc>
          <w:tcPr>
            <w:tcW w:w="1260" w:type="dxa"/>
            <w:vAlign w:val="bottom"/>
            <w:gridSpan w:val="3"/>
            <w:vMerge w:val="restart"/>
          </w:tcPr>
          <w:p>
            <w:pPr>
              <w:ind w:left="540"/>
              <w:spacing w:after="0"/>
              <w:rPr>
                <w:sz w:val="20"/>
                <w:szCs w:val="20"/>
                <w:color w:val="auto"/>
              </w:rPr>
            </w:pPr>
            <w:r>
              <w:rPr>
                <w:rFonts w:ascii="Arial" w:cs="Arial" w:eastAsia="Arial" w:hAnsi="Arial"/>
                <w:sz w:val="18"/>
                <w:szCs w:val="18"/>
                <w:color w:val="auto"/>
              </w:rPr>
              <w:t>Change</w:t>
            </w: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vMerge w:val="continue"/>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2011</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2010</w:t>
            </w:r>
          </w:p>
        </w:tc>
        <w:tc>
          <w:tcPr>
            <w:tcW w:w="2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5,081</w:t>
            </w:r>
          </w:p>
        </w:tc>
        <w:tc>
          <w:tcPr>
            <w:tcW w:w="4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FFCC"/>
          </w:tcPr>
          <w:p>
            <w:pPr>
              <w:ind w:left="580"/>
              <w:spacing w:after="0"/>
              <w:rPr>
                <w:sz w:val="20"/>
                <w:szCs w:val="20"/>
                <w:color w:val="auto"/>
              </w:rPr>
            </w:pPr>
            <w:r>
              <w:rPr>
                <w:rFonts w:ascii="Arial" w:cs="Arial" w:eastAsia="Arial" w:hAnsi="Arial"/>
                <w:sz w:val="18"/>
                <w:szCs w:val="18"/>
                <w:color w:val="auto"/>
                <w:w w:val="88"/>
              </w:rPr>
              <w:t>5,350</w:t>
            </w:r>
          </w:p>
        </w:tc>
        <w:tc>
          <w:tcPr>
            <w:tcW w:w="700" w:type="dxa"/>
            <w:vAlign w:val="bottom"/>
            <w:gridSpan w:val="2"/>
            <w:shd w:val="clear" w:color="auto" w:fill="CCFFCC"/>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(269)</w:t>
            </w:r>
          </w:p>
        </w:tc>
        <w:tc>
          <w:tcPr>
            <w:tcW w:w="32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Research and development expenditures represent investments intended to keep the Company’s products at the leading edge of time and frequency technology and enhance competitiveness for future revenues. R&amp;D spending in fiscal years 2011 and 2010 was 9.5% and 10.8%, respectively, of consolidated revenue compared to the Company’s target of 10% of revenues. R&amp;D spending in fiscal year 2011 continued the development of new satellite payload products, a new family of frequency generators and converters, and new product introductions and improvements in the technology of the Company’s GPS-based wireless products and wireline synchronization equipment.</w:t>
      </w:r>
    </w:p>
    <w:p>
      <w:pPr>
        <w:spacing w:after="0" w:line="21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During the fiscal year ended April 30, 2010, R&amp;D spending increased in comparison to fiscal year 2009. This increase was the result of the Company’s added emphasis on the development of new space hardware including development of new C and Ku band beacon/telemetry transceivers and a new family of frequency generators and converters.</w:t>
      </w:r>
    </w:p>
    <w:p>
      <w:pPr>
        <w:spacing w:after="0" w:line="208"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In both fiscal years 2011 and 2010, the Company continued to conduct development activities on customer-funded programs the cost of which appears in cost of revenues, thus reducing the level of internal research and development spending.</w:t>
      </w:r>
    </w:p>
    <w:p>
      <w:pPr>
        <w:spacing w:after="0" w:line="197"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The Company will continue to focus its research and development activities on those products which it expects will provide the best return on investment and greatest prospects for the future growth of the Company. For fiscal year 2012, the Company will continue to make investments in improved satellite payload products from DC to Ka Band, develop and improve miniaturized rubidium atomic clocks, develop new GPS-based synchronization products and further enhance the capabilities of its line of low g-sensitivity and ruggedized rubidium oscillators. The Company will also be engaged in development efforts that are funded by its customers, the results of which will enhance its own product offerings. Thus, the Company’s target for fiscal year 2012 is to spend approximately 10% of revenues on research and development activities, although the actual level of spending is dependent on new opportunites and the rate at which it succeeds in bringing new products to market. Internally generated cash and cash reserves will be adequate to fund these development efforts.</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Operating Profit</w:t>
      </w:r>
    </w:p>
    <w:p>
      <w:pPr>
        <w:spacing w:after="0" w:line="256" w:lineRule="exact"/>
        <w:rPr>
          <w:sz w:val="20"/>
          <w:szCs w:val="20"/>
          <w:color w:val="auto"/>
        </w:rPr>
      </w:pPr>
    </w:p>
    <w:tbl>
      <w:tblPr>
        <w:tblLayout w:type="fixed"/>
        <w:tblInd w:w="2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80" w:type="dxa"/>
            <w:vAlign w:val="bottom"/>
            <w:gridSpan w:val="6"/>
          </w:tcPr>
          <w:p>
            <w:pPr>
              <w:ind w:left="100"/>
              <w:spacing w:after="0"/>
              <w:rPr>
                <w:sz w:val="20"/>
                <w:szCs w:val="20"/>
                <w:color w:val="auto"/>
              </w:rPr>
            </w:pPr>
            <w:r>
              <w:rPr>
                <w:rFonts w:ascii="Arial" w:cs="Arial" w:eastAsia="Arial" w:hAnsi="Arial"/>
                <w:sz w:val="18"/>
                <w:szCs w:val="18"/>
                <w:color w:val="auto"/>
              </w:rPr>
              <w:t>Fiscal years ended April 30,</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gridSpan w:val="3"/>
          </w:tcPr>
          <w:p>
            <w:pPr>
              <w:ind w:left="600"/>
              <w:spacing w:after="0"/>
              <w:rPr>
                <w:sz w:val="20"/>
                <w:szCs w:val="20"/>
                <w:color w:val="auto"/>
              </w:rPr>
            </w:pPr>
            <w:r>
              <w:rPr>
                <w:rFonts w:ascii="Arial" w:cs="Arial" w:eastAsia="Arial" w:hAnsi="Arial"/>
                <w:sz w:val="18"/>
                <w:szCs w:val="18"/>
                <w:color w:val="auto"/>
                <w:w w:val="94"/>
              </w:rPr>
              <w:t>(in thousands)</w:t>
            </w:r>
          </w:p>
        </w:tc>
        <w:tc>
          <w:tcPr>
            <w:tcW w:w="1280" w:type="dxa"/>
            <w:vAlign w:val="bottom"/>
            <w:gridSpan w:val="3"/>
            <w:vMerge w:val="restart"/>
          </w:tcPr>
          <w:p>
            <w:pPr>
              <w:ind w:left="560"/>
              <w:spacing w:after="0"/>
              <w:rPr>
                <w:sz w:val="20"/>
                <w:szCs w:val="20"/>
                <w:color w:val="auto"/>
              </w:rPr>
            </w:pPr>
            <w:r>
              <w:rPr>
                <w:rFonts w:ascii="Arial" w:cs="Arial" w:eastAsia="Arial" w:hAnsi="Arial"/>
                <w:sz w:val="18"/>
                <w:szCs w:val="18"/>
                <w:color w:val="auto"/>
              </w:rPr>
              <w:t>Change</w:t>
            </w: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vMerge w:val="continue"/>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2011</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2010</w:t>
            </w:r>
          </w:p>
        </w:tc>
        <w:tc>
          <w:tcPr>
            <w:tcW w:w="2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3,490</w:t>
            </w:r>
          </w:p>
        </w:tc>
        <w:tc>
          <w:tcPr>
            <w:tcW w:w="4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FFCC"/>
          </w:tcPr>
          <w:p>
            <w:pPr>
              <w:ind w:left="580"/>
              <w:spacing w:after="0"/>
              <w:rPr>
                <w:sz w:val="20"/>
                <w:szCs w:val="20"/>
                <w:color w:val="auto"/>
              </w:rPr>
            </w:pPr>
            <w:r>
              <w:rPr>
                <w:rFonts w:ascii="Arial" w:cs="Arial" w:eastAsia="Arial" w:hAnsi="Arial"/>
                <w:sz w:val="18"/>
                <w:szCs w:val="18"/>
                <w:color w:val="auto"/>
                <w:w w:val="88"/>
              </w:rPr>
              <w:t>1,751</w:t>
            </w:r>
          </w:p>
        </w:tc>
        <w:tc>
          <w:tcPr>
            <w:tcW w:w="700" w:type="dxa"/>
            <w:vAlign w:val="bottom"/>
            <w:gridSpan w:val="2"/>
            <w:shd w:val="clear" w:color="auto" w:fill="CCFFCC"/>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1,739</w:t>
            </w:r>
          </w:p>
        </w:tc>
        <w:tc>
          <w:tcPr>
            <w:tcW w:w="2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Higher revenues, improved gross margin rates and operating expenses in line with expectations for fiscal year 2011 enabled the Company to record an operating profit nearly twice the operating profit recorded in fiscal year 2010. On a segment basis, the operating profit of FEI-NY increased as a result of higher revenues and improved gross margin. The operating profit at Gillam-FEI was impacted by both product mix and inventory writedowns which reduced gross margin, while FEI-Zyfer’s operating profit increased due primarily to lower research and development expenses. The operating profit for the year ended April 30, 2010 resulted from substantially improved gross margin rates and lower operating expenses than experienced in fiscal year 2009. In fiscal year 2009, the Company recorded an operating loss as a result of higher than anticipated engineering and manufacturing costs on certain satellite payload products and a significant write down of certain wireless telecommunications inventory. Such expenses did not reoccur in the subsequent fiscal years.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9" w:name="page20"/>
    <w:bookmarkEnd w:id="19"/>
    <w:p>
      <w:pPr>
        <w:jc w:val="both"/>
        <w:ind w:firstLine="486"/>
        <w:spacing w:after="0" w:line="264" w:lineRule="auto"/>
        <w:rPr>
          <w:sz w:val="20"/>
          <w:szCs w:val="20"/>
          <w:color w:val="auto"/>
        </w:rPr>
      </w:pPr>
      <w:r>
        <w:rPr>
          <w:rFonts w:ascii="Arial" w:cs="Arial" w:eastAsia="Arial" w:hAnsi="Arial"/>
          <w:sz w:val="18"/>
          <w:szCs w:val="18"/>
          <w:color w:val="auto"/>
        </w:rPr>
        <w:t>Based on recently received new contracts for satellite payload programs and continuing new orders for U.S. Government/DOD non-space applications and wireline telecommunication products, the Company expects to continue to improve its gross margin while maintaining other operating expenses within their targeted amounts. Thus, the Company expects to report higher operating profits in fiscal year 2012.</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680" w:type="dxa"/>
            <w:vAlign w:val="bottom"/>
            <w:gridSpan w:val="3"/>
          </w:tcPr>
          <w:p>
            <w:pPr>
              <w:ind w:left="480"/>
              <w:spacing w:after="0"/>
              <w:rPr>
                <w:sz w:val="20"/>
                <w:szCs w:val="20"/>
                <w:color w:val="auto"/>
              </w:rPr>
            </w:pPr>
            <w:r>
              <w:rPr>
                <w:rFonts w:ascii="Arial" w:cs="Arial" w:eastAsia="Arial" w:hAnsi="Arial"/>
                <w:sz w:val="18"/>
                <w:szCs w:val="18"/>
                <w:b w:val="1"/>
                <w:bCs w:val="1"/>
                <w:color w:val="auto"/>
              </w:rPr>
              <w:t>Other Income (Expense)</w:t>
            </w: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5"/>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80" w:type="dxa"/>
            <w:vAlign w:val="bottom"/>
            <w:tcBorders>
              <w:top w:val="single" w:sz="8" w:color="auto"/>
            </w:tcBorders>
          </w:tcPr>
          <w:p>
            <w:pPr>
              <w:spacing w:after="0"/>
              <w:rPr>
                <w:sz w:val="24"/>
                <w:szCs w:val="24"/>
                <w:color w:val="auto"/>
              </w:rPr>
            </w:pPr>
          </w:p>
        </w:tc>
        <w:tc>
          <w:tcPr>
            <w:tcW w:w="1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80" w:type="dxa"/>
            <w:vAlign w:val="bottom"/>
            <w:gridSpan w:val="6"/>
          </w:tcPr>
          <w:p>
            <w:pPr>
              <w:ind w:left="80"/>
              <w:spacing w:after="0"/>
              <w:rPr>
                <w:sz w:val="20"/>
                <w:szCs w:val="20"/>
                <w:color w:val="auto"/>
              </w:rPr>
            </w:pPr>
            <w:r>
              <w:rPr>
                <w:rFonts w:ascii="Arial" w:cs="Arial" w:eastAsia="Arial" w:hAnsi="Arial"/>
                <w:sz w:val="18"/>
                <w:szCs w:val="18"/>
                <w:color w:val="auto"/>
              </w:rPr>
              <w:t>Fiscal years ended April 30,</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(in thousands)</w:t>
            </w:r>
          </w:p>
        </w:tc>
        <w:tc>
          <w:tcPr>
            <w:tcW w:w="1220" w:type="dxa"/>
            <w:vAlign w:val="bottom"/>
            <w:gridSpan w:val="3"/>
            <w:vMerge w:val="restart"/>
          </w:tcPr>
          <w:p>
            <w:pPr>
              <w:ind w:left="500"/>
              <w:spacing w:after="0"/>
              <w:rPr>
                <w:sz w:val="20"/>
                <w:szCs w:val="20"/>
                <w:color w:val="auto"/>
              </w:rPr>
            </w:pPr>
            <w:r>
              <w:rPr>
                <w:rFonts w:ascii="Arial" w:cs="Arial" w:eastAsia="Arial" w:hAnsi="Arial"/>
                <w:sz w:val="18"/>
                <w:szCs w:val="18"/>
                <w:color w:val="auto"/>
              </w:rPr>
              <w:t>Change</w:t>
            </w: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vMerge w:val="continue"/>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2011</w:t>
            </w:r>
          </w:p>
        </w:tc>
        <w:tc>
          <w:tcPr>
            <w:tcW w:w="3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2010</w:t>
            </w:r>
          </w:p>
        </w:tc>
        <w:tc>
          <w:tcPr>
            <w:tcW w:w="16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Investment income</w:t>
            </w:r>
          </w:p>
        </w:tc>
        <w:tc>
          <w:tcPr>
            <w:tcW w:w="800" w:type="dxa"/>
            <w:vAlign w:val="bottom"/>
            <w:shd w:val="clear" w:color="auto" w:fill="CCFFCC"/>
          </w:tcPr>
          <w:p>
            <w:pPr>
              <w:jc w:val="right"/>
              <w:ind w:right="640"/>
              <w:spacing w:after="0"/>
              <w:rPr>
                <w:sz w:val="20"/>
                <w:szCs w:val="20"/>
                <w:color w:val="auto"/>
              </w:rPr>
            </w:pPr>
            <w:r>
              <w:rPr>
                <w:rFonts w:ascii="Arial" w:cs="Arial" w:eastAsia="Arial" w:hAnsi="Arial"/>
                <w:sz w:val="15"/>
                <w:szCs w:val="15"/>
                <w:color w:val="auto"/>
                <w:w w:val="71"/>
              </w:rPr>
              <w:t>$</w:t>
            </w:r>
          </w:p>
        </w:tc>
        <w:tc>
          <w:tcPr>
            <w:tcW w:w="540" w:type="dxa"/>
            <w:vAlign w:val="bottom"/>
            <w:tcBorders>
              <w:right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395</w:t>
            </w: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right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470</w:t>
            </w:r>
          </w:p>
        </w:tc>
        <w:tc>
          <w:tcPr>
            <w:tcW w:w="480" w:type="dxa"/>
            <w:vAlign w:val="bottom"/>
            <w:shd w:val="clear" w:color="auto" w:fill="CCFFCC"/>
          </w:tcPr>
          <w:p>
            <w:pPr>
              <w:jc w:val="right"/>
              <w:ind w:right="32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(75)</w:t>
            </w:r>
          </w:p>
        </w:tc>
        <w:tc>
          <w:tcPr>
            <w:tcW w:w="36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3"/>
          </w:tcPr>
          <w:p>
            <w:pPr>
              <w:spacing w:after="0"/>
              <w:rPr>
                <w:sz w:val="20"/>
                <w:szCs w:val="20"/>
                <w:color w:val="auto"/>
              </w:rPr>
            </w:pPr>
            <w:r>
              <w:rPr>
                <w:rFonts w:ascii="Arial" w:cs="Arial" w:eastAsia="Arial" w:hAnsi="Arial"/>
                <w:sz w:val="18"/>
                <w:szCs w:val="18"/>
                <w:color w:val="auto"/>
              </w:rPr>
              <w:t>Equity loss</w:t>
            </w:r>
          </w:p>
        </w:tc>
        <w:tc>
          <w:tcPr>
            <w:tcW w:w="8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(141)</w:t>
            </w:r>
          </w:p>
        </w:tc>
        <w:tc>
          <w:tcPr>
            <w:tcW w:w="4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73</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Impairment charge</w:t>
            </w:r>
          </w:p>
        </w:tc>
        <w:tc>
          <w:tcPr>
            <w:tcW w:w="800" w:type="dxa"/>
            <w:vAlign w:val="bottom"/>
            <w:shd w:val="clear" w:color="auto" w:fill="CCFFCC"/>
          </w:tcPr>
          <w:p>
            <w:pPr>
              <w:spacing w:after="0"/>
              <w:rPr>
                <w:sz w:val="18"/>
                <w:szCs w:val="18"/>
                <w:color w:val="auto"/>
              </w:rPr>
            </w:pPr>
          </w:p>
        </w:tc>
        <w:tc>
          <w:tcPr>
            <w:tcW w:w="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FFCC"/>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8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(550)</w:t>
            </w:r>
          </w:p>
        </w:tc>
        <w:tc>
          <w:tcPr>
            <w:tcW w:w="48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550</w:t>
            </w:r>
          </w:p>
        </w:tc>
        <w:tc>
          <w:tcPr>
            <w:tcW w:w="36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3"/>
          </w:tcPr>
          <w:p>
            <w:pPr>
              <w:spacing w:after="0"/>
              <w:rPr>
                <w:sz w:val="20"/>
                <w:szCs w:val="20"/>
                <w:color w:val="auto"/>
              </w:rPr>
            </w:pPr>
            <w:r>
              <w:rPr>
                <w:rFonts w:ascii="Arial" w:cs="Arial" w:eastAsia="Arial" w:hAnsi="Arial"/>
                <w:sz w:val="18"/>
                <w:szCs w:val="18"/>
                <w:color w:val="auto"/>
              </w:rPr>
              <w:t>Interest expense</w:t>
            </w:r>
          </w:p>
        </w:tc>
        <w:tc>
          <w:tcPr>
            <w:tcW w:w="8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(118)</w:t>
            </w: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(121)</w:t>
            </w:r>
          </w:p>
        </w:tc>
        <w:tc>
          <w:tcPr>
            <w:tcW w:w="4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Other (expense) income, net</w:t>
            </w:r>
          </w:p>
        </w:tc>
        <w:tc>
          <w:tcPr>
            <w:tcW w:w="800" w:type="dxa"/>
            <w:vAlign w:val="bottom"/>
            <w:shd w:val="clear" w:color="auto" w:fill="CCFFCC"/>
          </w:tcPr>
          <w:p>
            <w:pPr>
              <w:spacing w:after="0"/>
              <w:rPr>
                <w:sz w:val="18"/>
                <w:szCs w:val="18"/>
                <w:color w:val="auto"/>
              </w:rPr>
            </w:pPr>
          </w:p>
        </w:tc>
        <w:tc>
          <w:tcPr>
            <w:tcW w:w="54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9"/>
              </w:rPr>
              <w:t>(104)</w:t>
            </w:r>
          </w:p>
        </w:tc>
        <w:tc>
          <w:tcPr>
            <w:tcW w:w="180" w:type="dxa"/>
            <w:vAlign w:val="bottom"/>
            <w:shd w:val="clear" w:color="auto" w:fill="CCFFCC"/>
          </w:tcPr>
          <w:p>
            <w:pPr>
              <w:spacing w:after="0"/>
              <w:rPr>
                <w:sz w:val="18"/>
                <w:szCs w:val="18"/>
                <w:color w:val="auto"/>
              </w:rPr>
            </w:pPr>
          </w:p>
        </w:tc>
        <w:tc>
          <w:tcPr>
            <w:tcW w:w="118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(180)</w:t>
            </w:r>
          </w:p>
        </w:tc>
        <w:tc>
          <w:tcPr>
            <w:tcW w:w="480" w:type="dxa"/>
            <w:vAlign w:val="bottom"/>
            <w:shd w:val="clear" w:color="auto" w:fill="CCFFCC"/>
          </w:tcPr>
          <w:p>
            <w:pPr>
              <w:spacing w:after="0"/>
              <w:rPr>
                <w:sz w:val="18"/>
                <w:szCs w:val="18"/>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76</w:t>
            </w:r>
          </w:p>
        </w:tc>
        <w:tc>
          <w:tcPr>
            <w:tcW w:w="16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0" w:type="dxa"/>
            <w:vAlign w:val="bottom"/>
            <w:shd w:val="clear" w:color="auto" w:fill="CCFFCC"/>
          </w:tcPr>
          <w:p>
            <w:pPr>
              <w:spacing w:after="0"/>
              <w:rPr>
                <w:sz w:val="2"/>
                <w:szCs w:val="2"/>
                <w:color w:val="auto"/>
              </w:rPr>
            </w:pPr>
          </w:p>
        </w:tc>
        <w:tc>
          <w:tcPr>
            <w:tcW w:w="1880" w:type="dxa"/>
            <w:vAlign w:val="bottom"/>
            <w:shd w:val="clear" w:color="auto" w:fill="CCFFCC"/>
          </w:tcPr>
          <w:p>
            <w:pPr>
              <w:spacing w:after="0"/>
              <w:rPr>
                <w:sz w:val="2"/>
                <w:szCs w:val="2"/>
                <w:color w:val="auto"/>
              </w:rPr>
            </w:pPr>
          </w:p>
        </w:tc>
        <w:tc>
          <w:tcPr>
            <w:tcW w:w="1320" w:type="dxa"/>
            <w:vAlign w:val="bottom"/>
            <w:shd w:val="clear" w:color="auto" w:fill="CCFFCC"/>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tcBorders>
              <w:right w:val="single" w:sz="8" w:color="CCFFCC"/>
            </w:tcBorders>
            <w:shd w:val="clear" w:color="auto" w:fill="CCFFC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tcBorders>
              <w:right w:val="single" w:sz="8" w:color="CCFFCC"/>
            </w:tcBorders>
            <w:shd w:val="clear" w:color="auto" w:fill="CCFFCC"/>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360" w:type="dxa"/>
            <w:vAlign w:val="bottom"/>
            <w:shd w:val="clear" w:color="auto" w:fill="CCFFCC"/>
          </w:tcPr>
          <w:p>
            <w:pPr>
              <w:spacing w:after="0"/>
              <w:rPr>
                <w:sz w:val="2"/>
                <w:szCs w:val="2"/>
                <w:color w:val="auto"/>
              </w:rPr>
            </w:pPr>
          </w:p>
        </w:tc>
        <w:tc>
          <w:tcPr>
            <w:tcW w:w="820" w:type="dxa"/>
            <w:vAlign w:val="bottom"/>
            <w:shd w:val="clear" w:color="auto" w:fill="CCFFCC"/>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0" w:type="dxa"/>
            <w:vAlign w:val="bottom"/>
          </w:tcPr>
          <w:p>
            <w:pPr>
              <w:jc w:val="right"/>
              <w:ind w:right="640"/>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105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(522)</w:t>
            </w: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627</w:t>
            </w:r>
          </w:p>
        </w:tc>
        <w:tc>
          <w:tcPr>
            <w:tcW w:w="36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Investment income includes interest and dividend income on marketable securities. Earnings on these securities may vary based on fluctuating interest rate levels and the timing of purchases or sales of securities. In the current low interest rate environment, earnings on fixed income securities have been significantly reduced. During fiscal years 2011 and 2010, investment income was reduced by approximately $48,000 and $45,000, respectively, as a result of losses upon the sale or redemption of certain marketable securities in its portfolio. During fiscal year 2012, unless interest rates begin to increase, the Company anticipates that investment income will be approximately the same as that earned in fiscal year 2011.</w:t>
      </w:r>
    </w:p>
    <w:p>
      <w:pPr>
        <w:spacing w:after="0" w:line="200"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equity loss in fiscal years 2011 and 2010 represents the Company’s share of the income or loss recorded by Elcom in which the Company owns a 25% interest. Also, during fiscal year 2010, based on comparisons to comparable companies as well as Elcom’s forecasts of future financial results, the Company recorded impairment charges in the amount of $550,000 in addition to its equity share in Elcom’s income or loss.</w:t>
      </w:r>
    </w:p>
    <w:p>
      <w:pPr>
        <w:spacing w:after="0" w:line="19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fiscal years 2011 and 2010, interest expense was incurred on borrowings under short-term credit obligations, on deferred compensation payments and capital leases for equipment. During the year ended April 30, 2010, the Company paid down its bank line of credit. That payment along with declining balances of capital lease obligations reduced interest expense. The Company anticipates that interest expense in fiscal year 2012 will continue to decrease as the capital leases are paid down.</w:t>
      </w:r>
    </w:p>
    <w:p>
      <w:pPr>
        <w:spacing w:after="0" w:line="214"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Other expenses for the year ended April 30, 2011, consisted primarily of charges on certain financial instruments and foreign currency exchange losses at the Company’s overseas subsidiaries. During the year ended April 30, 2010, other expenses also included royalty expenses which were not incurred during fiscal year 2011. The Company anticipates that in future years items in this category will not be significant to pretax earnings.</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Income Tax Benefit</w:t>
      </w:r>
    </w:p>
    <w:p>
      <w:pPr>
        <w:spacing w:after="0" w:line="256" w:lineRule="exact"/>
        <w:rPr>
          <w:sz w:val="20"/>
          <w:szCs w:val="20"/>
          <w:color w:val="auto"/>
        </w:rPr>
      </w:pPr>
    </w:p>
    <w:tbl>
      <w:tblPr>
        <w:tblLayout w:type="fixed"/>
        <w:tblInd w:w="2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0" w:type="dxa"/>
            <w:vAlign w:val="bottom"/>
            <w:gridSpan w:val="7"/>
          </w:tcPr>
          <w:p>
            <w:pPr>
              <w:jc w:val="center"/>
              <w:ind w:right="760"/>
              <w:spacing w:after="0"/>
              <w:rPr>
                <w:sz w:val="20"/>
                <w:szCs w:val="20"/>
                <w:color w:val="auto"/>
              </w:rPr>
            </w:pPr>
            <w:r>
              <w:rPr>
                <w:rFonts w:ascii="Arial" w:cs="Arial" w:eastAsia="Arial" w:hAnsi="Arial"/>
                <w:sz w:val="18"/>
                <w:szCs w:val="18"/>
                <w:color w:val="auto"/>
                <w:w w:val="91"/>
              </w:rPr>
              <w:t>Fiscal years ended April 30,</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gridSpan w:val="4"/>
          </w:tcPr>
          <w:p>
            <w:pPr>
              <w:jc w:val="center"/>
              <w:ind w:left="450"/>
              <w:spacing w:after="0"/>
              <w:rPr>
                <w:sz w:val="20"/>
                <w:szCs w:val="20"/>
                <w:color w:val="auto"/>
              </w:rPr>
            </w:pPr>
            <w:r>
              <w:rPr>
                <w:rFonts w:ascii="Arial" w:cs="Arial" w:eastAsia="Arial" w:hAnsi="Arial"/>
                <w:sz w:val="18"/>
                <w:szCs w:val="18"/>
                <w:color w:val="auto"/>
                <w:w w:val="91"/>
              </w:rPr>
              <w:t>(in thousands)</w:t>
            </w:r>
          </w:p>
        </w:tc>
        <w:tc>
          <w:tcPr>
            <w:tcW w:w="1300" w:type="dxa"/>
            <w:vAlign w:val="bottom"/>
            <w:gridSpan w:val="3"/>
            <w:vMerge w:val="restart"/>
          </w:tcPr>
          <w:p>
            <w:pPr>
              <w:ind w:left="560"/>
              <w:spacing w:after="0"/>
              <w:rPr>
                <w:sz w:val="20"/>
                <w:szCs w:val="20"/>
                <w:color w:val="auto"/>
              </w:rPr>
            </w:pPr>
            <w:r>
              <w:rPr>
                <w:rFonts w:ascii="Arial" w:cs="Arial" w:eastAsia="Arial" w:hAnsi="Arial"/>
                <w:sz w:val="18"/>
                <w:szCs w:val="18"/>
                <w:color w:val="auto"/>
              </w:rPr>
              <w:t>Change</w:t>
            </w: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vMerge w:val="continue"/>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(2,420)</w:t>
            </w:r>
          </w:p>
        </w:tc>
        <w:tc>
          <w:tcPr>
            <w:tcW w:w="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(1,520)</w:t>
            </w:r>
          </w:p>
        </w:tc>
        <w:tc>
          <w:tcPr>
            <w:tcW w:w="560" w:type="dxa"/>
            <w:vAlign w:val="bottom"/>
            <w:gridSpan w:val="2"/>
            <w:shd w:val="clear" w:color="auto" w:fill="CCFFCC"/>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(900)</w:t>
            </w:r>
          </w:p>
        </w:tc>
        <w:tc>
          <w:tcPr>
            <w:tcW w:w="34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As discussed above, during the fourth quarter of fiscal year 2011, the Company reduced by $3.6 million the previously established $8.1 million valuation allowance on its deferred tax assets. This reduction was based on a review of all available evidence, both positive and negative, and management’s assessment that it is more likely than not that it will be able to realize the tax benefits from the future deductibility of many items included in its deferred tax assets. Excluding the valuation allowance reduction, the Company recorded a net tax provision of $1.2 million or an effective tax rate of 33.8%. (See Note 13 to the Consolidated Financial Statements for a reconciliation of the actual tax benefit to the expected tax provision at the federal statutory rate.)</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0" w:name="page21"/>
    <w:bookmarkEnd w:id="20"/>
    <w:p>
      <w:pPr>
        <w:jc w:val="both"/>
        <w:ind w:firstLine="486"/>
        <w:spacing w:after="0" w:line="276" w:lineRule="auto"/>
        <w:rPr>
          <w:sz w:val="20"/>
          <w:szCs w:val="20"/>
          <w:color w:val="auto"/>
        </w:rPr>
      </w:pPr>
      <w:r>
        <w:rPr>
          <w:rFonts w:ascii="Arial" w:cs="Arial" w:eastAsia="Arial" w:hAnsi="Arial"/>
          <w:sz w:val="17"/>
          <w:szCs w:val="17"/>
          <w:color w:val="auto"/>
        </w:rPr>
        <w:t>For the fiscal year ended April 30, 2010, the Company also recorded a net tax benefit as a result of obtaining a tax refund from the carryback of the previous year’s net loss to an earlier profitable tax year. Such refund became available to the Company as a result of legislation enacted by the United States in November 2009, which permitted corporations to carryback net operating losses up to 5 years versus the previous 2-year limitation. Before this legislation was enacted, the Company anticipated receiving a tax benefit of approximately $800,000 and recorded a receivable on that basis. Due to the change in tax law, the Company recognized a net tax benefit of $1.52 million of which $1.8 million is attributable to the effect of the new law.</w:t>
      </w:r>
    </w:p>
    <w:p>
      <w:pPr>
        <w:spacing w:after="0" w:line="200"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Company is subject to taxation in several countries. The statutory federal rates are 34% in the United States, 33% in Europe and 25% in China. In fiscal year 2011, reversal of a portion of the valuation allowance created a net tax benefit which offset the tax expense from that year’s pre-tax income. In fiscal year 2010, the $2.8 million tax refund created a current benefit that offset the current tax provision and the increase in the valuation allowance. The Company utilizes the availability of research and development tax credits in the United States to lower its tax rate. (See Note 13 to the Consolidated Financial Statements.)</w:t>
      </w:r>
    </w:p>
    <w:p>
      <w:pPr>
        <w:spacing w:after="0" w:line="21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Company’s European subsidiaries have available net operating loss carryforwards of approximately $1.3 million to offset future taxable income. These loss carryforwards have no expiration date. For state income tax purposes, the Company has tax loss carryforwards of approximately $2.3 million in California and $1.9 million in New York.</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56"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Company’s balance sheet continues to reflect a highly liquid position with working capital of $60.3 million at April 30, 2011. Included in working capital at April 30, 2011 is $20.6 million consisting of cash, cash equivalents and short-term investments. The Company’s current ratio at April 30, 2011 is 9.2 to 1 compared to 8.3 to 1 at the end of the prior fiscal year.</w:t>
      </w:r>
    </w:p>
    <w:p>
      <w:pPr>
        <w:spacing w:after="0" w:line="208"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Net cash provided by operating activities for the year ended April 30, 2011, was $1.9 million compared to $7.6 million for the prior fiscal year. During fiscal years 2011 and 2010, the Company incurred $4.7 million and $5.0 million, respectively, in non-cash charges to earnings, including depreciation and amortization expense, the equity loss on its Elcom investment, and certain employee benefit plan expenses, including accounting for stock-based compensation. Such non-cash charges were partially offset by the non-cash benefit of $3.6 million resulting from the Company’s reduction of a portion of the valuation allowance on its deferred tax assets. For fiscal year 2011, operating cash was reduced by increases to accounts receivable and inventory. In addition, higher profits required increased estimated income tax payments as compared to the year ended April 30, 2010, when the Company received a $2.8 million income tax refund from the carryback of fiscal year 2009’s tax loss. In fiscal year 2012, the Company anticipates that it will maintain positive cash flow from operations by continuing to generate operating profits.</w:t>
      </w:r>
    </w:p>
    <w:p>
      <w:pPr>
        <w:spacing w:after="0" w:line="206"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Net cash used in investing activities was $6.7 million for the fiscal year ended April 30, 2011, resulting from the net purchase of marketable securities for $4.8 million and the acquisition of capital equipment for $1.9 million. For the year ended April 30, 2010, net cash used in investing activities was $552,000 which consisted of net proceeds on the sale or redemption of marketable securities of $514,000, the repayment of a note receivable from Elcom of $217,000 offset by a new note from Elcom in the amount of $308,000 and the purchase of property, plant and equipment for $975,000. The Company may continue to invest cash equivalents in longer-term securities or to convert short-term investments to cash equivalents as dictated by its investment and acquisition strategies. The Company will continue to acquire more efficient equipment to automate its production process. The Company intends to spend between $1.5 million and $2.0 million on capital equipment during fiscal year 2012. Internally generated cash is expected to be adequate to acquire this property, plant and equipment.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1" w:name="page22"/>
    <w:bookmarkEnd w:id="21"/>
    <w:p>
      <w:pPr>
        <w:jc w:val="both"/>
        <w:ind w:firstLine="486"/>
        <w:spacing w:after="0" w:line="290" w:lineRule="auto"/>
        <w:rPr>
          <w:sz w:val="20"/>
          <w:szCs w:val="20"/>
          <w:color w:val="auto"/>
        </w:rPr>
      </w:pPr>
      <w:r>
        <w:rPr>
          <w:rFonts w:ascii="Arial" w:cs="Arial" w:eastAsia="Arial" w:hAnsi="Arial"/>
          <w:sz w:val="16"/>
          <w:szCs w:val="16"/>
          <w:color w:val="auto"/>
        </w:rPr>
        <w:t>The Company has a $7.4 million line of credit with the financial institution which also manages a substantial portion of its investment in marketable securities. The line is secured by its investments in marketable securities. Rather than liquidate some of these investments to meet short-term working capital requirements, the Company may borrow against the line of credit at variable interest rates currently averaging approximately 1.49%, similar to the interest rate earned on the marketable securities which secure the line. The highest level of borrowing was $6.0 million during fiscal year 2009. During fiscal year 2010, the Company paid the remaining $1.1 million balance and since then the Company has not drawn on the line of credit. There were no amounts outstanding under the line of credit as of April 30, 2011 or April 30, 2010. In addition, the Company’s European subsidiaries have available approximately $2.5 million in bank credit lines to meet short-term cash flow requirements. The rate of interest on these borrowings is based on the one month EURO Interbank Offered Rate (EURIBOR). The European subsidiaries had no borrowings under these lines of credit during fiscal years 2011 and 2010.</w:t>
      </w:r>
    </w:p>
    <w:p>
      <w:pPr>
        <w:spacing w:after="0" w:line="193"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During fiscal year 2011, cash used in financing activities was $149,000 consisting of repayment of capital lease obligations for $258,000, partially offset by $70,000 in proceeds from officers and employees upon the exercise of stock options and stock appreciation rights plus $39,000 for the tax benefit realized on such exercises. During the year ended April 30, 2010, cash used in financing activities was $1.4 million, all of which was for the repayment of debt, including $1.1 million for the line of credit discussed above and $300,000 in principal payments on a capital equipment lease. The Company will continue to use treasury shares to satisfy the future exercise of stock options and stock appreciation rights granted to officers and employees. The Company has been authorized by its Board of Directors to repurchase up to $5 million worth of shares of its common stock for treasury whenever appropriate opportunities arise but it has neither a formal repurchase plan nor commitments to purchase additional shares in the future. As of the end of fiscal year 2011, the Company has repurchased approximately $4 million of its common stock out of the $5 million authorization.</w:t>
      </w:r>
    </w:p>
    <w:p>
      <w:pPr>
        <w:spacing w:after="0" w:line="206"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The Company will continue to expend resources to develop, improve and acquire products for space applications, guidance and targeting systems, and communication systems which management believes will result in future growth and continued profitability. During fiscal year 2012, the Company intends to make a substantial investment of capital and technical resources to develop and acquire new products to meet the needs of the U.S. Government, commercial space and telecommunications infrastructure marketplaces and to invest in more efficient product designs and manufacturing procedures. Where possible, the Company will secure partial customer funding for such development efforts but is targeting to spend its own funds at a rate of approximately 10% of revenues to achieve its development goals. Internally generated cash will be adequate to fund these development efforts. The Company may also pursue acquisitions to expand its range of products and may use internally generated cash and external funding in connection with such acquisitions.</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Off-Balance Sheet Arrangements</w:t>
      </w:r>
    </w:p>
    <w:p>
      <w:pPr>
        <w:spacing w:after="0" w:line="256"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Company does not have any off-balance sheet arrangements that have or are reasonably likely to have a current or future effect on the Company’s financial condition, changes in financial condition, revenues or expenses, results of operations, liquidity, capital expenditures or capital resources that is material to investors.</w:t>
      </w:r>
    </w:p>
    <w:p>
      <w:pPr>
        <w:spacing w:after="0" w:line="208"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As of April 30, 2011, the Company's consolidated backlog amounted to approximately $71 million (see Item 1). Approximately 60% of this backlog is expected to be filled during the Company’s fiscal year ending April 30, 2012. Included in the backlog at April 30, 2011 is approximately $3.7 million under cost-plus-fee contracts which the Company believes represent firm commitments from its customers for which the Company has not received full funding to date. The Company excludes from backlog any contracts or awards for which it has not received authorization to proceed. On fixed price contracts, the Company excludes any unfunded portion which, as of April 30, 2011, was approximately $4 million. The Company expects these contracts to become fully funded over time and will be added to its backlog at that time.</w:t>
      </w:r>
    </w:p>
    <w:p>
      <w:pPr>
        <w:spacing w:after="0" w:line="220"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Company’s liquidity is adequate to meet its operating and investment needs through at least April 30, 2012.</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auto"/>
        </w:rPr>
        <w:t>RECENT ACCOUNTING PRONOUNCEMENTS</w:t>
      </w:r>
    </w:p>
    <w:p>
      <w:pPr>
        <w:spacing w:after="0" w:line="256"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In June 2009, the FASB issued standards which modified how a company determines when an entity that is insufficiently capitalized or is not controlled through voting (or similar rights) should be consolidated. These standards clarify that the determination of whether a company is required to consolidate an entity is based on, among other things, an entity’s purpose and design and a company’s ability to direct the activities of the entity that most significantly impact the entity’s economic performance. These standards require an ongoing reassessment of whether a company is the primary beneficiary of a variable interest entity. These standards also require additional disclosures about a company’s involvement in variable interest entities and any significant changes in risk exposure due to that involvement. These standards were effective for fiscal years beginning after November 15, 2009 and were effective for the Company on May 1, 2010. The adoption of these standards by the Company did not have a material impact on the financial condition, results of operations, and disclosures.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MATTERS</w:t>
      </w:r>
    </w:p>
    <w:p>
      <w:pPr>
        <w:spacing w:after="0" w:line="256"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financial information reported herein is not necessarily indicative of future operating results or of the future financial condition of the Company. Except as noted, management is unaware of any impending transactions or internal events that are likely to have a material adverse effect on results from operations.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INFLATION</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During fiscal 2011, as in fiscal year 2010, the impact of inflation on the Company's business has not been materially significant.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auto"/>
        </w:rPr>
        <w:t>Item 8. Financial Statements and Supplementary Data</w:t>
      </w:r>
    </w:p>
    <w:p>
      <w:pPr>
        <w:spacing w:after="0" w:line="248"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Frequency Electronics, Inc.</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the accompanying consolidated balance sheets of Frequency Electronics, Inc. and subsidiaries (the "Company") as of April 30, 2011 and 2010, and the related consolidated statements of operations, cash flows and changes in stockholders' equity for each of the years in the two-year period ended April 30, 2011. The financial statements are the responsibility of the Company's management. Our responsibility is to express an opinion on these financial statements based on our audits.</w:t>
      </w:r>
    </w:p>
    <w:p>
      <w:pPr>
        <w:spacing w:after="0" w:line="2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1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our opinion, the consolidated financial statements referred to above present fairly, in all material respects, the consolidated financial position of Frequency Electronics, Inc. and subsidiaries as of April 30, 2011 and 2010, and the consolidated results of their operations and their consolidated cash flows for each of the years in the two-year period ended April 30, 2011, in conformity with accounting principles generally accepted in the United States.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 EisnerAmper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EISNERAMPER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29, 2011</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30, 2011 and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228600</wp:posOffset>
            </wp:positionV>
            <wp:extent cx="182689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360" w:type="dxa"/>
            <w:vAlign w:val="bottom"/>
            <w:gridSpan w:val="4"/>
          </w:tcPr>
          <w:p>
            <w:pPr>
              <w:jc w:val="right"/>
              <w:ind w:right="650"/>
              <w:spacing w:after="0"/>
              <w:rPr>
                <w:sz w:val="20"/>
                <w:szCs w:val="20"/>
                <w:color w:val="auto"/>
              </w:rPr>
            </w:pPr>
            <w:r>
              <w:rPr>
                <w:rFonts w:ascii="Arial" w:cs="Arial" w:eastAsia="Arial" w:hAnsi="Arial"/>
                <w:sz w:val="17"/>
                <w:szCs w:val="17"/>
                <w:color w:val="auto"/>
                <w:w w:val="71"/>
              </w:rPr>
              <w:t>thousands)</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ind w:left="3960"/>
              <w:spacing w:after="0"/>
              <w:rPr>
                <w:sz w:val="20"/>
                <w:szCs w:val="20"/>
                <w:color w:val="auto"/>
              </w:rPr>
            </w:pPr>
            <w:r>
              <w:rPr>
                <w:rFonts w:ascii="Arial" w:cs="Arial" w:eastAsia="Arial" w:hAnsi="Arial"/>
                <w:sz w:val="18"/>
                <w:szCs w:val="18"/>
                <w:b w:val="1"/>
                <w:bCs w:val="1"/>
                <w:color w:val="auto"/>
              </w:rPr>
              <w:t>ASSETS</w:t>
            </w:r>
            <w:r>
              <w:rPr>
                <w:rFonts w:ascii="Arial" w:cs="Arial" w:eastAsia="Arial" w:hAnsi="Arial"/>
                <w:sz w:val="18"/>
                <w:szCs w:val="18"/>
                <w:color w:val="auto"/>
              </w:rPr>
              <w:t>:</w:t>
            </w: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5,275</w:t>
            </w:r>
          </w:p>
        </w:tc>
        <w:tc>
          <w:tcPr>
            <w:tcW w:w="140" w:type="dxa"/>
            <w:vAlign w:val="bottom"/>
            <w:shd w:val="clear" w:color="auto" w:fill="CCFFCC"/>
          </w:tcPr>
          <w:p>
            <w:pPr>
              <w:spacing w:after="0"/>
              <w:rPr>
                <w:sz w:val="18"/>
                <w:szCs w:val="18"/>
                <w:color w:val="auto"/>
              </w:rPr>
            </w:pPr>
          </w:p>
        </w:tc>
        <w:tc>
          <w:tcPr>
            <w:tcW w:w="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9,954</w:t>
            </w: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Marketable securities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15,357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10,418</w:t>
            </w: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Accounts receivable, net of allowance for doubtful accounts of $258 in 2011 and $266 in 2010</w:t>
            </w: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11,663</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10,504</w:t>
            </w: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Costs and estimated earnings in excess of billings, net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2,409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1,667</w:t>
            </w: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Inventories, net</w:t>
            </w: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28,172</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26,975</w:t>
            </w: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2,580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Prepaid income taxes</w:t>
            </w: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882</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Prepaid expenses and other</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ind w:left="48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67,736</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60,640</w:t>
            </w:r>
          </w:p>
        </w:tc>
      </w:tr>
      <w:tr>
        <w:trPr>
          <w:trHeight w:val="202"/>
        </w:trPr>
        <w:tc>
          <w:tcPr>
            <w:tcW w:w="20" w:type="dxa"/>
            <w:vAlign w:val="bottom"/>
          </w:tcPr>
          <w:p>
            <w:pPr>
              <w:spacing w:after="0"/>
              <w:rPr>
                <w:sz w:val="17"/>
                <w:szCs w:val="17"/>
                <w:color w:val="auto"/>
              </w:rPr>
            </w:pPr>
          </w:p>
        </w:tc>
        <w:tc>
          <w:tcPr>
            <w:tcW w:w="8800" w:type="dxa"/>
            <w:vAlign w:val="bottom"/>
          </w:tcPr>
          <w:p>
            <w:pPr>
              <w:spacing w:after="0" w:line="201" w:lineRule="exact"/>
              <w:rPr>
                <w:sz w:val="20"/>
                <w:szCs w:val="20"/>
                <w:color w:val="auto"/>
              </w:rPr>
            </w:pPr>
            <w:r>
              <w:rPr>
                <w:rFonts w:ascii="Arial" w:cs="Arial" w:eastAsia="Arial" w:hAnsi="Arial"/>
                <w:sz w:val="18"/>
                <w:szCs w:val="18"/>
                <w:color w:val="auto"/>
              </w:rPr>
              <w:t>Property, plant and equipment, at cost,</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less accumulated depreciation and amortization</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7,163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7,015</w:t>
            </w: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750</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Goodwill and other intangible assets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218</w:t>
            </w: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spacing w:after="0"/>
              <w:rPr>
                <w:sz w:val="20"/>
                <w:szCs w:val="20"/>
                <w:color w:val="auto"/>
              </w:rPr>
            </w:pPr>
            <w:r>
              <w:rPr>
                <w:rFonts w:ascii="Arial" w:cs="Arial" w:eastAsia="Arial" w:hAnsi="Arial"/>
                <w:sz w:val="18"/>
                <w:szCs w:val="18"/>
                <w:color w:val="auto"/>
              </w:rPr>
              <w:t>Cash surrender value of life insurance and cash held in trust</w:t>
            </w: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9,409</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8,917</w:t>
            </w: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Investment in and loans receivable from affiliates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3,738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3,813</w:t>
            </w: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shd w:val="clear" w:color="auto" w:fill="CCFFCC"/>
          </w:tcPr>
          <w:p>
            <w:pPr>
              <w:spacing w:after="0"/>
              <w:rPr>
                <w:sz w:val="19"/>
                <w:szCs w:val="19"/>
                <w:color w:val="auto"/>
              </w:rPr>
            </w:pPr>
          </w:p>
        </w:tc>
        <w:tc>
          <w:tcPr>
            <w:tcW w:w="9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817</w:t>
            </w:r>
          </w:p>
        </w:tc>
        <w:tc>
          <w:tcPr>
            <w:tcW w:w="140" w:type="dxa"/>
            <w:vAlign w:val="bottom"/>
            <w:tcBorders>
              <w:bottom w:val="single" w:sz="8" w:color="CCFFCC"/>
            </w:tcBorders>
            <w:shd w:val="clear" w:color="auto" w:fill="CCFFCC"/>
          </w:tcPr>
          <w:p>
            <w:pPr>
              <w:spacing w:after="0"/>
              <w:rPr>
                <w:sz w:val="19"/>
                <w:szCs w:val="19"/>
                <w:color w:val="auto"/>
              </w:rPr>
            </w:pPr>
          </w:p>
        </w:tc>
        <w:tc>
          <w:tcPr>
            <w:tcW w:w="80" w:type="dxa"/>
            <w:vAlign w:val="bottom"/>
            <w:tcBorders>
              <w:bottom w:val="single" w:sz="8" w:color="CCFFCC"/>
            </w:tcBorders>
            <w:shd w:val="clear" w:color="auto" w:fill="CCFFCC"/>
          </w:tcPr>
          <w:p>
            <w:pPr>
              <w:spacing w:after="0"/>
              <w:rPr>
                <w:sz w:val="19"/>
                <w:szCs w:val="19"/>
                <w:color w:val="auto"/>
              </w:rPr>
            </w:pPr>
          </w:p>
        </w:tc>
        <w:tc>
          <w:tcPr>
            <w:tcW w:w="240" w:type="dxa"/>
            <w:vAlign w:val="bottom"/>
            <w:tcBorders>
              <w:bottom w:val="single" w:sz="8" w:color="auto"/>
            </w:tcBorders>
            <w:shd w:val="clear" w:color="auto" w:fill="CCFFCC"/>
          </w:tcPr>
          <w:p>
            <w:pPr>
              <w:spacing w:after="0"/>
              <w:rPr>
                <w:sz w:val="19"/>
                <w:szCs w:val="19"/>
                <w:color w:val="auto"/>
              </w:rPr>
            </w:pPr>
          </w:p>
        </w:tc>
        <w:tc>
          <w:tcPr>
            <w:tcW w:w="9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817</w:t>
            </w:r>
          </w:p>
        </w:tc>
        <w:tc>
          <w:tcPr>
            <w:tcW w:w="100" w:type="dxa"/>
            <w:vAlign w:val="bottom"/>
            <w:tcBorders>
              <w:bottom w:val="single" w:sz="8" w:color="CCFFCC"/>
            </w:tcBorders>
            <w:shd w:val="clear" w:color="auto" w:fill="CCFFCC"/>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8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89,831</w:t>
            </w:r>
          </w:p>
        </w:tc>
        <w:tc>
          <w:tcPr>
            <w:tcW w:w="14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81,420</w:t>
            </w: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FFCC"/>
          </w:tcPr>
          <w:p>
            <w:pPr>
              <w:ind w:left="2360"/>
              <w:spacing w:after="0"/>
              <w:rPr>
                <w:sz w:val="20"/>
                <w:szCs w:val="20"/>
                <w:color w:val="auto"/>
              </w:rPr>
            </w:pPr>
            <w:r>
              <w:rPr>
                <w:rFonts w:ascii="Arial" w:cs="Arial" w:eastAsia="Arial" w:hAnsi="Arial"/>
                <w:sz w:val="18"/>
                <w:szCs w:val="18"/>
                <w:b w:val="1"/>
                <w:bCs w:val="1"/>
                <w:color w:val="auto"/>
              </w:rPr>
              <w:t>LIABILITIES AND STOCKHOLDERS' EQUITY</w:t>
            </w:r>
            <w:r>
              <w:rPr>
                <w:rFonts w:ascii="Arial" w:cs="Arial" w:eastAsia="Arial" w:hAnsi="Arial"/>
                <w:sz w:val="18"/>
                <w:szCs w:val="18"/>
                <w:color w:val="auto"/>
              </w:rPr>
              <w:t>:</w:t>
            </w: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Accounts payable - trade</w:t>
            </w:r>
          </w:p>
        </w:tc>
        <w:tc>
          <w:tcPr>
            <w:tcW w:w="240" w:type="dxa"/>
            <w:vAlign w:val="bottom"/>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1,654</w:t>
            </w:r>
          </w:p>
        </w:tc>
        <w:tc>
          <w:tcPr>
            <w:tcW w:w="140" w:type="dxa"/>
            <w:vAlign w:val="bottom"/>
            <w:shd w:val="clear" w:color="auto" w:fill="CCFFCC"/>
          </w:tcPr>
          <w:p>
            <w:pPr>
              <w:spacing w:after="0"/>
              <w:rPr>
                <w:sz w:val="18"/>
                <w:szCs w:val="18"/>
                <w:color w:val="auto"/>
              </w:rPr>
            </w:pPr>
          </w:p>
        </w:tc>
        <w:tc>
          <w:tcPr>
            <w:tcW w:w="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1,720</w:t>
            </w: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Accrued liabilities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5,457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5,047</w:t>
            </w: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Income taxes payable</w:t>
            </w: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295</w:t>
            </w:r>
          </w:p>
        </w:tc>
      </w:tr>
      <w:tr>
        <w:trPr>
          <w:trHeight w:val="223"/>
        </w:trPr>
        <w:tc>
          <w:tcPr>
            <w:tcW w:w="20" w:type="dxa"/>
            <w:vAlign w:val="bottom"/>
          </w:tcPr>
          <w:p>
            <w:pPr>
              <w:spacing w:after="0"/>
              <w:rPr>
                <w:sz w:val="19"/>
                <w:szCs w:val="19"/>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Capital lease obligations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ind w:left="480"/>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7,386</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7,308</w:t>
            </w: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Capital lease obligation- noncurrent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441</w:t>
            </w: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spacing w:after="0"/>
              <w:rPr>
                <w:sz w:val="20"/>
                <w:szCs w:val="20"/>
                <w:color w:val="auto"/>
              </w:rPr>
            </w:pPr>
            <w:r>
              <w:rPr>
                <w:rFonts w:ascii="Arial" w:cs="Arial" w:eastAsia="Arial" w:hAnsi="Arial"/>
                <w:sz w:val="18"/>
                <w:szCs w:val="18"/>
                <w:color w:val="auto"/>
              </w:rPr>
              <w:t>Deferred compensation</w:t>
            </w: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9,827</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9,624</w:t>
            </w: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Deferred rent and other liabilities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w:t>
            </w:r>
          </w:p>
        </w:tc>
        <w:tc>
          <w:tcPr>
            <w:tcW w:w="10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FFCC"/>
          </w:tcPr>
          <w:p>
            <w:pPr>
              <w:ind w:left="480"/>
              <w:spacing w:after="0"/>
              <w:rPr>
                <w:sz w:val="20"/>
                <w:szCs w:val="20"/>
                <w:color w:val="auto"/>
              </w:rPr>
            </w:pPr>
            <w:r>
              <w:rPr>
                <w:rFonts w:ascii="Arial" w:cs="Arial" w:eastAsia="Arial" w:hAnsi="Arial"/>
                <w:sz w:val="18"/>
                <w:szCs w:val="18"/>
                <w:color w:val="auto"/>
              </w:rPr>
              <w:t>Total liabilities</w:t>
            </w:r>
          </w:p>
        </w:tc>
        <w:tc>
          <w:tcPr>
            <w:tcW w:w="240" w:type="dxa"/>
            <w:vAlign w:val="bottom"/>
            <w:shd w:val="clear" w:color="auto" w:fill="CCFFCC"/>
          </w:tcPr>
          <w:p>
            <w:pPr>
              <w:spacing w:after="0"/>
              <w:rPr>
                <w:sz w:val="19"/>
                <w:szCs w:val="19"/>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18,296</w:t>
            </w:r>
          </w:p>
        </w:tc>
        <w:tc>
          <w:tcPr>
            <w:tcW w:w="14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18,037</w:t>
            </w:r>
          </w:p>
        </w:tc>
      </w:tr>
      <w:tr>
        <w:trPr>
          <w:trHeight w:val="216"/>
        </w:trPr>
        <w:tc>
          <w:tcPr>
            <w:tcW w:w="20" w:type="dxa"/>
            <w:vAlign w:val="bottom"/>
          </w:tcPr>
          <w:p>
            <w:pPr>
              <w:spacing w:after="0"/>
              <w:rPr>
                <w:sz w:val="18"/>
                <w:szCs w:val="18"/>
                <w:color w:val="auto"/>
              </w:rPr>
            </w:pPr>
          </w:p>
        </w:tc>
        <w:tc>
          <w:tcPr>
            <w:tcW w:w="8800" w:type="dxa"/>
            <w:vAlign w:val="bottom"/>
            <w:tcBorders>
              <w:top w:val="single" w:sz="8" w:color="CCFFCC"/>
            </w:tcBorders>
          </w:tcPr>
          <w:p>
            <w:pPr>
              <w:spacing w:after="0"/>
              <w:rPr>
                <w:sz w:val="20"/>
                <w:szCs w:val="20"/>
                <w:color w:val="auto"/>
              </w:rPr>
            </w:pPr>
            <w:r>
              <w:rPr>
                <w:rFonts w:ascii="Arial" w:cs="Arial" w:eastAsia="Arial" w:hAnsi="Arial"/>
                <w:sz w:val="18"/>
                <w:szCs w:val="18"/>
                <w:color w:val="auto"/>
              </w:rPr>
              <w:t>Commitments and contingencies</w:t>
            </w: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spacing w:after="0"/>
              <w:rPr>
                <w:sz w:val="20"/>
                <w:szCs w:val="20"/>
                <w:color w:val="auto"/>
              </w:rPr>
            </w:pPr>
            <w:r>
              <w:rPr>
                <w:rFonts w:ascii="Arial" w:cs="Arial" w:eastAsia="Arial" w:hAnsi="Arial"/>
                <w:sz w:val="18"/>
                <w:szCs w:val="18"/>
                <w:color w:val="auto"/>
              </w:rPr>
              <w:t>Stockholders' equity:</w:t>
            </w: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Preferred stock - authorized 600,000 shares of $1.00 par value; no shares issued</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Common stock - authorized 20,000,000 shares of $1.00 par value; issued – 9,163,940 shares</w:t>
            </w: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9,164</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9,164</w:t>
            </w: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49,868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49,580</w:t>
            </w: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Retained earnings</w:t>
            </w:r>
          </w:p>
        </w:tc>
        <w:tc>
          <w:tcPr>
            <w:tcW w:w="240" w:type="dxa"/>
            <w:vAlign w:val="bottom"/>
            <w:tcBorders>
              <w:bottom w:val="single" w:sz="8" w:color="auto"/>
            </w:tcBorders>
            <w:shd w:val="clear" w:color="auto" w:fill="CCFFCC"/>
          </w:tcPr>
          <w:p>
            <w:pPr>
              <w:spacing w:after="0"/>
              <w:rPr>
                <w:sz w:val="19"/>
                <w:szCs w:val="19"/>
                <w:color w:val="auto"/>
              </w:rPr>
            </w:pPr>
          </w:p>
        </w:tc>
        <w:tc>
          <w:tcPr>
            <w:tcW w:w="9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11,286</w:t>
            </w:r>
          </w:p>
        </w:tc>
        <w:tc>
          <w:tcPr>
            <w:tcW w:w="140" w:type="dxa"/>
            <w:vAlign w:val="bottom"/>
            <w:tcBorders>
              <w:bottom w:val="single" w:sz="8" w:color="CCFFCC"/>
            </w:tcBorders>
            <w:shd w:val="clear" w:color="auto" w:fill="CCFFCC"/>
          </w:tcPr>
          <w:p>
            <w:pPr>
              <w:spacing w:after="0"/>
              <w:rPr>
                <w:sz w:val="19"/>
                <w:szCs w:val="19"/>
                <w:color w:val="auto"/>
              </w:rPr>
            </w:pPr>
          </w:p>
        </w:tc>
        <w:tc>
          <w:tcPr>
            <w:tcW w:w="80" w:type="dxa"/>
            <w:vAlign w:val="bottom"/>
            <w:tcBorders>
              <w:bottom w:val="single" w:sz="8" w:color="CCFFCC"/>
            </w:tcBorders>
            <w:shd w:val="clear" w:color="auto" w:fill="CCFFCC"/>
          </w:tcPr>
          <w:p>
            <w:pPr>
              <w:spacing w:after="0"/>
              <w:rPr>
                <w:sz w:val="19"/>
                <w:szCs w:val="19"/>
                <w:color w:val="auto"/>
              </w:rPr>
            </w:pPr>
          </w:p>
        </w:tc>
        <w:tc>
          <w:tcPr>
            <w:tcW w:w="240" w:type="dxa"/>
            <w:vAlign w:val="bottom"/>
            <w:tcBorders>
              <w:bottom w:val="single" w:sz="8" w:color="auto"/>
            </w:tcBorders>
            <w:shd w:val="clear" w:color="auto" w:fill="CCFFCC"/>
          </w:tcPr>
          <w:p>
            <w:pPr>
              <w:spacing w:after="0"/>
              <w:rPr>
                <w:sz w:val="19"/>
                <w:szCs w:val="19"/>
                <w:color w:val="auto"/>
              </w:rPr>
            </w:pPr>
          </w:p>
        </w:tc>
        <w:tc>
          <w:tcPr>
            <w:tcW w:w="9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5,271</w:t>
            </w:r>
          </w:p>
        </w:tc>
        <w:tc>
          <w:tcPr>
            <w:tcW w:w="100" w:type="dxa"/>
            <w:vAlign w:val="bottom"/>
            <w:tcBorders>
              <w:bottom w:val="single" w:sz="8" w:color="CCFFCC"/>
            </w:tcBorders>
            <w:shd w:val="clear" w:color="auto" w:fill="CCFFCC"/>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70,318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64,015</w:t>
            </w: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ind w:left="160"/>
              <w:spacing w:after="0"/>
              <w:rPr>
                <w:sz w:val="20"/>
                <w:szCs w:val="20"/>
                <w:color w:val="auto"/>
              </w:rPr>
            </w:pPr>
            <w:r>
              <w:rPr>
                <w:rFonts w:ascii="Arial" w:cs="Arial" w:eastAsia="Arial" w:hAnsi="Arial"/>
                <w:sz w:val="18"/>
                <w:szCs w:val="18"/>
                <w:color w:val="auto"/>
                <w:w w:val="98"/>
              </w:rPr>
              <w:t>Common stock reacquired and held in treasury - at cost (865,734 shares in 2011 and 946,172 shares in 2010)</w:t>
            </w: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(3,975)</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(4,651)</w:t>
            </w:r>
          </w:p>
        </w:tc>
      </w:tr>
      <w:tr>
        <w:trPr>
          <w:trHeight w:val="223"/>
        </w:trPr>
        <w:tc>
          <w:tcPr>
            <w:tcW w:w="20" w:type="dxa"/>
            <w:vAlign w:val="bottom"/>
          </w:tcPr>
          <w:p>
            <w:pPr>
              <w:spacing w:after="0"/>
              <w:rPr>
                <w:sz w:val="19"/>
                <w:szCs w:val="19"/>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Accumulated other comprehensive income</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4,019</w:t>
            </w:r>
          </w:p>
        </w:tc>
        <w:tc>
          <w:tcPr>
            <w:tcW w:w="10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FFCC"/>
            </w:tcBorders>
            <w:shd w:val="clear" w:color="auto" w:fill="CCFFCC"/>
          </w:tcPr>
          <w:p>
            <w:pPr>
              <w:ind w:left="48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auto"/>
            </w:tcBorders>
            <w:shd w:val="clear" w:color="auto" w:fill="CCFFCC"/>
          </w:tcPr>
          <w:p>
            <w:pPr>
              <w:spacing w:after="0"/>
              <w:rPr>
                <w:sz w:val="19"/>
                <w:szCs w:val="19"/>
                <w:color w:val="auto"/>
              </w:rPr>
            </w:pPr>
          </w:p>
        </w:tc>
        <w:tc>
          <w:tcPr>
            <w:tcW w:w="9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71,535</w:t>
            </w:r>
          </w:p>
        </w:tc>
        <w:tc>
          <w:tcPr>
            <w:tcW w:w="140" w:type="dxa"/>
            <w:vAlign w:val="bottom"/>
            <w:tcBorders>
              <w:bottom w:val="single" w:sz="8" w:color="CCFFCC"/>
            </w:tcBorders>
            <w:shd w:val="clear" w:color="auto" w:fill="CCFFCC"/>
          </w:tcPr>
          <w:p>
            <w:pPr>
              <w:spacing w:after="0"/>
              <w:rPr>
                <w:sz w:val="19"/>
                <w:szCs w:val="19"/>
                <w:color w:val="auto"/>
              </w:rPr>
            </w:pPr>
          </w:p>
        </w:tc>
        <w:tc>
          <w:tcPr>
            <w:tcW w:w="80" w:type="dxa"/>
            <w:vAlign w:val="bottom"/>
            <w:tcBorders>
              <w:bottom w:val="single" w:sz="8" w:color="CCFFCC"/>
            </w:tcBorders>
            <w:shd w:val="clear" w:color="auto" w:fill="CCFFCC"/>
          </w:tcPr>
          <w:p>
            <w:pPr>
              <w:spacing w:after="0"/>
              <w:rPr>
                <w:sz w:val="19"/>
                <w:szCs w:val="19"/>
                <w:color w:val="auto"/>
              </w:rPr>
            </w:pPr>
          </w:p>
        </w:tc>
        <w:tc>
          <w:tcPr>
            <w:tcW w:w="240" w:type="dxa"/>
            <w:vAlign w:val="bottom"/>
            <w:tcBorders>
              <w:bottom w:val="single" w:sz="8" w:color="auto"/>
            </w:tcBorders>
            <w:shd w:val="clear" w:color="auto" w:fill="CCFFCC"/>
          </w:tcPr>
          <w:p>
            <w:pPr>
              <w:spacing w:after="0"/>
              <w:rPr>
                <w:sz w:val="19"/>
                <w:szCs w:val="19"/>
                <w:color w:val="auto"/>
              </w:rPr>
            </w:pPr>
          </w:p>
        </w:tc>
        <w:tc>
          <w:tcPr>
            <w:tcW w:w="9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63,383</w:t>
            </w:r>
          </w:p>
        </w:tc>
        <w:tc>
          <w:tcPr>
            <w:tcW w:w="100" w:type="dxa"/>
            <w:vAlign w:val="bottom"/>
            <w:tcBorders>
              <w:bottom w:val="single" w:sz="8" w:color="CCFFCC"/>
            </w:tcBorders>
            <w:shd w:val="clear" w:color="auto" w:fill="CCFFCC"/>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b w:val="1"/>
                <w:bCs w:val="1"/>
                <w:color w:val="auto"/>
              </w:rPr>
              <w:t>Total liabilities and stockholders' equity</w:t>
            </w:r>
          </w:p>
        </w:tc>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89,831</w:t>
            </w:r>
          </w:p>
        </w:tc>
        <w:tc>
          <w:tcPr>
            <w:tcW w:w="14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81,420</w:t>
            </w: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April 30, 2011 and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228600</wp:posOffset>
            </wp:positionV>
            <wp:extent cx="18268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w w:val="92"/>
              </w:rPr>
              <w:t>(In thousands,</w:t>
            </w:r>
          </w:p>
        </w:tc>
        <w:tc>
          <w:tcPr>
            <w:tcW w:w="1360" w:type="dxa"/>
            <w:vAlign w:val="bottom"/>
            <w:gridSpan w:val="4"/>
          </w:tcPr>
          <w:p>
            <w:pPr>
              <w:jc w:val="right"/>
              <w:spacing w:after="0"/>
              <w:rPr>
                <w:sz w:val="20"/>
                <w:szCs w:val="20"/>
                <w:color w:val="auto"/>
              </w:rPr>
            </w:pPr>
            <w:r>
              <w:rPr>
                <w:rFonts w:ascii="Arial" w:cs="Arial" w:eastAsia="Arial" w:hAnsi="Arial"/>
                <w:sz w:val="18"/>
                <w:szCs w:val="18"/>
                <w:color w:val="auto"/>
                <w:w w:val="84"/>
              </w:rPr>
              <w:t>except share data)</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FFCC"/>
          </w:tcPr>
          <w:p>
            <w:pPr>
              <w:spacing w:after="0"/>
              <w:rPr>
                <w:sz w:val="20"/>
                <w:szCs w:val="20"/>
                <w:color w:val="auto"/>
              </w:rPr>
            </w:pPr>
            <w:r>
              <w:rPr>
                <w:rFonts w:ascii="Arial" w:cs="Arial" w:eastAsia="Arial" w:hAnsi="Arial"/>
                <w:sz w:val="18"/>
                <w:szCs w:val="18"/>
                <w:color w:val="auto"/>
              </w:rPr>
              <w:t>Revenues</w:t>
            </w:r>
          </w:p>
        </w:tc>
        <w:tc>
          <w:tcPr>
            <w:tcW w:w="324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53,223</w:t>
            </w:r>
          </w:p>
        </w:tc>
        <w:tc>
          <w:tcPr>
            <w:tcW w:w="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49,416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Cost of revenues</w:t>
            </w:r>
          </w:p>
        </w:tc>
        <w:tc>
          <w:tcPr>
            <w:tcW w:w="3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50"/>
              <w:spacing w:after="0"/>
              <w:rPr>
                <w:sz w:val="20"/>
                <w:szCs w:val="20"/>
                <w:color w:val="auto"/>
              </w:rPr>
            </w:pPr>
            <w:r>
              <w:rPr>
                <w:rFonts w:ascii="Arial" w:cs="Arial" w:eastAsia="Arial" w:hAnsi="Arial"/>
                <w:sz w:val="18"/>
                <w:szCs w:val="18"/>
                <w:color w:val="auto"/>
              </w:rPr>
              <w:t>33,254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31,694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FFCC"/>
          </w:tcPr>
          <w:p>
            <w:pPr>
              <w:ind w:left="480"/>
              <w:spacing w:after="0"/>
              <w:rPr>
                <w:sz w:val="20"/>
                <w:szCs w:val="20"/>
                <w:color w:val="auto"/>
              </w:rPr>
            </w:pPr>
            <w:r>
              <w:rPr>
                <w:rFonts w:ascii="Arial" w:cs="Arial" w:eastAsia="Arial" w:hAnsi="Arial"/>
                <w:sz w:val="18"/>
                <w:szCs w:val="18"/>
                <w:color w:val="auto"/>
              </w:rPr>
              <w:t>Gross margin</w:t>
            </w:r>
          </w:p>
        </w:tc>
        <w:tc>
          <w:tcPr>
            <w:tcW w:w="30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19,969</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17,722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FFCC"/>
          </w:tcPr>
          <w:p>
            <w:pPr>
              <w:spacing w:after="0"/>
              <w:rPr>
                <w:sz w:val="20"/>
                <w:szCs w:val="20"/>
                <w:color w:val="auto"/>
              </w:rPr>
            </w:pPr>
            <w:r>
              <w:rPr>
                <w:rFonts w:ascii="Arial" w:cs="Arial" w:eastAsia="Arial" w:hAnsi="Arial"/>
                <w:sz w:val="18"/>
                <w:szCs w:val="18"/>
                <w:color w:val="auto"/>
              </w:rPr>
              <w:t>Selling and administrative expenses</w:t>
            </w:r>
          </w:p>
        </w:tc>
        <w:tc>
          <w:tcPr>
            <w:tcW w:w="30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11,398</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10,621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30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FFCC"/>
          </w:tcPr>
          <w:p>
            <w:pPr>
              <w:ind w:left="480"/>
              <w:spacing w:after="0"/>
              <w:rPr>
                <w:sz w:val="20"/>
                <w:szCs w:val="20"/>
                <w:color w:val="auto"/>
              </w:rPr>
            </w:pPr>
            <w:r>
              <w:rPr>
                <w:rFonts w:ascii="Arial" w:cs="Arial" w:eastAsia="Arial" w:hAnsi="Arial"/>
                <w:sz w:val="18"/>
                <w:szCs w:val="18"/>
                <w:color w:val="auto"/>
              </w:rPr>
              <w:t>Operating profit</w:t>
            </w:r>
          </w:p>
        </w:tc>
        <w:tc>
          <w:tcPr>
            <w:tcW w:w="30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3,490</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FFCC"/>
          </w:tcPr>
          <w:p>
            <w:pPr>
              <w:spacing w:after="0"/>
              <w:rPr>
                <w:sz w:val="20"/>
                <w:szCs w:val="20"/>
                <w:color w:val="auto"/>
              </w:rPr>
            </w:pPr>
            <w:r>
              <w:rPr>
                <w:rFonts w:ascii="Arial" w:cs="Arial" w:eastAsia="Arial" w:hAnsi="Arial"/>
                <w:sz w:val="18"/>
                <w:szCs w:val="18"/>
                <w:color w:val="auto"/>
              </w:rPr>
              <w:t>Other income (expense):</w:t>
            </w:r>
          </w:p>
        </w:tc>
        <w:tc>
          <w:tcPr>
            <w:tcW w:w="30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160"/>
              <w:spacing w:after="0"/>
              <w:rPr>
                <w:sz w:val="20"/>
                <w:szCs w:val="20"/>
                <w:color w:val="auto"/>
              </w:rPr>
            </w:pPr>
            <w:r>
              <w:rPr>
                <w:rFonts w:ascii="Arial" w:cs="Arial" w:eastAsia="Arial" w:hAnsi="Arial"/>
                <w:sz w:val="18"/>
                <w:szCs w:val="18"/>
                <w:color w:val="auto"/>
              </w:rPr>
              <w:t>Investment income</w:t>
            </w:r>
          </w:p>
        </w:tc>
        <w:tc>
          <w:tcPr>
            <w:tcW w:w="3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50"/>
              <w:spacing w:after="0"/>
              <w:rPr>
                <w:sz w:val="20"/>
                <w:szCs w:val="20"/>
                <w:color w:val="auto"/>
              </w:rPr>
            </w:pPr>
            <w:r>
              <w:rPr>
                <w:rFonts w:ascii="Arial" w:cs="Arial" w:eastAsia="Arial" w:hAnsi="Arial"/>
                <w:sz w:val="18"/>
                <w:szCs w:val="18"/>
                <w:color w:val="auto"/>
              </w:rPr>
              <w:t>395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Equity loss</w:t>
            </w:r>
          </w:p>
        </w:tc>
        <w:tc>
          <w:tcPr>
            <w:tcW w:w="30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(68)</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160"/>
              <w:spacing w:after="0"/>
              <w:rPr>
                <w:sz w:val="20"/>
                <w:szCs w:val="20"/>
                <w:color w:val="auto"/>
              </w:rPr>
            </w:pPr>
            <w:r>
              <w:rPr>
                <w:rFonts w:ascii="Arial" w:cs="Arial" w:eastAsia="Arial" w:hAnsi="Arial"/>
                <w:sz w:val="18"/>
                <w:szCs w:val="18"/>
                <w:color w:val="auto"/>
              </w:rPr>
              <w:t>Impairment of investment in affiliate</w:t>
            </w:r>
          </w:p>
        </w:tc>
        <w:tc>
          <w:tcPr>
            <w:tcW w:w="3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Interest expense</w:t>
            </w:r>
          </w:p>
        </w:tc>
        <w:tc>
          <w:tcPr>
            <w:tcW w:w="30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(118)</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ind w:left="160"/>
              <w:spacing w:after="0"/>
              <w:rPr>
                <w:sz w:val="20"/>
                <w:szCs w:val="20"/>
                <w:color w:val="auto"/>
              </w:rPr>
            </w:pPr>
            <w:r>
              <w:rPr>
                <w:rFonts w:ascii="Arial" w:cs="Arial" w:eastAsia="Arial" w:hAnsi="Arial"/>
                <w:sz w:val="18"/>
                <w:szCs w:val="18"/>
                <w:color w:val="auto"/>
              </w:rPr>
              <w:t>Other expense, net</w:t>
            </w:r>
          </w:p>
        </w:tc>
        <w:tc>
          <w:tcPr>
            <w:tcW w:w="3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0" w:type="dxa"/>
            <w:vAlign w:val="bottom"/>
            <w:shd w:val="clear" w:color="auto" w:fill="CCFFCC"/>
          </w:tcPr>
          <w:p>
            <w:pPr>
              <w:spacing w:after="0"/>
              <w:rPr>
                <w:sz w:val="18"/>
                <w:szCs w:val="18"/>
                <w:color w:val="auto"/>
              </w:rPr>
            </w:pPr>
          </w:p>
        </w:tc>
        <w:tc>
          <w:tcPr>
            <w:tcW w:w="3000" w:type="dxa"/>
            <w:vAlign w:val="bottom"/>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Income before benefit for income taxes</w:t>
            </w:r>
          </w:p>
        </w:tc>
        <w:tc>
          <w:tcPr>
            <w:tcW w:w="3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3,595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FFCC"/>
          </w:tcPr>
          <w:p>
            <w:pPr>
              <w:spacing w:after="0"/>
              <w:rPr>
                <w:sz w:val="20"/>
                <w:szCs w:val="20"/>
                <w:color w:val="auto"/>
              </w:rPr>
            </w:pPr>
            <w:r>
              <w:rPr>
                <w:rFonts w:ascii="Arial" w:cs="Arial" w:eastAsia="Arial" w:hAnsi="Arial"/>
                <w:sz w:val="18"/>
                <w:szCs w:val="18"/>
                <w:color w:val="auto"/>
              </w:rPr>
              <w:t>Benefit for income taxes</w:t>
            </w:r>
          </w:p>
        </w:tc>
        <w:tc>
          <w:tcPr>
            <w:tcW w:w="30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(2,420)</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(1,520)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00" w:type="dxa"/>
            <w:vAlign w:val="bottom"/>
            <w:shd w:val="clear" w:color="auto" w:fill="CCFFCC"/>
          </w:tcPr>
          <w:p>
            <w:pPr>
              <w:spacing w:after="0"/>
              <w:rPr>
                <w:sz w:val="2"/>
                <w:szCs w:val="2"/>
                <w:color w:val="auto"/>
              </w:rPr>
            </w:pPr>
          </w:p>
        </w:tc>
        <w:tc>
          <w:tcPr>
            <w:tcW w:w="300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480"/>
              <w:spacing w:after="0"/>
              <w:rPr>
                <w:sz w:val="20"/>
                <w:szCs w:val="20"/>
                <w:color w:val="auto"/>
              </w:rPr>
            </w:pPr>
            <w:r>
              <w:rPr>
                <w:rFonts w:ascii="Arial" w:cs="Arial" w:eastAsia="Arial" w:hAnsi="Arial"/>
                <w:sz w:val="18"/>
                <w:szCs w:val="18"/>
                <w:color w:val="auto"/>
              </w:rPr>
              <w:t>Net income</w:t>
            </w:r>
          </w:p>
        </w:tc>
        <w:tc>
          <w:tcPr>
            <w:tcW w:w="32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6,015</w:t>
            </w:r>
          </w:p>
        </w:tc>
        <w:tc>
          <w:tcPr>
            <w:tcW w:w="14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2,749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00" w:type="dxa"/>
            <w:vAlign w:val="bottom"/>
            <w:shd w:val="clear" w:color="auto" w:fill="CCFFCC"/>
          </w:tcPr>
          <w:p>
            <w:pPr>
              <w:spacing w:after="0"/>
              <w:rPr>
                <w:sz w:val="18"/>
                <w:szCs w:val="18"/>
                <w:color w:val="auto"/>
              </w:rPr>
            </w:pPr>
          </w:p>
        </w:tc>
        <w:tc>
          <w:tcPr>
            <w:tcW w:w="30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Net income per common share:</w:t>
            </w:r>
          </w:p>
        </w:tc>
        <w:tc>
          <w:tcPr>
            <w:tcW w:w="3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8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Basic</w:t>
            </w:r>
          </w:p>
        </w:tc>
        <w:tc>
          <w:tcPr>
            <w:tcW w:w="324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0.73</w:t>
            </w:r>
          </w:p>
        </w:tc>
        <w:tc>
          <w:tcPr>
            <w:tcW w:w="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Borders>
              <w:top w:val="single" w:sz="8" w:color="CCFFCC"/>
            </w:tcBorders>
            <w:shd w:val="clear" w:color="auto" w:fill="CCFFCC"/>
          </w:tcPr>
          <w:p>
            <w:pPr>
              <w:spacing w:after="0" w:line="20" w:lineRule="exact"/>
              <w:rPr>
                <w:sz w:val="1"/>
                <w:szCs w:val="1"/>
                <w:color w:val="auto"/>
              </w:rPr>
            </w:pPr>
          </w:p>
        </w:tc>
        <w:tc>
          <w:tcPr>
            <w:tcW w:w="300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Pr>
          <w:p>
            <w:pPr>
              <w:ind w:left="160"/>
              <w:spacing w:after="0"/>
              <w:rPr>
                <w:sz w:val="20"/>
                <w:szCs w:val="20"/>
                <w:color w:val="auto"/>
              </w:rPr>
            </w:pPr>
            <w:r>
              <w:rPr>
                <w:rFonts w:ascii="Arial" w:cs="Arial" w:eastAsia="Arial" w:hAnsi="Arial"/>
                <w:sz w:val="18"/>
                <w:szCs w:val="18"/>
                <w:color w:val="auto"/>
              </w:rPr>
              <w:t>Diluted</w:t>
            </w:r>
          </w:p>
        </w:tc>
        <w:tc>
          <w:tcPr>
            <w:tcW w:w="32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0"/>
              <w:spacing w:after="0"/>
              <w:rPr>
                <w:sz w:val="20"/>
                <w:szCs w:val="20"/>
                <w:color w:val="auto"/>
              </w:rPr>
            </w:pPr>
            <w:r>
              <w:rPr>
                <w:rFonts w:ascii="Arial" w:cs="Arial" w:eastAsia="Arial" w:hAnsi="Arial"/>
                <w:sz w:val="18"/>
                <w:szCs w:val="18"/>
                <w:color w:val="auto"/>
              </w:rPr>
              <w:t>0.72</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00" w:type="dxa"/>
            <w:vAlign w:val="bottom"/>
            <w:shd w:val="clear" w:color="auto" w:fill="CCFFCC"/>
          </w:tcPr>
          <w:p>
            <w:pPr>
              <w:spacing w:after="0"/>
              <w:rPr>
                <w:sz w:val="18"/>
                <w:szCs w:val="18"/>
                <w:color w:val="auto"/>
              </w:rPr>
            </w:pPr>
          </w:p>
        </w:tc>
        <w:tc>
          <w:tcPr>
            <w:tcW w:w="30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Average shares outstanding:</w:t>
            </w:r>
          </w:p>
        </w:tc>
        <w:tc>
          <w:tcPr>
            <w:tcW w:w="3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80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Basic</w:t>
            </w:r>
          </w:p>
        </w:tc>
        <w:tc>
          <w:tcPr>
            <w:tcW w:w="3000" w:type="dxa"/>
            <w:vAlign w:val="bottom"/>
            <w:tcBorders>
              <w:bottom w:val="single" w:sz="8" w:color="CCFFCC"/>
            </w:tcBorders>
            <w:shd w:val="clear" w:color="auto" w:fill="CCFFCC"/>
          </w:tcPr>
          <w:p>
            <w:pPr>
              <w:spacing w:after="0"/>
              <w:rPr>
                <w:sz w:val="22"/>
                <w:szCs w:val="22"/>
                <w:color w:val="auto"/>
              </w:rPr>
            </w:pPr>
          </w:p>
        </w:tc>
        <w:tc>
          <w:tcPr>
            <w:tcW w:w="240" w:type="dxa"/>
            <w:vAlign w:val="bottom"/>
            <w:tcBorders>
              <w:bottom w:val="single" w:sz="8" w:color="auto"/>
            </w:tcBorders>
            <w:shd w:val="clear" w:color="auto" w:fill="CCFFCC"/>
          </w:tcPr>
          <w:p>
            <w:pPr>
              <w:spacing w:after="0"/>
              <w:rPr>
                <w:sz w:val="22"/>
                <w:szCs w:val="22"/>
                <w:color w:val="auto"/>
              </w:rPr>
            </w:pPr>
          </w:p>
        </w:tc>
        <w:tc>
          <w:tcPr>
            <w:tcW w:w="9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8,258,989</w:t>
            </w:r>
          </w:p>
        </w:tc>
        <w:tc>
          <w:tcPr>
            <w:tcW w:w="140" w:type="dxa"/>
            <w:vAlign w:val="bottom"/>
            <w:tcBorders>
              <w:bottom w:val="single" w:sz="8" w:color="CCFFCC"/>
            </w:tcBorders>
            <w:shd w:val="clear" w:color="auto" w:fill="CCFFCC"/>
          </w:tcPr>
          <w:p>
            <w:pPr>
              <w:spacing w:after="0"/>
              <w:rPr>
                <w:sz w:val="22"/>
                <w:szCs w:val="22"/>
                <w:color w:val="auto"/>
              </w:rPr>
            </w:pPr>
          </w:p>
        </w:tc>
        <w:tc>
          <w:tcPr>
            <w:tcW w:w="80" w:type="dxa"/>
            <w:vAlign w:val="bottom"/>
            <w:tcBorders>
              <w:bottom w:val="single" w:sz="8" w:color="CCFFCC"/>
            </w:tcBorders>
            <w:shd w:val="clear" w:color="auto" w:fill="CCFFCC"/>
          </w:tcPr>
          <w:p>
            <w:pPr>
              <w:spacing w:after="0"/>
              <w:rPr>
                <w:sz w:val="22"/>
                <w:szCs w:val="22"/>
                <w:color w:val="auto"/>
              </w:rPr>
            </w:pPr>
          </w:p>
        </w:tc>
        <w:tc>
          <w:tcPr>
            <w:tcW w:w="240" w:type="dxa"/>
            <w:vAlign w:val="bottom"/>
            <w:tcBorders>
              <w:bottom w:val="single" w:sz="8" w:color="auto"/>
            </w:tcBorders>
            <w:shd w:val="clear" w:color="auto" w:fill="CCFFCC"/>
          </w:tcPr>
          <w:p>
            <w:pPr>
              <w:spacing w:after="0"/>
              <w:rPr>
                <w:sz w:val="22"/>
                <w:szCs w:val="22"/>
                <w:color w:val="auto"/>
              </w:rPr>
            </w:pPr>
          </w:p>
        </w:tc>
        <w:tc>
          <w:tcPr>
            <w:tcW w:w="9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8,181,867</w:t>
            </w:r>
          </w:p>
        </w:tc>
        <w:tc>
          <w:tcPr>
            <w:tcW w:w="100" w:type="dxa"/>
            <w:vAlign w:val="bottom"/>
            <w:tcBorders>
              <w:bottom w:val="single" w:sz="8" w:color="CCFFCC"/>
            </w:tcBorders>
            <w:shd w:val="clear" w:color="auto" w:fill="CCFFCC"/>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Pr>
          <w:p>
            <w:pPr>
              <w:ind w:left="160"/>
              <w:spacing w:after="0"/>
              <w:rPr>
                <w:sz w:val="20"/>
                <w:szCs w:val="20"/>
                <w:color w:val="auto"/>
              </w:rPr>
            </w:pPr>
            <w:r>
              <w:rPr>
                <w:rFonts w:ascii="Arial" w:cs="Arial" w:eastAsia="Arial" w:hAnsi="Arial"/>
                <w:sz w:val="18"/>
                <w:szCs w:val="18"/>
                <w:color w:val="auto"/>
              </w:rPr>
              <w:t>Diluted</w:t>
            </w:r>
          </w:p>
        </w:tc>
        <w:tc>
          <w:tcPr>
            <w:tcW w:w="3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8,363,023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8,211,878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April 30, 2011 and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360" w:type="dxa"/>
            <w:vAlign w:val="bottom"/>
            <w:gridSpan w:val="4"/>
          </w:tcPr>
          <w:p>
            <w:pPr>
              <w:jc w:val="right"/>
              <w:ind w:right="650"/>
              <w:spacing w:after="0"/>
              <w:rPr>
                <w:sz w:val="20"/>
                <w:szCs w:val="20"/>
                <w:color w:val="auto"/>
              </w:rPr>
            </w:pPr>
            <w:r>
              <w:rPr>
                <w:rFonts w:ascii="Arial" w:cs="Arial" w:eastAsia="Arial" w:hAnsi="Arial"/>
                <w:sz w:val="17"/>
                <w:szCs w:val="17"/>
                <w:color w:val="auto"/>
                <w:w w:val="71"/>
              </w:rPr>
              <w:t>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FFCC"/>
          </w:tcPr>
          <w:p>
            <w:pPr>
              <w:spacing w:after="0"/>
              <w:rPr>
                <w:sz w:val="20"/>
                <w:szCs w:val="20"/>
                <w:color w:val="auto"/>
              </w:rPr>
            </w:pPr>
            <w:r>
              <w:rPr>
                <w:rFonts w:ascii="Arial" w:cs="Arial" w:eastAsia="Arial" w:hAnsi="Arial"/>
                <w:sz w:val="18"/>
                <w:szCs w:val="18"/>
                <w:color w:val="auto"/>
              </w:rPr>
              <w:t>Cash flows from operating activities:</w:t>
            </w:r>
          </w:p>
        </w:tc>
        <w:tc>
          <w:tcPr>
            <w:tcW w:w="14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5"/>
              <w:spacing w:after="0"/>
              <w:rPr>
                <w:sz w:val="20"/>
                <w:szCs w:val="20"/>
                <w:color w:val="auto"/>
              </w:rPr>
            </w:pPr>
            <w:r>
              <w:rPr>
                <w:rFonts w:ascii="Arial" w:cs="Arial" w:eastAsia="Arial" w:hAnsi="Arial"/>
                <w:sz w:val="18"/>
                <w:szCs w:val="18"/>
                <w:color w:val="auto"/>
              </w:rPr>
              <w:t>6,015</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Adjustments to reconcile net income to net cash provided in operating activities:</w:t>
            </w:r>
          </w:p>
        </w:tc>
        <w:tc>
          <w:tcPr>
            <w:tcW w:w="14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320"/>
              <w:spacing w:after="0"/>
              <w:rPr>
                <w:sz w:val="20"/>
                <w:szCs w:val="20"/>
                <w:color w:val="auto"/>
              </w:rPr>
            </w:pPr>
            <w:r>
              <w:rPr>
                <w:rFonts w:ascii="Arial" w:cs="Arial" w:eastAsia="Arial" w:hAnsi="Arial"/>
                <w:sz w:val="18"/>
                <w:szCs w:val="18"/>
                <w:color w:val="auto"/>
              </w:rPr>
              <w:t>Deferred income tax benefit</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(3,550)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FFCC"/>
          </w:tcPr>
          <w:p>
            <w:pPr>
              <w:ind w:left="320"/>
              <w:spacing w:after="0"/>
              <w:rPr>
                <w:sz w:val="20"/>
                <w:szCs w:val="20"/>
                <w:color w:val="auto"/>
              </w:rPr>
            </w:pPr>
            <w:r>
              <w:rPr>
                <w:rFonts w:ascii="Arial" w:cs="Arial" w:eastAsia="Arial" w:hAnsi="Arial"/>
                <w:sz w:val="18"/>
                <w:szCs w:val="18"/>
                <w:color w:val="auto"/>
              </w:rPr>
              <w:t>Depreciation and amortization</w:t>
            </w:r>
          </w:p>
        </w:tc>
        <w:tc>
          <w:tcPr>
            <w:tcW w:w="14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55"/>
              <w:spacing w:after="0"/>
              <w:rPr>
                <w:sz w:val="20"/>
                <w:szCs w:val="20"/>
                <w:color w:val="auto"/>
              </w:rPr>
            </w:pPr>
            <w:r>
              <w:rPr>
                <w:rFonts w:ascii="Arial" w:cs="Arial" w:eastAsia="Arial" w:hAnsi="Arial"/>
                <w:sz w:val="18"/>
                <w:szCs w:val="18"/>
                <w:color w:val="auto"/>
              </w:rPr>
              <w:t>1,937</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320"/>
              <w:spacing w:after="0"/>
              <w:rPr>
                <w:sz w:val="20"/>
                <w:szCs w:val="20"/>
                <w:color w:val="auto"/>
              </w:rPr>
            </w:pPr>
            <w:r>
              <w:rPr>
                <w:rFonts w:ascii="Arial" w:cs="Arial" w:eastAsia="Arial" w:hAnsi="Arial"/>
                <w:sz w:val="18"/>
                <w:szCs w:val="18"/>
                <w:color w:val="auto"/>
              </w:rPr>
              <w:t>Deferred lease obligation</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55"/>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FFCC"/>
          </w:tcPr>
          <w:p>
            <w:pPr>
              <w:ind w:left="320"/>
              <w:spacing w:after="0"/>
              <w:rPr>
                <w:sz w:val="20"/>
                <w:szCs w:val="20"/>
                <w:color w:val="auto"/>
              </w:rPr>
            </w:pPr>
            <w:r>
              <w:rPr>
                <w:rFonts w:ascii="Arial" w:cs="Arial" w:eastAsia="Arial" w:hAnsi="Arial"/>
                <w:sz w:val="18"/>
                <w:szCs w:val="18"/>
                <w:color w:val="auto"/>
              </w:rPr>
              <w:t>Provision for losses on accounts receivable and inventories</w:t>
            </w:r>
          </w:p>
        </w:tc>
        <w:tc>
          <w:tcPr>
            <w:tcW w:w="14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55"/>
              <w:spacing w:after="0"/>
              <w:rPr>
                <w:sz w:val="20"/>
                <w:szCs w:val="20"/>
                <w:color w:val="auto"/>
              </w:rPr>
            </w:pPr>
            <w:r>
              <w:rPr>
                <w:rFonts w:ascii="Arial" w:cs="Arial" w:eastAsia="Arial" w:hAnsi="Arial"/>
                <w:sz w:val="18"/>
                <w:szCs w:val="18"/>
                <w:color w:val="auto"/>
              </w:rPr>
              <w:t>1,129</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320"/>
              <w:spacing w:after="0"/>
              <w:rPr>
                <w:sz w:val="20"/>
                <w:szCs w:val="20"/>
                <w:color w:val="auto"/>
              </w:rPr>
            </w:pPr>
            <w:r>
              <w:rPr>
                <w:rFonts w:ascii="Arial" w:cs="Arial" w:eastAsia="Arial" w:hAnsi="Arial"/>
                <w:sz w:val="18"/>
                <w:szCs w:val="18"/>
                <w:color w:val="auto"/>
              </w:rPr>
              <w:t>Loss on marketable securities and other assets, net</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55"/>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FFCC"/>
          </w:tcPr>
          <w:p>
            <w:pPr>
              <w:ind w:left="320"/>
              <w:spacing w:after="0"/>
              <w:rPr>
                <w:sz w:val="20"/>
                <w:szCs w:val="20"/>
                <w:color w:val="auto"/>
              </w:rPr>
            </w:pPr>
            <w:r>
              <w:rPr>
                <w:rFonts w:ascii="Arial" w:cs="Arial" w:eastAsia="Arial" w:hAnsi="Arial"/>
                <w:sz w:val="18"/>
                <w:szCs w:val="18"/>
                <w:color w:val="auto"/>
              </w:rPr>
              <w:t>Equity loss</w:t>
            </w:r>
          </w:p>
        </w:tc>
        <w:tc>
          <w:tcPr>
            <w:tcW w:w="14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55"/>
              <w:spacing w:after="0"/>
              <w:rPr>
                <w:sz w:val="20"/>
                <w:szCs w:val="20"/>
                <w:color w:val="auto"/>
              </w:rPr>
            </w:pPr>
            <w:r>
              <w:rPr>
                <w:rFonts w:ascii="Arial" w:cs="Arial" w:eastAsia="Arial" w:hAnsi="Arial"/>
                <w:sz w:val="18"/>
                <w:szCs w:val="18"/>
                <w:color w:val="auto"/>
              </w:rPr>
              <w:t>68</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320"/>
              <w:spacing w:after="0"/>
              <w:rPr>
                <w:sz w:val="20"/>
                <w:szCs w:val="20"/>
                <w:color w:val="auto"/>
              </w:rPr>
            </w:pPr>
            <w:r>
              <w:rPr>
                <w:rFonts w:ascii="Arial" w:cs="Arial" w:eastAsia="Arial" w:hAnsi="Arial"/>
                <w:sz w:val="18"/>
                <w:szCs w:val="18"/>
                <w:color w:val="auto"/>
              </w:rPr>
              <w:t>Impairment of investment in affiliate</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55"/>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FFCC"/>
          </w:tcPr>
          <w:p>
            <w:pPr>
              <w:ind w:left="320"/>
              <w:spacing w:after="0"/>
              <w:rPr>
                <w:sz w:val="20"/>
                <w:szCs w:val="20"/>
                <w:color w:val="auto"/>
              </w:rPr>
            </w:pPr>
            <w:r>
              <w:rPr>
                <w:rFonts w:ascii="Arial" w:cs="Arial" w:eastAsia="Arial" w:hAnsi="Arial"/>
                <w:sz w:val="18"/>
                <w:szCs w:val="18"/>
                <w:color w:val="auto"/>
              </w:rPr>
              <w:t>Liability for employee benefit plans</w:t>
            </w:r>
          </w:p>
        </w:tc>
        <w:tc>
          <w:tcPr>
            <w:tcW w:w="14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55"/>
              <w:spacing w:after="0"/>
              <w:rPr>
                <w:sz w:val="20"/>
                <w:szCs w:val="20"/>
                <w:color w:val="auto"/>
              </w:rPr>
            </w:pPr>
            <w:r>
              <w:rPr>
                <w:rFonts w:ascii="Arial" w:cs="Arial" w:eastAsia="Arial" w:hAnsi="Arial"/>
                <w:sz w:val="18"/>
                <w:szCs w:val="18"/>
                <w:color w:val="auto"/>
              </w:rPr>
              <w:t>1,052</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320"/>
              <w:spacing w:after="0"/>
              <w:rPr>
                <w:sz w:val="20"/>
                <w:szCs w:val="20"/>
                <w:color w:val="auto"/>
              </w:rPr>
            </w:pPr>
            <w:r>
              <w:rPr>
                <w:rFonts w:ascii="Arial" w:cs="Arial" w:eastAsia="Arial" w:hAnsi="Arial"/>
                <w:sz w:val="18"/>
                <w:szCs w:val="18"/>
                <w:color w:val="auto"/>
              </w:rPr>
              <w:t>Stock-based compensation expense</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55"/>
              <w:spacing w:after="0"/>
              <w:rPr>
                <w:sz w:val="20"/>
                <w:szCs w:val="20"/>
                <w:color w:val="auto"/>
              </w:rPr>
            </w:pPr>
            <w:r>
              <w:rPr>
                <w:rFonts w:ascii="Arial" w:cs="Arial" w:eastAsia="Arial" w:hAnsi="Arial"/>
                <w:sz w:val="18"/>
                <w:szCs w:val="18"/>
                <w:color w:val="auto"/>
              </w:rPr>
              <w:t>476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FFCC"/>
          </w:tcPr>
          <w:p>
            <w:pPr>
              <w:ind w:left="320"/>
              <w:spacing w:after="0"/>
              <w:rPr>
                <w:sz w:val="20"/>
                <w:szCs w:val="20"/>
                <w:color w:val="auto"/>
              </w:rPr>
            </w:pPr>
            <w:r>
              <w:rPr>
                <w:rFonts w:ascii="Arial" w:cs="Arial" w:eastAsia="Arial" w:hAnsi="Arial"/>
                <w:sz w:val="18"/>
                <w:szCs w:val="18"/>
                <w:color w:val="auto"/>
              </w:rPr>
              <w:t>Tax benefit from stock-based compensation</w:t>
            </w:r>
          </w:p>
        </w:tc>
        <w:tc>
          <w:tcPr>
            <w:tcW w:w="14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FFCC"/>
          </w:tcPr>
          <w:p>
            <w:pPr>
              <w:ind w:left="320"/>
              <w:spacing w:after="0"/>
              <w:rPr>
                <w:sz w:val="20"/>
                <w:szCs w:val="20"/>
                <w:color w:val="auto"/>
              </w:rPr>
            </w:pPr>
            <w:r>
              <w:rPr>
                <w:rFonts w:ascii="Arial" w:cs="Arial" w:eastAsia="Arial" w:hAnsi="Arial"/>
                <w:sz w:val="18"/>
                <w:szCs w:val="18"/>
                <w:color w:val="auto"/>
              </w:rPr>
              <w:t>Accounts receivable</w:t>
            </w:r>
          </w:p>
        </w:tc>
        <w:tc>
          <w:tcPr>
            <w:tcW w:w="14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(1,606)</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320"/>
              <w:spacing w:after="0"/>
              <w:rPr>
                <w:sz w:val="20"/>
                <w:szCs w:val="20"/>
                <w:color w:val="auto"/>
              </w:rPr>
            </w:pPr>
            <w:r>
              <w:rPr>
                <w:rFonts w:ascii="Arial" w:cs="Arial" w:eastAsia="Arial" w:hAnsi="Arial"/>
                <w:sz w:val="18"/>
                <w:szCs w:val="18"/>
                <w:color w:val="auto"/>
              </w:rPr>
              <w:t>Inventories</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(1,748)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FFCC"/>
          </w:tcPr>
          <w:p>
            <w:pPr>
              <w:ind w:left="320"/>
              <w:spacing w:after="0"/>
              <w:rPr>
                <w:sz w:val="20"/>
                <w:szCs w:val="20"/>
                <w:color w:val="auto"/>
              </w:rPr>
            </w:pPr>
            <w:r>
              <w:rPr>
                <w:rFonts w:ascii="Arial" w:cs="Arial" w:eastAsia="Arial" w:hAnsi="Arial"/>
                <w:sz w:val="18"/>
                <w:szCs w:val="18"/>
                <w:color w:val="auto"/>
              </w:rPr>
              <w:t>Prepaid expenses and other</w:t>
            </w:r>
          </w:p>
        </w:tc>
        <w:tc>
          <w:tcPr>
            <w:tcW w:w="14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(95)</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320"/>
              <w:spacing w:after="0"/>
              <w:rPr>
                <w:sz w:val="20"/>
                <w:szCs w:val="20"/>
                <w:color w:val="auto"/>
              </w:rPr>
            </w:pPr>
            <w:r>
              <w:rPr>
                <w:rFonts w:ascii="Arial" w:cs="Arial" w:eastAsia="Arial" w:hAnsi="Arial"/>
                <w:sz w:val="18"/>
                <w:szCs w:val="18"/>
                <w:color w:val="auto"/>
              </w:rPr>
              <w:t>Other assets</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(398)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FFCC"/>
          </w:tcPr>
          <w:p>
            <w:pPr>
              <w:ind w:left="320"/>
              <w:spacing w:after="0"/>
              <w:rPr>
                <w:sz w:val="20"/>
                <w:szCs w:val="20"/>
                <w:color w:val="auto"/>
              </w:rPr>
            </w:pPr>
            <w:r>
              <w:rPr>
                <w:rFonts w:ascii="Arial" w:cs="Arial" w:eastAsia="Arial" w:hAnsi="Arial"/>
                <w:sz w:val="18"/>
                <w:szCs w:val="18"/>
                <w:color w:val="auto"/>
              </w:rPr>
              <w:t>Accounts payable - trade</w:t>
            </w:r>
          </w:p>
        </w:tc>
        <w:tc>
          <w:tcPr>
            <w:tcW w:w="14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(534)</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320"/>
              <w:spacing w:after="0"/>
              <w:rPr>
                <w:sz w:val="20"/>
                <w:szCs w:val="20"/>
                <w:color w:val="auto"/>
              </w:rPr>
            </w:pPr>
            <w:r>
              <w:rPr>
                <w:rFonts w:ascii="Arial" w:cs="Arial" w:eastAsia="Arial" w:hAnsi="Arial"/>
                <w:sz w:val="18"/>
                <w:szCs w:val="18"/>
                <w:color w:val="auto"/>
              </w:rPr>
              <w:t>Accrued liabilities</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55"/>
              <w:spacing w:after="0"/>
              <w:rPr>
                <w:sz w:val="20"/>
                <w:szCs w:val="20"/>
                <w:color w:val="auto"/>
              </w:rPr>
            </w:pPr>
            <w:r>
              <w:rPr>
                <w:rFonts w:ascii="Arial" w:cs="Arial" w:eastAsia="Arial" w:hAnsi="Arial"/>
                <w:sz w:val="18"/>
                <w:szCs w:val="18"/>
                <w:color w:val="auto"/>
              </w:rPr>
              <w:t>318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FFCC"/>
          </w:tcPr>
          <w:p>
            <w:pPr>
              <w:ind w:left="320"/>
              <w:spacing w:after="0"/>
              <w:rPr>
                <w:sz w:val="20"/>
                <w:szCs w:val="20"/>
                <w:color w:val="auto"/>
              </w:rPr>
            </w:pPr>
            <w:r>
              <w:rPr>
                <w:rFonts w:ascii="Arial" w:cs="Arial" w:eastAsia="Arial" w:hAnsi="Arial"/>
                <w:sz w:val="18"/>
                <w:szCs w:val="18"/>
                <w:color w:val="auto"/>
              </w:rPr>
              <w:t>Income taxes refundable/payable</w:t>
            </w:r>
          </w:p>
        </w:tc>
        <w:tc>
          <w:tcPr>
            <w:tcW w:w="14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(975)</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320"/>
              <w:spacing w:after="0"/>
              <w:rPr>
                <w:sz w:val="20"/>
                <w:szCs w:val="20"/>
                <w:color w:val="auto"/>
              </w:rPr>
            </w:pPr>
            <w:r>
              <w:rPr>
                <w:rFonts w:ascii="Arial" w:cs="Arial" w:eastAsia="Arial" w:hAnsi="Arial"/>
                <w:sz w:val="18"/>
                <w:szCs w:val="18"/>
                <w:color w:val="auto"/>
              </w:rPr>
              <w:t>Other liabilities</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(257)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360" w:type="dxa"/>
            <w:vAlign w:val="bottom"/>
            <w:shd w:val="clear" w:color="auto" w:fill="CCFFCC"/>
          </w:tcPr>
          <w:p>
            <w:pPr>
              <w:ind w:left="480"/>
              <w:spacing w:after="0"/>
              <w:rPr>
                <w:sz w:val="20"/>
                <w:szCs w:val="20"/>
                <w:color w:val="auto"/>
              </w:rPr>
            </w:pPr>
            <w:r>
              <w:rPr>
                <w:rFonts w:ascii="Arial" w:cs="Arial" w:eastAsia="Arial" w:hAnsi="Arial"/>
                <w:sz w:val="18"/>
                <w:szCs w:val="18"/>
                <w:color w:val="auto"/>
              </w:rPr>
              <w:t>Net cash provided by operating activities</w:t>
            </w:r>
          </w:p>
        </w:tc>
        <w:tc>
          <w:tcPr>
            <w:tcW w:w="144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040" w:type="dxa"/>
            <w:vAlign w:val="bottom"/>
            <w:gridSpan w:val="2"/>
            <w:shd w:val="clear" w:color="auto" w:fill="CCFFCC"/>
          </w:tcPr>
          <w:p>
            <w:pPr>
              <w:jc w:val="right"/>
              <w:ind w:right="55"/>
              <w:spacing w:after="0"/>
              <w:rPr>
                <w:sz w:val="20"/>
                <w:szCs w:val="20"/>
                <w:color w:val="auto"/>
              </w:rPr>
            </w:pPr>
            <w:r>
              <w:rPr>
                <w:rFonts w:ascii="Arial" w:cs="Arial" w:eastAsia="Arial" w:hAnsi="Arial"/>
                <w:sz w:val="18"/>
                <w:szCs w:val="18"/>
                <w:color w:val="auto"/>
              </w:rPr>
              <w:t>1,879</w:t>
            </w:r>
          </w:p>
        </w:tc>
        <w:tc>
          <w:tcPr>
            <w:tcW w:w="8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7,633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60" w:type="dxa"/>
            <w:vAlign w:val="bottom"/>
            <w:tcBorders>
              <w:top w:val="single" w:sz="8" w:color="CCFFCC"/>
            </w:tcBorders>
          </w:tcPr>
          <w:p>
            <w:pPr>
              <w:spacing w:after="0"/>
              <w:rPr>
                <w:sz w:val="18"/>
                <w:szCs w:val="18"/>
                <w:color w:val="auto"/>
              </w:rPr>
            </w:pPr>
          </w:p>
        </w:tc>
        <w:tc>
          <w:tcPr>
            <w:tcW w:w="144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FFCC"/>
          </w:tcPr>
          <w:p>
            <w:pPr>
              <w:spacing w:after="0"/>
              <w:rPr>
                <w:sz w:val="20"/>
                <w:szCs w:val="20"/>
                <w:color w:val="auto"/>
              </w:rPr>
            </w:pPr>
            <w:r>
              <w:rPr>
                <w:rFonts w:ascii="Arial" w:cs="Arial" w:eastAsia="Arial" w:hAnsi="Arial"/>
                <w:sz w:val="18"/>
                <w:szCs w:val="18"/>
                <w:color w:val="auto"/>
              </w:rPr>
              <w:t>Cash flows from investing activities:</w:t>
            </w:r>
          </w:p>
        </w:tc>
        <w:tc>
          <w:tcPr>
            <w:tcW w:w="14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320"/>
              <w:spacing w:after="0"/>
              <w:rPr>
                <w:sz w:val="20"/>
                <w:szCs w:val="20"/>
                <w:color w:val="auto"/>
              </w:rPr>
            </w:pPr>
            <w:r>
              <w:rPr>
                <w:rFonts w:ascii="Arial" w:cs="Arial" w:eastAsia="Arial" w:hAnsi="Arial"/>
                <w:sz w:val="18"/>
                <w:szCs w:val="18"/>
                <w:color w:val="auto"/>
              </w:rPr>
              <w:t>Affiliate repayment of loan</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55"/>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FFCC"/>
          </w:tcPr>
          <w:p>
            <w:pPr>
              <w:ind w:left="320"/>
              <w:spacing w:after="0"/>
              <w:rPr>
                <w:sz w:val="20"/>
                <w:szCs w:val="20"/>
                <w:color w:val="auto"/>
              </w:rPr>
            </w:pPr>
            <w:r>
              <w:rPr>
                <w:rFonts w:ascii="Arial" w:cs="Arial" w:eastAsia="Arial" w:hAnsi="Arial"/>
                <w:sz w:val="18"/>
                <w:szCs w:val="18"/>
                <w:color w:val="auto"/>
              </w:rPr>
              <w:t>Loan to affiliate</w:t>
            </w:r>
          </w:p>
        </w:tc>
        <w:tc>
          <w:tcPr>
            <w:tcW w:w="14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55"/>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320"/>
              <w:spacing w:after="0"/>
              <w:rPr>
                <w:sz w:val="20"/>
                <w:szCs w:val="20"/>
                <w:color w:val="auto"/>
              </w:rPr>
            </w:pPr>
            <w:r>
              <w:rPr>
                <w:rFonts w:ascii="Arial" w:cs="Arial" w:eastAsia="Arial" w:hAnsi="Arial"/>
                <w:sz w:val="18"/>
                <w:szCs w:val="18"/>
                <w:color w:val="auto"/>
              </w:rPr>
              <w:t>Purchase of marketable securities</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(8,771)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FFCC"/>
          </w:tcPr>
          <w:p>
            <w:pPr>
              <w:ind w:left="320"/>
              <w:spacing w:after="0"/>
              <w:rPr>
                <w:sz w:val="20"/>
                <w:szCs w:val="20"/>
                <w:color w:val="auto"/>
              </w:rPr>
            </w:pPr>
            <w:r>
              <w:rPr>
                <w:rFonts w:ascii="Arial" w:cs="Arial" w:eastAsia="Arial" w:hAnsi="Arial"/>
                <w:sz w:val="18"/>
                <w:szCs w:val="18"/>
                <w:color w:val="auto"/>
              </w:rPr>
              <w:t>Proceeds from sale or redemption of marketable securities</w:t>
            </w:r>
          </w:p>
        </w:tc>
        <w:tc>
          <w:tcPr>
            <w:tcW w:w="14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55"/>
              <w:spacing w:after="0"/>
              <w:rPr>
                <w:sz w:val="20"/>
                <w:szCs w:val="20"/>
                <w:color w:val="auto"/>
              </w:rPr>
            </w:pPr>
            <w:r>
              <w:rPr>
                <w:rFonts w:ascii="Arial" w:cs="Arial" w:eastAsia="Arial" w:hAnsi="Arial"/>
                <w:sz w:val="18"/>
                <w:szCs w:val="18"/>
                <w:color w:val="auto"/>
              </w:rPr>
              <w:t>4,000</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320"/>
              <w:spacing w:after="0"/>
              <w:rPr>
                <w:sz w:val="20"/>
                <w:szCs w:val="20"/>
                <w:color w:val="auto"/>
              </w:rPr>
            </w:pPr>
            <w:r>
              <w:rPr>
                <w:rFonts w:ascii="Arial" w:cs="Arial" w:eastAsia="Arial" w:hAnsi="Arial"/>
                <w:sz w:val="18"/>
                <w:szCs w:val="18"/>
                <w:color w:val="auto"/>
              </w:rPr>
              <w:t>Capital expenditures</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(1,953)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FFCC"/>
          </w:tcPr>
          <w:p>
            <w:pPr>
              <w:ind w:left="480"/>
              <w:spacing w:after="0"/>
              <w:rPr>
                <w:sz w:val="20"/>
                <w:szCs w:val="20"/>
                <w:color w:val="auto"/>
              </w:rPr>
            </w:pPr>
            <w:r>
              <w:rPr>
                <w:rFonts w:ascii="Arial" w:cs="Arial" w:eastAsia="Arial" w:hAnsi="Arial"/>
                <w:sz w:val="18"/>
                <w:szCs w:val="18"/>
                <w:color w:val="auto"/>
              </w:rPr>
              <w:t>Net cash used in investing activities</w:t>
            </w:r>
          </w:p>
        </w:tc>
        <w:tc>
          <w:tcPr>
            <w:tcW w:w="14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(6,724)</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60" w:type="dxa"/>
            <w:vAlign w:val="bottom"/>
            <w:shd w:val="clear" w:color="auto" w:fill="CCFFCC"/>
          </w:tcPr>
          <w:p>
            <w:pPr>
              <w:spacing w:after="0"/>
              <w:rPr>
                <w:sz w:val="2"/>
                <w:szCs w:val="2"/>
                <w:color w:val="auto"/>
              </w:rPr>
            </w:pPr>
          </w:p>
        </w:tc>
        <w:tc>
          <w:tcPr>
            <w:tcW w:w="144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April 30, 2011 and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360" w:type="dxa"/>
            <w:vAlign w:val="bottom"/>
            <w:gridSpan w:val="4"/>
          </w:tcPr>
          <w:p>
            <w:pPr>
              <w:jc w:val="right"/>
              <w:ind w:right="650"/>
              <w:spacing w:after="0"/>
              <w:rPr>
                <w:sz w:val="20"/>
                <w:szCs w:val="20"/>
                <w:color w:val="auto"/>
              </w:rPr>
            </w:pPr>
            <w:r>
              <w:rPr>
                <w:rFonts w:ascii="Arial" w:cs="Arial" w:eastAsia="Arial" w:hAnsi="Arial"/>
                <w:sz w:val="17"/>
                <w:szCs w:val="17"/>
                <w:color w:val="auto"/>
                <w:w w:val="71"/>
              </w:rPr>
              <w:t>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Payment of short-term credit and lease obligations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(258)</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Proceeds from exercise of stock options and stock appreciation rights</w:t>
            </w: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70</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Tax benefit from stock-based compensation</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Net cash used in financing activities</w:t>
            </w:r>
          </w:p>
        </w:tc>
        <w:tc>
          <w:tcPr>
            <w:tcW w:w="240" w:type="dxa"/>
            <w:vAlign w:val="bottom"/>
            <w:shd w:val="clear" w:color="auto" w:fill="CCFFCC"/>
          </w:tcPr>
          <w:p>
            <w:pPr>
              <w:spacing w:after="0"/>
              <w:rPr>
                <w:sz w:val="19"/>
                <w:szCs w:val="19"/>
                <w:color w:val="auto"/>
              </w:rPr>
            </w:pPr>
          </w:p>
        </w:tc>
        <w:tc>
          <w:tcPr>
            <w:tcW w:w="10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(149)</w:t>
            </w:r>
          </w:p>
        </w:tc>
        <w:tc>
          <w:tcPr>
            <w:tcW w:w="8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(1,399)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FFCC"/>
          </w:tcPr>
          <w:p>
            <w:pPr>
              <w:spacing w:after="0"/>
              <w:rPr>
                <w:sz w:val="20"/>
                <w:szCs w:val="20"/>
                <w:color w:val="auto"/>
              </w:rPr>
            </w:pPr>
            <w:r>
              <w:rPr>
                <w:rFonts w:ascii="Arial" w:cs="Arial" w:eastAsia="Arial" w:hAnsi="Arial"/>
                <w:sz w:val="18"/>
                <w:szCs w:val="18"/>
                <w:color w:val="auto"/>
              </w:rPr>
              <w:t>Net (decrease) increase in cash and cash equivalents before effect of exchange rate changes</w:t>
            </w: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(4,994)</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5,682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shd w:val="clear" w:color="auto" w:fill="CCFFCC"/>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240" w:type="dxa"/>
            <w:vAlign w:val="bottom"/>
            <w:shd w:val="clear" w:color="auto" w:fill="CCFFCC"/>
          </w:tcPr>
          <w:p>
            <w:pPr>
              <w:spacing w:after="0"/>
              <w:rPr>
                <w:sz w:val="19"/>
                <w:szCs w:val="19"/>
                <w:color w:val="auto"/>
              </w:rPr>
            </w:pPr>
          </w:p>
        </w:tc>
        <w:tc>
          <w:tcPr>
            <w:tcW w:w="1040" w:type="dxa"/>
            <w:vAlign w:val="bottom"/>
            <w:gridSpan w:val="2"/>
            <w:shd w:val="clear" w:color="auto" w:fill="CCFFCC"/>
          </w:tcPr>
          <w:p>
            <w:pPr>
              <w:jc w:val="right"/>
              <w:ind w:right="55"/>
              <w:spacing w:after="0"/>
              <w:rPr>
                <w:sz w:val="20"/>
                <w:szCs w:val="20"/>
                <w:color w:val="auto"/>
              </w:rPr>
            </w:pPr>
            <w:r>
              <w:rPr>
                <w:rFonts w:ascii="Arial" w:cs="Arial" w:eastAsia="Arial" w:hAnsi="Arial"/>
                <w:sz w:val="18"/>
                <w:szCs w:val="18"/>
                <w:color w:val="auto"/>
              </w:rPr>
              <w:t>315</w:t>
            </w:r>
          </w:p>
        </w:tc>
        <w:tc>
          <w:tcPr>
            <w:tcW w:w="8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FFCC"/>
          </w:tcPr>
          <w:p>
            <w:pPr>
              <w:spacing w:after="0"/>
              <w:rPr>
                <w:sz w:val="20"/>
                <w:szCs w:val="20"/>
                <w:color w:val="auto"/>
              </w:rPr>
            </w:pPr>
            <w:r>
              <w:rPr>
                <w:rFonts w:ascii="Arial" w:cs="Arial" w:eastAsia="Arial" w:hAnsi="Arial"/>
                <w:sz w:val="18"/>
                <w:szCs w:val="18"/>
                <w:color w:val="auto"/>
              </w:rPr>
              <w:t>Net (decrease) increase in cash and cash equivalents</w:t>
            </w: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(4,679)</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5,043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shd w:val="clear" w:color="auto" w:fill="CCFFCC"/>
          </w:tcPr>
          <w:p>
            <w:pPr>
              <w:spacing w:after="0"/>
              <w:rPr>
                <w:sz w:val="20"/>
                <w:szCs w:val="20"/>
                <w:color w:val="auto"/>
              </w:rPr>
            </w:pPr>
            <w:r>
              <w:rPr>
                <w:rFonts w:ascii="Arial" w:cs="Arial" w:eastAsia="Arial" w:hAnsi="Arial"/>
                <w:sz w:val="18"/>
                <w:szCs w:val="18"/>
                <w:color w:val="auto"/>
              </w:rPr>
              <w:t>Cash and cash equivalents at beginning of year</w:t>
            </w:r>
          </w:p>
        </w:tc>
        <w:tc>
          <w:tcPr>
            <w:tcW w:w="240" w:type="dxa"/>
            <w:vAlign w:val="bottom"/>
            <w:shd w:val="clear" w:color="auto" w:fill="CCFFCC"/>
          </w:tcPr>
          <w:p>
            <w:pPr>
              <w:spacing w:after="0"/>
              <w:rPr>
                <w:sz w:val="19"/>
                <w:szCs w:val="19"/>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9,954</w:t>
            </w:r>
          </w:p>
        </w:tc>
        <w:tc>
          <w:tcPr>
            <w:tcW w:w="14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4,911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800" w:type="dxa"/>
            <w:vAlign w:val="bottom"/>
            <w:shd w:val="clear" w:color="auto" w:fill="CCFFCC"/>
          </w:tcPr>
          <w:p>
            <w:pPr>
              <w:spacing w:after="0"/>
              <w:rPr>
                <w:sz w:val="20"/>
                <w:szCs w:val="20"/>
                <w:color w:val="auto"/>
              </w:rPr>
            </w:pPr>
            <w:r>
              <w:rPr>
                <w:rFonts w:ascii="Arial" w:cs="Arial" w:eastAsia="Arial" w:hAnsi="Arial"/>
                <w:sz w:val="18"/>
                <w:szCs w:val="18"/>
                <w:color w:val="auto"/>
              </w:rPr>
              <w:t>Cash and cash equivalents at end of year</w:t>
            </w:r>
          </w:p>
        </w:tc>
        <w:tc>
          <w:tcPr>
            <w:tcW w:w="240" w:type="dxa"/>
            <w:vAlign w:val="bottom"/>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5,275</w:t>
            </w:r>
          </w:p>
        </w:tc>
        <w:tc>
          <w:tcPr>
            <w:tcW w:w="140" w:type="dxa"/>
            <w:vAlign w:val="bottom"/>
            <w:shd w:val="clear" w:color="auto" w:fill="CCFFCC"/>
          </w:tcPr>
          <w:p>
            <w:pPr>
              <w:spacing w:after="0"/>
              <w:rPr>
                <w:sz w:val="22"/>
                <w:szCs w:val="22"/>
                <w:color w:val="auto"/>
              </w:rPr>
            </w:pPr>
          </w:p>
        </w:tc>
        <w:tc>
          <w:tcPr>
            <w:tcW w:w="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9,954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FFCC"/>
          </w:tcPr>
          <w:p>
            <w:pPr>
              <w:spacing w:after="0"/>
              <w:rPr>
                <w:sz w:val="20"/>
                <w:szCs w:val="20"/>
                <w:color w:val="auto"/>
              </w:rPr>
            </w:pPr>
            <w:r>
              <w:rPr>
                <w:rFonts w:ascii="Arial" w:cs="Arial" w:eastAsia="Arial" w:hAnsi="Arial"/>
                <w:sz w:val="18"/>
                <w:szCs w:val="18"/>
                <w:color w:val="auto"/>
              </w:rPr>
              <w:t>Supplemental disclosures of cash flow information:</w:t>
            </w: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Cash paid during the year for:</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shd w:val="clear" w:color="auto" w:fill="CCFFCC"/>
          </w:tcPr>
          <w:p>
            <w:pPr>
              <w:ind w:left="480"/>
              <w:spacing w:after="0"/>
              <w:rPr>
                <w:sz w:val="20"/>
                <w:szCs w:val="20"/>
                <w:color w:val="auto"/>
              </w:rPr>
            </w:pPr>
            <w:r>
              <w:rPr>
                <w:rFonts w:ascii="Arial" w:cs="Arial" w:eastAsia="Arial" w:hAnsi="Arial"/>
                <w:sz w:val="18"/>
                <w:szCs w:val="18"/>
                <w:color w:val="auto"/>
              </w:rPr>
              <w:t>Interest</w:t>
            </w:r>
          </w:p>
        </w:tc>
        <w:tc>
          <w:tcPr>
            <w:tcW w:w="240" w:type="dxa"/>
            <w:vAlign w:val="bottom"/>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FFCC"/>
          </w:tcPr>
          <w:p>
            <w:pPr>
              <w:jc w:val="right"/>
              <w:ind w:right="55"/>
              <w:spacing w:after="0"/>
              <w:rPr>
                <w:sz w:val="20"/>
                <w:szCs w:val="20"/>
                <w:color w:val="auto"/>
              </w:rPr>
            </w:pPr>
            <w:r>
              <w:rPr>
                <w:rFonts w:ascii="Arial" w:cs="Arial" w:eastAsia="Arial" w:hAnsi="Arial"/>
                <w:sz w:val="18"/>
                <w:szCs w:val="18"/>
                <w:color w:val="auto"/>
              </w:rPr>
              <w:t>114</w:t>
            </w:r>
          </w:p>
        </w:tc>
        <w:tc>
          <w:tcPr>
            <w:tcW w:w="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Pr>
          <w:p>
            <w:pPr>
              <w:ind w:left="480"/>
              <w:spacing w:after="0"/>
              <w:rPr>
                <w:sz w:val="20"/>
                <w:szCs w:val="20"/>
                <w:color w:val="auto"/>
              </w:rPr>
            </w:pPr>
            <w:r>
              <w:rPr>
                <w:rFonts w:ascii="Arial" w:cs="Arial" w:eastAsia="Arial" w:hAnsi="Arial"/>
                <w:sz w:val="18"/>
                <w:szCs w:val="18"/>
                <w:color w:val="auto"/>
              </w:rPr>
              <w:t>Income taxes (Does not include $2,900 of income tax refunds received in fiscal year 2010.)</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2,255</w:t>
            </w:r>
          </w:p>
        </w:tc>
        <w:tc>
          <w:tcPr>
            <w:tcW w:w="14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8" w:name="page29"/>
    <w:bookmarkEnd w:id="28"/>
    <w:p>
      <w:pPr>
        <w:jc w:val="center"/>
        <w:ind w:left="660"/>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Consolidated Statements of Changes in Stockholders' Equity</w:t>
      </w:r>
    </w:p>
    <w:p>
      <w:pPr>
        <w:spacing w:after="0" w:line="9"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Years ended April 30, 2011 and 2010</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(In thousands, except share data)</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14"/>
                <w:szCs w:val="14"/>
                <w:color w:val="auto"/>
                <w:w w:val="93"/>
              </w:rPr>
              <w:t>Accumulated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7"/>
              </w:rPr>
              <w:t>Additional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Treasury stock</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7"/>
              </w:rPr>
              <w:t>other</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100" w:type="dxa"/>
            <w:vAlign w:val="bottom"/>
            <w:gridSpan w:val="5"/>
          </w:tcPr>
          <w:p>
            <w:pPr>
              <w:ind w:left="480"/>
              <w:spacing w:after="0"/>
              <w:rPr>
                <w:sz w:val="20"/>
                <w:szCs w:val="20"/>
                <w:color w:val="auto"/>
              </w:rPr>
            </w:pPr>
            <w:r>
              <w:rPr>
                <w:rFonts w:ascii="Arial" w:cs="Arial" w:eastAsia="Arial" w:hAnsi="Arial"/>
                <w:sz w:val="14"/>
                <w:szCs w:val="14"/>
                <w:color w:val="auto"/>
              </w:rPr>
              <w:t>Common Stock</w:t>
            </w:r>
          </w:p>
        </w:tc>
        <w:tc>
          <w:tcPr>
            <w:tcW w:w="80" w:type="dxa"/>
            <w:vAlign w:val="bottom"/>
          </w:tcPr>
          <w:p>
            <w:pPr>
              <w:spacing w:after="0"/>
              <w:rPr>
                <w:sz w:val="15"/>
                <w:szCs w:val="15"/>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color w:val="auto"/>
              </w:rPr>
              <w:t>paid in</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color w:val="auto"/>
              </w:rPr>
              <w:t>Retained</w:t>
            </w:r>
          </w:p>
        </w:tc>
        <w:tc>
          <w:tcPr>
            <w:tcW w:w="1380" w:type="dxa"/>
            <w:vAlign w:val="bottom"/>
            <w:gridSpan w:val="4"/>
          </w:tcPr>
          <w:p>
            <w:pPr>
              <w:jc w:val="right"/>
              <w:ind w:right="168"/>
              <w:spacing w:after="0"/>
              <w:rPr>
                <w:sz w:val="20"/>
                <w:szCs w:val="20"/>
                <w:color w:val="auto"/>
              </w:rPr>
            </w:pPr>
            <w:r>
              <w:rPr>
                <w:rFonts w:ascii="Arial" w:cs="Arial" w:eastAsia="Arial" w:hAnsi="Arial"/>
                <w:sz w:val="14"/>
                <w:szCs w:val="14"/>
                <w:color w:val="auto"/>
              </w:rPr>
              <w:t>(at cost)</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14"/>
                <w:szCs w:val="14"/>
                <w:color w:val="auto"/>
                <w:w w:val="92"/>
              </w:rPr>
              <w:t>comprehensive</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800" w:type="dxa"/>
            <w:vAlign w:val="bottom"/>
            <w:tcBorders>
              <w:top w:val="single" w:sz="8" w:color="auto"/>
              <w:bottom w:val="single" w:sz="8" w:color="auto"/>
            </w:tcBorders>
          </w:tcPr>
          <w:p>
            <w:pPr>
              <w:jc w:val="right"/>
              <w:ind w:right="148"/>
              <w:spacing w:after="0" w:line="149" w:lineRule="exact"/>
              <w:rPr>
                <w:sz w:val="20"/>
                <w:szCs w:val="20"/>
                <w:color w:val="auto"/>
              </w:rPr>
            </w:pPr>
            <w:r>
              <w:rPr>
                <w:rFonts w:ascii="Arial" w:cs="Arial" w:eastAsia="Arial" w:hAnsi="Arial"/>
                <w:sz w:val="14"/>
                <w:szCs w:val="14"/>
                <w:color w:val="auto"/>
              </w:rPr>
              <w:t>Shares</w:t>
            </w:r>
          </w:p>
        </w:tc>
        <w:tc>
          <w:tcPr>
            <w:tcW w:w="240" w:type="dxa"/>
            <w:vAlign w:val="bottom"/>
            <w:tcBorders>
              <w:top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108"/>
              <w:spacing w:after="0" w:line="149" w:lineRule="exact"/>
              <w:rPr>
                <w:sz w:val="20"/>
                <w:szCs w:val="20"/>
                <w:color w:val="auto"/>
              </w:rPr>
            </w:pPr>
            <w:r>
              <w:rPr>
                <w:rFonts w:ascii="Arial" w:cs="Arial" w:eastAsia="Arial" w:hAnsi="Arial"/>
                <w:sz w:val="14"/>
                <w:szCs w:val="14"/>
                <w:color w:val="auto"/>
              </w:rPr>
              <w:t>Amount</w:t>
            </w: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48"/>
              <w:spacing w:after="0" w:line="149" w:lineRule="exact"/>
              <w:rPr>
                <w:sz w:val="20"/>
                <w:szCs w:val="20"/>
                <w:color w:val="auto"/>
              </w:rPr>
            </w:pPr>
            <w:r>
              <w:rPr>
                <w:rFonts w:ascii="Arial" w:cs="Arial" w:eastAsia="Arial" w:hAnsi="Arial"/>
                <w:sz w:val="14"/>
                <w:szCs w:val="14"/>
                <w:color w:val="auto"/>
              </w:rPr>
              <w:t>capital</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88"/>
              <w:spacing w:after="0" w:line="149" w:lineRule="exact"/>
              <w:rPr>
                <w:sz w:val="20"/>
                <w:szCs w:val="20"/>
                <w:color w:val="auto"/>
              </w:rPr>
            </w:pPr>
            <w:r>
              <w:rPr>
                <w:rFonts w:ascii="Arial" w:cs="Arial" w:eastAsia="Arial" w:hAnsi="Arial"/>
                <w:sz w:val="14"/>
                <w:szCs w:val="14"/>
                <w:color w:val="auto"/>
                <w:w w:val="93"/>
              </w:rPr>
              <w:t>earnings</w:t>
            </w:r>
          </w:p>
        </w:tc>
        <w:tc>
          <w:tcPr>
            <w:tcW w:w="200" w:type="dxa"/>
            <w:vAlign w:val="bottom"/>
          </w:tcPr>
          <w:p>
            <w:pPr>
              <w:spacing w:after="0"/>
              <w:rPr>
                <w:sz w:val="13"/>
                <w:szCs w:val="13"/>
                <w:color w:val="auto"/>
              </w:rPr>
            </w:pPr>
          </w:p>
        </w:tc>
        <w:tc>
          <w:tcPr>
            <w:tcW w:w="800" w:type="dxa"/>
            <w:vAlign w:val="bottom"/>
            <w:tcBorders>
              <w:top w:val="single" w:sz="8" w:color="auto"/>
              <w:bottom w:val="single" w:sz="8" w:color="auto"/>
            </w:tcBorders>
          </w:tcPr>
          <w:p>
            <w:pPr>
              <w:jc w:val="right"/>
              <w:ind w:right="128"/>
              <w:spacing w:after="0" w:line="149" w:lineRule="exact"/>
              <w:rPr>
                <w:sz w:val="20"/>
                <w:szCs w:val="20"/>
                <w:color w:val="auto"/>
              </w:rPr>
            </w:pPr>
            <w:r>
              <w:rPr>
                <w:rFonts w:ascii="Arial" w:cs="Arial" w:eastAsia="Arial" w:hAnsi="Arial"/>
                <w:sz w:val="14"/>
                <w:szCs w:val="14"/>
                <w:color w:val="auto"/>
              </w:rPr>
              <w:t>Shares</w:t>
            </w: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0" w:type="dxa"/>
            <w:vAlign w:val="bottom"/>
            <w:tcBorders>
              <w:top w:val="single" w:sz="8" w:color="auto"/>
              <w:bottom w:val="single" w:sz="8" w:color="auto"/>
            </w:tcBorders>
            <w:gridSpan w:val="2"/>
          </w:tcPr>
          <w:p>
            <w:pPr>
              <w:jc w:val="right"/>
              <w:ind w:right="91"/>
              <w:spacing w:after="0" w:line="149" w:lineRule="exact"/>
              <w:rPr>
                <w:sz w:val="20"/>
                <w:szCs w:val="20"/>
                <w:color w:val="auto"/>
              </w:rPr>
            </w:pPr>
            <w:r>
              <w:rPr>
                <w:rFonts w:ascii="Arial" w:cs="Arial" w:eastAsia="Arial" w:hAnsi="Arial"/>
                <w:sz w:val="14"/>
                <w:szCs w:val="14"/>
                <w:color w:val="auto"/>
              </w:rPr>
              <w:t>Amount</w:t>
            </w:r>
          </w:p>
        </w:tc>
        <w:tc>
          <w:tcPr>
            <w:tcW w:w="200" w:type="dxa"/>
            <w:vAlign w:val="bottom"/>
          </w:tcPr>
          <w:p>
            <w:pPr>
              <w:spacing w:after="0"/>
              <w:rPr>
                <w:sz w:val="13"/>
                <w:szCs w:val="13"/>
                <w:color w:val="auto"/>
              </w:rPr>
            </w:pPr>
          </w:p>
        </w:tc>
        <w:tc>
          <w:tcPr>
            <w:tcW w:w="880" w:type="dxa"/>
            <w:vAlign w:val="bottom"/>
            <w:tcBorders>
              <w:bottom w:val="single" w:sz="8" w:color="auto"/>
            </w:tcBorders>
            <w:gridSpan w:val="2"/>
          </w:tcPr>
          <w:p>
            <w:pPr>
              <w:jc w:val="center"/>
              <w:spacing w:after="0" w:line="149" w:lineRule="exact"/>
              <w:rPr>
                <w:sz w:val="20"/>
                <w:szCs w:val="20"/>
                <w:color w:val="auto"/>
              </w:rPr>
            </w:pPr>
            <w:r>
              <w:rPr>
                <w:rFonts w:ascii="Arial" w:cs="Arial" w:eastAsia="Arial" w:hAnsi="Arial"/>
                <w:sz w:val="14"/>
                <w:szCs w:val="14"/>
                <w:color w:val="auto"/>
                <w:w w:val="93"/>
              </w:rPr>
              <w:t>income (loss)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88"/>
              <w:spacing w:after="0" w:line="149"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480" w:type="dxa"/>
            <w:vAlign w:val="bottom"/>
            <w:tcBorders>
              <w:bottom w:val="single" w:sz="8" w:color="auto"/>
            </w:tcBorders>
            <w:gridSpan w:val="3"/>
            <w:shd w:val="clear" w:color="auto" w:fill="CCFFCC"/>
          </w:tcPr>
          <w:p>
            <w:pPr>
              <w:spacing w:after="0" w:line="135" w:lineRule="exact"/>
              <w:rPr>
                <w:sz w:val="20"/>
                <w:szCs w:val="20"/>
                <w:color w:val="auto"/>
              </w:rPr>
            </w:pPr>
            <w:r>
              <w:rPr>
                <w:rFonts w:ascii="Arial" w:cs="Arial" w:eastAsia="Arial" w:hAnsi="Arial"/>
                <w:sz w:val="14"/>
                <w:szCs w:val="14"/>
                <w:color w:val="auto"/>
                <w:w w:val="93"/>
              </w:rPr>
              <w:t>Balance at April 30, 2009</w:t>
            </w:r>
          </w:p>
        </w:tc>
        <w:tc>
          <w:tcPr>
            <w:tcW w:w="1840" w:type="dxa"/>
            <w:vAlign w:val="bottom"/>
            <w:tcBorders>
              <w:bottom w:val="single" w:sz="8" w:color="CCFFCC"/>
            </w:tcBorders>
            <w:shd w:val="clear" w:color="auto" w:fill="CCFFCC"/>
          </w:tcPr>
          <w:p>
            <w:pPr>
              <w:spacing w:after="0"/>
              <w:rPr>
                <w:sz w:val="13"/>
                <w:szCs w:val="13"/>
                <w:color w:val="auto"/>
              </w:rPr>
            </w:pPr>
          </w:p>
        </w:tc>
        <w:tc>
          <w:tcPr>
            <w:tcW w:w="800" w:type="dxa"/>
            <w:vAlign w:val="bottom"/>
            <w:tcBorders>
              <w:bottom w:val="single" w:sz="8" w:color="CCFFCC"/>
            </w:tcBorders>
            <w:shd w:val="clear" w:color="auto" w:fill="CCFFCC"/>
          </w:tcPr>
          <w:p>
            <w:pPr>
              <w:jc w:val="right"/>
              <w:spacing w:after="0" w:line="135" w:lineRule="exact"/>
              <w:rPr>
                <w:sz w:val="20"/>
                <w:szCs w:val="20"/>
                <w:color w:val="auto"/>
              </w:rPr>
            </w:pPr>
            <w:r>
              <w:rPr>
                <w:rFonts w:ascii="Arial" w:cs="Arial" w:eastAsia="Arial" w:hAnsi="Arial"/>
                <w:sz w:val="14"/>
                <w:szCs w:val="14"/>
                <w:color w:val="auto"/>
              </w:rPr>
              <w:t>9,163,940</w:t>
            </w:r>
          </w:p>
        </w:tc>
        <w:tc>
          <w:tcPr>
            <w:tcW w:w="360" w:type="dxa"/>
            <w:vAlign w:val="bottom"/>
            <w:tcBorders>
              <w:bottom w:val="single" w:sz="8" w:color="CCFFCC"/>
            </w:tcBorders>
            <w:gridSpan w:val="2"/>
            <w:shd w:val="clear" w:color="auto" w:fill="CCFFCC"/>
          </w:tcPr>
          <w:p>
            <w:pPr>
              <w:jc w:val="right"/>
              <w:ind w:right="40"/>
              <w:spacing w:after="0" w:line="135"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CCFFCC"/>
            </w:tcBorders>
            <w:gridSpan w:val="2"/>
            <w:shd w:val="clear" w:color="auto" w:fill="CCFFCC"/>
          </w:tcPr>
          <w:p>
            <w:pPr>
              <w:jc w:val="right"/>
              <w:ind w:right="240"/>
              <w:spacing w:after="0" w:line="135" w:lineRule="exact"/>
              <w:rPr>
                <w:sz w:val="20"/>
                <w:szCs w:val="20"/>
                <w:color w:val="auto"/>
              </w:rPr>
            </w:pPr>
            <w:r>
              <w:rPr>
                <w:rFonts w:ascii="Arial" w:cs="Arial" w:eastAsia="Arial" w:hAnsi="Arial"/>
                <w:sz w:val="14"/>
                <w:szCs w:val="14"/>
                <w:color w:val="auto"/>
              </w:rPr>
              <w:t>9,164</w:t>
            </w:r>
          </w:p>
        </w:tc>
        <w:tc>
          <w:tcPr>
            <w:tcW w:w="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CCFFCC"/>
            </w:tcBorders>
            <w:gridSpan w:val="2"/>
            <w:shd w:val="clear" w:color="auto" w:fill="CCFFCC"/>
          </w:tcPr>
          <w:p>
            <w:pPr>
              <w:jc w:val="right"/>
              <w:ind w:right="120"/>
              <w:spacing w:after="0" w:line="135" w:lineRule="exact"/>
              <w:rPr>
                <w:sz w:val="20"/>
                <w:szCs w:val="20"/>
                <w:color w:val="auto"/>
              </w:rPr>
            </w:pPr>
            <w:r>
              <w:rPr>
                <w:rFonts w:ascii="Arial" w:cs="Arial" w:eastAsia="Arial" w:hAnsi="Arial"/>
                <w:sz w:val="14"/>
                <w:szCs w:val="14"/>
                <w:color w:val="auto"/>
              </w:rPr>
              <w:t>48,997</w:t>
            </w:r>
          </w:p>
        </w:tc>
        <w:tc>
          <w:tcPr>
            <w:tcW w:w="200" w:type="dxa"/>
            <w:vAlign w:val="bottom"/>
            <w:tcBorders>
              <w:bottom w:val="single" w:sz="8" w:color="CCFFCC"/>
            </w:tcBorders>
            <w:gridSpan w:val="2"/>
            <w:shd w:val="clear" w:color="auto" w:fill="CCFFCC"/>
          </w:tcPr>
          <w:p>
            <w:pPr>
              <w:jc w:val="right"/>
              <w:ind w:right="40"/>
              <w:spacing w:after="0" w:line="135"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CCFFCC"/>
            </w:tcBorders>
            <w:gridSpan w:val="2"/>
            <w:shd w:val="clear" w:color="auto" w:fill="CCFFCC"/>
          </w:tcPr>
          <w:p>
            <w:pPr>
              <w:jc w:val="right"/>
              <w:ind w:right="200"/>
              <w:spacing w:after="0" w:line="135" w:lineRule="exact"/>
              <w:rPr>
                <w:sz w:val="20"/>
                <w:szCs w:val="20"/>
                <w:color w:val="auto"/>
              </w:rPr>
            </w:pPr>
            <w:r>
              <w:rPr>
                <w:rFonts w:ascii="Arial" w:cs="Arial" w:eastAsia="Arial" w:hAnsi="Arial"/>
                <w:sz w:val="14"/>
                <w:szCs w:val="14"/>
                <w:color w:val="auto"/>
              </w:rPr>
              <w:t>2,522</w:t>
            </w:r>
          </w:p>
        </w:tc>
        <w:tc>
          <w:tcPr>
            <w:tcW w:w="920" w:type="dxa"/>
            <w:vAlign w:val="bottom"/>
            <w:tcBorders>
              <w:bottom w:val="single" w:sz="8" w:color="CCFFCC"/>
            </w:tcBorders>
            <w:gridSpan w:val="2"/>
            <w:shd w:val="clear" w:color="auto" w:fill="CCFFCC"/>
          </w:tcPr>
          <w:p>
            <w:pPr>
              <w:jc w:val="right"/>
              <w:ind w:right="120"/>
              <w:spacing w:after="0" w:line="135" w:lineRule="exact"/>
              <w:rPr>
                <w:sz w:val="20"/>
                <w:szCs w:val="20"/>
                <w:color w:val="auto"/>
              </w:rPr>
            </w:pPr>
            <w:r>
              <w:rPr>
                <w:rFonts w:ascii="Arial" w:cs="Arial" w:eastAsia="Arial" w:hAnsi="Arial"/>
                <w:sz w:val="14"/>
                <w:szCs w:val="14"/>
                <w:color w:val="auto"/>
              </w:rPr>
              <w:t>1,021,159</w:t>
            </w:r>
          </w:p>
        </w:tc>
        <w:tc>
          <w:tcPr>
            <w:tcW w:w="460" w:type="dxa"/>
            <w:vAlign w:val="bottom"/>
            <w:tcBorders>
              <w:bottom w:val="single" w:sz="8" w:color="CCFFCC"/>
            </w:tcBorders>
            <w:gridSpan w:val="2"/>
            <w:shd w:val="clear" w:color="auto" w:fill="CCFFCC"/>
          </w:tcPr>
          <w:p>
            <w:pPr>
              <w:jc w:val="right"/>
              <w:ind w:right="228"/>
              <w:spacing w:after="0" w:line="135"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CCFFCC"/>
            </w:tcBorders>
            <w:gridSpan w:val="2"/>
            <w:shd w:val="clear" w:color="auto" w:fill="CCFFCC"/>
          </w:tcPr>
          <w:p>
            <w:pPr>
              <w:jc w:val="right"/>
              <w:ind w:right="160"/>
              <w:spacing w:after="0" w:line="135" w:lineRule="exact"/>
              <w:rPr>
                <w:sz w:val="20"/>
                <w:szCs w:val="20"/>
                <w:color w:val="auto"/>
              </w:rPr>
            </w:pPr>
            <w:r>
              <w:rPr>
                <w:rFonts w:ascii="Arial" w:cs="Arial" w:eastAsia="Arial" w:hAnsi="Arial"/>
                <w:sz w:val="14"/>
                <w:szCs w:val="14"/>
                <w:color w:val="auto"/>
                <w:w w:val="99"/>
              </w:rPr>
              <w:t>(4,972)</w:t>
            </w:r>
          </w:p>
        </w:tc>
        <w:tc>
          <w:tcPr>
            <w:tcW w:w="180" w:type="dxa"/>
            <w:vAlign w:val="bottom"/>
            <w:tcBorders>
              <w:bottom w:val="single" w:sz="8" w:color="CCFFCC"/>
            </w:tcBorders>
            <w:shd w:val="clear" w:color="auto" w:fill="CCFFCC"/>
          </w:tcPr>
          <w:p>
            <w:pPr>
              <w:jc w:val="right"/>
              <w:ind w:right="28"/>
              <w:spacing w:after="0" w:line="135"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CCFFCC"/>
            </w:tcBorders>
            <w:gridSpan w:val="2"/>
            <w:shd w:val="clear" w:color="auto" w:fill="CCFFCC"/>
          </w:tcPr>
          <w:p>
            <w:pPr>
              <w:jc w:val="right"/>
              <w:ind w:right="120"/>
              <w:spacing w:after="0" w:line="135" w:lineRule="exact"/>
              <w:rPr>
                <w:sz w:val="20"/>
                <w:szCs w:val="20"/>
                <w:color w:val="auto"/>
              </w:rPr>
            </w:pPr>
            <w:r>
              <w:rPr>
                <w:rFonts w:ascii="Arial" w:cs="Arial" w:eastAsia="Arial" w:hAnsi="Arial"/>
                <w:sz w:val="14"/>
                <w:szCs w:val="14"/>
                <w:color w:val="auto"/>
              </w:rPr>
              <w:t>3,455</w:t>
            </w:r>
          </w:p>
        </w:tc>
        <w:tc>
          <w:tcPr>
            <w:tcW w:w="240" w:type="dxa"/>
            <w:vAlign w:val="bottom"/>
            <w:tcBorders>
              <w:bottom w:val="single" w:sz="8" w:color="CCFFCC"/>
            </w:tcBorders>
            <w:gridSpan w:val="2"/>
            <w:shd w:val="clear" w:color="auto" w:fill="CCFFCC"/>
          </w:tcPr>
          <w:p>
            <w:pPr>
              <w:jc w:val="right"/>
              <w:ind w:right="80"/>
              <w:spacing w:after="0" w:line="135"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CCFFCC"/>
            </w:tcBorders>
            <w:gridSpan w:val="2"/>
            <w:shd w:val="clear" w:color="auto" w:fill="CCFFCC"/>
          </w:tcPr>
          <w:p>
            <w:pPr>
              <w:jc w:val="right"/>
              <w:ind w:right="100"/>
              <w:spacing w:after="0" w:line="135" w:lineRule="exact"/>
              <w:rPr>
                <w:sz w:val="20"/>
                <w:szCs w:val="20"/>
                <w:color w:val="auto"/>
              </w:rPr>
            </w:pPr>
            <w:r>
              <w:rPr>
                <w:rFonts w:ascii="Arial" w:cs="Arial" w:eastAsia="Arial" w:hAnsi="Arial"/>
                <w:sz w:val="14"/>
                <w:szCs w:val="14"/>
                <w:color w:val="auto"/>
              </w:rPr>
              <w:t>59,166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4"/>
          </w:tcPr>
          <w:p>
            <w:pPr>
              <w:spacing w:after="0" w:line="149" w:lineRule="exact"/>
              <w:rPr>
                <w:sz w:val="20"/>
                <w:szCs w:val="20"/>
                <w:color w:val="auto"/>
              </w:rPr>
            </w:pPr>
            <w:r>
              <w:rPr>
                <w:rFonts w:ascii="Arial" w:cs="Arial" w:eastAsia="Arial" w:hAnsi="Arial"/>
                <w:sz w:val="14"/>
                <w:szCs w:val="14"/>
                <w:color w:val="auto"/>
              </w:rPr>
              <w:t>Contribution of stock to 401(k) plan</w:t>
            </w: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(74,987)</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321</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4"/>
            <w:shd w:val="clear" w:color="auto" w:fill="CCFFCC"/>
          </w:tcPr>
          <w:p>
            <w:pPr>
              <w:spacing w:after="0" w:line="149" w:lineRule="exact"/>
              <w:rPr>
                <w:sz w:val="20"/>
                <w:szCs w:val="20"/>
                <w:color w:val="auto"/>
              </w:rPr>
            </w:pPr>
            <w:r>
              <w:rPr>
                <w:rFonts w:ascii="Arial" w:cs="Arial" w:eastAsia="Arial" w:hAnsi="Arial"/>
                <w:sz w:val="14"/>
                <w:szCs w:val="14"/>
                <w:color w:val="auto"/>
              </w:rPr>
              <w:t>Stock compensation expense</w:t>
            </w: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8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556</w:t>
            </w:r>
          </w:p>
        </w:tc>
        <w:tc>
          <w:tcPr>
            <w:tcW w:w="1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380" w:type="dxa"/>
            <w:vAlign w:val="bottom"/>
            <w:shd w:val="clear" w:color="auto" w:fill="CCFFCC"/>
          </w:tcPr>
          <w:p>
            <w:pPr>
              <w:spacing w:after="0"/>
              <w:rPr>
                <w:sz w:val="12"/>
                <w:szCs w:val="12"/>
                <w:color w:val="auto"/>
              </w:rPr>
            </w:pPr>
          </w:p>
        </w:tc>
        <w:tc>
          <w:tcPr>
            <w:tcW w:w="4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556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320" w:type="dxa"/>
            <w:vAlign w:val="bottom"/>
            <w:gridSpan w:val="4"/>
            <w:shd w:val="clear" w:color="auto" w:fill="CCFFCC"/>
          </w:tcPr>
          <w:p>
            <w:pPr>
              <w:spacing w:after="0" w:line="135" w:lineRule="exact"/>
              <w:rPr>
                <w:sz w:val="20"/>
                <w:szCs w:val="20"/>
                <w:color w:val="auto"/>
              </w:rPr>
            </w:pPr>
            <w:r>
              <w:rPr>
                <w:rFonts w:ascii="Arial" w:cs="Arial" w:eastAsia="Arial" w:hAnsi="Arial"/>
                <w:sz w:val="14"/>
                <w:szCs w:val="14"/>
                <w:color w:val="auto"/>
              </w:rPr>
              <w:t>Comprehensive Income:</w:t>
            </w:r>
          </w:p>
        </w:tc>
        <w:tc>
          <w:tcPr>
            <w:tcW w:w="8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7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38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7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1840" w:type="dxa"/>
            <w:vAlign w:val="bottom"/>
            <w:shd w:val="clear" w:color="auto" w:fill="CCFFCC"/>
          </w:tcPr>
          <w:p>
            <w:pPr>
              <w:spacing w:after="0" w:line="20" w:lineRule="exact"/>
              <w:rPr>
                <w:sz w:val="1"/>
                <w:szCs w:val="1"/>
                <w:color w:val="auto"/>
              </w:rPr>
            </w:pPr>
          </w:p>
        </w:tc>
        <w:tc>
          <w:tcPr>
            <w:tcW w:w="800" w:type="dxa"/>
            <w:vAlign w:val="bottom"/>
            <w:shd w:val="clear" w:color="auto" w:fill="CCFFCC"/>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700" w:type="dxa"/>
            <w:vAlign w:val="bottom"/>
            <w:shd w:val="clear" w:color="auto" w:fill="CCFFCC"/>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72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80" w:type="dxa"/>
            <w:vAlign w:val="bottom"/>
            <w:shd w:val="clear" w:color="auto" w:fill="CCFFCC"/>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80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380" w:type="dxa"/>
            <w:vAlign w:val="bottom"/>
            <w:shd w:val="clear" w:color="auto" w:fill="CCFFCC"/>
          </w:tcPr>
          <w:p>
            <w:pPr>
              <w:spacing w:after="0" w:line="20" w:lineRule="exact"/>
              <w:rPr>
                <w:sz w:val="1"/>
                <w:szCs w:val="1"/>
                <w:color w:val="auto"/>
              </w:rPr>
            </w:pPr>
          </w:p>
        </w:tc>
        <w:tc>
          <w:tcPr>
            <w:tcW w:w="420" w:type="dxa"/>
            <w:vAlign w:val="bottom"/>
            <w:shd w:val="clear" w:color="auto" w:fill="CCFFCC"/>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70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64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3320" w:type="dxa"/>
            <w:vAlign w:val="bottom"/>
            <w:gridSpan w:val="4"/>
          </w:tcPr>
          <w:p>
            <w:pPr>
              <w:ind w:left="160"/>
              <w:spacing w:after="0" w:line="123" w:lineRule="exact"/>
              <w:rPr>
                <w:sz w:val="20"/>
                <w:szCs w:val="20"/>
                <w:color w:val="auto"/>
              </w:rPr>
            </w:pPr>
            <w:r>
              <w:rPr>
                <w:rFonts w:ascii="Arial" w:cs="Arial" w:eastAsia="Arial" w:hAnsi="Arial"/>
                <w:sz w:val="14"/>
                <w:szCs w:val="14"/>
                <w:color w:val="auto"/>
              </w:rPr>
              <w:t>Change in unrealized gains and losses on</w:t>
            </w: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20" w:type="dxa"/>
            <w:vAlign w:val="bottom"/>
            <w:gridSpan w:val="4"/>
          </w:tcPr>
          <w:p>
            <w:pPr>
              <w:ind w:left="320"/>
              <w:spacing w:after="0"/>
              <w:rPr>
                <w:sz w:val="20"/>
                <w:szCs w:val="20"/>
                <w:color w:val="auto"/>
              </w:rPr>
            </w:pPr>
            <w:r>
              <w:rPr>
                <w:rFonts w:ascii="Arial" w:cs="Arial" w:eastAsia="Arial" w:hAnsi="Arial"/>
                <w:sz w:val="14"/>
                <w:szCs w:val="14"/>
                <w:color w:val="auto"/>
              </w:rPr>
              <w:t>marketable securities</w:t>
            </w: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979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979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4"/>
            <w:shd w:val="clear" w:color="auto" w:fill="CCFFCC"/>
          </w:tcPr>
          <w:p>
            <w:pPr>
              <w:ind w:left="160"/>
              <w:spacing w:after="0" w:line="149" w:lineRule="exact"/>
              <w:rPr>
                <w:sz w:val="20"/>
                <w:szCs w:val="20"/>
                <w:color w:val="auto"/>
              </w:rPr>
            </w:pPr>
            <w:r>
              <w:rPr>
                <w:rFonts w:ascii="Arial" w:cs="Arial" w:eastAsia="Arial" w:hAnsi="Arial"/>
                <w:sz w:val="14"/>
                <w:szCs w:val="14"/>
                <w:color w:val="auto"/>
              </w:rPr>
              <w:t>Foreign currency translation adjustment</w:t>
            </w: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380" w:type="dxa"/>
            <w:vAlign w:val="bottom"/>
            <w:shd w:val="clear" w:color="auto" w:fill="CCFFCC"/>
          </w:tcPr>
          <w:p>
            <w:pPr>
              <w:spacing w:after="0"/>
              <w:rPr>
                <w:sz w:val="12"/>
                <w:szCs w:val="12"/>
                <w:color w:val="auto"/>
              </w:rPr>
            </w:pPr>
          </w:p>
        </w:tc>
        <w:tc>
          <w:tcPr>
            <w:tcW w:w="4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(415)</w:t>
            </w:r>
          </w:p>
        </w:tc>
        <w:tc>
          <w:tcPr>
            <w:tcW w:w="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(415)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20" w:type="dxa"/>
            <w:vAlign w:val="bottom"/>
            <w:gridSpan w:val="4"/>
          </w:tcPr>
          <w:p>
            <w:pPr>
              <w:ind w:left="160"/>
              <w:spacing w:after="0" w:line="149" w:lineRule="exact"/>
              <w:rPr>
                <w:sz w:val="20"/>
                <w:szCs w:val="20"/>
                <w:color w:val="auto"/>
              </w:rPr>
            </w:pPr>
            <w:r>
              <w:rPr>
                <w:rFonts w:ascii="Arial" w:cs="Arial" w:eastAsia="Arial" w:hAnsi="Arial"/>
                <w:sz w:val="14"/>
                <w:szCs w:val="14"/>
                <w:color w:val="auto"/>
              </w:rPr>
              <w:t>Net Income</w:t>
            </w: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2,749</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2,749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20" w:type="dxa"/>
            <w:vAlign w:val="bottom"/>
            <w:tcBorders>
              <w:bottom w:val="single" w:sz="8" w:color="CCFFCC"/>
            </w:tcBorders>
            <w:gridSpan w:val="4"/>
            <w:shd w:val="clear" w:color="auto" w:fill="CCFFCC"/>
          </w:tcPr>
          <w:p>
            <w:pPr>
              <w:spacing w:after="0" w:line="149" w:lineRule="exact"/>
              <w:rPr>
                <w:sz w:val="20"/>
                <w:szCs w:val="20"/>
                <w:color w:val="auto"/>
              </w:rPr>
            </w:pPr>
            <w:r>
              <w:rPr>
                <w:rFonts w:ascii="Arial" w:cs="Arial" w:eastAsia="Arial" w:hAnsi="Arial"/>
                <w:sz w:val="14"/>
                <w:szCs w:val="14"/>
                <w:color w:val="auto"/>
              </w:rPr>
              <w:t>Comprehensive income- 2010</w:t>
            </w:r>
          </w:p>
        </w:tc>
        <w:tc>
          <w:tcPr>
            <w:tcW w:w="800" w:type="dxa"/>
            <w:vAlign w:val="bottom"/>
            <w:tcBorders>
              <w:bottom w:val="single" w:sz="8" w:color="auto"/>
            </w:tcBorders>
            <w:shd w:val="clear" w:color="auto" w:fill="CCFFCC"/>
          </w:tcPr>
          <w:p>
            <w:pPr>
              <w:spacing w:after="0"/>
              <w:rPr>
                <w:sz w:val="13"/>
                <w:szCs w:val="13"/>
                <w:color w:val="auto"/>
              </w:rPr>
            </w:pPr>
          </w:p>
        </w:tc>
        <w:tc>
          <w:tcPr>
            <w:tcW w:w="240" w:type="dxa"/>
            <w:vAlign w:val="bottom"/>
            <w:tcBorders>
              <w:bottom w:val="single" w:sz="8" w:color="CCFFCC"/>
            </w:tcBorders>
            <w:shd w:val="clear" w:color="auto" w:fill="CCFFCC"/>
          </w:tcPr>
          <w:p>
            <w:pPr>
              <w:spacing w:after="0"/>
              <w:rPr>
                <w:sz w:val="13"/>
                <w:szCs w:val="13"/>
                <w:color w:val="auto"/>
              </w:rPr>
            </w:pPr>
          </w:p>
        </w:tc>
        <w:tc>
          <w:tcPr>
            <w:tcW w:w="120" w:type="dxa"/>
            <w:vAlign w:val="bottom"/>
            <w:tcBorders>
              <w:bottom w:val="single" w:sz="8" w:color="auto"/>
            </w:tcBorders>
            <w:shd w:val="clear" w:color="auto" w:fill="CCFFCC"/>
          </w:tcPr>
          <w:p>
            <w:pPr>
              <w:spacing w:after="0"/>
              <w:rPr>
                <w:sz w:val="13"/>
                <w:szCs w:val="13"/>
                <w:color w:val="auto"/>
              </w:rPr>
            </w:pPr>
          </w:p>
        </w:tc>
        <w:tc>
          <w:tcPr>
            <w:tcW w:w="700" w:type="dxa"/>
            <w:vAlign w:val="bottom"/>
            <w:tcBorders>
              <w:bottom w:val="single" w:sz="8" w:color="auto"/>
            </w:tcBorders>
            <w:shd w:val="clear" w:color="auto" w:fill="CCFFCC"/>
          </w:tcPr>
          <w:p>
            <w:pPr>
              <w:spacing w:after="0"/>
              <w:rPr>
                <w:sz w:val="13"/>
                <w:szCs w:val="13"/>
                <w:color w:val="auto"/>
              </w:rPr>
            </w:pPr>
          </w:p>
        </w:tc>
        <w:tc>
          <w:tcPr>
            <w:tcW w:w="240" w:type="dxa"/>
            <w:vAlign w:val="bottom"/>
            <w:tcBorders>
              <w:bottom w:val="single" w:sz="8" w:color="CCFFCC"/>
            </w:tcBorders>
            <w:shd w:val="clear" w:color="auto" w:fill="CCFFCC"/>
          </w:tcPr>
          <w:p>
            <w:pPr>
              <w:spacing w:after="0"/>
              <w:rPr>
                <w:sz w:val="13"/>
                <w:szCs w:val="13"/>
                <w:color w:val="auto"/>
              </w:rPr>
            </w:pPr>
          </w:p>
        </w:tc>
        <w:tc>
          <w:tcPr>
            <w:tcW w:w="80" w:type="dxa"/>
            <w:vAlign w:val="bottom"/>
            <w:tcBorders>
              <w:bottom w:val="single" w:sz="8" w:color="auto"/>
            </w:tcBorders>
            <w:shd w:val="clear" w:color="auto" w:fill="CCFFCC"/>
          </w:tcPr>
          <w:p>
            <w:pPr>
              <w:spacing w:after="0"/>
              <w:rPr>
                <w:sz w:val="13"/>
                <w:szCs w:val="13"/>
                <w:color w:val="auto"/>
              </w:rPr>
            </w:pPr>
          </w:p>
        </w:tc>
        <w:tc>
          <w:tcPr>
            <w:tcW w:w="720" w:type="dxa"/>
            <w:vAlign w:val="bottom"/>
            <w:tcBorders>
              <w:bottom w:val="single" w:sz="8" w:color="auto"/>
            </w:tcBorders>
            <w:shd w:val="clear" w:color="auto" w:fill="CCFFCC"/>
          </w:tcPr>
          <w:p>
            <w:pPr>
              <w:spacing w:after="0"/>
              <w:rPr>
                <w:sz w:val="13"/>
                <w:szCs w:val="13"/>
                <w:color w:val="auto"/>
              </w:rPr>
            </w:pPr>
          </w:p>
        </w:tc>
        <w:tc>
          <w:tcPr>
            <w:tcW w:w="120" w:type="dxa"/>
            <w:vAlign w:val="bottom"/>
            <w:tcBorders>
              <w:bottom w:val="single" w:sz="8" w:color="CCFFCC"/>
            </w:tcBorders>
            <w:shd w:val="clear" w:color="auto" w:fill="CCFFCC"/>
          </w:tcPr>
          <w:p>
            <w:pPr>
              <w:spacing w:after="0"/>
              <w:rPr>
                <w:sz w:val="13"/>
                <w:szCs w:val="13"/>
                <w:color w:val="auto"/>
              </w:rPr>
            </w:pPr>
          </w:p>
        </w:tc>
        <w:tc>
          <w:tcPr>
            <w:tcW w:w="100" w:type="dxa"/>
            <w:vAlign w:val="bottom"/>
            <w:tcBorders>
              <w:bottom w:val="single" w:sz="8" w:color="CCFFCC"/>
            </w:tcBorders>
            <w:shd w:val="clear" w:color="auto" w:fill="CCFFCC"/>
          </w:tcPr>
          <w:p>
            <w:pPr>
              <w:spacing w:after="0"/>
              <w:rPr>
                <w:sz w:val="13"/>
                <w:szCs w:val="13"/>
                <w:color w:val="auto"/>
              </w:rPr>
            </w:pPr>
          </w:p>
        </w:tc>
        <w:tc>
          <w:tcPr>
            <w:tcW w:w="100" w:type="dxa"/>
            <w:vAlign w:val="bottom"/>
            <w:tcBorders>
              <w:bottom w:val="single" w:sz="8" w:color="auto"/>
            </w:tcBorders>
            <w:shd w:val="clear" w:color="auto" w:fill="CCFFCC"/>
          </w:tcPr>
          <w:p>
            <w:pPr>
              <w:spacing w:after="0"/>
              <w:rPr>
                <w:sz w:val="13"/>
                <w:szCs w:val="13"/>
                <w:color w:val="auto"/>
              </w:rPr>
            </w:pPr>
          </w:p>
        </w:tc>
        <w:tc>
          <w:tcPr>
            <w:tcW w:w="680" w:type="dxa"/>
            <w:vAlign w:val="bottom"/>
            <w:tcBorders>
              <w:bottom w:val="single" w:sz="8" w:color="auto"/>
            </w:tcBorders>
            <w:shd w:val="clear" w:color="auto" w:fill="CCFFCC"/>
          </w:tcPr>
          <w:p>
            <w:pPr>
              <w:spacing w:after="0"/>
              <w:rPr>
                <w:sz w:val="13"/>
                <w:szCs w:val="13"/>
                <w:color w:val="auto"/>
              </w:rPr>
            </w:pPr>
          </w:p>
        </w:tc>
        <w:tc>
          <w:tcPr>
            <w:tcW w:w="200" w:type="dxa"/>
            <w:vAlign w:val="bottom"/>
            <w:tcBorders>
              <w:bottom w:val="single" w:sz="8" w:color="CCFFCC"/>
            </w:tcBorders>
            <w:shd w:val="clear" w:color="auto" w:fill="CCFFCC"/>
          </w:tcPr>
          <w:p>
            <w:pPr>
              <w:spacing w:after="0"/>
              <w:rPr>
                <w:sz w:val="13"/>
                <w:szCs w:val="13"/>
                <w:color w:val="auto"/>
              </w:rPr>
            </w:pPr>
          </w:p>
        </w:tc>
        <w:tc>
          <w:tcPr>
            <w:tcW w:w="800" w:type="dxa"/>
            <w:vAlign w:val="bottom"/>
            <w:tcBorders>
              <w:bottom w:val="single" w:sz="8" w:color="auto"/>
            </w:tcBorders>
            <w:shd w:val="clear" w:color="auto" w:fill="CCFFCC"/>
          </w:tcPr>
          <w:p>
            <w:pPr>
              <w:spacing w:after="0"/>
              <w:rPr>
                <w:sz w:val="13"/>
                <w:szCs w:val="13"/>
                <w:color w:val="auto"/>
              </w:rPr>
            </w:pPr>
          </w:p>
        </w:tc>
        <w:tc>
          <w:tcPr>
            <w:tcW w:w="120" w:type="dxa"/>
            <w:vAlign w:val="bottom"/>
            <w:tcBorders>
              <w:bottom w:val="single" w:sz="8" w:color="CCFFCC"/>
            </w:tcBorders>
            <w:shd w:val="clear" w:color="auto" w:fill="CCFFCC"/>
          </w:tcPr>
          <w:p>
            <w:pPr>
              <w:spacing w:after="0"/>
              <w:rPr>
                <w:sz w:val="13"/>
                <w:szCs w:val="13"/>
                <w:color w:val="auto"/>
              </w:rPr>
            </w:pPr>
          </w:p>
        </w:tc>
        <w:tc>
          <w:tcPr>
            <w:tcW w:w="80" w:type="dxa"/>
            <w:vAlign w:val="bottom"/>
            <w:tcBorders>
              <w:bottom w:val="single" w:sz="8" w:color="CCFFCC"/>
            </w:tcBorders>
            <w:shd w:val="clear" w:color="auto" w:fill="CCFFCC"/>
          </w:tcPr>
          <w:p>
            <w:pPr>
              <w:spacing w:after="0"/>
              <w:rPr>
                <w:sz w:val="13"/>
                <w:szCs w:val="13"/>
                <w:color w:val="auto"/>
              </w:rPr>
            </w:pPr>
          </w:p>
        </w:tc>
        <w:tc>
          <w:tcPr>
            <w:tcW w:w="380" w:type="dxa"/>
            <w:vAlign w:val="bottom"/>
            <w:tcBorders>
              <w:bottom w:val="single" w:sz="8" w:color="auto"/>
            </w:tcBorders>
            <w:shd w:val="clear" w:color="auto" w:fill="CCFFCC"/>
          </w:tcPr>
          <w:p>
            <w:pPr>
              <w:spacing w:after="0"/>
              <w:rPr>
                <w:sz w:val="13"/>
                <w:szCs w:val="13"/>
                <w:color w:val="auto"/>
              </w:rPr>
            </w:pPr>
          </w:p>
        </w:tc>
        <w:tc>
          <w:tcPr>
            <w:tcW w:w="420" w:type="dxa"/>
            <w:vAlign w:val="bottom"/>
            <w:tcBorders>
              <w:bottom w:val="single" w:sz="8" w:color="auto"/>
            </w:tcBorders>
            <w:shd w:val="clear" w:color="auto" w:fill="CCFFCC"/>
          </w:tcPr>
          <w:p>
            <w:pPr>
              <w:spacing w:after="0"/>
              <w:rPr>
                <w:sz w:val="13"/>
                <w:szCs w:val="13"/>
                <w:color w:val="auto"/>
              </w:rPr>
            </w:pPr>
          </w:p>
        </w:tc>
        <w:tc>
          <w:tcPr>
            <w:tcW w:w="200" w:type="dxa"/>
            <w:vAlign w:val="bottom"/>
            <w:tcBorders>
              <w:bottom w:val="single" w:sz="8" w:color="CCFFCC"/>
            </w:tcBorders>
            <w:shd w:val="clear" w:color="auto" w:fill="CCFFCC"/>
          </w:tcPr>
          <w:p>
            <w:pPr>
              <w:spacing w:after="0"/>
              <w:rPr>
                <w:sz w:val="13"/>
                <w:szCs w:val="13"/>
                <w:color w:val="auto"/>
              </w:rPr>
            </w:pPr>
          </w:p>
        </w:tc>
        <w:tc>
          <w:tcPr>
            <w:tcW w:w="180" w:type="dxa"/>
            <w:vAlign w:val="bottom"/>
            <w:tcBorders>
              <w:bottom w:val="single" w:sz="8" w:color="auto"/>
            </w:tcBorders>
            <w:shd w:val="clear" w:color="auto" w:fill="CCFFCC"/>
          </w:tcPr>
          <w:p>
            <w:pPr>
              <w:spacing w:after="0"/>
              <w:rPr>
                <w:sz w:val="13"/>
                <w:szCs w:val="13"/>
                <w:color w:val="auto"/>
              </w:rPr>
            </w:pPr>
          </w:p>
        </w:tc>
        <w:tc>
          <w:tcPr>
            <w:tcW w:w="700" w:type="dxa"/>
            <w:vAlign w:val="bottom"/>
            <w:tcBorders>
              <w:bottom w:val="single" w:sz="8" w:color="auto"/>
            </w:tcBorders>
            <w:shd w:val="clear" w:color="auto" w:fill="CCFFCC"/>
          </w:tcPr>
          <w:p>
            <w:pPr>
              <w:spacing w:after="0"/>
              <w:rPr>
                <w:sz w:val="13"/>
                <w:szCs w:val="13"/>
                <w:color w:val="auto"/>
              </w:rPr>
            </w:pPr>
          </w:p>
        </w:tc>
        <w:tc>
          <w:tcPr>
            <w:tcW w:w="120" w:type="dxa"/>
            <w:vAlign w:val="bottom"/>
            <w:tcBorders>
              <w:bottom w:val="single" w:sz="8" w:color="CCFFCC"/>
            </w:tcBorders>
            <w:shd w:val="clear" w:color="auto" w:fill="CCFFCC"/>
          </w:tcPr>
          <w:p>
            <w:pPr>
              <w:spacing w:after="0"/>
              <w:rPr>
                <w:sz w:val="13"/>
                <w:szCs w:val="13"/>
                <w:color w:val="auto"/>
              </w:rPr>
            </w:pPr>
          </w:p>
        </w:tc>
        <w:tc>
          <w:tcPr>
            <w:tcW w:w="80" w:type="dxa"/>
            <w:vAlign w:val="bottom"/>
            <w:tcBorders>
              <w:bottom w:val="single" w:sz="8" w:color="CCFFCC"/>
            </w:tcBorders>
            <w:shd w:val="clear" w:color="auto" w:fill="CCFFCC"/>
          </w:tcPr>
          <w:p>
            <w:pPr>
              <w:spacing w:after="0"/>
              <w:rPr>
                <w:sz w:val="13"/>
                <w:szCs w:val="13"/>
                <w:color w:val="auto"/>
              </w:rPr>
            </w:pPr>
          </w:p>
        </w:tc>
        <w:tc>
          <w:tcPr>
            <w:tcW w:w="160" w:type="dxa"/>
            <w:vAlign w:val="bottom"/>
            <w:tcBorders>
              <w:bottom w:val="single" w:sz="8" w:color="auto"/>
            </w:tcBorders>
            <w:shd w:val="clear" w:color="auto" w:fill="CCFFCC"/>
          </w:tcPr>
          <w:p>
            <w:pPr>
              <w:spacing w:after="0"/>
              <w:rPr>
                <w:sz w:val="13"/>
                <w:szCs w:val="13"/>
                <w:color w:val="auto"/>
              </w:rPr>
            </w:pPr>
          </w:p>
        </w:tc>
        <w:tc>
          <w:tcPr>
            <w:tcW w:w="640" w:type="dxa"/>
            <w:vAlign w:val="bottom"/>
            <w:tcBorders>
              <w:bottom w:val="single" w:sz="8" w:color="auto"/>
            </w:tcBorders>
            <w:shd w:val="clear" w:color="auto" w:fill="CCFFCC"/>
          </w:tcPr>
          <w:p>
            <w:pPr>
              <w:jc w:val="right"/>
              <w:spacing w:after="0" w:line="149" w:lineRule="exact"/>
              <w:rPr>
                <w:sz w:val="20"/>
                <w:szCs w:val="20"/>
                <w:color w:val="auto"/>
              </w:rPr>
            </w:pPr>
            <w:r>
              <w:rPr>
                <w:rFonts w:ascii="Arial" w:cs="Arial" w:eastAsia="Arial" w:hAnsi="Arial"/>
                <w:sz w:val="14"/>
                <w:szCs w:val="14"/>
                <w:color w:val="auto"/>
              </w:rPr>
              <w:t>3,313</w:t>
            </w:r>
          </w:p>
        </w:tc>
        <w:tc>
          <w:tcPr>
            <w:tcW w:w="100" w:type="dxa"/>
            <w:vAlign w:val="bottom"/>
            <w:tcBorders>
              <w:bottom w:val="single" w:sz="8" w:color="CCFFCC"/>
            </w:tcBorders>
            <w:shd w:val="clear" w:color="auto" w:fill="CCFFCC"/>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gridSpan w:val="4"/>
          </w:tcPr>
          <w:p>
            <w:pPr>
              <w:spacing w:after="0" w:line="135" w:lineRule="exact"/>
              <w:rPr>
                <w:sz w:val="20"/>
                <w:szCs w:val="20"/>
                <w:color w:val="auto"/>
              </w:rPr>
            </w:pPr>
            <w:r>
              <w:rPr>
                <w:rFonts w:ascii="Arial" w:cs="Arial" w:eastAsia="Arial" w:hAnsi="Arial"/>
                <w:sz w:val="14"/>
                <w:szCs w:val="14"/>
                <w:color w:val="auto"/>
              </w:rPr>
              <w:t>Balance at April 30, 2010</w:t>
            </w:r>
          </w:p>
        </w:tc>
        <w:tc>
          <w:tcPr>
            <w:tcW w:w="800" w:type="dxa"/>
            <w:vAlign w:val="bottom"/>
          </w:tcPr>
          <w:p>
            <w:pPr>
              <w:jc w:val="right"/>
              <w:spacing w:after="0" w:line="135" w:lineRule="exact"/>
              <w:rPr>
                <w:sz w:val="20"/>
                <w:szCs w:val="20"/>
                <w:color w:val="auto"/>
              </w:rPr>
            </w:pPr>
            <w:r>
              <w:rPr>
                <w:rFonts w:ascii="Arial" w:cs="Arial" w:eastAsia="Arial" w:hAnsi="Arial"/>
                <w:sz w:val="14"/>
                <w:szCs w:val="14"/>
                <w:color w:val="auto"/>
              </w:rPr>
              <w:t>9,163,940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240"/>
              <w:spacing w:after="0" w:line="135" w:lineRule="exact"/>
              <w:rPr>
                <w:sz w:val="20"/>
                <w:szCs w:val="20"/>
                <w:color w:val="auto"/>
              </w:rPr>
            </w:pPr>
            <w:r>
              <w:rPr>
                <w:rFonts w:ascii="Arial" w:cs="Arial" w:eastAsia="Arial" w:hAnsi="Arial"/>
                <w:sz w:val="14"/>
                <w:szCs w:val="14"/>
                <w:color w:val="auto"/>
              </w:rPr>
              <w:t>9,164</w:t>
            </w:r>
          </w:p>
        </w:tc>
        <w:tc>
          <w:tcPr>
            <w:tcW w:w="80" w:type="dxa"/>
            <w:vAlign w:val="bottom"/>
          </w:tcPr>
          <w:p>
            <w:pPr>
              <w:spacing w:after="0"/>
              <w:rPr>
                <w:sz w:val="11"/>
                <w:szCs w:val="11"/>
                <w:color w:val="auto"/>
              </w:rPr>
            </w:pPr>
          </w:p>
        </w:tc>
        <w:tc>
          <w:tcPr>
            <w:tcW w:w="840" w:type="dxa"/>
            <w:vAlign w:val="bottom"/>
            <w:gridSpan w:val="2"/>
          </w:tcPr>
          <w:p>
            <w:pPr>
              <w:jc w:val="right"/>
              <w:ind w:right="120"/>
              <w:spacing w:after="0" w:line="135" w:lineRule="exact"/>
              <w:rPr>
                <w:sz w:val="20"/>
                <w:szCs w:val="20"/>
                <w:color w:val="auto"/>
              </w:rPr>
            </w:pPr>
            <w:r>
              <w:rPr>
                <w:rFonts w:ascii="Arial" w:cs="Arial" w:eastAsia="Arial" w:hAnsi="Arial"/>
                <w:sz w:val="14"/>
                <w:szCs w:val="14"/>
                <w:color w:val="auto"/>
              </w:rPr>
              <w:t>49,580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4"/>
                <w:szCs w:val="14"/>
                <w:color w:val="auto"/>
              </w:rPr>
              <w:t>5,271</w:t>
            </w:r>
          </w:p>
        </w:tc>
        <w:tc>
          <w:tcPr>
            <w:tcW w:w="920" w:type="dxa"/>
            <w:vAlign w:val="bottom"/>
            <w:gridSpan w:val="2"/>
          </w:tcPr>
          <w:p>
            <w:pPr>
              <w:jc w:val="right"/>
              <w:ind w:right="120"/>
              <w:spacing w:after="0" w:line="135" w:lineRule="exact"/>
              <w:rPr>
                <w:sz w:val="20"/>
                <w:szCs w:val="20"/>
                <w:color w:val="auto"/>
              </w:rPr>
            </w:pPr>
            <w:r>
              <w:rPr>
                <w:rFonts w:ascii="Arial" w:cs="Arial" w:eastAsia="Arial" w:hAnsi="Arial"/>
                <w:sz w:val="14"/>
                <w:szCs w:val="14"/>
                <w:color w:val="auto"/>
              </w:rPr>
              <w:t>946,172</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gridSpan w:val="2"/>
          </w:tcPr>
          <w:p>
            <w:pPr>
              <w:jc w:val="right"/>
              <w:ind w:right="160"/>
              <w:spacing w:after="0" w:line="135" w:lineRule="exact"/>
              <w:rPr>
                <w:sz w:val="20"/>
                <w:szCs w:val="20"/>
                <w:color w:val="auto"/>
              </w:rPr>
            </w:pPr>
            <w:r>
              <w:rPr>
                <w:rFonts w:ascii="Arial" w:cs="Arial" w:eastAsia="Arial" w:hAnsi="Arial"/>
                <w:sz w:val="14"/>
                <w:szCs w:val="14"/>
                <w:color w:val="auto"/>
                <w:w w:val="99"/>
              </w:rPr>
              <w:t>(4,651)</w:t>
            </w:r>
          </w:p>
        </w:tc>
        <w:tc>
          <w:tcPr>
            <w:tcW w:w="180" w:type="dxa"/>
            <w:vAlign w:val="bottom"/>
          </w:tcPr>
          <w:p>
            <w:pPr>
              <w:spacing w:after="0"/>
              <w:rPr>
                <w:sz w:val="11"/>
                <w:szCs w:val="11"/>
                <w:color w:val="auto"/>
              </w:rPr>
            </w:pP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4"/>
                <w:szCs w:val="14"/>
                <w:color w:val="auto"/>
              </w:rPr>
              <w:t>4,019</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tcPr>
          <w:p>
            <w:pPr>
              <w:jc w:val="right"/>
              <w:ind w:right="100"/>
              <w:spacing w:after="0" w:line="135" w:lineRule="exact"/>
              <w:rPr>
                <w:sz w:val="20"/>
                <w:szCs w:val="20"/>
                <w:color w:val="auto"/>
              </w:rPr>
            </w:pPr>
            <w:r>
              <w:rPr>
                <w:rFonts w:ascii="Arial" w:cs="Arial" w:eastAsia="Arial" w:hAnsi="Arial"/>
                <w:sz w:val="14"/>
                <w:szCs w:val="14"/>
                <w:color w:val="auto"/>
              </w:rPr>
              <w:t>63,383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3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restart"/>
          </w:tcPr>
          <w:p>
            <w:pPr>
              <w:spacing w:after="0"/>
              <w:rPr>
                <w:sz w:val="12"/>
                <w:szCs w:val="12"/>
                <w:color w:val="auto"/>
              </w:rPr>
            </w:pPr>
          </w:p>
        </w:tc>
        <w:tc>
          <w:tcPr>
            <w:tcW w:w="13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20" w:type="dxa"/>
            <w:vAlign w:val="bottom"/>
            <w:shd w:val="clear" w:color="auto" w:fill="CCFFCC"/>
          </w:tcPr>
          <w:p>
            <w:pPr>
              <w:spacing w:after="0"/>
              <w:rPr>
                <w:sz w:val="12"/>
                <w:szCs w:val="12"/>
                <w:color w:val="auto"/>
              </w:rPr>
            </w:pPr>
          </w:p>
        </w:tc>
        <w:tc>
          <w:tcPr>
            <w:tcW w:w="18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380" w:type="dxa"/>
            <w:vAlign w:val="bottom"/>
            <w:shd w:val="clear" w:color="auto" w:fill="CCFFCC"/>
          </w:tcPr>
          <w:p>
            <w:pPr>
              <w:spacing w:after="0"/>
              <w:rPr>
                <w:sz w:val="12"/>
                <w:szCs w:val="12"/>
                <w:color w:val="auto"/>
              </w:rPr>
            </w:pPr>
          </w:p>
        </w:tc>
        <w:tc>
          <w:tcPr>
            <w:tcW w:w="4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6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gridSpan w:val="4"/>
          </w:tcPr>
          <w:p>
            <w:pPr>
              <w:spacing w:after="0" w:line="149" w:lineRule="exact"/>
              <w:rPr>
                <w:sz w:val="20"/>
                <w:szCs w:val="20"/>
                <w:color w:val="auto"/>
              </w:rPr>
            </w:pPr>
            <w:r>
              <w:rPr>
                <w:rFonts w:ascii="Arial" w:cs="Arial" w:eastAsia="Arial" w:hAnsi="Arial"/>
                <w:sz w:val="14"/>
                <w:szCs w:val="14"/>
                <w:color w:val="auto"/>
              </w:rPr>
              <w:t>Contribution of stock to 401(k) plan</w:t>
            </w: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(58,637)</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518</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4"/>
            <w:shd w:val="clear" w:color="auto" w:fill="CCFFCC"/>
          </w:tcPr>
          <w:p>
            <w:pPr>
              <w:spacing w:after="0" w:line="149" w:lineRule="exact"/>
              <w:rPr>
                <w:sz w:val="20"/>
                <w:szCs w:val="20"/>
                <w:color w:val="auto"/>
              </w:rPr>
            </w:pPr>
            <w:r>
              <w:rPr>
                <w:rFonts w:ascii="Arial" w:cs="Arial" w:eastAsia="Arial" w:hAnsi="Arial"/>
                <w:sz w:val="14"/>
                <w:szCs w:val="14"/>
                <w:color w:val="auto"/>
              </w:rPr>
              <w:t>Stock compensation expense</w:t>
            </w: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8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476</w:t>
            </w:r>
          </w:p>
        </w:tc>
        <w:tc>
          <w:tcPr>
            <w:tcW w:w="1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380" w:type="dxa"/>
            <w:vAlign w:val="bottom"/>
            <w:shd w:val="clear" w:color="auto" w:fill="CCFFCC"/>
          </w:tcPr>
          <w:p>
            <w:pPr>
              <w:spacing w:after="0"/>
              <w:rPr>
                <w:sz w:val="12"/>
                <w:szCs w:val="12"/>
                <w:color w:val="auto"/>
              </w:rPr>
            </w:pPr>
          </w:p>
        </w:tc>
        <w:tc>
          <w:tcPr>
            <w:tcW w:w="4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476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4"/>
          </w:tcPr>
          <w:p>
            <w:pPr>
              <w:spacing w:after="0" w:line="149" w:lineRule="exact"/>
              <w:rPr>
                <w:sz w:val="20"/>
                <w:szCs w:val="20"/>
                <w:color w:val="auto"/>
              </w:rPr>
            </w:pPr>
            <w:r>
              <w:rPr>
                <w:rFonts w:ascii="Arial" w:cs="Arial" w:eastAsia="Arial" w:hAnsi="Arial"/>
                <w:sz w:val="14"/>
                <w:szCs w:val="14"/>
                <w:color w:val="auto"/>
              </w:rPr>
              <w:t>Tax benefit from stock option exercise</w:t>
            </w: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4"/>
            <w:shd w:val="clear" w:color="auto" w:fill="CCFFCC"/>
          </w:tcPr>
          <w:p>
            <w:pPr>
              <w:spacing w:after="0" w:line="149" w:lineRule="exact"/>
              <w:rPr>
                <w:sz w:val="20"/>
                <w:szCs w:val="20"/>
                <w:color w:val="auto"/>
              </w:rPr>
            </w:pPr>
            <w:r>
              <w:rPr>
                <w:rFonts w:ascii="Arial" w:cs="Arial" w:eastAsia="Arial" w:hAnsi="Arial"/>
                <w:sz w:val="14"/>
                <w:szCs w:val="14"/>
                <w:color w:val="auto"/>
                <w:w w:val="97"/>
              </w:rPr>
              <w:t>Exercise of stock options and stock appreciation rights</w:t>
            </w: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84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(88)</w:t>
            </w:r>
          </w:p>
        </w:tc>
        <w:tc>
          <w:tcPr>
            <w:tcW w:w="1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(21,801)</w:t>
            </w:r>
          </w:p>
        </w:tc>
        <w:tc>
          <w:tcPr>
            <w:tcW w:w="80" w:type="dxa"/>
            <w:vAlign w:val="bottom"/>
            <w:shd w:val="clear" w:color="auto" w:fill="CCFFCC"/>
          </w:tcPr>
          <w:p>
            <w:pPr>
              <w:spacing w:after="0"/>
              <w:rPr>
                <w:sz w:val="12"/>
                <w:szCs w:val="12"/>
                <w:color w:val="auto"/>
              </w:rPr>
            </w:pPr>
          </w:p>
        </w:tc>
        <w:tc>
          <w:tcPr>
            <w:tcW w:w="380" w:type="dxa"/>
            <w:vAlign w:val="bottom"/>
            <w:shd w:val="clear" w:color="auto" w:fill="CCFFCC"/>
          </w:tcPr>
          <w:p>
            <w:pPr>
              <w:spacing w:after="0"/>
              <w:rPr>
                <w:sz w:val="12"/>
                <w:szCs w:val="12"/>
                <w:color w:val="auto"/>
              </w:rPr>
            </w:pPr>
          </w:p>
        </w:tc>
        <w:tc>
          <w:tcPr>
            <w:tcW w:w="6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158</w:t>
            </w:r>
          </w:p>
        </w:tc>
        <w:tc>
          <w:tcPr>
            <w:tcW w:w="18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320" w:type="dxa"/>
            <w:vAlign w:val="bottom"/>
            <w:gridSpan w:val="4"/>
            <w:shd w:val="clear" w:color="auto" w:fill="CCFFCC"/>
          </w:tcPr>
          <w:p>
            <w:pPr>
              <w:spacing w:after="0" w:line="135" w:lineRule="exact"/>
              <w:rPr>
                <w:sz w:val="20"/>
                <w:szCs w:val="20"/>
                <w:color w:val="auto"/>
              </w:rPr>
            </w:pPr>
            <w:r>
              <w:rPr>
                <w:rFonts w:ascii="Arial" w:cs="Arial" w:eastAsia="Arial" w:hAnsi="Arial"/>
                <w:sz w:val="14"/>
                <w:szCs w:val="14"/>
                <w:color w:val="auto"/>
              </w:rPr>
              <w:t>Comprehensive Income:</w:t>
            </w:r>
          </w:p>
        </w:tc>
        <w:tc>
          <w:tcPr>
            <w:tcW w:w="8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7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38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7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36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84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7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68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6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3320" w:type="dxa"/>
            <w:vAlign w:val="bottom"/>
            <w:gridSpan w:val="4"/>
          </w:tcPr>
          <w:p>
            <w:pPr>
              <w:ind w:left="160"/>
              <w:spacing w:after="0" w:line="130" w:lineRule="exact"/>
              <w:rPr>
                <w:sz w:val="20"/>
                <w:szCs w:val="20"/>
                <w:color w:val="auto"/>
              </w:rPr>
            </w:pPr>
            <w:r>
              <w:rPr>
                <w:rFonts w:ascii="Arial" w:cs="Arial" w:eastAsia="Arial" w:hAnsi="Arial"/>
                <w:sz w:val="14"/>
                <w:szCs w:val="14"/>
                <w:color w:val="auto"/>
              </w:rPr>
              <w:t>Change in unrealized gains and losses on</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20" w:type="dxa"/>
            <w:vAlign w:val="bottom"/>
            <w:gridSpan w:val="4"/>
          </w:tcPr>
          <w:p>
            <w:pPr>
              <w:ind w:left="320"/>
              <w:spacing w:after="0"/>
              <w:rPr>
                <w:sz w:val="20"/>
                <w:szCs w:val="20"/>
                <w:color w:val="auto"/>
              </w:rPr>
            </w:pPr>
            <w:r>
              <w:rPr>
                <w:rFonts w:ascii="Arial" w:cs="Arial" w:eastAsia="Arial" w:hAnsi="Arial"/>
                <w:sz w:val="14"/>
                <w:szCs w:val="14"/>
                <w:color w:val="auto"/>
              </w:rPr>
              <w:t>marketable securities</w:t>
            </w: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238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238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4"/>
            <w:shd w:val="clear" w:color="auto" w:fill="CCFFCC"/>
          </w:tcPr>
          <w:p>
            <w:pPr>
              <w:ind w:left="160"/>
              <w:spacing w:after="0" w:line="149" w:lineRule="exact"/>
              <w:rPr>
                <w:sz w:val="20"/>
                <w:szCs w:val="20"/>
                <w:color w:val="auto"/>
              </w:rPr>
            </w:pPr>
            <w:r>
              <w:rPr>
                <w:rFonts w:ascii="Arial" w:cs="Arial" w:eastAsia="Arial" w:hAnsi="Arial"/>
                <w:sz w:val="14"/>
                <w:szCs w:val="14"/>
                <w:color w:val="auto"/>
              </w:rPr>
              <w:t>Foreign currency translation adjustment</w:t>
            </w: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380" w:type="dxa"/>
            <w:vAlign w:val="bottom"/>
            <w:shd w:val="clear" w:color="auto" w:fill="CCFFCC"/>
          </w:tcPr>
          <w:p>
            <w:pPr>
              <w:spacing w:after="0"/>
              <w:rPr>
                <w:sz w:val="12"/>
                <w:szCs w:val="12"/>
                <w:color w:val="auto"/>
              </w:rPr>
            </w:pPr>
          </w:p>
        </w:tc>
        <w:tc>
          <w:tcPr>
            <w:tcW w:w="4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935</w:t>
            </w:r>
          </w:p>
        </w:tc>
        <w:tc>
          <w:tcPr>
            <w:tcW w:w="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935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20" w:type="dxa"/>
            <w:vAlign w:val="bottom"/>
            <w:gridSpan w:val="4"/>
          </w:tcPr>
          <w:p>
            <w:pPr>
              <w:ind w:left="160"/>
              <w:spacing w:after="0" w:line="149" w:lineRule="exact"/>
              <w:rPr>
                <w:sz w:val="20"/>
                <w:szCs w:val="20"/>
                <w:color w:val="auto"/>
              </w:rPr>
            </w:pPr>
            <w:r>
              <w:rPr>
                <w:rFonts w:ascii="Arial" w:cs="Arial" w:eastAsia="Arial" w:hAnsi="Arial"/>
                <w:sz w:val="14"/>
                <w:szCs w:val="14"/>
                <w:color w:val="auto"/>
              </w:rPr>
              <w:t>Net Income</w:t>
            </w: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6,015</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6,015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CCFFCC"/>
            </w:tcBorders>
            <w:gridSpan w:val="4"/>
            <w:shd w:val="clear" w:color="auto" w:fill="CCFFCC"/>
          </w:tcPr>
          <w:p>
            <w:pPr>
              <w:spacing w:after="0"/>
              <w:rPr>
                <w:sz w:val="20"/>
                <w:szCs w:val="20"/>
                <w:color w:val="auto"/>
              </w:rPr>
            </w:pPr>
            <w:r>
              <w:rPr>
                <w:rFonts w:ascii="Arial" w:cs="Arial" w:eastAsia="Arial" w:hAnsi="Arial"/>
                <w:sz w:val="14"/>
                <w:szCs w:val="14"/>
                <w:color w:val="auto"/>
              </w:rPr>
              <w:t>Comprehensive income- 2011</w:t>
            </w:r>
          </w:p>
        </w:tc>
        <w:tc>
          <w:tcPr>
            <w:tcW w:w="800" w:type="dxa"/>
            <w:vAlign w:val="bottom"/>
            <w:tcBorders>
              <w:bottom w:val="single" w:sz="8" w:color="auto"/>
            </w:tcBorders>
            <w:shd w:val="clear" w:color="auto" w:fill="CCFFCC"/>
          </w:tcPr>
          <w:p>
            <w:pPr>
              <w:spacing w:after="0"/>
              <w:rPr>
                <w:sz w:val="19"/>
                <w:szCs w:val="19"/>
                <w:color w:val="auto"/>
              </w:rPr>
            </w:pPr>
          </w:p>
        </w:tc>
        <w:tc>
          <w:tcPr>
            <w:tcW w:w="240" w:type="dxa"/>
            <w:vAlign w:val="bottom"/>
            <w:tcBorders>
              <w:bottom w:val="single" w:sz="8" w:color="CCFFCC"/>
            </w:tcBorders>
            <w:shd w:val="clear" w:color="auto" w:fill="CCFFCC"/>
          </w:tcPr>
          <w:p>
            <w:pPr>
              <w:spacing w:after="0"/>
              <w:rPr>
                <w:sz w:val="19"/>
                <w:szCs w:val="19"/>
                <w:color w:val="auto"/>
              </w:rPr>
            </w:pPr>
          </w:p>
        </w:tc>
        <w:tc>
          <w:tcPr>
            <w:tcW w:w="120" w:type="dxa"/>
            <w:vAlign w:val="bottom"/>
            <w:tcBorders>
              <w:bottom w:val="single" w:sz="8" w:color="auto"/>
            </w:tcBorders>
            <w:shd w:val="clear" w:color="auto" w:fill="CCFFCC"/>
          </w:tcPr>
          <w:p>
            <w:pPr>
              <w:spacing w:after="0"/>
              <w:rPr>
                <w:sz w:val="19"/>
                <w:szCs w:val="19"/>
                <w:color w:val="auto"/>
              </w:rPr>
            </w:pPr>
          </w:p>
        </w:tc>
        <w:tc>
          <w:tcPr>
            <w:tcW w:w="700" w:type="dxa"/>
            <w:vAlign w:val="bottom"/>
            <w:tcBorders>
              <w:bottom w:val="single" w:sz="8" w:color="auto"/>
            </w:tcBorders>
            <w:shd w:val="clear" w:color="auto" w:fill="CCFFCC"/>
          </w:tcPr>
          <w:p>
            <w:pPr>
              <w:spacing w:after="0"/>
              <w:rPr>
                <w:sz w:val="19"/>
                <w:szCs w:val="19"/>
                <w:color w:val="auto"/>
              </w:rPr>
            </w:pPr>
          </w:p>
        </w:tc>
        <w:tc>
          <w:tcPr>
            <w:tcW w:w="240" w:type="dxa"/>
            <w:vAlign w:val="bottom"/>
            <w:tcBorders>
              <w:bottom w:val="single" w:sz="8" w:color="CCFFCC"/>
            </w:tcBorders>
            <w:shd w:val="clear" w:color="auto" w:fill="CCFFCC"/>
          </w:tcPr>
          <w:p>
            <w:pPr>
              <w:spacing w:after="0"/>
              <w:rPr>
                <w:sz w:val="19"/>
                <w:szCs w:val="19"/>
                <w:color w:val="auto"/>
              </w:rPr>
            </w:pPr>
          </w:p>
        </w:tc>
        <w:tc>
          <w:tcPr>
            <w:tcW w:w="80" w:type="dxa"/>
            <w:vAlign w:val="bottom"/>
            <w:tcBorders>
              <w:bottom w:val="single" w:sz="8" w:color="auto"/>
            </w:tcBorders>
            <w:shd w:val="clear" w:color="auto" w:fill="CCFFCC"/>
          </w:tcPr>
          <w:p>
            <w:pPr>
              <w:spacing w:after="0"/>
              <w:rPr>
                <w:sz w:val="19"/>
                <w:szCs w:val="19"/>
                <w:color w:val="auto"/>
              </w:rPr>
            </w:pPr>
          </w:p>
        </w:tc>
        <w:tc>
          <w:tcPr>
            <w:tcW w:w="720" w:type="dxa"/>
            <w:vAlign w:val="bottom"/>
            <w:tcBorders>
              <w:bottom w:val="single" w:sz="8" w:color="auto"/>
            </w:tcBorders>
            <w:shd w:val="clear" w:color="auto" w:fill="CCFFCC"/>
          </w:tcPr>
          <w:p>
            <w:pPr>
              <w:spacing w:after="0"/>
              <w:rPr>
                <w:sz w:val="19"/>
                <w:szCs w:val="19"/>
                <w:color w:val="auto"/>
              </w:rPr>
            </w:pPr>
          </w:p>
        </w:tc>
        <w:tc>
          <w:tcPr>
            <w:tcW w:w="120" w:type="dxa"/>
            <w:vAlign w:val="bottom"/>
            <w:tcBorders>
              <w:bottom w:val="single" w:sz="8" w:color="CCFFCC"/>
            </w:tcBorders>
            <w:shd w:val="clear" w:color="auto" w:fill="CCFFCC"/>
          </w:tcPr>
          <w:p>
            <w:pPr>
              <w:spacing w:after="0"/>
              <w:rPr>
                <w:sz w:val="19"/>
                <w:szCs w:val="19"/>
                <w:color w:val="auto"/>
              </w:rPr>
            </w:pPr>
          </w:p>
        </w:tc>
        <w:tc>
          <w:tcPr>
            <w:tcW w:w="100" w:type="dxa"/>
            <w:vAlign w:val="bottom"/>
            <w:tcBorders>
              <w:bottom w:val="single" w:sz="8" w:color="CCFFCC"/>
            </w:tcBorders>
            <w:shd w:val="clear" w:color="auto" w:fill="CCFFCC"/>
          </w:tcPr>
          <w:p>
            <w:pPr>
              <w:spacing w:after="0"/>
              <w:rPr>
                <w:sz w:val="19"/>
                <w:szCs w:val="19"/>
                <w:color w:val="auto"/>
              </w:rPr>
            </w:pPr>
          </w:p>
        </w:tc>
        <w:tc>
          <w:tcPr>
            <w:tcW w:w="100" w:type="dxa"/>
            <w:vAlign w:val="bottom"/>
            <w:tcBorders>
              <w:bottom w:val="single" w:sz="8" w:color="auto"/>
            </w:tcBorders>
            <w:shd w:val="clear" w:color="auto" w:fill="CCFFCC"/>
          </w:tcPr>
          <w:p>
            <w:pPr>
              <w:spacing w:after="0"/>
              <w:rPr>
                <w:sz w:val="19"/>
                <w:szCs w:val="19"/>
                <w:color w:val="auto"/>
              </w:rPr>
            </w:pPr>
          </w:p>
        </w:tc>
        <w:tc>
          <w:tcPr>
            <w:tcW w:w="680" w:type="dxa"/>
            <w:vAlign w:val="bottom"/>
            <w:tcBorders>
              <w:bottom w:val="single" w:sz="8" w:color="auto"/>
            </w:tcBorders>
            <w:shd w:val="clear" w:color="auto" w:fill="CCFFCC"/>
          </w:tcPr>
          <w:p>
            <w:pPr>
              <w:spacing w:after="0"/>
              <w:rPr>
                <w:sz w:val="19"/>
                <w:szCs w:val="19"/>
                <w:color w:val="auto"/>
              </w:rPr>
            </w:pPr>
          </w:p>
        </w:tc>
        <w:tc>
          <w:tcPr>
            <w:tcW w:w="200" w:type="dxa"/>
            <w:vAlign w:val="bottom"/>
            <w:tcBorders>
              <w:bottom w:val="single" w:sz="8" w:color="CCFFCC"/>
            </w:tcBorders>
            <w:shd w:val="clear" w:color="auto" w:fill="CCFFCC"/>
          </w:tcPr>
          <w:p>
            <w:pPr>
              <w:spacing w:after="0"/>
              <w:rPr>
                <w:sz w:val="19"/>
                <w:szCs w:val="19"/>
                <w:color w:val="auto"/>
              </w:rPr>
            </w:pPr>
          </w:p>
        </w:tc>
        <w:tc>
          <w:tcPr>
            <w:tcW w:w="800" w:type="dxa"/>
            <w:vAlign w:val="bottom"/>
            <w:tcBorders>
              <w:bottom w:val="single" w:sz="8" w:color="auto"/>
            </w:tcBorders>
            <w:shd w:val="clear" w:color="auto" w:fill="CCFFCC"/>
          </w:tcPr>
          <w:p>
            <w:pPr>
              <w:spacing w:after="0"/>
              <w:rPr>
                <w:sz w:val="19"/>
                <w:szCs w:val="19"/>
                <w:color w:val="auto"/>
              </w:rPr>
            </w:pPr>
          </w:p>
        </w:tc>
        <w:tc>
          <w:tcPr>
            <w:tcW w:w="120" w:type="dxa"/>
            <w:vAlign w:val="bottom"/>
            <w:tcBorders>
              <w:bottom w:val="single" w:sz="8" w:color="CCFFCC"/>
            </w:tcBorders>
            <w:shd w:val="clear" w:color="auto" w:fill="CCFFCC"/>
          </w:tcPr>
          <w:p>
            <w:pPr>
              <w:spacing w:after="0"/>
              <w:rPr>
                <w:sz w:val="19"/>
                <w:szCs w:val="19"/>
                <w:color w:val="auto"/>
              </w:rPr>
            </w:pPr>
          </w:p>
        </w:tc>
        <w:tc>
          <w:tcPr>
            <w:tcW w:w="80" w:type="dxa"/>
            <w:vAlign w:val="bottom"/>
            <w:tcBorders>
              <w:bottom w:val="single" w:sz="8" w:color="CCFFCC"/>
            </w:tcBorders>
            <w:shd w:val="clear" w:color="auto" w:fill="CCFFCC"/>
          </w:tcPr>
          <w:p>
            <w:pPr>
              <w:spacing w:after="0"/>
              <w:rPr>
                <w:sz w:val="19"/>
                <w:szCs w:val="19"/>
                <w:color w:val="auto"/>
              </w:rPr>
            </w:pPr>
          </w:p>
        </w:tc>
        <w:tc>
          <w:tcPr>
            <w:tcW w:w="380" w:type="dxa"/>
            <w:vAlign w:val="bottom"/>
            <w:tcBorders>
              <w:bottom w:val="single" w:sz="8" w:color="auto"/>
            </w:tcBorders>
            <w:shd w:val="clear" w:color="auto" w:fill="CCFFCC"/>
          </w:tcPr>
          <w:p>
            <w:pPr>
              <w:spacing w:after="0"/>
              <w:rPr>
                <w:sz w:val="19"/>
                <w:szCs w:val="19"/>
                <w:color w:val="auto"/>
              </w:rPr>
            </w:pPr>
          </w:p>
        </w:tc>
        <w:tc>
          <w:tcPr>
            <w:tcW w:w="420" w:type="dxa"/>
            <w:vAlign w:val="bottom"/>
            <w:tcBorders>
              <w:bottom w:val="single" w:sz="8" w:color="auto"/>
            </w:tcBorders>
            <w:shd w:val="clear" w:color="auto" w:fill="CCFFCC"/>
          </w:tcPr>
          <w:p>
            <w:pPr>
              <w:spacing w:after="0"/>
              <w:rPr>
                <w:sz w:val="19"/>
                <w:szCs w:val="19"/>
                <w:color w:val="auto"/>
              </w:rPr>
            </w:pPr>
          </w:p>
        </w:tc>
        <w:tc>
          <w:tcPr>
            <w:tcW w:w="200" w:type="dxa"/>
            <w:vAlign w:val="bottom"/>
            <w:tcBorders>
              <w:bottom w:val="single" w:sz="8" w:color="CCFFCC"/>
            </w:tcBorders>
            <w:shd w:val="clear" w:color="auto" w:fill="CCFFCC"/>
          </w:tcPr>
          <w:p>
            <w:pPr>
              <w:spacing w:after="0"/>
              <w:rPr>
                <w:sz w:val="19"/>
                <w:szCs w:val="19"/>
                <w:color w:val="auto"/>
              </w:rPr>
            </w:pPr>
          </w:p>
        </w:tc>
        <w:tc>
          <w:tcPr>
            <w:tcW w:w="180" w:type="dxa"/>
            <w:vAlign w:val="bottom"/>
            <w:tcBorders>
              <w:bottom w:val="single" w:sz="8" w:color="auto"/>
            </w:tcBorders>
            <w:shd w:val="clear" w:color="auto" w:fill="CCFFCC"/>
          </w:tcPr>
          <w:p>
            <w:pPr>
              <w:spacing w:after="0"/>
              <w:rPr>
                <w:sz w:val="19"/>
                <w:szCs w:val="19"/>
                <w:color w:val="auto"/>
              </w:rPr>
            </w:pPr>
          </w:p>
        </w:tc>
        <w:tc>
          <w:tcPr>
            <w:tcW w:w="700" w:type="dxa"/>
            <w:vAlign w:val="bottom"/>
            <w:tcBorders>
              <w:bottom w:val="single" w:sz="8" w:color="auto"/>
            </w:tcBorders>
            <w:shd w:val="clear" w:color="auto" w:fill="CCFFCC"/>
          </w:tcPr>
          <w:p>
            <w:pPr>
              <w:spacing w:after="0"/>
              <w:rPr>
                <w:sz w:val="19"/>
                <w:szCs w:val="19"/>
                <w:color w:val="auto"/>
              </w:rPr>
            </w:pPr>
          </w:p>
        </w:tc>
        <w:tc>
          <w:tcPr>
            <w:tcW w:w="120" w:type="dxa"/>
            <w:vAlign w:val="bottom"/>
            <w:tcBorders>
              <w:bottom w:val="single" w:sz="8" w:color="CCFFCC"/>
            </w:tcBorders>
            <w:shd w:val="clear" w:color="auto" w:fill="CCFFCC"/>
          </w:tcPr>
          <w:p>
            <w:pPr>
              <w:spacing w:after="0"/>
              <w:rPr>
                <w:sz w:val="19"/>
                <w:szCs w:val="19"/>
                <w:color w:val="auto"/>
              </w:rPr>
            </w:pPr>
          </w:p>
        </w:tc>
        <w:tc>
          <w:tcPr>
            <w:tcW w:w="80" w:type="dxa"/>
            <w:vAlign w:val="bottom"/>
            <w:tcBorders>
              <w:bottom w:val="single" w:sz="8" w:color="CCFFCC"/>
            </w:tcBorders>
            <w:shd w:val="clear" w:color="auto" w:fill="CCFFCC"/>
          </w:tcPr>
          <w:p>
            <w:pPr>
              <w:spacing w:after="0"/>
              <w:rPr>
                <w:sz w:val="19"/>
                <w:szCs w:val="19"/>
                <w:color w:val="auto"/>
              </w:rPr>
            </w:pPr>
          </w:p>
        </w:tc>
        <w:tc>
          <w:tcPr>
            <w:tcW w:w="160" w:type="dxa"/>
            <w:vAlign w:val="bottom"/>
            <w:tcBorders>
              <w:bottom w:val="single" w:sz="8" w:color="auto"/>
            </w:tcBorders>
            <w:shd w:val="clear" w:color="auto" w:fill="CCFFCC"/>
          </w:tcPr>
          <w:p>
            <w:pPr>
              <w:spacing w:after="0"/>
              <w:rPr>
                <w:sz w:val="19"/>
                <w:szCs w:val="19"/>
                <w:color w:val="auto"/>
              </w:rPr>
            </w:pPr>
          </w:p>
        </w:tc>
        <w:tc>
          <w:tcPr>
            <w:tcW w:w="6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7,188</w:t>
            </w:r>
          </w:p>
        </w:tc>
        <w:tc>
          <w:tcPr>
            <w:tcW w:w="10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340" w:type="dxa"/>
            <w:vAlign w:val="bottom"/>
            <w:gridSpan w:val="5"/>
          </w:tcPr>
          <w:p>
            <w:pPr>
              <w:spacing w:after="0"/>
              <w:rPr>
                <w:sz w:val="20"/>
                <w:szCs w:val="20"/>
                <w:color w:val="auto"/>
              </w:rPr>
            </w:pPr>
            <w:r>
              <w:rPr>
                <w:rFonts w:ascii="Arial" w:cs="Arial" w:eastAsia="Arial" w:hAnsi="Arial"/>
                <w:sz w:val="14"/>
                <w:szCs w:val="14"/>
                <w:color w:val="auto"/>
              </w:rPr>
              <w:t>Balance at April 30, 2011</w:t>
            </w:r>
          </w:p>
        </w:tc>
        <w:tc>
          <w:tcPr>
            <w:tcW w:w="800" w:type="dxa"/>
            <w:vAlign w:val="bottom"/>
          </w:tcPr>
          <w:p>
            <w:pPr>
              <w:jc w:val="right"/>
              <w:spacing w:after="0"/>
              <w:rPr>
                <w:sz w:val="20"/>
                <w:szCs w:val="20"/>
                <w:color w:val="auto"/>
              </w:rPr>
            </w:pPr>
            <w:r>
              <w:rPr>
                <w:rFonts w:ascii="Arial" w:cs="Arial" w:eastAsia="Arial" w:hAnsi="Arial"/>
                <w:sz w:val="14"/>
                <w:szCs w:val="14"/>
                <w:color w:val="auto"/>
              </w:rPr>
              <w:t>9,163,940</w:t>
            </w:r>
          </w:p>
        </w:tc>
        <w:tc>
          <w:tcPr>
            <w:tcW w:w="3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9,164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49,868</w:t>
            </w:r>
          </w:p>
        </w:tc>
        <w:tc>
          <w:tcPr>
            <w:tcW w:w="2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11,286</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865,734</w:t>
            </w:r>
          </w:p>
        </w:tc>
        <w:tc>
          <w:tcPr>
            <w:tcW w:w="46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60"/>
              <w:spacing w:after="0" w:line="169" w:lineRule="exact"/>
              <w:rPr>
                <w:sz w:val="20"/>
                <w:szCs w:val="20"/>
                <w:color w:val="auto"/>
              </w:rPr>
            </w:pPr>
            <w:r>
              <w:rPr>
                <w:rFonts w:ascii="Arial" w:cs="Arial" w:eastAsia="Arial" w:hAnsi="Arial"/>
                <w:sz w:val="11"/>
                <w:szCs w:val="11"/>
                <w:color w:val="auto"/>
              </w:rPr>
              <w:t>(3,975</w:t>
            </w:r>
            <w:r>
              <w:rPr>
                <w:rFonts w:ascii="Arial" w:cs="Arial" w:eastAsia="Arial" w:hAnsi="Arial"/>
                <w:sz w:val="19"/>
                <w:szCs w:val="19"/>
                <w:color w:val="auto"/>
                <w:vertAlign w:val="subscript"/>
              </w:rPr>
              <w:t>)</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5,192</w:t>
            </w:r>
          </w:p>
        </w:tc>
        <w:tc>
          <w:tcPr>
            <w:tcW w:w="2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71,535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ind w:left="240" w:hanging="232"/>
        <w:spacing w:after="0"/>
        <w:tabs>
          <w:tab w:leader="none" w:pos="24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Summary of Accounting Policies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r>
        <w:rPr>
          <w:rFonts w:ascii="Arial" w:cs="Arial" w:eastAsia="Arial" w:hAnsi="Arial"/>
          <w:sz w:val="18"/>
          <w:szCs w:val="18"/>
          <w:color w:val="auto"/>
        </w:rPr>
        <w:t>:</w:t>
      </w:r>
    </w:p>
    <w:p>
      <w:pPr>
        <w:spacing w:after="0" w:line="256"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The consolidated financial statements include the accounts of Frequency Electronics, Inc. and its wholly-owned subsidiaries (the "Company" or "Registrant"). References to “FEI” are to the parent company alone and do not refer to any of its subsidiaries. The Company is principally engaged in the design, development and manufacture of precision time and frequency control products and components for microwave integrated circuit applications. See Note 15 for information regarding the Company’s FEI-NY (which includes the subsidiaries FEI Government Systems, Inc., FEI Communications, Inc., and FEI-Asia, Inc.), Gillam-FEI, and FEI-Zyfer business segments. Intercompany accounts and significant intercompany transactions are eliminated in consolidation. To accommodate the different fiscal periods of Gillam-FEI, the Company recognizes its share of net income or loss on a one month lag. Any material events which may occur during the intervening month at Gillam-FEI will be accounted for in the consolidated financial statements.</w:t>
      </w:r>
    </w:p>
    <w:p>
      <w:pPr>
        <w:spacing w:after="0" w:line="194"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These financial statements have been prepared in conformity with United States generally accepted accounting principles and require management to make estimates and assumptions that affect amounts reported and disclosed in the financial statements and related notes. Actual results could differ from these estimates.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w:t>
      </w:r>
    </w:p>
    <w:p>
      <w:pPr>
        <w:spacing w:after="0" w:line="256" w:lineRule="exact"/>
        <w:rPr>
          <w:sz w:val="20"/>
          <w:szCs w:val="20"/>
          <w:color w:val="auto"/>
        </w:rPr>
      </w:pPr>
    </w:p>
    <w:p>
      <w:pPr>
        <w:jc w:val="both"/>
        <w:ind w:right="20" w:firstLine="486"/>
        <w:spacing w:after="0" w:line="264" w:lineRule="auto"/>
        <w:rPr>
          <w:sz w:val="20"/>
          <w:szCs w:val="20"/>
          <w:color w:val="auto"/>
        </w:rPr>
      </w:pPr>
      <w:r>
        <w:rPr>
          <w:rFonts w:ascii="Arial" w:cs="Arial" w:eastAsia="Arial" w:hAnsi="Arial"/>
          <w:sz w:val="18"/>
          <w:szCs w:val="18"/>
          <w:color w:val="auto"/>
        </w:rPr>
        <w:t>The Company considers certificates of deposit and other highly liquid investments with original maturities of three months or less when purchased to be cash equivalents. The Company places its temporary cash investments with high credit quality financial institutions. Such investments may be in excess of the FDIC insurance limit. No losses have been experienced on such investments.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Securities:</w:t>
      </w:r>
    </w:p>
    <w:p>
      <w:pPr>
        <w:spacing w:after="0" w:line="25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Marketable securities consist of investments in common stocks, including exchange traded funds, corporate debt securities and debt securities of U.S. government agencies. All marketable securities were held in the custody of financial institutions; four institutions at April 30, 2011 and two at April 30, 2010. Investments in debt and equity securities are categorized as available for sale and are carried at fair value, with unrealized gains and losses excluded from income and recorded directly to stockholders' equity. The Company recognizes gains or losses when securities are sold using the specific identification method.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Doubtful Accounts:</w:t>
      </w:r>
    </w:p>
    <w:p>
      <w:pPr>
        <w:spacing w:after="0" w:line="256"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Losses from uncollectible accounts receivable are provided for by utilizing the allowance for doubtful accounts method based upon management’s estimate of uncollectible accounts. Management specifically analyzes accounts receivable and the potential for bad debts, customer concentrations, credit worthiness, current economic trends and changes in customer payment terms when evaluating the allowance for doubtful accounts.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r>
        <w:rPr>
          <w:rFonts w:ascii="Arial" w:cs="Arial" w:eastAsia="Arial" w:hAnsi="Arial"/>
          <w:sz w:val="18"/>
          <w:szCs w:val="18"/>
          <w:color w:val="auto"/>
        </w:rPr>
        <w:t>:</w:t>
      </w:r>
    </w:p>
    <w:p>
      <w:pPr>
        <w:spacing w:after="0" w:line="25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Inventories, which consist of finished goods, work-in-process, raw materials and components, are accounted for at the lower of cost (specific and average) or market.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256"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Property, plant and equipment are recorded at cost and include interest on funds borrowed to finance construction. Expenditures for renewals and betterments are capitalized; maintenance and repairs are charged to income when incurred. When fixed assets are sold or retired, the cost and related accumulated depreciation and amortization are eliminated from the respective accounts and any gain or loss is credited or charged to income.</w:t>
      </w:r>
    </w:p>
    <w:p>
      <w:pPr>
        <w:spacing w:after="0" w:line="19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If events or changes in circumstances indicate that the carrying amount of a long-lived asset may not be recoverable, the Company estimates the future cash flows expected to result from the use of the asset and its eventual disposition. If the sum of the expected future cash flows (undiscounted and without interest charges) is less than the carrying amount of the long-lived asset, an impairment loss is recognized. To date, no impairment losses have been recognized.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Depreciation and Amortization:</w:t>
      </w:r>
    </w:p>
    <w:p>
      <w:pPr>
        <w:spacing w:after="0" w:line="256"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Depreciation of fixed assets is computed on the straight-line method based upon the estimated useful lives of the assets (40 years for buildings and 3 to 10 years for other depreciable assets). Leasehold improvements and equipment acquired under capital leases are amortized on the straight-line method over the shorter of the term of the lease or the useful life of the related asset.</w:t>
      </w:r>
    </w:p>
    <w:p>
      <w:pPr>
        <w:spacing w:after="0" w:line="20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Amortization of identifiable intangible assets is based upon the expected lives of the assets and is recorded at a rate which approximates the Company’s utilization of the assets.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5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Intangible assets consist of customer lists which result from the excess purchase price over the fair value of acquired tangible assets. The customer lists are measured at fair value and amortized over the estimated useful life of 3 to 6 years.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56"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The Company records goodwill as the excess of purchase price over the fair value of identifiable net assets acquired. Goodwill is tested for impairment on at least an annual basis at year end. When it is determined that the carrying value of investments may not be recoverable, the Company writes down the related goodwill to an amount commensurate with the revised value of the acquired assets. The Company measures impairment based on revenue projections, recent transactions involving similar businesses and price/revenue multiples at which they were bought and sold, price/revenue multiples of competitors, and the present market value of publicly-traded companies in the Company’s industry.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and Cost Recognition:</w:t>
      </w:r>
    </w:p>
    <w:p>
      <w:pPr>
        <w:spacing w:after="0" w:line="25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Revenues under larger, long-term contracts, which generally require billings based on achievement of milestones rather than delivery of product, are reported in operating results using the percentage of completion method. For U.S. Government and other fixed-price contracts that require initial design and development of the product, revenue is recognized on the cost-to-cost method. Under this method, revenue is recorded based upon the ratio that incurred costs bear to total estimated contract costs with related cost of sales recorded as the costs are incurred. Costs and estimated earnings in excess of billings on uncompleted contracts are included in current assets.</w:t>
      </w:r>
    </w:p>
    <w:p>
      <w:pPr>
        <w:spacing w:after="0" w:line="215"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On production-type orders, revenue is recorded as units are delivered with the related cost of sales recognized on each shipment based upon a percentage of estimated final program costs. Changes in job performance may result in revisions to costs and revenue and are recognized in the period in which revisions are determined to be required. Provisions for anticipated losses are made in the period in which they become determinable.</w:t>
      </w:r>
    </w:p>
    <w:p>
      <w:pPr>
        <w:spacing w:after="0" w:line="193" w:lineRule="exact"/>
        <w:rPr>
          <w:sz w:val="20"/>
          <w:szCs w:val="20"/>
          <w:color w:val="auto"/>
        </w:rPr>
      </w:pPr>
    </w:p>
    <w:p>
      <w:pPr>
        <w:jc w:val="both"/>
        <w:ind w:right="20" w:firstLine="486"/>
        <w:spacing w:after="0" w:line="342" w:lineRule="auto"/>
        <w:rPr>
          <w:sz w:val="20"/>
          <w:szCs w:val="20"/>
          <w:color w:val="auto"/>
        </w:rPr>
      </w:pPr>
      <w:r>
        <w:rPr>
          <w:rFonts w:ascii="Arial" w:cs="Arial" w:eastAsia="Arial" w:hAnsi="Arial"/>
          <w:sz w:val="16"/>
          <w:szCs w:val="16"/>
          <w:color w:val="auto"/>
        </w:rPr>
        <w:t>For customer orders in the Company’s subsidiaries, and smaller contracts or orders in the other business segments, sales of products and services to customers are reported in operating results upon shipment of the product or performance of the services pursuant to terms of the customer order.</w:t>
      </w:r>
    </w:p>
    <w:p>
      <w:pPr>
        <w:spacing w:after="0" w:line="15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Contract costs include all direct material, direct labor costs, manufacturing overhead and other direct costs related to contract performance. Selling, general and administrative costs are charged to expense as incurred.</w:t>
      </w:r>
    </w:p>
    <w:p>
      <w:pPr>
        <w:spacing w:after="0" w:line="19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 accordance with industry practice, inventoried costs contain amounts relating to contracts and programs with long production cycles, a portion of which will not be realized within one year.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w:t>
      </w:r>
    </w:p>
    <w:p>
      <w:pPr>
        <w:spacing w:after="0" w:line="25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Comprehensive income consists of net income and other comprehensive income. Other comprehensive income includes changes in unrealized gains or losses, net of tax, on securities available for sale during the year and the effects of foreign currency translation adjustments.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256"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Company engages in research and development activities to identify new applications for its core technologies, to improve existing products and to improve manufacturing processes to achieve cost reductions and manufacturing efficiencies. Research and development costs include direct labor, manufacturing overhead, direct materials and contracted services. Such costs are expensed as incurred.</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25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 the normal course of business the Company is also contracted to perform research and development for others. The costs incurred under such contracts are recorded in cost of sales.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56"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Company recognizes deferred tax liabilities and assets based on the expected future tax consequences of events that have been included in the financial statements or tax returns. Under this method, deferred tax liabilities and assets are determined based on the difference between the financial statement and tax bases of assets and liabilities using enacted tax rates in effect for the year in which the differences are expected to reverse. Valuation allowances are established and adjusted when necessary to increase or reduce deferred tax assets to the amount expected to be realized.</w:t>
      </w:r>
    </w:p>
    <w:p>
      <w:pPr>
        <w:spacing w:after="0" w:line="198"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The Company analyzes its tax positions under accounting standards which prescribe recognition thresholds that must be met before a tax benefit is recognized in the financial statements and provides guidance on de-recognition, classification, interest and penalties, accounting in interim periods, disclosure, and transition. An entity may only recognize or continue to recognize tax positions that meet a "more likely than not" threshold. When and if the Company were to recognize interest or penalties related to unrecognized tax benefits, it would be reported net of the federal tax benefit in the tax provision.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56"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Basic earnings per share are computed by dividing net earnings by the weighted average number of shares of common stock outstanding. Diluted earnings per share are computed by dividing net earnings by the sum of the weighted average number of shares of common stock and the if-converted effect of unexercised stock options.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Values of Financial Instruments:</w:t>
      </w:r>
    </w:p>
    <w:p>
      <w:pPr>
        <w:spacing w:after="0" w:line="256"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Cash and cash equivalents and short-term credit obligations are reflected in the accompanying consolidated balance sheets at amounts considered by management to reasonably approximate fair value based upon the nature of the instrument and current market conditions. Management is not aware of any factors that would significantly affect the value of these amounts. The Company also has minority interests in two privately-held companies, Morion, Inc. (“Morion”) and Elcom Technologies, Inc. (“Elcom”). The Company is unable to reasonably estimate a fair value for these investments.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Operations and Foreign Currency Adjustments:</w:t>
      </w:r>
    </w:p>
    <w:p>
      <w:pPr>
        <w:spacing w:after="0" w:line="256"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Company maintains manufacturing operations in Belgium and the People’s Republic of China. The Company is vulnerable to currency risks in these countries. The local currency is the functional currency of each of the Company’s non-US subsidiaries. No foreign currency gains or losses are recorded on intercompany transactions since they are effected at current rates of exchange. The results of operations of foreign subsidiaries, when translated into US dollars, reflect the average rates of exchange for the periods presented. The balance sheets of foreign subsidiaries, except for non-monetary items and equity accounts, which are translated at historical rates, are translated into US dollars at the rates of exchange in effect on the date of the balance sheet. As a result, similar results in local currency can vary significantly upon translation into US dollars if exchange rates fluctuate significantly from one period to the next.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Equity-based Compensation:</w:t>
      </w:r>
    </w:p>
    <w:p>
      <w:pPr>
        <w:spacing w:after="0" w:line="256"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Company values its share-based payment transactions using the Black-Scholes valuation model. Such value is recognized as expense on a straight-line basis over the service period of the awards, which is generally the vesting period, net of estimated forfeitures.</w:t>
      </w:r>
    </w:p>
    <w:p>
      <w:pPr>
        <w:spacing w:after="0" w:line="197"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8"/>
          <w:szCs w:val="18"/>
          <w:color w:val="auto"/>
        </w:rPr>
        <w:t>The weighted average fair value of each option or stock appreciation right has been estimated on the date of grant using the Black-Scholes option pricing model with the following range of weighted average assumptions used for grants: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44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2700" w:type="dxa"/>
            <w:vAlign w:val="bottom"/>
            <w:gridSpan w:val="4"/>
          </w:tcPr>
          <w:p>
            <w:pPr>
              <w:ind w:left="540"/>
              <w:spacing w:after="0"/>
              <w:rPr>
                <w:sz w:val="20"/>
                <w:szCs w:val="20"/>
                <w:color w:val="auto"/>
              </w:rPr>
            </w:pPr>
            <w:r>
              <w:rPr>
                <w:rFonts w:ascii="Arial" w:cs="Arial" w:eastAsia="Arial" w:hAnsi="Arial"/>
                <w:sz w:val="18"/>
                <w:szCs w:val="18"/>
                <w:color w:val="auto"/>
              </w:rPr>
              <w:t>Years ended April 30</w:t>
            </w:r>
          </w:p>
        </w:tc>
        <w:tc>
          <w:tcPr>
            <w:tcW w:w="1440" w:type="dxa"/>
            <w:vAlign w:val="bottom"/>
          </w:tcPr>
          <w:p>
            <w:pPr>
              <w:spacing w:after="0"/>
              <w:rPr>
                <w:sz w:val="19"/>
                <w:szCs w:val="19"/>
                <w:color w:val="auto"/>
              </w:rPr>
            </w:pPr>
          </w:p>
        </w:tc>
      </w:tr>
      <w:tr>
        <w:trPr>
          <w:trHeight w:val="223"/>
        </w:trPr>
        <w:tc>
          <w:tcPr>
            <w:tcW w:w="144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2011</w:t>
            </w:r>
          </w:p>
        </w:tc>
        <w:tc>
          <w:tcPr>
            <w:tcW w:w="80" w:type="dxa"/>
            <w:vAlign w:val="bottom"/>
            <w:tcBorders>
              <w:top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2010</w:t>
            </w: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16"/>
        </w:trPr>
        <w:tc>
          <w:tcPr>
            <w:tcW w:w="1440" w:type="dxa"/>
            <w:vAlign w:val="bottom"/>
          </w:tcPr>
          <w:p>
            <w:pPr>
              <w:spacing w:after="0"/>
              <w:rPr>
                <w:sz w:val="18"/>
                <w:szCs w:val="18"/>
                <w:color w:val="auto"/>
              </w:rPr>
            </w:pPr>
          </w:p>
        </w:tc>
        <w:tc>
          <w:tcPr>
            <w:tcW w:w="2880" w:type="dxa"/>
            <w:vAlign w:val="bottom"/>
            <w:shd w:val="clear" w:color="auto" w:fill="CCFFCC"/>
          </w:tcPr>
          <w:p>
            <w:pPr>
              <w:spacing w:after="0"/>
              <w:rPr>
                <w:sz w:val="20"/>
                <w:szCs w:val="20"/>
                <w:color w:val="auto"/>
              </w:rPr>
            </w:pPr>
            <w:r>
              <w:rPr>
                <w:rFonts w:ascii="Arial" w:cs="Arial" w:eastAsia="Arial" w:hAnsi="Arial"/>
                <w:sz w:val="18"/>
                <w:szCs w:val="18"/>
                <w:color w:val="auto"/>
              </w:rPr>
              <w:t>Expected volatility</w:t>
            </w:r>
          </w:p>
        </w:tc>
        <w:tc>
          <w:tcPr>
            <w:tcW w:w="2960" w:type="dxa"/>
            <w:vAlign w:val="bottom"/>
            <w:shd w:val="clear" w:color="auto" w:fill="CCFFCC"/>
          </w:tcPr>
          <w:p>
            <w:pPr>
              <w:spacing w:after="0"/>
              <w:rPr>
                <w:sz w:val="18"/>
                <w:szCs w:val="18"/>
                <w:color w:val="auto"/>
              </w:rPr>
            </w:pPr>
          </w:p>
        </w:tc>
        <w:tc>
          <w:tcPr>
            <w:tcW w:w="128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1"/>
              </w:rPr>
              <w:t>38.5% to 39.3%</w:t>
            </w:r>
          </w:p>
        </w:tc>
        <w:tc>
          <w:tcPr>
            <w:tcW w:w="1340" w:type="dxa"/>
            <w:vAlign w:val="bottom"/>
            <w:gridSpan w:val="2"/>
            <w:shd w:val="clear" w:color="auto" w:fill="CCFFCC"/>
          </w:tcPr>
          <w:p>
            <w:pPr>
              <w:jc w:val="center"/>
              <w:spacing w:after="0"/>
              <w:rPr>
                <w:sz w:val="20"/>
                <w:szCs w:val="20"/>
                <w:color w:val="auto"/>
              </w:rPr>
            </w:pPr>
            <w:r>
              <w:rPr>
                <w:rFonts w:ascii="Arial" w:cs="Arial" w:eastAsia="Arial" w:hAnsi="Arial"/>
                <w:sz w:val="18"/>
                <w:szCs w:val="18"/>
                <w:color w:val="auto"/>
                <w:w w:val="90"/>
              </w:rPr>
              <w:t>36.6%</w:t>
            </w:r>
          </w:p>
        </w:tc>
        <w:tc>
          <w:tcPr>
            <w:tcW w:w="80" w:type="dxa"/>
            <w:vAlign w:val="bottom"/>
            <w:shd w:val="clear" w:color="auto" w:fill="CCFFCC"/>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Dividend yield</w:t>
            </w:r>
          </w:p>
        </w:tc>
        <w:tc>
          <w:tcPr>
            <w:tcW w:w="4240" w:type="dxa"/>
            <w:vAlign w:val="bottom"/>
            <w:gridSpan w:val="2"/>
          </w:tcPr>
          <w:p>
            <w:pPr>
              <w:jc w:val="right"/>
              <w:ind w:right="370"/>
              <w:spacing w:after="0"/>
              <w:rPr>
                <w:sz w:val="20"/>
                <w:szCs w:val="20"/>
                <w:color w:val="auto"/>
              </w:rPr>
            </w:pPr>
            <w:r>
              <w:rPr>
                <w:rFonts w:ascii="Arial" w:cs="Arial" w:eastAsia="Arial" w:hAnsi="Arial"/>
                <w:sz w:val="18"/>
                <w:szCs w:val="18"/>
                <w:color w:val="auto"/>
              </w:rPr>
              <w:t>0.0%</w:t>
            </w:r>
          </w:p>
        </w:tc>
        <w:tc>
          <w:tcPr>
            <w:tcW w:w="1340" w:type="dxa"/>
            <w:vAlign w:val="bottom"/>
            <w:gridSpan w:val="2"/>
          </w:tcPr>
          <w:p>
            <w:pPr>
              <w:jc w:val="center"/>
              <w:spacing w:after="0"/>
              <w:rPr>
                <w:sz w:val="20"/>
                <w:szCs w:val="20"/>
                <w:color w:val="auto"/>
              </w:rPr>
            </w:pPr>
            <w:r>
              <w:rPr>
                <w:rFonts w:ascii="Arial" w:cs="Arial" w:eastAsia="Arial" w:hAnsi="Arial"/>
                <w:sz w:val="18"/>
                <w:szCs w:val="18"/>
                <w:color w:val="auto"/>
                <w:w w:val="92"/>
              </w:rPr>
              <w:t>0.0%</w:t>
            </w: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880" w:type="dxa"/>
            <w:vAlign w:val="bottom"/>
            <w:shd w:val="clear" w:color="auto" w:fill="CCFFCC"/>
          </w:tcPr>
          <w:p>
            <w:pPr>
              <w:spacing w:after="0"/>
              <w:rPr>
                <w:sz w:val="20"/>
                <w:szCs w:val="20"/>
                <w:color w:val="auto"/>
              </w:rPr>
            </w:pPr>
            <w:r>
              <w:rPr>
                <w:rFonts w:ascii="Arial" w:cs="Arial" w:eastAsia="Arial" w:hAnsi="Arial"/>
                <w:sz w:val="18"/>
                <w:szCs w:val="18"/>
                <w:color w:val="auto"/>
              </w:rPr>
              <w:t>Risk-free interest rate</w:t>
            </w:r>
          </w:p>
        </w:tc>
        <w:tc>
          <w:tcPr>
            <w:tcW w:w="2960" w:type="dxa"/>
            <w:vAlign w:val="bottom"/>
            <w:shd w:val="clear" w:color="auto" w:fill="CCFFCC"/>
          </w:tcPr>
          <w:p>
            <w:pPr>
              <w:spacing w:after="0"/>
              <w:rPr>
                <w:sz w:val="18"/>
                <w:szCs w:val="18"/>
                <w:color w:val="auto"/>
              </w:rPr>
            </w:pPr>
          </w:p>
        </w:tc>
        <w:tc>
          <w:tcPr>
            <w:tcW w:w="128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1"/>
              </w:rPr>
              <w:t>1.82% to 3.07%</w:t>
            </w:r>
          </w:p>
        </w:tc>
        <w:tc>
          <w:tcPr>
            <w:tcW w:w="1340" w:type="dxa"/>
            <w:vAlign w:val="bottom"/>
            <w:gridSpan w:val="2"/>
            <w:shd w:val="clear" w:color="auto" w:fill="CCFFCC"/>
          </w:tcPr>
          <w:p>
            <w:pPr>
              <w:jc w:val="center"/>
              <w:spacing w:after="0"/>
              <w:rPr>
                <w:sz w:val="20"/>
                <w:szCs w:val="20"/>
                <w:color w:val="auto"/>
              </w:rPr>
            </w:pPr>
            <w:r>
              <w:rPr>
                <w:rFonts w:ascii="Arial" w:cs="Arial" w:eastAsia="Arial" w:hAnsi="Arial"/>
                <w:sz w:val="18"/>
                <w:szCs w:val="18"/>
                <w:color w:val="auto"/>
                <w:w w:val="90"/>
              </w:rPr>
              <w:t>3.06%</w:t>
            </w:r>
          </w:p>
        </w:tc>
        <w:tc>
          <w:tcPr>
            <w:tcW w:w="80" w:type="dxa"/>
            <w:vAlign w:val="bottom"/>
            <w:shd w:val="clear" w:color="auto" w:fill="CCFFCC"/>
          </w:tcPr>
          <w:p>
            <w:pPr>
              <w:spacing w:after="0"/>
              <w:rPr>
                <w:sz w:val="18"/>
                <w:szCs w:val="18"/>
                <w:color w:val="auto"/>
              </w:rPr>
            </w:pPr>
          </w:p>
        </w:tc>
        <w:tc>
          <w:tcPr>
            <w:tcW w:w="1440" w:type="dxa"/>
            <w:vAlign w:val="bottom"/>
          </w:tcPr>
          <w:p>
            <w:pPr>
              <w:spacing w:after="0"/>
              <w:rPr>
                <w:sz w:val="18"/>
                <w:szCs w:val="18"/>
                <w:color w:val="auto"/>
              </w:rPr>
            </w:pPr>
          </w:p>
        </w:tc>
      </w:tr>
      <w:tr>
        <w:trPr>
          <w:trHeight w:val="230"/>
        </w:trPr>
        <w:tc>
          <w:tcPr>
            <w:tcW w:w="1440" w:type="dxa"/>
            <w:vAlign w:val="bottom"/>
          </w:tcPr>
          <w:p>
            <w:pPr>
              <w:spacing w:after="0"/>
              <w:rPr>
                <w:sz w:val="20"/>
                <w:szCs w:val="20"/>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Expected lives</w:t>
            </w:r>
          </w:p>
        </w:tc>
        <w:tc>
          <w:tcPr>
            <w:tcW w:w="296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86"/>
              </w:rPr>
              <w:t>10 years</w:t>
            </w:r>
          </w:p>
        </w:tc>
        <w:tc>
          <w:tcPr>
            <w:tcW w:w="80" w:type="dxa"/>
            <w:vAlign w:val="bottom"/>
          </w:tcPr>
          <w:p>
            <w:pPr>
              <w:spacing w:after="0"/>
              <w:rPr>
                <w:sz w:val="20"/>
                <w:szCs w:val="20"/>
                <w:color w:val="auto"/>
              </w:rPr>
            </w:pP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10 years</w:t>
            </w:r>
          </w:p>
        </w:tc>
        <w:tc>
          <w:tcPr>
            <w:tcW w:w="1440" w:type="dxa"/>
            <w:vAlign w:val="bottom"/>
          </w:tcPr>
          <w:p>
            <w:pPr>
              <w:spacing w:after="0"/>
              <w:rPr>
                <w:sz w:val="20"/>
                <w:szCs w:val="20"/>
                <w:color w:val="auto"/>
              </w:rPr>
            </w:pPr>
          </w:p>
        </w:tc>
      </w:tr>
      <w:tr>
        <w:trPr>
          <w:trHeight w:val="566"/>
        </w:trPr>
        <w:tc>
          <w:tcPr>
            <w:tcW w:w="14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960" w:type="dxa"/>
            <w:vAlign w:val="bottom"/>
          </w:tcPr>
          <w:p>
            <w:pPr>
              <w:jc w:val="right"/>
              <w:ind w:right="1390"/>
              <w:spacing w:after="0"/>
              <w:rPr>
                <w:sz w:val="20"/>
                <w:szCs w:val="20"/>
                <w:color w:val="auto"/>
              </w:rPr>
            </w:pPr>
            <w:r>
              <w:rPr>
                <w:rFonts w:ascii="Arial" w:cs="Arial" w:eastAsia="Arial" w:hAnsi="Arial"/>
                <w:sz w:val="18"/>
                <w:szCs w:val="18"/>
                <w:color w:val="auto"/>
              </w:rPr>
              <w:t>31</w:t>
            </w: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18"/>
        </w:trPr>
        <w:tc>
          <w:tcPr>
            <w:tcW w:w="1440" w:type="dxa"/>
            <w:vAlign w:val="bottom"/>
            <w:tcBorders>
              <w:bottom w:val="single" w:sz="8" w:color="808080"/>
            </w:tcBorders>
          </w:tcPr>
          <w:p>
            <w:pPr>
              <w:spacing w:after="0"/>
              <w:rPr>
                <w:sz w:val="10"/>
                <w:szCs w:val="10"/>
                <w:color w:val="auto"/>
              </w:rPr>
            </w:pPr>
          </w:p>
        </w:tc>
        <w:tc>
          <w:tcPr>
            <w:tcW w:w="2880" w:type="dxa"/>
            <w:vAlign w:val="bottom"/>
            <w:tcBorders>
              <w:bottom w:val="single" w:sz="8" w:color="808080"/>
            </w:tcBorders>
          </w:tcPr>
          <w:p>
            <w:pPr>
              <w:spacing w:after="0"/>
              <w:rPr>
                <w:sz w:val="10"/>
                <w:szCs w:val="10"/>
                <w:color w:val="auto"/>
              </w:rPr>
            </w:pPr>
          </w:p>
        </w:tc>
        <w:tc>
          <w:tcPr>
            <w:tcW w:w="296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252"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expected life assumption was determined based on the Company’s historical experience. The expected volatility assumption was based on the historical volatility of the Company’s common stock. The dividend yield assumption was determined based upon the Company’s past history of dividend payments and the Company’s current decision to suspend payment of dividends. The risk-free interest rate assumption was determined using the implied yield currently available for zero-coupon U.S. government issues with a remaining term equal to the expected life of the stock options.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56"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Financial instruments, which potentially subject the Company to concentration of credit risk, consist principally of cash and cash equivalents and trade receivables. The Company maintains accounts at several commercial banks at which the balances exceed Federal Deposit Insurance Corporation limits. The Company has not experienced any losses on such amounts. Concentration of credit risk with respect to trade receivables is generally diversified due to the large number of entities comprising the Company’s customer base and their dispersion across geographic areas principally within the United States. The Company routinely addresses the financial strength of its customers and, as a consequence, believes that its receivable credit risk exposure is limited. The Company does not require customers to post collateral.</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56"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In June 2009, the FASB issued standards which modified how a company determines when an entity that is insufficiently capitalized or is not controlled through voting (or similar rights) should be consolidated. These standards clarify that the determination of whether a company is required to consolidate an entity is based on, among other things, an entity’s purpose and design and a company’s ability to direct the activities of the entity that most significantly impact the entity’s economic performance. These standards require an ongoing reassessment of whether a company is the primary beneficiary of a variable interest entity. These standards also require additional disclosures about a company’s involvement in variable interest entities and any significant changes in risk exposure due to that involvement. These standards were effective for fiscal years beginning after November 15, 2009 and were effective for the Company on May 1, 2010. The adoption of these standards by the Company did not have a material impact on the financial condition, results of operations, and disclosures.</w:t>
      </w:r>
    </w:p>
    <w:p>
      <w:pPr>
        <w:spacing w:after="0" w:line="219" w:lineRule="exact"/>
        <w:rPr>
          <w:sz w:val="20"/>
          <w:szCs w:val="20"/>
          <w:color w:val="auto"/>
        </w:rPr>
      </w:pPr>
    </w:p>
    <w:p>
      <w:pPr>
        <w:ind w:left="500" w:hanging="492"/>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Earnings Per Share</w:t>
      </w:r>
    </w:p>
    <w:p>
      <w:pPr>
        <w:spacing w:after="0" w:line="252"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Reconciliations of the weighted average shares outstanding for basic and diluted Earnings Per Share are as follows:</w:t>
      </w:r>
    </w:p>
    <w:p>
      <w:pPr>
        <w:spacing w:after="0" w:line="252" w:lineRule="exact"/>
        <w:rPr>
          <w:sz w:val="20"/>
          <w:szCs w:val="20"/>
          <w:color w:val="auto"/>
        </w:rPr>
      </w:pPr>
    </w:p>
    <w:tbl>
      <w:tblPr>
        <w:tblLayout w:type="fixed"/>
        <w:tblInd w:w="50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1860" w:type="dxa"/>
            <w:vAlign w:val="bottom"/>
            <w:gridSpan w:val="4"/>
          </w:tcPr>
          <w:p>
            <w:pPr>
              <w:ind w:left="100"/>
              <w:spacing w:after="0"/>
              <w:rPr>
                <w:sz w:val="20"/>
                <w:szCs w:val="20"/>
                <w:color w:val="auto"/>
              </w:rPr>
            </w:pPr>
            <w:r>
              <w:rPr>
                <w:rFonts w:ascii="Arial" w:cs="Arial" w:eastAsia="Arial" w:hAnsi="Arial"/>
                <w:sz w:val="18"/>
                <w:szCs w:val="18"/>
                <w:color w:val="auto"/>
              </w:rPr>
              <w:t>Years ended April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2011</w:t>
            </w:r>
          </w:p>
        </w:tc>
        <w:tc>
          <w:tcPr>
            <w:tcW w:w="160" w:type="dxa"/>
            <w:vAlign w:val="bottom"/>
            <w:tcBorders>
              <w:top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2010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FFCC"/>
          </w:tcPr>
          <w:p>
            <w:pPr>
              <w:spacing w:after="0"/>
              <w:rPr>
                <w:sz w:val="20"/>
                <w:szCs w:val="20"/>
                <w:color w:val="auto"/>
              </w:rPr>
            </w:pPr>
            <w:r>
              <w:rPr>
                <w:rFonts w:ascii="Arial" w:cs="Arial" w:eastAsia="Arial" w:hAnsi="Arial"/>
                <w:sz w:val="18"/>
                <w:szCs w:val="18"/>
                <w:color w:val="auto"/>
              </w:rPr>
              <w:t>Basic EPS Shares outstanding (weighted average)</w:t>
            </w:r>
          </w:p>
        </w:tc>
        <w:tc>
          <w:tcPr>
            <w:tcW w:w="9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w w:val="97"/>
              </w:rPr>
              <w:t>8,258,989</w:t>
            </w: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w w:val="99"/>
              </w:rPr>
              <w:t>8,181,867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104,034</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30,011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300" w:type="dxa"/>
            <w:vAlign w:val="bottom"/>
            <w:shd w:val="clear" w:color="auto" w:fill="CCFFCC"/>
          </w:tcPr>
          <w:p>
            <w:pPr>
              <w:spacing w:after="0"/>
              <w:rPr>
                <w:sz w:val="20"/>
                <w:szCs w:val="20"/>
                <w:color w:val="auto"/>
              </w:rPr>
            </w:pPr>
            <w:r>
              <w:rPr>
                <w:rFonts w:ascii="Arial" w:cs="Arial" w:eastAsia="Arial" w:hAnsi="Arial"/>
                <w:sz w:val="18"/>
                <w:szCs w:val="18"/>
                <w:color w:val="auto"/>
              </w:rPr>
              <w:t>Diluted EPS Shares outstanding</w:t>
            </w:r>
          </w:p>
        </w:tc>
        <w:tc>
          <w:tcPr>
            <w:tcW w:w="9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w w:val="97"/>
              </w:rPr>
              <w:t>8,363,023</w:t>
            </w: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w w:val="99"/>
              </w:rPr>
              <w:t>8,211,878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Dilutive securities consist of unexercised stock options and stock appreciation rights (“SARS”). The computation of diluted shares outstanding excludes those options and SARS with an exercise price in excess of the average market price of the Company’s common shares during the periods presented. The inclusion of such options and SARS in the computation of earnings per share would have been antidilutive. For the years ended April 30, 2011 and 2010, the number of excluded options and SARS were 943,275 and 1,225,775, respectively.</w:t>
      </w:r>
    </w:p>
    <w:p>
      <w:pPr>
        <w:spacing w:after="0" w:line="214" w:lineRule="exact"/>
        <w:rPr>
          <w:sz w:val="20"/>
          <w:szCs w:val="20"/>
          <w:color w:val="auto"/>
        </w:rPr>
      </w:pPr>
    </w:p>
    <w:p>
      <w:pPr>
        <w:ind w:left="500" w:hanging="492"/>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Costs and Estimated Earnings in Excess of Billings</w:t>
      </w:r>
    </w:p>
    <w:p>
      <w:pPr>
        <w:spacing w:after="0" w:line="252"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At April 30, 2011 and 2010, costs and estimated earnings in excess of billings, net, consist of the following:</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6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2011</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2010</w:t>
            </w:r>
          </w:p>
        </w:tc>
        <w:tc>
          <w:tcPr>
            <w:tcW w:w="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150"/>
              <w:spacing w:after="0"/>
              <w:rPr>
                <w:sz w:val="20"/>
                <w:szCs w:val="20"/>
                <w:color w:val="auto"/>
              </w:rPr>
            </w:pPr>
            <w:r>
              <w:rPr>
                <w:rFonts w:ascii="Arial" w:cs="Arial" w:eastAsia="Arial" w:hAnsi="Arial"/>
                <w:sz w:val="18"/>
                <w:szCs w:val="18"/>
                <w:color w:val="auto"/>
              </w:rPr>
              <w:t>(In</w:t>
            </w:r>
          </w:p>
        </w:tc>
        <w:tc>
          <w:tcPr>
            <w:tcW w:w="1080" w:type="dxa"/>
            <w:vAlign w:val="bottom"/>
            <w:gridSpan w:val="4"/>
          </w:tcPr>
          <w:p>
            <w:pPr>
              <w:jc w:val="right"/>
              <w:ind w:right="410"/>
              <w:spacing w:after="0"/>
              <w:rPr>
                <w:sz w:val="20"/>
                <w:szCs w:val="20"/>
                <w:color w:val="auto"/>
              </w:rPr>
            </w:pPr>
            <w:r>
              <w:rPr>
                <w:rFonts w:ascii="Arial" w:cs="Arial" w:eastAsia="Arial" w:hAnsi="Arial"/>
                <w:sz w:val="16"/>
                <w:szCs w:val="16"/>
                <w:color w:val="auto"/>
                <w:w w:val="70"/>
              </w:rPr>
              <w:t>thousands)</w:t>
            </w:r>
          </w:p>
        </w:tc>
        <w:tc>
          <w:tcPr>
            <w:tcW w:w="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60" w:type="dxa"/>
            <w:vAlign w:val="bottom"/>
            <w:shd w:val="clear" w:color="auto" w:fill="CCFFCC"/>
          </w:tcPr>
          <w:p>
            <w:pPr>
              <w:spacing w:after="0"/>
              <w:rPr>
                <w:sz w:val="20"/>
                <w:szCs w:val="20"/>
                <w:color w:val="auto"/>
              </w:rPr>
            </w:pPr>
            <w:r>
              <w:rPr>
                <w:rFonts w:ascii="Arial" w:cs="Arial" w:eastAsia="Arial" w:hAnsi="Arial"/>
                <w:sz w:val="18"/>
                <w:szCs w:val="18"/>
                <w:color w:val="auto"/>
              </w:rPr>
              <w:t>Costs and estimated earnings in excess of billings</w:t>
            </w:r>
          </w:p>
        </w:tc>
        <w:tc>
          <w:tcPr>
            <w:tcW w:w="2980" w:type="dxa"/>
            <w:vAlign w:val="bottom"/>
            <w:gridSpan w:val="2"/>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3,711</w:t>
            </w:r>
          </w:p>
        </w:tc>
        <w:tc>
          <w:tcPr>
            <w:tcW w:w="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2,917</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Billings in excess of costs and estimated earnings</w:t>
            </w:r>
          </w:p>
        </w:tc>
        <w:tc>
          <w:tcPr>
            <w:tcW w:w="2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(1,302)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(1,250)</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60" w:type="dxa"/>
            <w:vAlign w:val="bottom"/>
            <w:vMerge w:val="restart"/>
          </w:tcPr>
          <w:p>
            <w:pPr>
              <w:spacing w:after="0"/>
              <w:rPr>
                <w:sz w:val="2"/>
                <w:szCs w:val="2"/>
                <w:color w:val="auto"/>
              </w:rPr>
            </w:pPr>
          </w:p>
        </w:tc>
        <w:tc>
          <w:tcPr>
            <w:tcW w:w="42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60" w:type="dxa"/>
            <w:vAlign w:val="bottom"/>
            <w:vMerge w:val="continue"/>
          </w:tcPr>
          <w:p>
            <w:pPr>
              <w:spacing w:after="0"/>
              <w:rPr>
                <w:sz w:val="22"/>
                <w:szCs w:val="22"/>
                <w:color w:val="auto"/>
              </w:rPr>
            </w:pPr>
          </w:p>
        </w:tc>
        <w:tc>
          <w:tcPr>
            <w:tcW w:w="4260" w:type="dxa"/>
            <w:vAlign w:val="bottom"/>
            <w:shd w:val="clear" w:color="auto" w:fill="CCFFCC"/>
          </w:tcPr>
          <w:p>
            <w:pPr>
              <w:spacing w:after="0"/>
              <w:rPr>
                <w:sz w:val="20"/>
                <w:szCs w:val="20"/>
                <w:color w:val="auto"/>
              </w:rPr>
            </w:pPr>
            <w:r>
              <w:rPr>
                <w:rFonts w:ascii="Arial" w:cs="Arial" w:eastAsia="Arial" w:hAnsi="Arial"/>
                <w:sz w:val="18"/>
                <w:szCs w:val="18"/>
                <w:color w:val="auto"/>
              </w:rPr>
              <w:t>Net asset</w:t>
            </w:r>
          </w:p>
        </w:tc>
        <w:tc>
          <w:tcPr>
            <w:tcW w:w="2780" w:type="dxa"/>
            <w:vAlign w:val="bottom"/>
            <w:shd w:val="clear" w:color="auto" w:fill="CCFFCC"/>
          </w:tcPr>
          <w:p>
            <w:pPr>
              <w:spacing w:after="0"/>
              <w:rPr>
                <w:sz w:val="22"/>
                <w:szCs w:val="22"/>
                <w:color w:val="auto"/>
              </w:rPr>
            </w:pPr>
          </w:p>
        </w:tc>
        <w:tc>
          <w:tcPr>
            <w:tcW w:w="2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2,409</w:t>
            </w:r>
          </w:p>
        </w:tc>
        <w:tc>
          <w:tcPr>
            <w:tcW w:w="120" w:type="dxa"/>
            <w:vAlign w:val="bottom"/>
            <w:shd w:val="clear" w:color="auto" w:fill="CCFFCC"/>
          </w:tcPr>
          <w:p>
            <w:pPr>
              <w:spacing w:after="0"/>
              <w:rPr>
                <w:sz w:val="22"/>
                <w:szCs w:val="22"/>
                <w:color w:val="auto"/>
              </w:rPr>
            </w:pPr>
          </w:p>
        </w:tc>
        <w:tc>
          <w:tcPr>
            <w:tcW w:w="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1,667</w:t>
            </w: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4"/>
        </w:trPr>
        <w:tc>
          <w:tcPr>
            <w:tcW w:w="660" w:type="dxa"/>
            <w:vAlign w:val="bottom"/>
          </w:tcPr>
          <w:p>
            <w:pPr>
              <w:spacing w:after="0"/>
              <w:rPr>
                <w:sz w:val="24"/>
                <w:szCs w:val="24"/>
                <w:color w:val="auto"/>
              </w:rPr>
            </w:pPr>
          </w:p>
        </w:tc>
        <w:tc>
          <w:tcPr>
            <w:tcW w:w="4260" w:type="dxa"/>
            <w:vAlign w:val="bottom"/>
            <w:tcBorders>
              <w:top w:val="single" w:sz="8" w:color="CCFFCC"/>
            </w:tcBorders>
          </w:tcPr>
          <w:p>
            <w:pPr>
              <w:spacing w:after="0"/>
              <w:rPr>
                <w:sz w:val="24"/>
                <w:szCs w:val="24"/>
                <w:color w:val="auto"/>
              </w:rPr>
            </w:pPr>
          </w:p>
        </w:tc>
        <w:tc>
          <w:tcPr>
            <w:tcW w:w="2780" w:type="dxa"/>
            <w:vAlign w:val="bottom"/>
            <w:tcBorders>
              <w:top w:val="single" w:sz="8" w:color="CCFFCC"/>
            </w:tcBorders>
          </w:tcPr>
          <w:p>
            <w:pPr>
              <w:jc w:val="right"/>
              <w:ind w:right="1810"/>
              <w:spacing w:after="0"/>
              <w:rPr>
                <w:sz w:val="20"/>
                <w:szCs w:val="20"/>
                <w:color w:val="auto"/>
              </w:rPr>
            </w:pPr>
            <w:r>
              <w:rPr>
                <w:rFonts w:ascii="Arial" w:cs="Arial" w:eastAsia="Arial" w:hAnsi="Arial"/>
                <w:sz w:val="18"/>
                <w:szCs w:val="18"/>
                <w:color w:val="auto"/>
              </w:rPr>
              <w:t>32</w:t>
            </w:r>
          </w:p>
        </w:tc>
        <w:tc>
          <w:tcPr>
            <w:tcW w:w="2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Borders>
              <w:top w:val="single" w:sz="8" w:color="CCFFCC"/>
            </w:tcBorders>
          </w:tcPr>
          <w:p>
            <w:pPr>
              <w:spacing w:after="0"/>
              <w:rPr>
                <w:sz w:val="24"/>
                <w:szCs w:val="24"/>
                <w:color w:val="auto"/>
              </w:rPr>
            </w:pPr>
          </w:p>
        </w:tc>
        <w:tc>
          <w:tcPr>
            <w:tcW w:w="60" w:type="dxa"/>
            <w:vAlign w:val="bottom"/>
            <w:tcBorders>
              <w:top w:val="single" w:sz="8" w:color="CCFFC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80" w:type="dxa"/>
            <w:vAlign w:val="bottom"/>
            <w:tcBorders>
              <w:top w:val="single" w:sz="8" w:color="CCFFCC"/>
            </w:tcBorders>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660" w:type="dxa"/>
            <w:vAlign w:val="bottom"/>
            <w:tcBorders>
              <w:bottom w:val="single" w:sz="8" w:color="808080"/>
            </w:tcBorders>
          </w:tcPr>
          <w:p>
            <w:pPr>
              <w:spacing w:after="0"/>
              <w:rPr>
                <w:sz w:val="10"/>
                <w:szCs w:val="10"/>
                <w:color w:val="auto"/>
              </w:rPr>
            </w:pPr>
          </w:p>
        </w:tc>
        <w:tc>
          <w:tcPr>
            <w:tcW w:w="4260" w:type="dxa"/>
            <w:vAlign w:val="bottom"/>
            <w:tcBorders>
              <w:bottom w:val="single" w:sz="8" w:color="808080"/>
            </w:tcBorders>
          </w:tcPr>
          <w:p>
            <w:pPr>
              <w:spacing w:after="0"/>
              <w:rPr>
                <w:sz w:val="10"/>
                <w:szCs w:val="10"/>
                <w:color w:val="auto"/>
              </w:rPr>
            </w:pPr>
          </w:p>
        </w:tc>
        <w:tc>
          <w:tcPr>
            <w:tcW w:w="27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Such amounts represent revenue recognized on long-term contracts that had not been billed at the balance sheet dates or represent a liability for amounts billed in excess of the revenue recognized. Amounts are billed to customers pursuant to contract terms. In general, the recorded amounts will be billed and collected or revenue recognized within twelve months of the balance sheet date. Revenue on these long-term contracts is accounted for on the percentage of completion basis. During the years ended April 30, 2011 and 2010, revenue recognized under percentage of completion contracts was approximately $22.4 million and $19.5 million, respectively.</w:t>
      </w:r>
    </w:p>
    <w:p>
      <w:pPr>
        <w:spacing w:after="0" w:line="215" w:lineRule="exact"/>
        <w:rPr>
          <w:sz w:val="20"/>
          <w:szCs w:val="20"/>
          <w:color w:val="auto"/>
        </w:rPr>
      </w:pPr>
    </w:p>
    <w:p>
      <w:pPr>
        <w:ind w:left="500" w:hanging="49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Inventories</w:t>
      </w:r>
    </w:p>
    <w:p>
      <w:pPr>
        <w:spacing w:after="0" w:line="252"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Inventories at April 30, 2011 and 2010, respectively, consisted of the following (in thousands):</w:t>
      </w:r>
    </w:p>
    <w:p>
      <w:pPr>
        <w:spacing w:after="0" w:line="252" w:lineRule="exact"/>
        <w:rPr>
          <w:sz w:val="20"/>
          <w:szCs w:val="20"/>
          <w:color w:val="auto"/>
        </w:rPr>
      </w:pPr>
    </w:p>
    <w:tbl>
      <w:tblPr>
        <w:tblLayout w:type="fixed"/>
        <w:tblInd w:w="820" w:type="dxa"/>
        <w:tblCellMar>
          <w:top w:w="0" w:type="dxa"/>
          <w:left w:w="0" w:type="dxa"/>
          <w:bottom w:w="0" w:type="dxa"/>
          <w:right w:w="0" w:type="dxa"/>
        </w:tblCellMar>
      </w:tblPr>
      <w:tr>
        <w:trPr>
          <w:trHeight w:val="237"/>
        </w:trPr>
        <w:tc>
          <w:tcPr>
            <w:tcW w:w="6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2011</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2010</w:t>
            </w:r>
          </w:p>
        </w:tc>
        <w:tc>
          <w:tcPr>
            <w:tcW w:w="80" w:type="dxa"/>
            <w:vAlign w:val="bottom"/>
          </w:tcPr>
          <w:p>
            <w:pPr>
              <w:spacing w:after="0"/>
              <w:rPr>
                <w:sz w:val="20"/>
                <w:szCs w:val="20"/>
                <w:color w:val="auto"/>
              </w:rPr>
            </w:pPr>
          </w:p>
        </w:tc>
      </w:tr>
      <w:tr>
        <w:trPr>
          <w:trHeight w:val="216"/>
        </w:trPr>
        <w:tc>
          <w:tcPr>
            <w:tcW w:w="6340" w:type="dxa"/>
            <w:vAlign w:val="bottom"/>
            <w:shd w:val="clear" w:color="auto" w:fill="CCFFCC"/>
          </w:tcPr>
          <w:p>
            <w:pPr>
              <w:spacing w:after="0"/>
              <w:rPr>
                <w:sz w:val="20"/>
                <w:szCs w:val="20"/>
                <w:color w:val="auto"/>
              </w:rPr>
            </w:pPr>
            <w:r>
              <w:rPr>
                <w:rFonts w:ascii="Arial" w:cs="Arial" w:eastAsia="Arial" w:hAnsi="Arial"/>
                <w:sz w:val="18"/>
                <w:szCs w:val="18"/>
                <w:color w:val="auto"/>
              </w:rPr>
              <w:t>Raw Materials and Component Parts</w:t>
            </w: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13,477</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13,192</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Work in Progress</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11,921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11,039</w:t>
            </w:r>
          </w:p>
        </w:tc>
      </w:tr>
      <w:tr>
        <w:trPr>
          <w:trHeight w:val="216"/>
        </w:trPr>
        <w:tc>
          <w:tcPr>
            <w:tcW w:w="6340" w:type="dxa"/>
            <w:vAlign w:val="bottom"/>
            <w:shd w:val="clear" w:color="auto" w:fill="CCFFCC"/>
          </w:tcPr>
          <w:p>
            <w:pPr>
              <w:spacing w:after="0"/>
              <w:rPr>
                <w:sz w:val="20"/>
                <w:szCs w:val="20"/>
                <w:color w:val="auto"/>
              </w:rPr>
            </w:pPr>
            <w:r>
              <w:rPr>
                <w:rFonts w:ascii="Arial" w:cs="Arial" w:eastAsia="Arial" w:hAnsi="Arial"/>
                <w:sz w:val="18"/>
                <w:szCs w:val="18"/>
                <w:color w:val="auto"/>
              </w:rPr>
              <w:t>Finished Goods</w:t>
            </w:r>
          </w:p>
        </w:tc>
        <w:tc>
          <w:tcPr>
            <w:tcW w:w="180" w:type="dxa"/>
            <w:vAlign w:val="bottom"/>
            <w:shd w:val="clear" w:color="auto" w:fill="CCFFCC"/>
          </w:tcPr>
          <w:p>
            <w:pPr>
              <w:spacing w:after="0"/>
              <w:rPr>
                <w:sz w:val="18"/>
                <w:szCs w:val="18"/>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2,774</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2,744</w:t>
            </w:r>
          </w:p>
        </w:tc>
      </w:tr>
      <w:tr>
        <w:trPr>
          <w:trHeight w:val="27"/>
        </w:trPr>
        <w:tc>
          <w:tcPr>
            <w:tcW w:w="6340" w:type="dxa"/>
            <w:vAlign w:val="bottom"/>
            <w:shd w:val="clear" w:color="auto" w:fill="CCFFC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shd w:val="clear" w:color="auto" w:fill="CCFFCC"/>
          </w:tcPr>
          <w:p>
            <w:pPr>
              <w:spacing w:after="0"/>
              <w:rPr>
                <w:sz w:val="2"/>
                <w:szCs w:val="2"/>
                <w:color w:val="auto"/>
              </w:rPr>
            </w:pPr>
          </w:p>
        </w:tc>
      </w:tr>
      <w:tr>
        <w:trPr>
          <w:trHeight w:val="216"/>
        </w:trPr>
        <w:tc>
          <w:tcPr>
            <w:tcW w:w="63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28,172</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26,975</w:t>
            </w:r>
          </w:p>
        </w:tc>
      </w:tr>
      <w:tr>
        <w:trPr>
          <w:trHeight w:val="21"/>
        </w:trPr>
        <w:tc>
          <w:tcPr>
            <w:tcW w:w="6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As of April 30, 2011 and 2010, approximately $19.7 million and $18.2 million, respectively, of total inventory is located in the United States, approximately $7.8 million and $7.9 million, respectively, is located in Belgium and approximately $0.7 million and $0.9 million, respectively, is located in China.</w:t>
      </w:r>
    </w:p>
    <w:p>
      <w:pPr>
        <w:spacing w:after="0" w:line="208" w:lineRule="exact"/>
        <w:rPr>
          <w:sz w:val="20"/>
          <w:szCs w:val="20"/>
          <w:color w:val="auto"/>
        </w:rPr>
      </w:pPr>
    </w:p>
    <w:p>
      <w:pPr>
        <w:ind w:left="500" w:hanging="49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Marketable Securities</w:t>
      </w:r>
    </w:p>
    <w:p>
      <w:pPr>
        <w:spacing w:after="0" w:line="25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cost, gross unrealized gains, gross unrealized losses and fair market value of available-for-sale securities at April 30, 2011 and 2010 are as follows (in thousands):</w:t>
      </w:r>
    </w:p>
    <w:p>
      <w:pPr>
        <w:spacing w:after="0" w:line="197" w:lineRule="exact"/>
        <w:rPr>
          <w:sz w:val="20"/>
          <w:szCs w:val="20"/>
          <w:color w:val="auto"/>
        </w:rPr>
      </w:pPr>
    </w:p>
    <w:tbl>
      <w:tblPr>
        <w:tblLayout w:type="fixed"/>
        <w:tblInd w:w="50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5"/>
          </w:tcPr>
          <w:p>
            <w:pPr>
              <w:jc w:val="right"/>
              <w:ind w:right="620"/>
              <w:spacing w:after="0"/>
              <w:rPr>
                <w:sz w:val="20"/>
                <w:szCs w:val="20"/>
                <w:color w:val="auto"/>
              </w:rPr>
            </w:pPr>
            <w:r>
              <w:rPr>
                <w:rFonts w:ascii="Arial" w:cs="Arial" w:eastAsia="Arial" w:hAnsi="Arial"/>
                <w:sz w:val="18"/>
                <w:szCs w:val="18"/>
                <w:color w:val="auto"/>
              </w:rPr>
              <w:t>April 30, 2011</w:t>
            </w: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center"/>
              <w:ind w:right="340"/>
              <w:spacing w:after="0" w:line="201" w:lineRule="exact"/>
              <w:rPr>
                <w:sz w:val="20"/>
                <w:szCs w:val="20"/>
                <w:color w:val="auto"/>
              </w:rPr>
            </w:pPr>
            <w:r>
              <w:rPr>
                <w:rFonts w:ascii="Arial" w:cs="Arial" w:eastAsia="Arial" w:hAnsi="Arial"/>
                <w:sz w:val="18"/>
                <w:szCs w:val="18"/>
                <w:color w:val="auto"/>
                <w:w w:val="87"/>
              </w:rPr>
              <w:t>Gross</w:t>
            </w:r>
          </w:p>
        </w:tc>
        <w:tc>
          <w:tcPr>
            <w:tcW w:w="140" w:type="dxa"/>
            <w:vAlign w:val="bottom"/>
          </w:tcPr>
          <w:p>
            <w:pPr>
              <w:spacing w:after="0"/>
              <w:rPr>
                <w:sz w:val="17"/>
                <w:szCs w:val="17"/>
                <w:color w:val="auto"/>
              </w:rPr>
            </w:pPr>
          </w:p>
        </w:tc>
        <w:tc>
          <w:tcPr>
            <w:tcW w:w="900" w:type="dxa"/>
            <w:vAlign w:val="bottom"/>
            <w:gridSpan w:val="2"/>
          </w:tcPr>
          <w:p>
            <w:pPr>
              <w:jc w:val="center"/>
              <w:ind w:right="320"/>
              <w:spacing w:after="0" w:line="201" w:lineRule="exact"/>
              <w:rPr>
                <w:sz w:val="20"/>
                <w:szCs w:val="20"/>
                <w:color w:val="auto"/>
              </w:rPr>
            </w:pPr>
            <w:r>
              <w:rPr>
                <w:rFonts w:ascii="Arial" w:cs="Arial" w:eastAsia="Arial" w:hAnsi="Arial"/>
                <w:sz w:val="18"/>
                <w:szCs w:val="18"/>
                <w:color w:val="auto"/>
                <w:w w:val="87"/>
              </w:rPr>
              <w:t>Gross</w:t>
            </w:r>
          </w:p>
        </w:tc>
        <w:tc>
          <w:tcPr>
            <w:tcW w:w="120" w:type="dxa"/>
            <w:vAlign w:val="bottom"/>
          </w:tcPr>
          <w:p>
            <w:pPr>
              <w:spacing w:after="0"/>
              <w:rPr>
                <w:sz w:val="17"/>
                <w:szCs w:val="17"/>
                <w:color w:val="auto"/>
              </w:rPr>
            </w:pPr>
          </w:p>
        </w:tc>
        <w:tc>
          <w:tcPr>
            <w:tcW w:w="760" w:type="dxa"/>
            <w:vAlign w:val="bottom"/>
          </w:tcPr>
          <w:p>
            <w:pPr>
              <w:jc w:val="center"/>
              <w:ind w:right="50"/>
              <w:spacing w:after="0" w:line="201" w:lineRule="exact"/>
              <w:rPr>
                <w:sz w:val="20"/>
                <w:szCs w:val="20"/>
                <w:color w:val="auto"/>
              </w:rPr>
            </w:pPr>
            <w:r>
              <w:rPr>
                <w:rFonts w:ascii="Arial" w:cs="Arial" w:eastAsia="Arial" w:hAnsi="Arial"/>
                <w:sz w:val="18"/>
                <w:szCs w:val="18"/>
                <w:color w:val="auto"/>
                <w:w w:val="96"/>
              </w:rPr>
              <w:t>Fair</w:t>
            </w:r>
          </w:p>
        </w:tc>
        <w:tc>
          <w:tcPr>
            <w:tcW w:w="8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center"/>
              <w:ind w:right="180"/>
              <w:spacing w:after="0"/>
              <w:rPr>
                <w:sz w:val="20"/>
                <w:szCs w:val="20"/>
                <w:color w:val="auto"/>
              </w:rPr>
            </w:pPr>
            <w:r>
              <w:rPr>
                <w:rFonts w:ascii="Arial" w:cs="Arial" w:eastAsia="Arial" w:hAnsi="Arial"/>
                <w:sz w:val="18"/>
                <w:szCs w:val="18"/>
                <w:color w:val="auto"/>
                <w:w w:val="90"/>
              </w:rPr>
              <w:t>Unrealized</w:t>
            </w:r>
          </w:p>
        </w:tc>
        <w:tc>
          <w:tcPr>
            <w:tcW w:w="1040" w:type="dxa"/>
            <w:vAlign w:val="bottom"/>
            <w:gridSpan w:val="3"/>
          </w:tcPr>
          <w:p>
            <w:pPr>
              <w:jc w:val="center"/>
              <w:ind w:right="180"/>
              <w:spacing w:after="0"/>
              <w:rPr>
                <w:sz w:val="20"/>
                <w:szCs w:val="20"/>
                <w:color w:val="auto"/>
              </w:rPr>
            </w:pPr>
            <w:r>
              <w:rPr>
                <w:rFonts w:ascii="Arial" w:cs="Arial" w:eastAsia="Arial" w:hAnsi="Arial"/>
                <w:sz w:val="18"/>
                <w:szCs w:val="18"/>
                <w:color w:val="auto"/>
                <w:w w:val="90"/>
              </w:rPr>
              <w:t>Unrealized</w:t>
            </w:r>
          </w:p>
        </w:tc>
        <w:tc>
          <w:tcPr>
            <w:tcW w:w="120" w:type="dxa"/>
            <w:vAlign w:val="bottom"/>
          </w:tcPr>
          <w:p>
            <w:pPr>
              <w:spacing w:after="0"/>
              <w:rPr>
                <w:sz w:val="18"/>
                <w:szCs w:val="18"/>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Market</w:t>
            </w:r>
          </w:p>
        </w:tc>
      </w:tr>
      <w:tr>
        <w:trPr>
          <w:trHeight w:val="237"/>
        </w:trPr>
        <w:tc>
          <w:tcPr>
            <w:tcW w:w="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Cost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Gains</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7"/>
              </w:rPr>
              <w:t>Losses</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1"/>
              </w:rPr>
              <w:t>Value</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FFCC"/>
          </w:tcPr>
          <w:p>
            <w:pPr>
              <w:spacing w:after="0"/>
              <w:rPr>
                <w:sz w:val="20"/>
                <w:szCs w:val="20"/>
                <w:color w:val="auto"/>
              </w:rPr>
            </w:pPr>
            <w:r>
              <w:rPr>
                <w:rFonts w:ascii="Arial" w:cs="Arial" w:eastAsia="Arial" w:hAnsi="Arial"/>
                <w:sz w:val="18"/>
                <w:szCs w:val="18"/>
                <w:color w:val="auto"/>
              </w:rPr>
              <w:t>Fixed income securities</w:t>
            </w:r>
          </w:p>
        </w:tc>
        <w:tc>
          <w:tcPr>
            <w:tcW w:w="16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11,741</w:t>
            </w:r>
          </w:p>
        </w:tc>
        <w:tc>
          <w:tcPr>
            <w:tcW w:w="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256</w:t>
            </w: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11,995</w:t>
            </w: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Equity securities</w:t>
            </w: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3,016</w:t>
            </w:r>
          </w:p>
        </w:tc>
        <w:tc>
          <w:tcPr>
            <w:tcW w:w="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346</w:t>
            </w: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3,362</w:t>
            </w:r>
          </w:p>
        </w:tc>
      </w:tr>
      <w:tr>
        <w:trPr>
          <w:trHeight w:val="27"/>
        </w:trPr>
        <w:tc>
          <w:tcPr>
            <w:tcW w:w="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3160" w:type="dxa"/>
            <w:vAlign w:val="bottom"/>
            <w:shd w:val="clear" w:color="auto" w:fill="CCFFCC"/>
          </w:tcPr>
          <w:p>
            <w:pPr>
              <w:spacing w:after="0"/>
              <w:rPr>
                <w:sz w:val="20"/>
                <w:szCs w:val="20"/>
                <w:color w:val="auto"/>
              </w:rPr>
            </w:pPr>
          </w:p>
        </w:tc>
        <w:tc>
          <w:tcPr>
            <w:tcW w:w="1460" w:type="dxa"/>
            <w:vAlign w:val="bottom"/>
            <w:shd w:val="clear" w:color="auto" w:fill="CCFFCC"/>
          </w:tcPr>
          <w:p>
            <w:pPr>
              <w:spacing w:after="0"/>
              <w:rPr>
                <w:sz w:val="20"/>
                <w:szCs w:val="20"/>
                <w:color w:val="auto"/>
              </w:rPr>
            </w:pP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14,757</w:t>
            </w:r>
          </w:p>
        </w:tc>
        <w:tc>
          <w:tcPr>
            <w:tcW w:w="80" w:type="dxa"/>
            <w:vAlign w:val="bottom"/>
            <w:shd w:val="clear" w:color="auto" w:fill="CCFFCC"/>
          </w:tcPr>
          <w:p>
            <w:pPr>
              <w:spacing w:after="0"/>
              <w:rPr>
                <w:sz w:val="20"/>
                <w:szCs w:val="20"/>
                <w:color w:val="auto"/>
              </w:rPr>
            </w:pPr>
          </w:p>
        </w:tc>
        <w:tc>
          <w:tcPr>
            <w:tcW w:w="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602</w:t>
            </w: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15,357</w:t>
            </w:r>
          </w:p>
        </w:tc>
      </w:tr>
      <w:tr>
        <w:trPr>
          <w:trHeight w:val="20"/>
        </w:trPr>
        <w:tc>
          <w:tcPr>
            <w:tcW w:w="20" w:type="dxa"/>
            <w:vAlign w:val="bottom"/>
          </w:tcPr>
          <w:p>
            <w:pPr>
              <w:spacing w:after="0" w:line="20" w:lineRule="exact"/>
              <w:rPr>
                <w:sz w:val="1"/>
                <w:szCs w:val="1"/>
                <w:color w:val="auto"/>
              </w:rPr>
            </w:pPr>
          </w:p>
        </w:tc>
        <w:tc>
          <w:tcPr>
            <w:tcW w:w="3160" w:type="dxa"/>
            <w:vAlign w:val="bottom"/>
            <w:tcBorders>
              <w:top w:val="single" w:sz="8" w:color="CCFFCC"/>
            </w:tcBorders>
            <w:shd w:val="clear" w:color="auto" w:fill="CCFFCC"/>
          </w:tcPr>
          <w:p>
            <w:pPr>
              <w:spacing w:after="0" w:line="20" w:lineRule="exact"/>
              <w:rPr>
                <w:sz w:val="1"/>
                <w:szCs w:val="1"/>
                <w:color w:val="auto"/>
              </w:rPr>
            </w:pPr>
          </w:p>
        </w:tc>
        <w:tc>
          <w:tcPr>
            <w:tcW w:w="146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r>
        <w:trPr>
          <w:trHeight w:val="460"/>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5"/>
          </w:tcPr>
          <w:p>
            <w:pPr>
              <w:jc w:val="right"/>
              <w:ind w:right="600"/>
              <w:spacing w:after="0"/>
              <w:rPr>
                <w:sz w:val="20"/>
                <w:szCs w:val="20"/>
                <w:color w:val="auto"/>
              </w:rPr>
            </w:pPr>
            <w:r>
              <w:rPr>
                <w:rFonts w:ascii="Arial" w:cs="Arial" w:eastAsia="Arial" w:hAnsi="Arial"/>
                <w:sz w:val="18"/>
                <w:szCs w:val="18"/>
                <w:color w:val="auto"/>
              </w:rPr>
              <w:t>April 30, 2010</w:t>
            </w: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02"/>
        </w:trPr>
        <w:tc>
          <w:tcPr>
            <w:tcW w:w="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center"/>
              <w:ind w:right="340"/>
              <w:spacing w:after="0" w:line="201" w:lineRule="exact"/>
              <w:rPr>
                <w:sz w:val="20"/>
                <w:szCs w:val="20"/>
                <w:color w:val="auto"/>
              </w:rPr>
            </w:pPr>
            <w:r>
              <w:rPr>
                <w:rFonts w:ascii="Arial" w:cs="Arial" w:eastAsia="Arial" w:hAnsi="Arial"/>
                <w:sz w:val="18"/>
                <w:szCs w:val="18"/>
                <w:color w:val="auto"/>
                <w:w w:val="87"/>
              </w:rPr>
              <w:t>Gross</w:t>
            </w:r>
          </w:p>
        </w:tc>
        <w:tc>
          <w:tcPr>
            <w:tcW w:w="140" w:type="dxa"/>
            <w:vAlign w:val="bottom"/>
          </w:tcPr>
          <w:p>
            <w:pPr>
              <w:spacing w:after="0"/>
              <w:rPr>
                <w:sz w:val="17"/>
                <w:szCs w:val="17"/>
                <w:color w:val="auto"/>
              </w:rPr>
            </w:pPr>
          </w:p>
        </w:tc>
        <w:tc>
          <w:tcPr>
            <w:tcW w:w="900" w:type="dxa"/>
            <w:vAlign w:val="bottom"/>
            <w:gridSpan w:val="2"/>
          </w:tcPr>
          <w:p>
            <w:pPr>
              <w:jc w:val="center"/>
              <w:ind w:right="320"/>
              <w:spacing w:after="0" w:line="201" w:lineRule="exact"/>
              <w:rPr>
                <w:sz w:val="20"/>
                <w:szCs w:val="20"/>
                <w:color w:val="auto"/>
              </w:rPr>
            </w:pPr>
            <w:r>
              <w:rPr>
                <w:rFonts w:ascii="Arial" w:cs="Arial" w:eastAsia="Arial" w:hAnsi="Arial"/>
                <w:sz w:val="18"/>
                <w:szCs w:val="18"/>
                <w:color w:val="auto"/>
                <w:w w:val="87"/>
              </w:rPr>
              <w:t>Gross</w:t>
            </w:r>
          </w:p>
        </w:tc>
        <w:tc>
          <w:tcPr>
            <w:tcW w:w="120" w:type="dxa"/>
            <w:vAlign w:val="bottom"/>
          </w:tcPr>
          <w:p>
            <w:pPr>
              <w:spacing w:after="0"/>
              <w:rPr>
                <w:sz w:val="17"/>
                <w:szCs w:val="17"/>
                <w:color w:val="auto"/>
              </w:rPr>
            </w:pPr>
          </w:p>
        </w:tc>
        <w:tc>
          <w:tcPr>
            <w:tcW w:w="760" w:type="dxa"/>
            <w:vAlign w:val="bottom"/>
          </w:tcPr>
          <w:p>
            <w:pPr>
              <w:jc w:val="center"/>
              <w:ind w:right="50"/>
              <w:spacing w:after="0" w:line="201" w:lineRule="exact"/>
              <w:rPr>
                <w:sz w:val="20"/>
                <w:szCs w:val="20"/>
                <w:color w:val="auto"/>
              </w:rPr>
            </w:pPr>
            <w:r>
              <w:rPr>
                <w:rFonts w:ascii="Arial" w:cs="Arial" w:eastAsia="Arial" w:hAnsi="Arial"/>
                <w:sz w:val="18"/>
                <w:szCs w:val="18"/>
                <w:color w:val="auto"/>
                <w:w w:val="96"/>
              </w:rPr>
              <w:t>Fair</w:t>
            </w:r>
          </w:p>
        </w:tc>
        <w:tc>
          <w:tcPr>
            <w:tcW w:w="8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center"/>
              <w:ind w:right="180"/>
              <w:spacing w:after="0"/>
              <w:rPr>
                <w:sz w:val="20"/>
                <w:szCs w:val="20"/>
                <w:color w:val="auto"/>
              </w:rPr>
            </w:pPr>
            <w:r>
              <w:rPr>
                <w:rFonts w:ascii="Arial" w:cs="Arial" w:eastAsia="Arial" w:hAnsi="Arial"/>
                <w:sz w:val="18"/>
                <w:szCs w:val="18"/>
                <w:color w:val="auto"/>
                <w:w w:val="90"/>
              </w:rPr>
              <w:t>Unrealized</w:t>
            </w:r>
          </w:p>
        </w:tc>
        <w:tc>
          <w:tcPr>
            <w:tcW w:w="1040" w:type="dxa"/>
            <w:vAlign w:val="bottom"/>
            <w:gridSpan w:val="3"/>
          </w:tcPr>
          <w:p>
            <w:pPr>
              <w:jc w:val="center"/>
              <w:ind w:right="180"/>
              <w:spacing w:after="0"/>
              <w:rPr>
                <w:sz w:val="20"/>
                <w:szCs w:val="20"/>
                <w:color w:val="auto"/>
              </w:rPr>
            </w:pPr>
            <w:r>
              <w:rPr>
                <w:rFonts w:ascii="Arial" w:cs="Arial" w:eastAsia="Arial" w:hAnsi="Arial"/>
                <w:sz w:val="18"/>
                <w:szCs w:val="18"/>
                <w:color w:val="auto"/>
                <w:w w:val="90"/>
              </w:rPr>
              <w:t>Unrealized</w:t>
            </w:r>
          </w:p>
        </w:tc>
        <w:tc>
          <w:tcPr>
            <w:tcW w:w="120" w:type="dxa"/>
            <w:vAlign w:val="bottom"/>
          </w:tcPr>
          <w:p>
            <w:pPr>
              <w:spacing w:after="0"/>
              <w:rPr>
                <w:sz w:val="18"/>
                <w:szCs w:val="18"/>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Market</w:t>
            </w:r>
          </w:p>
        </w:tc>
      </w:tr>
      <w:tr>
        <w:trPr>
          <w:trHeight w:val="237"/>
        </w:trPr>
        <w:tc>
          <w:tcPr>
            <w:tcW w:w="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Cost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Gains</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7"/>
              </w:rPr>
              <w:t>Losses</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1"/>
              </w:rPr>
              <w:t>Value</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FFCC"/>
          </w:tcPr>
          <w:p>
            <w:pPr>
              <w:spacing w:after="0"/>
              <w:rPr>
                <w:sz w:val="20"/>
                <w:szCs w:val="20"/>
                <w:color w:val="auto"/>
              </w:rPr>
            </w:pPr>
            <w:r>
              <w:rPr>
                <w:rFonts w:ascii="Arial" w:cs="Arial" w:eastAsia="Arial" w:hAnsi="Arial"/>
                <w:sz w:val="18"/>
                <w:szCs w:val="18"/>
                <w:color w:val="auto"/>
              </w:rPr>
              <w:t>Fixed income securities</w:t>
            </w:r>
          </w:p>
        </w:tc>
        <w:tc>
          <w:tcPr>
            <w:tcW w:w="16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9,606</w:t>
            </w:r>
          </w:p>
        </w:tc>
        <w:tc>
          <w:tcPr>
            <w:tcW w:w="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261</w:t>
            </w: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9,777</w:t>
            </w: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Equity securities</w:t>
            </w: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450</w:t>
            </w:r>
          </w:p>
        </w:tc>
        <w:tc>
          <w:tcPr>
            <w:tcW w:w="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191</w:t>
            </w: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641</w:t>
            </w:r>
          </w:p>
        </w:tc>
      </w:tr>
      <w:tr>
        <w:trPr>
          <w:trHeight w:val="27"/>
        </w:trPr>
        <w:tc>
          <w:tcPr>
            <w:tcW w:w="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3160" w:type="dxa"/>
            <w:vAlign w:val="bottom"/>
            <w:shd w:val="clear" w:color="auto" w:fill="CCFFCC"/>
          </w:tcPr>
          <w:p>
            <w:pPr>
              <w:spacing w:after="0"/>
              <w:rPr>
                <w:sz w:val="20"/>
                <w:szCs w:val="20"/>
                <w:color w:val="auto"/>
              </w:rPr>
            </w:pPr>
          </w:p>
        </w:tc>
        <w:tc>
          <w:tcPr>
            <w:tcW w:w="1460" w:type="dxa"/>
            <w:vAlign w:val="bottom"/>
            <w:shd w:val="clear" w:color="auto" w:fill="CCFFCC"/>
          </w:tcPr>
          <w:p>
            <w:pPr>
              <w:spacing w:after="0"/>
              <w:rPr>
                <w:sz w:val="20"/>
                <w:szCs w:val="20"/>
                <w:color w:val="auto"/>
              </w:rPr>
            </w:pP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10,056</w:t>
            </w:r>
          </w:p>
        </w:tc>
        <w:tc>
          <w:tcPr>
            <w:tcW w:w="80" w:type="dxa"/>
            <w:vAlign w:val="bottom"/>
            <w:shd w:val="clear" w:color="auto" w:fill="CCFFCC"/>
          </w:tcPr>
          <w:p>
            <w:pPr>
              <w:spacing w:after="0"/>
              <w:rPr>
                <w:sz w:val="20"/>
                <w:szCs w:val="20"/>
                <w:color w:val="auto"/>
              </w:rPr>
            </w:pPr>
          </w:p>
        </w:tc>
        <w:tc>
          <w:tcPr>
            <w:tcW w:w="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452</w:t>
            </w: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10,418</w:t>
            </w:r>
          </w:p>
        </w:tc>
      </w:tr>
      <w:tr>
        <w:trPr>
          <w:trHeight w:val="20"/>
        </w:trPr>
        <w:tc>
          <w:tcPr>
            <w:tcW w:w="20" w:type="dxa"/>
            <w:vAlign w:val="bottom"/>
          </w:tcPr>
          <w:p>
            <w:pPr>
              <w:spacing w:after="0" w:line="20" w:lineRule="exact"/>
              <w:rPr>
                <w:sz w:val="1"/>
                <w:szCs w:val="1"/>
                <w:color w:val="auto"/>
              </w:rPr>
            </w:pPr>
          </w:p>
        </w:tc>
        <w:tc>
          <w:tcPr>
            <w:tcW w:w="3160" w:type="dxa"/>
            <w:vAlign w:val="bottom"/>
            <w:tcBorders>
              <w:top w:val="single" w:sz="8" w:color="CCFFCC"/>
            </w:tcBorders>
            <w:shd w:val="clear" w:color="auto" w:fill="CCFFCC"/>
          </w:tcPr>
          <w:p>
            <w:pPr>
              <w:spacing w:after="0" w:line="20" w:lineRule="exact"/>
              <w:rPr>
                <w:sz w:val="1"/>
                <w:szCs w:val="1"/>
                <w:color w:val="auto"/>
              </w:rPr>
            </w:pPr>
          </w:p>
        </w:tc>
        <w:tc>
          <w:tcPr>
            <w:tcW w:w="146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The following table presents the fair value and unrealized losses, aggregated by investment type and length of time that individual securities have been in a continuous unrealized loss position:</w:t>
      </w:r>
    </w:p>
    <w:p>
      <w:pPr>
        <w:spacing w:after="0" w:line="197" w:lineRule="exact"/>
        <w:rPr>
          <w:sz w:val="20"/>
          <w:szCs w:val="20"/>
          <w:color w:val="auto"/>
        </w:rPr>
      </w:pPr>
    </w:p>
    <w:tbl>
      <w:tblPr>
        <w:tblLayout w:type="fixed"/>
        <w:tblInd w:w="180" w:type="dxa"/>
        <w:tblCellMar>
          <w:top w:w="0" w:type="dxa"/>
          <w:left w:w="0" w:type="dxa"/>
          <w:bottom w:w="0" w:type="dxa"/>
          <w:right w:w="0" w:type="dxa"/>
        </w:tblCellMar>
      </w:tblPr>
      <w:tr>
        <w:trPr>
          <w:trHeight w:val="237"/>
        </w:trPr>
        <w:tc>
          <w:tcPr>
            <w:tcW w:w="8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0" w:type="dxa"/>
            <w:vAlign w:val="bottom"/>
            <w:gridSpan w:val="5"/>
          </w:tcPr>
          <w:p>
            <w:pPr>
              <w:jc w:val="right"/>
              <w:ind w:right="520"/>
              <w:spacing w:after="0"/>
              <w:rPr>
                <w:sz w:val="20"/>
                <w:szCs w:val="20"/>
                <w:color w:val="auto"/>
              </w:rPr>
            </w:pPr>
            <w:r>
              <w:rPr>
                <w:rFonts w:ascii="Arial" w:cs="Arial" w:eastAsia="Arial" w:hAnsi="Arial"/>
                <w:sz w:val="18"/>
                <w:szCs w:val="18"/>
                <w:color w:val="auto"/>
                <w:w w:val="99"/>
              </w:rPr>
              <w:t>Less than 12 months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0" w:type="dxa"/>
            <w:vAlign w:val="bottom"/>
            <w:gridSpan w:val="5"/>
          </w:tcPr>
          <w:p>
            <w:pPr>
              <w:jc w:val="right"/>
              <w:ind w:right="600"/>
              <w:spacing w:after="0"/>
              <w:rPr>
                <w:sz w:val="20"/>
                <w:szCs w:val="20"/>
                <w:color w:val="auto"/>
              </w:rPr>
            </w:pPr>
            <w:r>
              <w:rPr>
                <w:rFonts w:ascii="Arial" w:cs="Arial" w:eastAsia="Arial" w:hAnsi="Arial"/>
                <w:sz w:val="18"/>
                <w:szCs w:val="18"/>
                <w:color w:val="auto"/>
              </w:rPr>
              <w:t>12 Months or more</w:t>
            </w:r>
          </w:p>
        </w:tc>
        <w:tc>
          <w:tcPr>
            <w:tcW w:w="200" w:type="dxa"/>
            <w:vAlign w:val="bottom"/>
          </w:tcPr>
          <w:p>
            <w:pPr>
              <w:spacing w:after="0"/>
              <w:rPr>
                <w:sz w:val="20"/>
                <w:szCs w:val="20"/>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Total</w:t>
            </w: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2"/>
        </w:trPr>
        <w:tc>
          <w:tcPr>
            <w:tcW w:w="8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2"/>
          </w:tcPr>
          <w:p>
            <w:pPr>
              <w:jc w:val="right"/>
              <w:ind w:right="580"/>
              <w:spacing w:after="0" w:line="201" w:lineRule="exact"/>
              <w:rPr>
                <w:sz w:val="20"/>
                <w:szCs w:val="20"/>
                <w:color w:val="auto"/>
              </w:rPr>
            </w:pPr>
            <w:r>
              <w:rPr>
                <w:rFonts w:ascii="Arial" w:cs="Arial" w:eastAsia="Arial" w:hAnsi="Arial"/>
                <w:sz w:val="18"/>
                <w:szCs w:val="18"/>
                <w:color w:val="auto"/>
              </w:rPr>
              <w:t>Fair</w:t>
            </w: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30"/>
              <w:spacing w:after="0" w:line="201" w:lineRule="exact"/>
              <w:rPr>
                <w:sz w:val="20"/>
                <w:szCs w:val="20"/>
                <w:color w:val="auto"/>
              </w:rPr>
            </w:pPr>
            <w:r>
              <w:rPr>
                <w:rFonts w:ascii="Arial" w:cs="Arial" w:eastAsia="Arial" w:hAnsi="Arial"/>
                <w:sz w:val="18"/>
                <w:szCs w:val="18"/>
                <w:color w:val="auto"/>
                <w:w w:val="90"/>
              </w:rPr>
              <w:t>Unrealized</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270"/>
              <w:spacing w:after="0" w:line="201" w:lineRule="exact"/>
              <w:rPr>
                <w:sz w:val="20"/>
                <w:szCs w:val="20"/>
                <w:color w:val="auto"/>
              </w:rPr>
            </w:pPr>
            <w:r>
              <w:rPr>
                <w:rFonts w:ascii="Arial" w:cs="Arial" w:eastAsia="Arial" w:hAnsi="Arial"/>
                <w:sz w:val="18"/>
                <w:szCs w:val="18"/>
                <w:color w:val="auto"/>
              </w:rPr>
              <w:t>Fair</w:t>
            </w:r>
          </w:p>
        </w:tc>
        <w:tc>
          <w:tcPr>
            <w:tcW w:w="2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30"/>
              <w:spacing w:after="0" w:line="201" w:lineRule="exact"/>
              <w:rPr>
                <w:sz w:val="20"/>
                <w:szCs w:val="20"/>
                <w:color w:val="auto"/>
              </w:rPr>
            </w:pPr>
            <w:r>
              <w:rPr>
                <w:rFonts w:ascii="Arial" w:cs="Arial" w:eastAsia="Arial" w:hAnsi="Arial"/>
                <w:sz w:val="18"/>
                <w:szCs w:val="18"/>
                <w:color w:val="auto"/>
                <w:w w:val="88"/>
              </w:rPr>
              <w:t>Unrealized</w:t>
            </w:r>
          </w:p>
        </w:tc>
        <w:tc>
          <w:tcPr>
            <w:tcW w:w="1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gridSpan w:val="2"/>
          </w:tcPr>
          <w:p>
            <w:pPr>
              <w:jc w:val="right"/>
              <w:ind w:right="560"/>
              <w:spacing w:after="0" w:line="201" w:lineRule="exact"/>
              <w:rPr>
                <w:sz w:val="20"/>
                <w:szCs w:val="20"/>
                <w:color w:val="auto"/>
              </w:rPr>
            </w:pPr>
            <w:r>
              <w:rPr>
                <w:rFonts w:ascii="Arial" w:cs="Arial" w:eastAsia="Arial" w:hAnsi="Arial"/>
                <w:sz w:val="18"/>
                <w:szCs w:val="18"/>
                <w:color w:val="auto"/>
              </w:rPr>
              <w:t>Fair</w:t>
            </w:r>
          </w:p>
        </w:tc>
        <w:tc>
          <w:tcPr>
            <w:tcW w:w="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30"/>
              <w:spacing w:after="0" w:line="201" w:lineRule="exact"/>
              <w:rPr>
                <w:sz w:val="20"/>
                <w:szCs w:val="20"/>
                <w:color w:val="auto"/>
              </w:rPr>
            </w:pPr>
            <w:r>
              <w:rPr>
                <w:rFonts w:ascii="Arial" w:cs="Arial" w:eastAsia="Arial" w:hAnsi="Arial"/>
                <w:sz w:val="18"/>
                <w:szCs w:val="18"/>
                <w:color w:val="auto"/>
                <w:w w:val="90"/>
              </w:rPr>
              <w:t>Unrealized</w:t>
            </w:r>
          </w:p>
        </w:tc>
        <w:tc>
          <w:tcPr>
            <w:tcW w:w="80" w:type="dxa"/>
            <w:vAlign w:val="bottom"/>
          </w:tcPr>
          <w:p>
            <w:pPr>
              <w:spacing w:after="0"/>
              <w:rPr>
                <w:sz w:val="17"/>
                <w:szCs w:val="17"/>
                <w:color w:val="auto"/>
              </w:rPr>
            </w:pPr>
          </w:p>
        </w:tc>
      </w:tr>
      <w:tr>
        <w:trPr>
          <w:trHeight w:val="237"/>
        </w:trPr>
        <w:tc>
          <w:tcPr>
            <w:tcW w:w="8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Value</w:t>
            </w:r>
          </w:p>
        </w:tc>
        <w:tc>
          <w:tcPr>
            <w:tcW w:w="100" w:type="dxa"/>
            <w:vAlign w:val="bottom"/>
          </w:tcPr>
          <w:p>
            <w:pPr>
              <w:spacing w:after="0"/>
              <w:rPr>
                <w:sz w:val="20"/>
                <w:szCs w:val="20"/>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Losses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10"/>
              <w:spacing w:after="0"/>
              <w:rPr>
                <w:sz w:val="20"/>
                <w:szCs w:val="20"/>
                <w:color w:val="auto"/>
              </w:rPr>
            </w:pPr>
            <w:r>
              <w:rPr>
                <w:rFonts w:ascii="Arial" w:cs="Arial" w:eastAsia="Arial" w:hAnsi="Arial"/>
                <w:sz w:val="18"/>
                <w:szCs w:val="18"/>
                <w:color w:val="auto"/>
              </w:rPr>
              <w:t>Value</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Losses</w:t>
            </w:r>
          </w:p>
        </w:tc>
        <w:tc>
          <w:tcPr>
            <w:tcW w:w="200" w:type="dxa"/>
            <w:vAlign w:val="bottom"/>
          </w:tcPr>
          <w:p>
            <w:pPr>
              <w:spacing w:after="0"/>
              <w:rPr>
                <w:sz w:val="20"/>
                <w:szCs w:val="20"/>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Value</w:t>
            </w:r>
          </w:p>
        </w:tc>
        <w:tc>
          <w:tcPr>
            <w:tcW w:w="80" w:type="dxa"/>
            <w:vAlign w:val="bottom"/>
          </w:tcPr>
          <w:p>
            <w:pPr>
              <w:spacing w:after="0"/>
              <w:rPr>
                <w:sz w:val="20"/>
                <w:szCs w:val="20"/>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Losses</w:t>
            </w:r>
          </w:p>
        </w:tc>
      </w:tr>
      <w:tr>
        <w:trPr>
          <w:trHeight w:val="196"/>
        </w:trPr>
        <w:tc>
          <w:tcPr>
            <w:tcW w:w="880" w:type="dxa"/>
            <w:vAlign w:val="bottom"/>
            <w:tcBorders>
              <w:bottom w:val="single" w:sz="8" w:color="CCFFCC"/>
            </w:tcBorders>
            <w:shd w:val="clear" w:color="auto" w:fill="CCFFCC"/>
          </w:tcPr>
          <w:p>
            <w:pPr>
              <w:spacing w:after="0"/>
              <w:rPr>
                <w:sz w:val="17"/>
                <w:szCs w:val="17"/>
                <w:color w:val="auto"/>
              </w:rPr>
            </w:pPr>
          </w:p>
        </w:tc>
        <w:tc>
          <w:tcPr>
            <w:tcW w:w="1060" w:type="dxa"/>
            <w:vAlign w:val="bottom"/>
            <w:tcBorders>
              <w:bottom w:val="single" w:sz="8" w:color="auto"/>
            </w:tcBorders>
            <w:shd w:val="clear" w:color="auto" w:fill="CCFFCC"/>
          </w:tcPr>
          <w:p>
            <w:pPr>
              <w:spacing w:after="0" w:line="176" w:lineRule="exact"/>
              <w:rPr>
                <w:sz w:val="20"/>
                <w:szCs w:val="20"/>
                <w:color w:val="auto"/>
              </w:rPr>
            </w:pPr>
            <w:r>
              <w:rPr>
                <w:rFonts w:ascii="Arial" w:cs="Arial" w:eastAsia="Arial" w:hAnsi="Arial"/>
                <w:sz w:val="18"/>
                <w:szCs w:val="18"/>
                <w:color w:val="auto"/>
                <w:w w:val="93"/>
              </w:rPr>
              <w:t>April 30, 2011</w:t>
            </w:r>
          </w:p>
        </w:tc>
        <w:tc>
          <w:tcPr>
            <w:tcW w:w="1000" w:type="dxa"/>
            <w:vAlign w:val="bottom"/>
            <w:tcBorders>
              <w:bottom w:val="single" w:sz="8" w:color="CCFFCC"/>
            </w:tcBorders>
            <w:shd w:val="clear" w:color="auto" w:fill="CCFFCC"/>
          </w:tcPr>
          <w:p>
            <w:pPr>
              <w:spacing w:after="0"/>
              <w:rPr>
                <w:sz w:val="17"/>
                <w:szCs w:val="17"/>
                <w:color w:val="auto"/>
              </w:rPr>
            </w:pPr>
          </w:p>
        </w:tc>
        <w:tc>
          <w:tcPr>
            <w:tcW w:w="200" w:type="dxa"/>
            <w:vAlign w:val="bottom"/>
            <w:tcBorders>
              <w:top w:val="single" w:sz="8" w:color="auto"/>
              <w:bottom w:val="single" w:sz="8" w:color="CCFFCC"/>
            </w:tcBorders>
            <w:shd w:val="clear" w:color="auto" w:fill="CCFFCC"/>
          </w:tcPr>
          <w:p>
            <w:pPr>
              <w:spacing w:after="0"/>
              <w:rPr>
                <w:sz w:val="17"/>
                <w:szCs w:val="17"/>
                <w:color w:val="auto"/>
              </w:rPr>
            </w:pPr>
          </w:p>
        </w:tc>
        <w:tc>
          <w:tcPr>
            <w:tcW w:w="820" w:type="dxa"/>
            <w:vAlign w:val="bottom"/>
            <w:tcBorders>
              <w:top w:val="single" w:sz="8" w:color="auto"/>
              <w:bottom w:val="single" w:sz="8" w:color="CCFFCC"/>
            </w:tcBorders>
            <w:shd w:val="clear" w:color="auto" w:fill="CCFFCC"/>
          </w:tcPr>
          <w:p>
            <w:pPr>
              <w:spacing w:after="0"/>
              <w:rPr>
                <w:sz w:val="17"/>
                <w:szCs w:val="17"/>
                <w:color w:val="auto"/>
              </w:rPr>
            </w:pPr>
          </w:p>
        </w:tc>
        <w:tc>
          <w:tcPr>
            <w:tcW w:w="22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top w:val="single" w:sz="8" w:color="auto"/>
              <w:bottom w:val="single" w:sz="8" w:color="CCFFCC"/>
            </w:tcBorders>
            <w:shd w:val="clear" w:color="auto" w:fill="CCFFCC"/>
          </w:tcPr>
          <w:p>
            <w:pPr>
              <w:spacing w:after="0"/>
              <w:rPr>
                <w:sz w:val="17"/>
                <w:szCs w:val="17"/>
                <w:color w:val="auto"/>
              </w:rPr>
            </w:pPr>
          </w:p>
        </w:tc>
        <w:tc>
          <w:tcPr>
            <w:tcW w:w="920" w:type="dxa"/>
            <w:vAlign w:val="bottom"/>
            <w:tcBorders>
              <w:top w:val="single" w:sz="8" w:color="auto"/>
              <w:bottom w:val="single" w:sz="8" w:color="CCFFCC"/>
            </w:tcBorders>
            <w:shd w:val="clear" w:color="auto" w:fill="CCFFCC"/>
          </w:tcPr>
          <w:p>
            <w:pPr>
              <w:spacing w:after="0"/>
              <w:rPr>
                <w:sz w:val="17"/>
                <w:szCs w:val="17"/>
                <w:color w:val="auto"/>
              </w:rPr>
            </w:pPr>
          </w:p>
        </w:tc>
        <w:tc>
          <w:tcPr>
            <w:tcW w:w="140" w:type="dxa"/>
            <w:vAlign w:val="bottom"/>
            <w:tcBorders>
              <w:bottom w:val="single" w:sz="8" w:color="CCFFCC"/>
            </w:tcBorders>
            <w:shd w:val="clear" w:color="auto" w:fill="CCFFCC"/>
          </w:tcPr>
          <w:p>
            <w:pPr>
              <w:spacing w:after="0"/>
              <w:rPr>
                <w:sz w:val="17"/>
                <w:szCs w:val="17"/>
                <w:color w:val="auto"/>
              </w:rPr>
            </w:pPr>
          </w:p>
        </w:tc>
        <w:tc>
          <w:tcPr>
            <w:tcW w:w="80" w:type="dxa"/>
            <w:vAlign w:val="bottom"/>
            <w:tcBorders>
              <w:bottom w:val="single" w:sz="8" w:color="CCFFCC"/>
            </w:tcBorders>
            <w:shd w:val="clear" w:color="auto" w:fill="CCFFCC"/>
          </w:tcPr>
          <w:p>
            <w:pPr>
              <w:spacing w:after="0"/>
              <w:rPr>
                <w:sz w:val="17"/>
                <w:szCs w:val="17"/>
                <w:color w:val="auto"/>
              </w:rPr>
            </w:pPr>
          </w:p>
        </w:tc>
        <w:tc>
          <w:tcPr>
            <w:tcW w:w="200" w:type="dxa"/>
            <w:vAlign w:val="bottom"/>
            <w:tcBorders>
              <w:top w:val="single" w:sz="8" w:color="auto"/>
              <w:bottom w:val="single" w:sz="8" w:color="CCFFCC"/>
            </w:tcBorders>
            <w:shd w:val="clear" w:color="auto" w:fill="CCFFCC"/>
          </w:tcPr>
          <w:p>
            <w:pPr>
              <w:spacing w:after="0"/>
              <w:rPr>
                <w:sz w:val="17"/>
                <w:szCs w:val="17"/>
                <w:color w:val="auto"/>
              </w:rPr>
            </w:pPr>
          </w:p>
        </w:tc>
        <w:tc>
          <w:tcPr>
            <w:tcW w:w="820" w:type="dxa"/>
            <w:vAlign w:val="bottom"/>
            <w:tcBorders>
              <w:top w:val="single" w:sz="8" w:color="auto"/>
              <w:bottom w:val="single" w:sz="8" w:color="CCFFCC"/>
            </w:tcBorders>
            <w:shd w:val="clear" w:color="auto" w:fill="CCFFCC"/>
          </w:tcPr>
          <w:p>
            <w:pPr>
              <w:spacing w:after="0"/>
              <w:rPr>
                <w:sz w:val="17"/>
                <w:szCs w:val="17"/>
                <w:color w:val="auto"/>
              </w:rPr>
            </w:pPr>
          </w:p>
        </w:tc>
        <w:tc>
          <w:tcPr>
            <w:tcW w:w="20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top w:val="single" w:sz="8" w:color="auto"/>
              <w:bottom w:val="single" w:sz="8" w:color="CCFFCC"/>
            </w:tcBorders>
            <w:shd w:val="clear" w:color="auto" w:fill="CCFFCC"/>
          </w:tcPr>
          <w:p>
            <w:pPr>
              <w:spacing w:after="0"/>
              <w:rPr>
                <w:sz w:val="17"/>
                <w:szCs w:val="17"/>
                <w:color w:val="auto"/>
              </w:rPr>
            </w:pPr>
          </w:p>
        </w:tc>
        <w:tc>
          <w:tcPr>
            <w:tcW w:w="900" w:type="dxa"/>
            <w:vAlign w:val="bottom"/>
            <w:tcBorders>
              <w:top w:val="single" w:sz="8" w:color="auto"/>
              <w:bottom w:val="single" w:sz="8" w:color="CCFFCC"/>
            </w:tcBorders>
            <w:shd w:val="clear" w:color="auto" w:fill="CCFFCC"/>
          </w:tcPr>
          <w:p>
            <w:pPr>
              <w:spacing w:after="0"/>
              <w:rPr>
                <w:sz w:val="17"/>
                <w:szCs w:val="17"/>
                <w:color w:val="auto"/>
              </w:rPr>
            </w:pPr>
          </w:p>
        </w:tc>
        <w:tc>
          <w:tcPr>
            <w:tcW w:w="180" w:type="dxa"/>
            <w:vAlign w:val="bottom"/>
            <w:tcBorders>
              <w:bottom w:val="single" w:sz="8" w:color="CCFFCC"/>
            </w:tcBorders>
            <w:shd w:val="clear" w:color="auto" w:fill="CCFFCC"/>
          </w:tcPr>
          <w:p>
            <w:pPr>
              <w:spacing w:after="0"/>
              <w:rPr>
                <w:sz w:val="17"/>
                <w:szCs w:val="17"/>
                <w:color w:val="auto"/>
              </w:rPr>
            </w:pPr>
          </w:p>
        </w:tc>
        <w:tc>
          <w:tcPr>
            <w:tcW w:w="200" w:type="dxa"/>
            <w:vAlign w:val="bottom"/>
            <w:tcBorders>
              <w:top w:val="single" w:sz="8" w:color="auto"/>
              <w:bottom w:val="single" w:sz="8" w:color="CCFFCC"/>
            </w:tcBorders>
            <w:shd w:val="clear" w:color="auto" w:fill="CCFFCC"/>
          </w:tcPr>
          <w:p>
            <w:pPr>
              <w:spacing w:after="0"/>
              <w:rPr>
                <w:sz w:val="17"/>
                <w:szCs w:val="17"/>
                <w:color w:val="auto"/>
              </w:rPr>
            </w:pPr>
          </w:p>
        </w:tc>
        <w:tc>
          <w:tcPr>
            <w:tcW w:w="800" w:type="dxa"/>
            <w:vAlign w:val="bottom"/>
            <w:tcBorders>
              <w:top w:val="single" w:sz="8" w:color="auto"/>
              <w:bottom w:val="single" w:sz="8" w:color="CCFFCC"/>
            </w:tcBorders>
            <w:shd w:val="clear" w:color="auto" w:fill="CCFFCC"/>
          </w:tcPr>
          <w:p>
            <w:pPr>
              <w:spacing w:after="0"/>
              <w:rPr>
                <w:sz w:val="17"/>
                <w:szCs w:val="17"/>
                <w:color w:val="auto"/>
              </w:rPr>
            </w:pPr>
          </w:p>
        </w:tc>
        <w:tc>
          <w:tcPr>
            <w:tcW w:w="200" w:type="dxa"/>
            <w:vAlign w:val="bottom"/>
            <w:tcBorders>
              <w:bottom w:val="single" w:sz="8" w:color="CCFFCC"/>
            </w:tcBorders>
            <w:shd w:val="clear" w:color="auto" w:fill="CCFFCC"/>
          </w:tcPr>
          <w:p>
            <w:pPr>
              <w:spacing w:after="0"/>
              <w:rPr>
                <w:sz w:val="17"/>
                <w:szCs w:val="17"/>
                <w:color w:val="auto"/>
              </w:rPr>
            </w:pPr>
          </w:p>
        </w:tc>
        <w:tc>
          <w:tcPr>
            <w:tcW w:w="80" w:type="dxa"/>
            <w:vAlign w:val="bottom"/>
            <w:tcBorders>
              <w:top w:val="single" w:sz="8" w:color="auto"/>
              <w:bottom w:val="single" w:sz="8" w:color="CCFFCC"/>
            </w:tcBorders>
            <w:shd w:val="clear" w:color="auto" w:fill="CCFFCC"/>
          </w:tcPr>
          <w:p>
            <w:pPr>
              <w:spacing w:after="0"/>
              <w:rPr>
                <w:sz w:val="17"/>
                <w:szCs w:val="17"/>
                <w:color w:val="auto"/>
              </w:rPr>
            </w:pPr>
          </w:p>
        </w:tc>
        <w:tc>
          <w:tcPr>
            <w:tcW w:w="920" w:type="dxa"/>
            <w:vAlign w:val="bottom"/>
            <w:tcBorders>
              <w:top w:val="single" w:sz="8" w:color="auto"/>
              <w:bottom w:val="single" w:sz="8" w:color="CCFFCC"/>
            </w:tcBorders>
            <w:shd w:val="clear" w:color="auto" w:fill="CCFFCC"/>
          </w:tcPr>
          <w:p>
            <w:pPr>
              <w:spacing w:after="0"/>
              <w:rPr>
                <w:sz w:val="17"/>
                <w:szCs w:val="17"/>
                <w:color w:val="auto"/>
              </w:rPr>
            </w:pPr>
          </w:p>
        </w:tc>
        <w:tc>
          <w:tcPr>
            <w:tcW w:w="80" w:type="dxa"/>
            <w:vAlign w:val="bottom"/>
            <w:tcBorders>
              <w:bottom w:val="single" w:sz="8" w:color="CCFFCC"/>
            </w:tcBorders>
            <w:shd w:val="clear" w:color="auto" w:fill="CCFFCC"/>
          </w:tcPr>
          <w:p>
            <w:pPr>
              <w:spacing w:after="0"/>
              <w:rPr>
                <w:sz w:val="17"/>
                <w:szCs w:val="17"/>
                <w:color w:val="auto"/>
              </w:rPr>
            </w:pPr>
          </w:p>
        </w:tc>
      </w:tr>
      <w:tr>
        <w:trPr>
          <w:trHeight w:val="216"/>
        </w:trPr>
        <w:tc>
          <w:tcPr>
            <w:tcW w:w="2940" w:type="dxa"/>
            <w:vAlign w:val="bottom"/>
            <w:gridSpan w:val="3"/>
          </w:tcPr>
          <w:p>
            <w:pPr>
              <w:spacing w:after="0"/>
              <w:rPr>
                <w:sz w:val="20"/>
                <w:szCs w:val="20"/>
                <w:color w:val="auto"/>
              </w:rPr>
            </w:pPr>
            <w:r>
              <w:rPr>
                <w:rFonts w:ascii="Arial" w:cs="Arial" w:eastAsia="Arial" w:hAnsi="Arial"/>
                <w:sz w:val="18"/>
                <w:szCs w:val="18"/>
                <w:color w:val="auto"/>
              </w:rPr>
              <w:t>Fixed Income Securities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1,426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1,426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r>
      <w:tr>
        <w:trPr>
          <w:trHeight w:val="216"/>
        </w:trPr>
        <w:tc>
          <w:tcPr>
            <w:tcW w:w="294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Equity Securities</w:t>
            </w:r>
          </w:p>
        </w:tc>
        <w:tc>
          <w:tcPr>
            <w:tcW w:w="20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r>
      <w:tr>
        <w:trPr>
          <w:trHeight w:val="27"/>
        </w:trPr>
        <w:tc>
          <w:tcPr>
            <w:tcW w:w="880" w:type="dxa"/>
            <w:vAlign w:val="bottom"/>
            <w:shd w:val="clear" w:color="auto" w:fill="CCFFCC"/>
          </w:tcPr>
          <w:p>
            <w:pPr>
              <w:spacing w:after="0"/>
              <w:rPr>
                <w:sz w:val="2"/>
                <w:szCs w:val="2"/>
                <w:color w:val="auto"/>
              </w:rPr>
            </w:pPr>
          </w:p>
        </w:tc>
        <w:tc>
          <w:tcPr>
            <w:tcW w:w="1060" w:type="dxa"/>
            <w:vAlign w:val="bottom"/>
            <w:shd w:val="clear" w:color="auto" w:fill="CCFFCC"/>
          </w:tcPr>
          <w:p>
            <w:pPr>
              <w:spacing w:after="0"/>
              <w:rPr>
                <w:sz w:val="2"/>
                <w:szCs w:val="2"/>
                <w:color w:val="auto"/>
              </w:rPr>
            </w:pPr>
          </w:p>
        </w:tc>
        <w:tc>
          <w:tcPr>
            <w:tcW w:w="1000" w:type="dxa"/>
            <w:vAlign w:val="bottom"/>
            <w:shd w:val="clear" w:color="auto" w:fill="CCFFC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shd w:val="clear" w:color="auto" w:fill="CCFFCC"/>
          </w:tcPr>
          <w:p>
            <w:pPr>
              <w:spacing w:after="0"/>
              <w:rPr>
                <w:sz w:val="2"/>
                <w:szCs w:val="2"/>
                <w:color w:val="auto"/>
              </w:rPr>
            </w:pPr>
          </w:p>
        </w:tc>
      </w:tr>
      <w:tr>
        <w:trPr>
          <w:trHeight w:val="216"/>
        </w:trPr>
        <w:tc>
          <w:tcPr>
            <w:tcW w:w="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1,426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1,426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r>
      <w:tr>
        <w:trPr>
          <w:trHeight w:val="21"/>
        </w:trPr>
        <w:tc>
          <w:tcPr>
            <w:tcW w:w="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7"/>
        </w:trPr>
        <w:tc>
          <w:tcPr>
            <w:tcW w:w="880" w:type="dxa"/>
            <w:vAlign w:val="bottom"/>
            <w:tcBorders>
              <w:bottom w:val="single" w:sz="8" w:color="CCFFCC"/>
            </w:tcBorders>
            <w:shd w:val="clear" w:color="auto" w:fill="CCFFCC"/>
          </w:tcPr>
          <w:p>
            <w:pPr>
              <w:spacing w:after="0"/>
              <w:rPr>
                <w:sz w:val="18"/>
                <w:szCs w:val="18"/>
                <w:color w:val="auto"/>
              </w:rPr>
            </w:pPr>
          </w:p>
        </w:tc>
        <w:tc>
          <w:tcPr>
            <w:tcW w:w="1060" w:type="dxa"/>
            <w:vAlign w:val="bottom"/>
            <w:tcBorders>
              <w:bottom w:val="single" w:sz="8" w:color="auto"/>
            </w:tcBorders>
            <w:shd w:val="clear" w:color="auto" w:fill="CCFFCC"/>
          </w:tcPr>
          <w:p>
            <w:pPr>
              <w:spacing w:after="0" w:line="170" w:lineRule="exact"/>
              <w:rPr>
                <w:sz w:val="20"/>
                <w:szCs w:val="20"/>
                <w:color w:val="auto"/>
              </w:rPr>
            </w:pPr>
            <w:r>
              <w:rPr>
                <w:rFonts w:ascii="Arial" w:cs="Arial" w:eastAsia="Arial" w:hAnsi="Arial"/>
                <w:sz w:val="18"/>
                <w:szCs w:val="18"/>
                <w:color w:val="auto"/>
                <w:w w:val="93"/>
              </w:rPr>
              <w:t>April 30, 2010</w:t>
            </w:r>
          </w:p>
        </w:tc>
        <w:tc>
          <w:tcPr>
            <w:tcW w:w="1000" w:type="dxa"/>
            <w:vAlign w:val="bottom"/>
            <w:tcBorders>
              <w:bottom w:val="single" w:sz="8" w:color="CCFFCC"/>
            </w:tcBorders>
            <w:shd w:val="clear" w:color="auto" w:fill="CCFFCC"/>
          </w:tcPr>
          <w:p>
            <w:pPr>
              <w:spacing w:after="0"/>
              <w:rPr>
                <w:sz w:val="18"/>
                <w:szCs w:val="18"/>
                <w:color w:val="auto"/>
              </w:rPr>
            </w:pPr>
          </w:p>
        </w:tc>
        <w:tc>
          <w:tcPr>
            <w:tcW w:w="200" w:type="dxa"/>
            <w:vAlign w:val="bottom"/>
            <w:tcBorders>
              <w:bottom w:val="single" w:sz="8" w:color="CCFFCC"/>
            </w:tcBorders>
            <w:shd w:val="clear" w:color="auto" w:fill="CCFFCC"/>
          </w:tcPr>
          <w:p>
            <w:pPr>
              <w:spacing w:after="0"/>
              <w:rPr>
                <w:sz w:val="18"/>
                <w:szCs w:val="18"/>
                <w:color w:val="auto"/>
              </w:rPr>
            </w:pPr>
          </w:p>
        </w:tc>
        <w:tc>
          <w:tcPr>
            <w:tcW w:w="820" w:type="dxa"/>
            <w:vAlign w:val="bottom"/>
            <w:tcBorders>
              <w:bottom w:val="single" w:sz="8" w:color="CCFFCC"/>
            </w:tcBorders>
            <w:shd w:val="clear" w:color="auto" w:fill="CCFFCC"/>
          </w:tcPr>
          <w:p>
            <w:pPr>
              <w:spacing w:after="0"/>
              <w:rPr>
                <w:sz w:val="18"/>
                <w:szCs w:val="18"/>
                <w:color w:val="auto"/>
              </w:rPr>
            </w:pPr>
          </w:p>
        </w:tc>
        <w:tc>
          <w:tcPr>
            <w:tcW w:w="22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920" w:type="dxa"/>
            <w:vAlign w:val="bottom"/>
            <w:tcBorders>
              <w:bottom w:val="single" w:sz="8" w:color="CCFFCC"/>
            </w:tcBorders>
            <w:shd w:val="clear" w:color="auto" w:fill="CCFFCC"/>
          </w:tcPr>
          <w:p>
            <w:pPr>
              <w:spacing w:after="0"/>
              <w:rPr>
                <w:sz w:val="18"/>
                <w:szCs w:val="18"/>
                <w:color w:val="auto"/>
              </w:rPr>
            </w:pPr>
          </w:p>
        </w:tc>
        <w:tc>
          <w:tcPr>
            <w:tcW w:w="14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200" w:type="dxa"/>
            <w:vAlign w:val="bottom"/>
            <w:tcBorders>
              <w:bottom w:val="single" w:sz="8" w:color="CCFFCC"/>
            </w:tcBorders>
            <w:shd w:val="clear" w:color="auto" w:fill="CCFFCC"/>
          </w:tcPr>
          <w:p>
            <w:pPr>
              <w:spacing w:after="0"/>
              <w:rPr>
                <w:sz w:val="18"/>
                <w:szCs w:val="18"/>
                <w:color w:val="auto"/>
              </w:rPr>
            </w:pPr>
          </w:p>
        </w:tc>
        <w:tc>
          <w:tcPr>
            <w:tcW w:w="820" w:type="dxa"/>
            <w:vAlign w:val="bottom"/>
            <w:tcBorders>
              <w:bottom w:val="single" w:sz="8" w:color="CCFFCC"/>
            </w:tcBorders>
            <w:shd w:val="clear" w:color="auto" w:fill="CCFFCC"/>
          </w:tcPr>
          <w:p>
            <w:pPr>
              <w:spacing w:after="0"/>
              <w:rPr>
                <w:sz w:val="18"/>
                <w:szCs w:val="18"/>
                <w:color w:val="auto"/>
              </w:rPr>
            </w:pPr>
          </w:p>
        </w:tc>
        <w:tc>
          <w:tcPr>
            <w:tcW w:w="20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900" w:type="dxa"/>
            <w:vAlign w:val="bottom"/>
            <w:tcBorders>
              <w:bottom w:val="single" w:sz="8" w:color="CCFFCC"/>
            </w:tcBorders>
            <w:shd w:val="clear" w:color="auto" w:fill="CCFFCC"/>
          </w:tcPr>
          <w:p>
            <w:pPr>
              <w:spacing w:after="0"/>
              <w:rPr>
                <w:sz w:val="18"/>
                <w:szCs w:val="18"/>
                <w:color w:val="auto"/>
              </w:rPr>
            </w:pPr>
          </w:p>
        </w:tc>
        <w:tc>
          <w:tcPr>
            <w:tcW w:w="180" w:type="dxa"/>
            <w:vAlign w:val="bottom"/>
            <w:tcBorders>
              <w:bottom w:val="single" w:sz="8" w:color="CCFFCC"/>
            </w:tcBorders>
            <w:shd w:val="clear" w:color="auto" w:fill="CCFFCC"/>
          </w:tcPr>
          <w:p>
            <w:pPr>
              <w:spacing w:after="0"/>
              <w:rPr>
                <w:sz w:val="18"/>
                <w:szCs w:val="18"/>
                <w:color w:val="auto"/>
              </w:rPr>
            </w:pPr>
          </w:p>
        </w:tc>
        <w:tc>
          <w:tcPr>
            <w:tcW w:w="200" w:type="dxa"/>
            <w:vAlign w:val="bottom"/>
            <w:tcBorders>
              <w:bottom w:val="single" w:sz="8" w:color="CCFFCC"/>
            </w:tcBorders>
            <w:shd w:val="clear" w:color="auto" w:fill="CCFFCC"/>
          </w:tcPr>
          <w:p>
            <w:pPr>
              <w:spacing w:after="0"/>
              <w:rPr>
                <w:sz w:val="18"/>
                <w:szCs w:val="18"/>
                <w:color w:val="auto"/>
              </w:rPr>
            </w:pPr>
          </w:p>
        </w:tc>
        <w:tc>
          <w:tcPr>
            <w:tcW w:w="800" w:type="dxa"/>
            <w:vAlign w:val="bottom"/>
            <w:tcBorders>
              <w:bottom w:val="single" w:sz="8" w:color="CCFFCC"/>
            </w:tcBorders>
            <w:shd w:val="clear" w:color="auto" w:fill="CCFFCC"/>
          </w:tcPr>
          <w:p>
            <w:pPr>
              <w:spacing w:after="0"/>
              <w:rPr>
                <w:sz w:val="18"/>
                <w:szCs w:val="18"/>
                <w:color w:val="auto"/>
              </w:rPr>
            </w:pPr>
          </w:p>
        </w:tc>
        <w:tc>
          <w:tcPr>
            <w:tcW w:w="20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92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r>
      <w:tr>
        <w:trPr>
          <w:trHeight w:val="216"/>
        </w:trPr>
        <w:tc>
          <w:tcPr>
            <w:tcW w:w="2940" w:type="dxa"/>
            <w:vAlign w:val="bottom"/>
            <w:gridSpan w:val="3"/>
          </w:tcPr>
          <w:p>
            <w:pPr>
              <w:spacing w:after="0"/>
              <w:rPr>
                <w:sz w:val="20"/>
                <w:szCs w:val="20"/>
                <w:color w:val="auto"/>
              </w:rPr>
            </w:pPr>
            <w:r>
              <w:rPr>
                <w:rFonts w:ascii="Arial" w:cs="Arial" w:eastAsia="Arial" w:hAnsi="Arial"/>
                <w:sz w:val="18"/>
                <w:szCs w:val="18"/>
                <w:color w:val="auto"/>
              </w:rPr>
              <w:t>Fixed Income Securities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3,438</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(90)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3,438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(90)</w:t>
            </w:r>
          </w:p>
        </w:tc>
      </w:tr>
      <w:tr>
        <w:trPr>
          <w:trHeight w:val="216"/>
        </w:trPr>
        <w:tc>
          <w:tcPr>
            <w:tcW w:w="294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Equity Securities</w:t>
            </w:r>
          </w:p>
        </w:tc>
        <w:tc>
          <w:tcPr>
            <w:tcW w:w="20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r>
      <w:tr>
        <w:trPr>
          <w:trHeight w:val="27"/>
        </w:trPr>
        <w:tc>
          <w:tcPr>
            <w:tcW w:w="880" w:type="dxa"/>
            <w:vAlign w:val="bottom"/>
            <w:shd w:val="clear" w:color="auto" w:fill="CCFFCC"/>
          </w:tcPr>
          <w:p>
            <w:pPr>
              <w:spacing w:after="0"/>
              <w:rPr>
                <w:sz w:val="2"/>
                <w:szCs w:val="2"/>
                <w:color w:val="auto"/>
              </w:rPr>
            </w:pPr>
          </w:p>
        </w:tc>
        <w:tc>
          <w:tcPr>
            <w:tcW w:w="1060" w:type="dxa"/>
            <w:vAlign w:val="bottom"/>
            <w:shd w:val="clear" w:color="auto" w:fill="CCFFCC"/>
          </w:tcPr>
          <w:p>
            <w:pPr>
              <w:spacing w:after="0"/>
              <w:rPr>
                <w:sz w:val="2"/>
                <w:szCs w:val="2"/>
                <w:color w:val="auto"/>
              </w:rPr>
            </w:pPr>
          </w:p>
        </w:tc>
        <w:tc>
          <w:tcPr>
            <w:tcW w:w="1000" w:type="dxa"/>
            <w:vAlign w:val="bottom"/>
            <w:shd w:val="clear" w:color="auto" w:fill="CCFFC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shd w:val="clear" w:color="auto" w:fill="CCFFCC"/>
          </w:tcPr>
          <w:p>
            <w:pPr>
              <w:spacing w:after="0"/>
              <w:rPr>
                <w:sz w:val="2"/>
                <w:szCs w:val="2"/>
                <w:color w:val="auto"/>
              </w:rPr>
            </w:pPr>
          </w:p>
        </w:tc>
      </w:tr>
      <w:tr>
        <w:trPr>
          <w:trHeight w:val="216"/>
        </w:trPr>
        <w:tc>
          <w:tcPr>
            <w:tcW w:w="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3,438</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(90)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3,438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(90)</w:t>
            </w:r>
          </w:p>
        </w:tc>
      </w:tr>
      <w:tr>
        <w:trPr>
          <w:trHeight w:val="21"/>
        </w:trPr>
        <w:tc>
          <w:tcPr>
            <w:tcW w:w="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regularly reviews its investment portfolio to identify and evaluate investments that have indications of possible impairment. The Company does not believe that its investments in marketable securities with unrealized losses at April 30, 2011 are other-than-temporary due to market volatility of the security’s fair value, analysts’ expectations and the Company’s ability to hold the securities for a period of time sufficient to allow for any anticipated recoveries in market value.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599"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25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Proceeds from the sale or redemption of available-for-sale securities and the resulting gross realized gains and losses included in the determination of net income (loss) are as follows (in thousands):</w:t>
      </w:r>
    </w:p>
    <w:p>
      <w:pPr>
        <w:spacing w:after="0" w:line="197"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2140" w:type="dxa"/>
            <w:vAlign w:val="bottom"/>
            <w:gridSpan w:val="5"/>
          </w:tcPr>
          <w:p>
            <w:pPr>
              <w:spacing w:after="0"/>
              <w:rPr>
                <w:sz w:val="20"/>
                <w:szCs w:val="20"/>
                <w:color w:val="auto"/>
              </w:rPr>
            </w:pPr>
            <w:r>
              <w:rPr>
                <w:rFonts w:ascii="Arial" w:cs="Arial" w:eastAsia="Arial" w:hAnsi="Arial"/>
                <w:sz w:val="18"/>
                <w:szCs w:val="18"/>
                <w:color w:val="auto"/>
                <w:w w:val="90"/>
              </w:rPr>
              <w:t>For the years ended April 30,</w:t>
            </w:r>
          </w:p>
        </w:tc>
      </w:tr>
      <w:tr>
        <w:trPr>
          <w:trHeight w:val="237"/>
        </w:trPr>
        <w:tc>
          <w:tcPr>
            <w:tcW w:w="2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2011</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2010</w:t>
            </w:r>
          </w:p>
        </w:tc>
      </w:tr>
      <w:tr>
        <w:trPr>
          <w:trHeight w:val="257"/>
        </w:trPr>
        <w:tc>
          <w:tcPr>
            <w:tcW w:w="20" w:type="dxa"/>
            <w:vAlign w:val="bottom"/>
          </w:tcPr>
          <w:p>
            <w:pPr>
              <w:spacing w:after="0"/>
              <w:rPr>
                <w:sz w:val="22"/>
                <w:szCs w:val="22"/>
                <w:color w:val="auto"/>
              </w:rPr>
            </w:pPr>
          </w:p>
        </w:tc>
        <w:tc>
          <w:tcPr>
            <w:tcW w:w="59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Proceeds</w:t>
            </w:r>
          </w:p>
        </w:tc>
        <w:tc>
          <w:tcPr>
            <w:tcW w:w="180" w:type="dxa"/>
            <w:vAlign w:val="bottom"/>
            <w:tcBorders>
              <w:bottom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4,000</w:t>
            </w:r>
          </w:p>
        </w:tc>
        <w:tc>
          <w:tcPr>
            <w:tcW w:w="180" w:type="dxa"/>
            <w:vAlign w:val="bottom"/>
            <w:tcBorders>
              <w:bottom w:val="single" w:sz="8" w:color="CCFFCC"/>
              <w:right w:val="single" w:sz="8" w:color="CCFFCC"/>
            </w:tcBorders>
            <w:shd w:val="clear" w:color="auto" w:fill="CCFFCC"/>
          </w:tcPr>
          <w:p>
            <w:pPr>
              <w:spacing w:after="0"/>
              <w:rPr>
                <w:sz w:val="22"/>
                <w:szCs w:val="22"/>
                <w:color w:val="auto"/>
              </w:rPr>
            </w:pPr>
          </w:p>
        </w:tc>
        <w:tc>
          <w:tcPr>
            <w:tcW w:w="20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1,514</w:t>
            </w:r>
          </w:p>
        </w:tc>
      </w:tr>
      <w:tr>
        <w:trPr>
          <w:trHeight w:val="210"/>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Gross realized gains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900" w:type="dxa"/>
            <w:vAlign w:val="bottom"/>
            <w:shd w:val="clear" w:color="auto" w:fill="CCFFCC"/>
          </w:tcPr>
          <w:p>
            <w:pPr>
              <w:spacing w:after="0"/>
              <w:rPr>
                <w:sz w:val="20"/>
                <w:szCs w:val="20"/>
                <w:color w:val="auto"/>
              </w:rPr>
            </w:pPr>
            <w:r>
              <w:rPr>
                <w:rFonts w:ascii="Arial" w:cs="Arial" w:eastAsia="Arial" w:hAnsi="Arial"/>
                <w:sz w:val="18"/>
                <w:szCs w:val="18"/>
                <w:color w:val="auto"/>
              </w:rPr>
              <w:t>Gross realized losses</w:t>
            </w:r>
          </w:p>
        </w:tc>
        <w:tc>
          <w:tcPr>
            <w:tcW w:w="18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(48)</w:t>
            </w:r>
          </w:p>
        </w:tc>
        <w:tc>
          <w:tcPr>
            <w:tcW w:w="2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(45)</w:t>
            </w:r>
          </w:p>
        </w:tc>
      </w:tr>
      <w:tr>
        <w:trPr>
          <w:trHeight w:val="20"/>
        </w:trPr>
        <w:tc>
          <w:tcPr>
            <w:tcW w:w="20" w:type="dxa"/>
            <w:vAlign w:val="bottom"/>
          </w:tcPr>
          <w:p>
            <w:pPr>
              <w:spacing w:after="0" w:line="20" w:lineRule="exact"/>
              <w:rPr>
                <w:sz w:val="1"/>
                <w:szCs w:val="1"/>
                <w:color w:val="auto"/>
              </w:rPr>
            </w:pPr>
          </w:p>
        </w:tc>
        <w:tc>
          <w:tcPr>
            <w:tcW w:w="59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right w:val="single" w:sz="8" w:color="CCFFCC"/>
            </w:tcBorders>
            <w:shd w:val="clear" w:color="auto" w:fill="000000"/>
          </w:tcPr>
          <w:p>
            <w:pPr>
              <w:spacing w:after="0" w:line="20" w:lineRule="exact"/>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Maturities of fixed income securities classified as available-for-sale at April 30, 2011 are as follows (at cost, in thousands):</w:t>
      </w:r>
    </w:p>
    <w:p>
      <w:pPr>
        <w:spacing w:after="0" w:line="267" w:lineRule="exact"/>
        <w:rPr>
          <w:sz w:val="20"/>
          <w:szCs w:val="20"/>
          <w:color w:val="auto"/>
        </w:rPr>
      </w:pPr>
    </w:p>
    <w:tbl>
      <w:tblPr>
        <w:tblLayout w:type="fixed"/>
        <w:tblInd w:w="2580" w:type="dxa"/>
        <w:tblCellMar>
          <w:top w:w="0" w:type="dxa"/>
          <w:left w:w="0" w:type="dxa"/>
          <w:bottom w:w="0" w:type="dxa"/>
          <w:right w:w="0" w:type="dxa"/>
        </w:tblCellMar>
      </w:tblPr>
      <w:tr>
        <w:trPr>
          <w:trHeight w:val="216"/>
        </w:trPr>
        <w:tc>
          <w:tcPr>
            <w:tcW w:w="5180" w:type="dxa"/>
            <w:vAlign w:val="bottom"/>
            <w:shd w:val="clear" w:color="auto" w:fill="CCFFCC"/>
          </w:tcPr>
          <w:p>
            <w:pPr>
              <w:spacing w:after="0"/>
              <w:rPr>
                <w:sz w:val="20"/>
                <w:szCs w:val="20"/>
                <w:color w:val="auto"/>
              </w:rPr>
            </w:pPr>
            <w:r>
              <w:rPr>
                <w:rFonts w:ascii="Arial" w:cs="Arial" w:eastAsia="Arial" w:hAnsi="Arial"/>
                <w:sz w:val="18"/>
                <w:szCs w:val="18"/>
                <w:color w:val="auto"/>
              </w:rPr>
              <w:t>Current</w:t>
            </w:r>
          </w:p>
        </w:tc>
        <w:tc>
          <w:tcPr>
            <w:tcW w:w="3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1,000</w:t>
            </w:r>
          </w:p>
        </w:tc>
        <w:tc>
          <w:tcPr>
            <w:tcW w:w="60" w:type="dxa"/>
            <w:vAlign w:val="bottom"/>
            <w:shd w:val="clear" w:color="auto" w:fill="CCFFCC"/>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Due after one year through five years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7,526</w:t>
            </w:r>
          </w:p>
        </w:tc>
        <w:tc>
          <w:tcPr>
            <w:tcW w:w="60" w:type="dxa"/>
            <w:vAlign w:val="bottom"/>
          </w:tcPr>
          <w:p>
            <w:pPr>
              <w:spacing w:after="0"/>
              <w:rPr>
                <w:sz w:val="18"/>
                <w:szCs w:val="18"/>
                <w:color w:val="auto"/>
              </w:rPr>
            </w:pPr>
          </w:p>
        </w:tc>
      </w:tr>
      <w:tr>
        <w:trPr>
          <w:trHeight w:val="223"/>
        </w:trPr>
        <w:tc>
          <w:tcPr>
            <w:tcW w:w="518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Due after five years through ten years</w:t>
            </w:r>
          </w:p>
        </w:tc>
        <w:tc>
          <w:tcPr>
            <w:tcW w:w="20" w:type="dxa"/>
            <w:vAlign w:val="bottom"/>
            <w:tcBorders>
              <w:bottom w:val="single" w:sz="8" w:color="CCFFCC"/>
            </w:tcBorders>
            <w:shd w:val="clear" w:color="auto" w:fill="CCFFCC"/>
          </w:tcPr>
          <w:p>
            <w:pPr>
              <w:spacing w:after="0"/>
              <w:rPr>
                <w:sz w:val="19"/>
                <w:szCs w:val="19"/>
                <w:color w:val="auto"/>
              </w:rPr>
            </w:pPr>
          </w:p>
        </w:tc>
        <w:tc>
          <w:tcPr>
            <w:tcW w:w="300" w:type="dxa"/>
            <w:vAlign w:val="bottom"/>
            <w:tcBorders>
              <w:bottom w:val="single" w:sz="8" w:color="auto"/>
            </w:tcBorders>
            <w:shd w:val="clear" w:color="auto" w:fill="CCFFCC"/>
          </w:tcPr>
          <w:p>
            <w:pPr>
              <w:spacing w:after="0"/>
              <w:rPr>
                <w:sz w:val="19"/>
                <w:szCs w:val="19"/>
                <w:color w:val="auto"/>
              </w:rPr>
            </w:pPr>
          </w:p>
        </w:tc>
        <w:tc>
          <w:tcPr>
            <w:tcW w:w="7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3,215</w:t>
            </w:r>
          </w:p>
        </w:tc>
        <w:tc>
          <w:tcPr>
            <w:tcW w:w="60" w:type="dxa"/>
            <w:vAlign w:val="bottom"/>
            <w:tcBorders>
              <w:bottom w:val="single" w:sz="8" w:color="CCFFCC"/>
            </w:tcBorders>
            <w:shd w:val="clear" w:color="auto" w:fill="CCFFCC"/>
          </w:tcPr>
          <w:p>
            <w:pPr>
              <w:spacing w:after="0"/>
              <w:rPr>
                <w:sz w:val="19"/>
                <w:szCs w:val="19"/>
                <w:color w:val="auto"/>
              </w:rPr>
            </w:pPr>
          </w:p>
        </w:tc>
      </w:tr>
      <w:tr>
        <w:trPr>
          <w:trHeight w:val="216"/>
        </w:trPr>
        <w:tc>
          <w:tcPr>
            <w:tcW w:w="5180" w:type="dxa"/>
            <w:vAlign w:val="bottom"/>
          </w:tcPr>
          <w:p>
            <w:pPr>
              <w:spacing w:after="0"/>
              <w:rPr>
                <w:sz w:val="18"/>
                <w:szCs w:val="18"/>
                <w:color w:val="auto"/>
              </w:rPr>
            </w:pPr>
          </w:p>
        </w:tc>
        <w:tc>
          <w:tcPr>
            <w:tcW w:w="3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11,741</w:t>
            </w:r>
          </w:p>
        </w:tc>
        <w:tc>
          <w:tcPr>
            <w:tcW w:w="60" w:type="dxa"/>
            <w:vAlign w:val="bottom"/>
          </w:tcPr>
          <w:p>
            <w:pPr>
              <w:spacing w:after="0"/>
              <w:rPr>
                <w:sz w:val="18"/>
                <w:szCs w:val="18"/>
                <w:color w:val="auto"/>
              </w:rPr>
            </w:pPr>
          </w:p>
        </w:tc>
      </w:tr>
      <w:tr>
        <w:trPr>
          <w:trHeight w:val="21"/>
        </w:trPr>
        <w:tc>
          <w:tcPr>
            <w:tcW w:w="5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jc w:val="both"/>
        <w:ind w:firstLine="486"/>
        <w:spacing w:after="0" w:line="255" w:lineRule="auto"/>
        <w:rPr>
          <w:sz w:val="20"/>
          <w:szCs w:val="20"/>
          <w:color w:val="auto"/>
        </w:rPr>
      </w:pPr>
      <w:r>
        <w:rPr>
          <w:rFonts w:ascii="Arial" w:cs="Arial" w:eastAsia="Arial" w:hAnsi="Arial"/>
          <w:sz w:val="18"/>
          <w:szCs w:val="18"/>
          <w:color w:val="auto"/>
        </w:rPr>
        <w:t>The fair value accounting framework provides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w:t>
      </w:r>
    </w:p>
    <w:p>
      <w:pPr>
        <w:spacing w:after="0" w:line="2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three levels of the fair value hierarchy are described below:</w:t>
      </w:r>
    </w:p>
    <w:p>
      <w:pPr>
        <w:spacing w:after="0" w:line="252" w:lineRule="exact"/>
        <w:rPr>
          <w:sz w:val="20"/>
          <w:szCs w:val="20"/>
          <w:color w:val="auto"/>
        </w:rPr>
      </w:pPr>
    </w:p>
    <w:p>
      <w:pPr>
        <w:ind w:left="1460" w:right="20" w:hanging="971"/>
        <w:spacing w:after="0" w:line="277" w:lineRule="auto"/>
        <w:tabs>
          <w:tab w:leader="none" w:pos="14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Inputs to the valuation methodology are unadjusted quoted prices for identical assets or liabilities in active markets that the Company has the ability to access.</w:t>
      </w:r>
    </w:p>
    <w:p>
      <w:pPr>
        <w:spacing w:after="0" w:line="197" w:lineRule="exact"/>
        <w:rPr>
          <w:sz w:val="20"/>
          <w:szCs w:val="20"/>
          <w:color w:val="auto"/>
        </w:rPr>
      </w:pPr>
    </w:p>
    <w:p>
      <w:pPr>
        <w:ind w:left="500"/>
        <w:spacing w:after="0"/>
        <w:tabs>
          <w:tab w:leader="none" w:pos="14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to the valuation methodology include:</w:t>
      </w:r>
    </w:p>
    <w:p>
      <w:pPr>
        <w:spacing w:after="0" w:line="23" w:lineRule="exact"/>
        <w:rPr>
          <w:sz w:val="20"/>
          <w:szCs w:val="20"/>
          <w:color w:val="auto"/>
        </w:rPr>
      </w:pPr>
    </w:p>
    <w:p>
      <w:pPr>
        <w:ind w:left="1740" w:hanging="111"/>
        <w:spacing w:after="0"/>
        <w:tabs>
          <w:tab w:leader="none" w:pos="1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9" w:lineRule="exact"/>
        <w:rPr>
          <w:rFonts w:ascii="Arial" w:cs="Arial" w:eastAsia="Arial" w:hAnsi="Arial"/>
          <w:sz w:val="18"/>
          <w:szCs w:val="18"/>
          <w:color w:val="auto"/>
        </w:rPr>
      </w:pPr>
    </w:p>
    <w:p>
      <w:pPr>
        <w:ind w:left="1740" w:hanging="111"/>
        <w:spacing w:after="0"/>
        <w:tabs>
          <w:tab w:leader="none" w:pos="1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inactive markets</w:t>
      </w:r>
    </w:p>
    <w:p>
      <w:pPr>
        <w:spacing w:after="0" w:line="9" w:lineRule="exact"/>
        <w:rPr>
          <w:rFonts w:ascii="Arial" w:cs="Arial" w:eastAsia="Arial" w:hAnsi="Arial"/>
          <w:sz w:val="18"/>
          <w:szCs w:val="18"/>
          <w:color w:val="auto"/>
        </w:rPr>
      </w:pPr>
    </w:p>
    <w:p>
      <w:pPr>
        <w:ind w:left="1740" w:hanging="111"/>
        <w:spacing w:after="0"/>
        <w:tabs>
          <w:tab w:leader="none" w:pos="1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Inputs other than quoted prices that are observable for the asset or liability;</w:t>
      </w:r>
    </w:p>
    <w:p>
      <w:pPr>
        <w:spacing w:after="0" w:line="9" w:lineRule="exact"/>
        <w:rPr>
          <w:rFonts w:ascii="Arial" w:cs="Arial" w:eastAsia="Arial" w:hAnsi="Arial"/>
          <w:sz w:val="18"/>
          <w:szCs w:val="18"/>
          <w:color w:val="auto"/>
        </w:rPr>
      </w:pPr>
    </w:p>
    <w:p>
      <w:pPr>
        <w:ind w:left="1740" w:hanging="111"/>
        <w:spacing w:after="0"/>
        <w:tabs>
          <w:tab w:leader="none" w:pos="1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Inputs that are derived principally from or corroborated by observable market data by correlation or other means.</w:t>
      </w:r>
    </w:p>
    <w:p>
      <w:pPr>
        <w:spacing w:after="0" w:line="238" w:lineRule="exact"/>
        <w:rPr>
          <w:sz w:val="20"/>
          <w:szCs w:val="20"/>
          <w:color w:val="auto"/>
        </w:rPr>
      </w:pPr>
    </w:p>
    <w:p>
      <w:pPr>
        <w:ind w:left="500"/>
        <w:spacing w:after="0"/>
        <w:tabs>
          <w:tab w:leader="none" w:pos="14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Inputs to the valuation methodology are unobservable and significant to the fair value measurement.</w:t>
      </w:r>
    </w:p>
    <w:p>
      <w:pPr>
        <w:spacing w:after="0" w:line="252"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asset’s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 All of the Company’s investments in marketable securities are Level 1 assets.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 w:type="dxa"/>
            <w:vAlign w:val="bottom"/>
          </w:tcPr>
          <w:p>
            <w:pPr>
              <w:jc w:val="right"/>
              <w:ind w:right="90"/>
              <w:spacing w:after="0"/>
              <w:rPr>
                <w:sz w:val="20"/>
                <w:szCs w:val="20"/>
                <w:color w:val="auto"/>
              </w:rPr>
            </w:pPr>
            <w:r>
              <w:rPr>
                <w:rFonts w:ascii="Arial" w:cs="Arial" w:eastAsia="Arial" w:hAnsi="Arial"/>
                <w:sz w:val="18"/>
                <w:szCs w:val="18"/>
                <w:color w:val="auto"/>
                <w:w w:val="79"/>
              </w:rPr>
              <w:t>6.</w:t>
            </w:r>
          </w:p>
        </w:tc>
        <w:tc>
          <w:tcPr>
            <w:tcW w:w="7540" w:type="dxa"/>
            <w:vAlign w:val="bottom"/>
            <w:gridSpan w:val="4"/>
          </w:tcPr>
          <w:p>
            <w:pPr>
              <w:ind w:left="180"/>
              <w:spacing w:after="0"/>
              <w:rPr>
                <w:sz w:val="20"/>
                <w:szCs w:val="20"/>
                <w:color w:val="auto"/>
              </w:rPr>
            </w:pPr>
            <w:r>
              <w:rPr>
                <w:rFonts w:ascii="Arial" w:cs="Arial" w:eastAsia="Arial" w:hAnsi="Arial"/>
                <w:sz w:val="18"/>
                <w:szCs w:val="18"/>
                <w:color w:val="auto"/>
              </w:rPr>
              <w:t>Property, Plant and Equipment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0" w:type="dxa"/>
            <w:vAlign w:val="bottom"/>
            <w:gridSpan w:val="2"/>
            <w:shd w:val="clear" w:color="auto" w:fill="000000"/>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80"/>
        </w:trPr>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360" w:type="dxa"/>
            <w:vAlign w:val="bottom"/>
            <w:gridSpan w:val="3"/>
          </w:tcPr>
          <w:p>
            <w:pPr>
              <w:ind w:left="40"/>
              <w:spacing w:after="0"/>
              <w:rPr>
                <w:sz w:val="20"/>
                <w:szCs w:val="20"/>
                <w:color w:val="auto"/>
              </w:rPr>
            </w:pPr>
            <w:r>
              <w:rPr>
                <w:rFonts w:ascii="Arial" w:cs="Arial" w:eastAsia="Arial" w:hAnsi="Arial"/>
                <w:sz w:val="18"/>
                <w:szCs w:val="18"/>
                <w:color w:val="auto"/>
                <w:w w:val="93"/>
              </w:rPr>
              <w:t>Property, plant and equipment at April 30, 2011 and 2010, consists of the following (in thousands):</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66"/>
        </w:trPr>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2011</w:t>
            </w:r>
          </w:p>
        </w:tc>
        <w:tc>
          <w:tcPr>
            <w:tcW w:w="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2010</w:t>
            </w:r>
          </w:p>
        </w:tc>
        <w:tc>
          <w:tcPr>
            <w:tcW w:w="80" w:type="dxa"/>
            <w:vAlign w:val="bottom"/>
          </w:tcPr>
          <w:p>
            <w:pPr>
              <w:spacing w:after="0"/>
              <w:rPr>
                <w:sz w:val="24"/>
                <w:szCs w:val="24"/>
                <w:color w:val="auto"/>
              </w:rPr>
            </w:pPr>
          </w:p>
        </w:tc>
      </w:tr>
      <w:tr>
        <w:trPr>
          <w:trHeight w:val="216"/>
        </w:trPr>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Buildings and building improvements</w:t>
            </w:r>
          </w:p>
        </w:tc>
        <w:tc>
          <w:tcPr>
            <w:tcW w:w="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4,896</w:t>
            </w:r>
          </w:p>
        </w:tc>
        <w:tc>
          <w:tcPr>
            <w:tcW w:w="160" w:type="dxa"/>
            <w:vAlign w:val="bottom"/>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4,322</w:t>
            </w:r>
          </w:p>
        </w:tc>
      </w:tr>
      <w:tr>
        <w:trPr>
          <w:trHeight w:val="216"/>
        </w:trPr>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Machinery, equipment and furniture</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40,498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38,639</w:t>
            </w:r>
          </w:p>
        </w:tc>
      </w:tr>
      <w:tr>
        <w:trPr>
          <w:trHeight w:val="27"/>
        </w:trPr>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5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45,394</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42,961</w:t>
            </w:r>
          </w:p>
        </w:tc>
      </w:tr>
      <w:tr>
        <w:trPr>
          <w:trHeight w:val="216"/>
        </w:trPr>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Less, accumulated depreciation</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38,231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35,946</w:t>
            </w:r>
          </w:p>
        </w:tc>
      </w:tr>
      <w:tr>
        <w:trPr>
          <w:trHeight w:val="27"/>
        </w:trPr>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37"/>
        </w:trPr>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60" w:type="dxa"/>
            <w:vAlign w:val="bottom"/>
            <w:shd w:val="clear" w:color="auto" w:fill="CCFFCC"/>
          </w:tcPr>
          <w:p>
            <w:pPr>
              <w:spacing w:after="0"/>
              <w:rPr>
                <w:sz w:val="20"/>
                <w:szCs w:val="20"/>
                <w:color w:val="auto"/>
              </w:rPr>
            </w:pPr>
          </w:p>
        </w:tc>
        <w:tc>
          <w:tcPr>
            <w:tcW w:w="516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7,163</w:t>
            </w:r>
          </w:p>
        </w:tc>
        <w:tc>
          <w:tcPr>
            <w:tcW w:w="160" w:type="dxa"/>
            <w:vAlign w:val="bottom"/>
            <w:shd w:val="clear" w:color="auto" w:fill="CCFFCC"/>
          </w:tcPr>
          <w:p>
            <w:pPr>
              <w:spacing w:after="0"/>
              <w:rPr>
                <w:sz w:val="20"/>
                <w:szCs w:val="20"/>
                <w:color w:val="auto"/>
              </w:rPr>
            </w:pPr>
          </w:p>
        </w:tc>
        <w:tc>
          <w:tcPr>
            <w:tcW w:w="160" w:type="dxa"/>
            <w:vAlign w:val="bottom"/>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7,015</w:t>
            </w:r>
          </w:p>
        </w:tc>
      </w:tr>
      <w:tr>
        <w:trPr>
          <w:trHeight w:val="20"/>
        </w:trPr>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60" w:type="dxa"/>
            <w:vAlign w:val="bottom"/>
            <w:tcBorders>
              <w:top w:val="single" w:sz="8" w:color="CCFFCC"/>
            </w:tcBorders>
            <w:shd w:val="clear" w:color="auto" w:fill="CCFFCC"/>
          </w:tcPr>
          <w:p>
            <w:pPr>
              <w:spacing w:after="0" w:line="20" w:lineRule="exact"/>
              <w:rPr>
                <w:sz w:val="1"/>
                <w:szCs w:val="1"/>
                <w:color w:val="auto"/>
              </w:rPr>
            </w:pPr>
          </w:p>
        </w:tc>
        <w:tc>
          <w:tcPr>
            <w:tcW w:w="516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bl>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Depreciation expense for the years ended April 30, 2011 and 2010 was $1,937,000 and $1,938,000 respectively.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Maintenance and repairs charged to operations for the years ended April 30, 2011 and 2010 was approximately $701,000 and $526,000, respectively.</w:t>
      </w:r>
    </w:p>
    <w:p>
      <w:pPr>
        <w:spacing w:after="0" w:line="275"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In fiscal year 1998, the Company sold the Long Island, New York building that it occupies to Reckson Associates Realty Corp., and leased back approximately 43% of the building from the purchaser (the "Reckson lease"). Annual rental payments were $400,000 for the initial 11-year term which ended in January 2009. During fiscal year 2009, the Company renewed the lease with Reckson for the first 5-year renewal period at an annual rental of $600,000. The lease will end in January 2014 unless the Company exercises its option to continue the lease for a second 5-year renewal period with annual rental of $800,000. Under the terms of the lease, the Company is required to pay its proportional share of real estate taxes, insurance and other charges.</w:t>
      </w:r>
    </w:p>
    <w:p>
      <w:pPr>
        <w:spacing w:after="0" w:line="185"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In addition, the Company’s subsidiaries in China, France and California lease their office and manufacturing facilities. The lease for the FEI-Asia facility is for a one-year term with monthly rent of $6,700 through February 2012. FEI-Zyfer lease office and manufacturing space encompassing 27,850 square feet. Monthly rental payments are currently $27,000 and increase each year over the remaining 76 months of the lease term. Satel-FEI, a wholly-owned subsidiary of Gillam-FEI, occupies office space under a 9-year lease, cancelable after three years, at an approximate rate of $1,100 per month.</w:t>
      </w:r>
    </w:p>
    <w:p>
      <w:pPr>
        <w:spacing w:after="0" w:line="18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Rent expense under operating leases for the fiscal years ended April 30, 2011 and 2010 was approximately $1.0 million each year. The Company records rent expense on its New York building and FEI-Zyfer facility on the straightline method over the lives of the respective leases. As a result, as of April 30, 2011 and 2010, the Company’s balance sheet includes deferred rent of approximately $408,000 and $466,000, respectively, which will be amortized over the respective rental periods.</w:t>
      </w:r>
    </w:p>
    <w:p>
      <w:pPr>
        <w:spacing w:after="0" w:line="214"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During fiscal years 2011 and 2008, the Company acquired manufacturing equipment of approximately $30,000 and $1.2 million, respectively, which were financed by capital leases. At the end of the lease terms, the Company may retain the equipment for a nominal charge.</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Future minimum lease payments required by the leases are as follows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840" w:type="dxa"/>
            <w:vAlign w:val="bottom"/>
          </w:tcPr>
          <w:p>
            <w:pPr>
              <w:jc w:val="center"/>
              <w:ind w:right="2010"/>
              <w:spacing w:after="0"/>
              <w:rPr>
                <w:sz w:val="20"/>
                <w:szCs w:val="20"/>
                <w:color w:val="auto"/>
              </w:rPr>
            </w:pPr>
            <w:r>
              <w:rPr>
                <w:rFonts w:ascii="Arial" w:cs="Arial" w:eastAsia="Arial" w:hAnsi="Arial"/>
                <w:sz w:val="18"/>
                <w:szCs w:val="18"/>
                <w:color w:val="auto"/>
                <w:w w:val="88"/>
              </w:rPr>
              <w:t>Years ending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20" w:type="dxa"/>
            <w:vAlign w:val="bottom"/>
          </w:tcPr>
          <w:p>
            <w:pPr>
              <w:spacing w:after="0"/>
              <w:rPr>
                <w:sz w:val="20"/>
                <w:szCs w:val="20"/>
                <w:color w:val="auto"/>
              </w:rPr>
            </w:pPr>
          </w:p>
        </w:tc>
        <w:tc>
          <w:tcPr>
            <w:tcW w:w="2080" w:type="dxa"/>
            <w:vAlign w:val="bottom"/>
            <w:tcBorders>
              <w:bottom w:val="single" w:sz="8" w:color="auto"/>
            </w:tcBorders>
          </w:tcPr>
          <w:p>
            <w:pPr>
              <w:spacing w:after="0"/>
              <w:rPr>
                <w:sz w:val="20"/>
                <w:szCs w:val="20"/>
                <w:color w:val="auto"/>
              </w:rPr>
            </w:pPr>
          </w:p>
        </w:tc>
        <w:tc>
          <w:tcPr>
            <w:tcW w:w="3840" w:type="dxa"/>
            <w:vAlign w:val="bottom"/>
            <w:tcBorders>
              <w:bottom w:val="single" w:sz="8" w:color="auto"/>
            </w:tcBorders>
          </w:tcPr>
          <w:p>
            <w:pPr>
              <w:jc w:val="center"/>
              <w:ind w:right="2010"/>
              <w:spacing w:after="0"/>
              <w:rPr>
                <w:sz w:val="20"/>
                <w:szCs w:val="20"/>
                <w:color w:val="auto"/>
              </w:rPr>
            </w:pPr>
            <w:r>
              <w:rPr>
                <w:rFonts w:ascii="Arial" w:cs="Arial" w:eastAsia="Arial" w:hAnsi="Arial"/>
                <w:sz w:val="18"/>
                <w:szCs w:val="18"/>
                <w:color w:val="auto"/>
                <w:w w:val="99"/>
              </w:rPr>
              <w:t>April 30,</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8"/>
              </w:rPr>
              <w:t>Operating Leases</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4"/>
              </w:rPr>
              <w:t>Capital Lease</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920" w:type="dxa"/>
            <w:vAlign w:val="bottom"/>
            <w:gridSpan w:val="2"/>
            <w:shd w:val="clear" w:color="auto" w:fill="CCFFCC"/>
          </w:tcPr>
          <w:p>
            <w:pPr>
              <w:jc w:val="center"/>
              <w:spacing w:after="0"/>
              <w:rPr>
                <w:sz w:val="20"/>
                <w:szCs w:val="20"/>
                <w:color w:val="auto"/>
              </w:rPr>
            </w:pPr>
            <w:r>
              <w:rPr>
                <w:rFonts w:ascii="Arial" w:cs="Arial" w:eastAsia="Arial" w:hAnsi="Arial"/>
                <w:sz w:val="18"/>
                <w:szCs w:val="18"/>
                <w:color w:val="auto"/>
                <w:w w:val="89"/>
              </w:rPr>
              <w:t>2012</w:t>
            </w:r>
          </w:p>
        </w:tc>
        <w:tc>
          <w:tcPr>
            <w:tcW w:w="2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1,003</w:t>
            </w: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920" w:type="dxa"/>
            <w:vAlign w:val="bottom"/>
            <w:gridSpan w:val="2"/>
          </w:tcPr>
          <w:p>
            <w:pPr>
              <w:jc w:val="center"/>
              <w:spacing w:after="0"/>
              <w:rPr>
                <w:sz w:val="20"/>
                <w:szCs w:val="20"/>
                <w:color w:val="auto"/>
              </w:rPr>
            </w:pPr>
            <w:r>
              <w:rPr>
                <w:rFonts w:ascii="Arial" w:cs="Arial" w:eastAsia="Arial" w:hAnsi="Arial"/>
                <w:sz w:val="18"/>
                <w:szCs w:val="18"/>
                <w:color w:val="auto"/>
                <w:w w:val="89"/>
              </w:rPr>
              <w:t>2013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949</w:t>
            </w:r>
          </w:p>
        </w:tc>
        <w:tc>
          <w:tcPr>
            <w:tcW w:w="18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920" w:type="dxa"/>
            <w:vAlign w:val="bottom"/>
            <w:gridSpan w:val="2"/>
            <w:shd w:val="clear" w:color="auto" w:fill="CCFFCC"/>
          </w:tcPr>
          <w:p>
            <w:pPr>
              <w:jc w:val="center"/>
              <w:spacing w:after="0"/>
              <w:rPr>
                <w:sz w:val="20"/>
                <w:szCs w:val="20"/>
                <w:color w:val="auto"/>
              </w:rPr>
            </w:pPr>
            <w:r>
              <w:rPr>
                <w:rFonts w:ascii="Arial" w:cs="Arial" w:eastAsia="Arial" w:hAnsi="Arial"/>
                <w:sz w:val="18"/>
                <w:szCs w:val="18"/>
                <w:color w:val="auto"/>
                <w:w w:val="89"/>
              </w:rPr>
              <w:t>2014</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5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709</w:t>
            </w:r>
          </w:p>
        </w:tc>
        <w:tc>
          <w:tcPr>
            <w:tcW w:w="18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920" w:type="dxa"/>
            <w:vAlign w:val="bottom"/>
            <w:gridSpan w:val="2"/>
          </w:tcPr>
          <w:p>
            <w:pPr>
              <w:jc w:val="center"/>
              <w:spacing w:after="0"/>
              <w:rPr>
                <w:sz w:val="20"/>
                <w:szCs w:val="20"/>
                <w:color w:val="auto"/>
              </w:rPr>
            </w:pPr>
            <w:r>
              <w:rPr>
                <w:rFonts w:ascii="Arial" w:cs="Arial" w:eastAsia="Arial" w:hAnsi="Arial"/>
                <w:sz w:val="18"/>
                <w:szCs w:val="18"/>
                <w:color w:val="auto"/>
                <w:w w:val="89"/>
              </w:rPr>
              <w:t>2015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369</w:t>
            </w:r>
          </w:p>
        </w:tc>
        <w:tc>
          <w:tcPr>
            <w:tcW w:w="18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920" w:type="dxa"/>
            <w:vAlign w:val="bottom"/>
            <w:gridSpan w:val="2"/>
            <w:shd w:val="clear" w:color="auto" w:fill="CCFFCC"/>
          </w:tcPr>
          <w:p>
            <w:pPr>
              <w:jc w:val="center"/>
              <w:spacing w:after="0"/>
              <w:rPr>
                <w:sz w:val="20"/>
                <w:szCs w:val="20"/>
                <w:color w:val="auto"/>
              </w:rPr>
            </w:pPr>
            <w:r>
              <w:rPr>
                <w:rFonts w:ascii="Arial" w:cs="Arial" w:eastAsia="Arial" w:hAnsi="Arial"/>
                <w:sz w:val="18"/>
                <w:szCs w:val="18"/>
                <w:color w:val="auto"/>
                <w:w w:val="89"/>
              </w:rPr>
              <w:t>2016</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5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365</w:t>
            </w:r>
          </w:p>
        </w:tc>
        <w:tc>
          <w:tcPr>
            <w:tcW w:w="18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840" w:type="dxa"/>
            <w:vAlign w:val="bottom"/>
          </w:tcPr>
          <w:p>
            <w:pPr>
              <w:jc w:val="center"/>
              <w:ind w:right="2010"/>
              <w:spacing w:after="0"/>
              <w:rPr>
                <w:sz w:val="20"/>
                <w:szCs w:val="20"/>
                <w:color w:val="auto"/>
              </w:rPr>
            </w:pPr>
            <w:r>
              <w:rPr>
                <w:rFonts w:ascii="Arial" w:cs="Arial" w:eastAsia="Arial" w:hAnsi="Arial"/>
                <w:sz w:val="18"/>
                <w:szCs w:val="18"/>
                <w:color w:val="auto"/>
                <w:w w:val="89"/>
              </w:rPr>
              <w:t>Thereafter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499</w:t>
            </w:r>
          </w:p>
        </w:tc>
        <w:tc>
          <w:tcPr>
            <w:tcW w:w="18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920" w:type="dxa"/>
            <w:vAlign w:val="bottom"/>
            <w:gridSpan w:val="2"/>
            <w:shd w:val="clear" w:color="auto" w:fill="CCFFCC"/>
          </w:tcPr>
          <w:p>
            <w:pPr>
              <w:jc w:val="center"/>
              <w:spacing w:after="0"/>
              <w:rPr>
                <w:sz w:val="20"/>
                <w:szCs w:val="20"/>
                <w:color w:val="auto"/>
              </w:rPr>
            </w:pPr>
            <w:r>
              <w:rPr>
                <w:rFonts w:ascii="Arial" w:cs="Arial" w:eastAsia="Arial" w:hAnsi="Arial"/>
                <w:sz w:val="18"/>
                <w:szCs w:val="18"/>
                <w:color w:val="auto"/>
                <w:w w:val="88"/>
              </w:rPr>
              <w:t>Less amounts representing interest</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2080" w:type="dxa"/>
            <w:vAlign w:val="bottom"/>
            <w:shd w:val="clear" w:color="auto" w:fill="CCFFCC"/>
          </w:tcPr>
          <w:p>
            <w:pPr>
              <w:spacing w:after="0"/>
              <w:rPr>
                <w:sz w:val="2"/>
                <w:szCs w:val="2"/>
                <w:color w:val="auto"/>
              </w:rPr>
            </w:pPr>
          </w:p>
        </w:tc>
        <w:tc>
          <w:tcPr>
            <w:tcW w:w="384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0" w:type="dxa"/>
            <w:vAlign w:val="bottom"/>
          </w:tcPr>
          <w:p>
            <w:pPr>
              <w:spacing w:after="0"/>
              <w:rPr>
                <w:sz w:val="18"/>
                <w:szCs w:val="18"/>
                <w:color w:val="auto"/>
              </w:rPr>
            </w:pPr>
          </w:p>
        </w:tc>
        <w:tc>
          <w:tcPr>
            <w:tcW w:w="592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90"/>
              </w:rPr>
              <w:t>Present value of future minimum lease payments</w:t>
            </w:r>
          </w:p>
        </w:tc>
        <w:tc>
          <w:tcPr>
            <w:tcW w:w="2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3,894</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1"/>
        </w:trPr>
        <w:tc>
          <w:tcPr>
            <w:tcW w:w="5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520" w:type="dxa"/>
            <w:vAlign w:val="bottom"/>
          </w:tcPr>
          <w:p>
            <w:pPr>
              <w:spacing w:after="0"/>
              <w:rPr>
                <w:sz w:val="18"/>
                <w:szCs w:val="18"/>
                <w:color w:val="auto"/>
              </w:rPr>
            </w:pPr>
          </w:p>
        </w:tc>
        <w:tc>
          <w:tcPr>
            <w:tcW w:w="2080" w:type="dxa"/>
            <w:vAlign w:val="bottom"/>
            <w:tcBorders>
              <w:bottom w:val="single" w:sz="8" w:color="CCFFCC"/>
            </w:tcBorders>
            <w:shd w:val="clear" w:color="auto" w:fill="CCFFCC"/>
          </w:tcPr>
          <w:p>
            <w:pPr>
              <w:spacing w:after="0"/>
              <w:rPr>
                <w:sz w:val="18"/>
                <w:szCs w:val="18"/>
                <w:color w:val="auto"/>
              </w:rPr>
            </w:pPr>
          </w:p>
        </w:tc>
        <w:tc>
          <w:tcPr>
            <w:tcW w:w="3840" w:type="dxa"/>
            <w:vAlign w:val="bottom"/>
            <w:tcBorders>
              <w:bottom w:val="single" w:sz="8" w:color="CCFFCC"/>
            </w:tcBorders>
            <w:shd w:val="clear" w:color="auto" w:fill="CCFFCC"/>
          </w:tcPr>
          <w:p>
            <w:pPr>
              <w:jc w:val="center"/>
              <w:ind w:right="2010"/>
              <w:spacing w:after="0"/>
              <w:rPr>
                <w:sz w:val="20"/>
                <w:szCs w:val="20"/>
                <w:color w:val="auto"/>
              </w:rPr>
            </w:pPr>
            <w:r>
              <w:rPr>
                <w:rFonts w:ascii="Arial" w:cs="Arial" w:eastAsia="Arial" w:hAnsi="Arial"/>
                <w:sz w:val="18"/>
                <w:szCs w:val="18"/>
                <w:color w:val="auto"/>
                <w:w w:val="91"/>
              </w:rPr>
              <w:t>Less: Current portion</w:t>
            </w:r>
          </w:p>
        </w:tc>
        <w:tc>
          <w:tcPr>
            <w:tcW w:w="10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1400" w:type="dxa"/>
            <w:vAlign w:val="bottom"/>
            <w:tcBorders>
              <w:bottom w:val="single" w:sz="8" w:color="CCFFCC"/>
            </w:tcBorders>
            <w:shd w:val="clear" w:color="auto" w:fill="CCFFCC"/>
          </w:tcPr>
          <w:p>
            <w:pPr>
              <w:spacing w:after="0"/>
              <w:rPr>
                <w:sz w:val="18"/>
                <w:szCs w:val="18"/>
                <w:color w:val="auto"/>
              </w:rPr>
            </w:pPr>
          </w:p>
        </w:tc>
        <w:tc>
          <w:tcPr>
            <w:tcW w:w="160" w:type="dxa"/>
            <w:vAlign w:val="bottom"/>
            <w:tcBorders>
              <w:bottom w:val="single" w:sz="8" w:color="CCFFCC"/>
            </w:tcBorders>
            <w:shd w:val="clear" w:color="auto" w:fill="CCFFCC"/>
          </w:tcPr>
          <w:p>
            <w:pPr>
              <w:spacing w:after="0"/>
              <w:rPr>
                <w:sz w:val="18"/>
                <w:szCs w:val="18"/>
                <w:color w:val="auto"/>
              </w:rPr>
            </w:pPr>
          </w:p>
        </w:tc>
        <w:tc>
          <w:tcPr>
            <w:tcW w:w="180" w:type="dxa"/>
            <w:vAlign w:val="bottom"/>
            <w:tcBorders>
              <w:bottom w:val="single" w:sz="8" w:color="auto"/>
            </w:tcBorders>
            <w:shd w:val="clear" w:color="auto" w:fill="CCFFCC"/>
          </w:tcPr>
          <w:p>
            <w:pPr>
              <w:spacing w:after="0"/>
              <w:rPr>
                <w:sz w:val="18"/>
                <w:szCs w:val="18"/>
                <w:color w:val="auto"/>
              </w:rPr>
            </w:pPr>
          </w:p>
        </w:tc>
        <w:tc>
          <w:tcPr>
            <w:tcW w:w="13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275</w:t>
            </w:r>
          </w:p>
        </w:tc>
        <w:tc>
          <w:tcPr>
            <w:tcW w:w="8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920" w:type="dxa"/>
            <w:vAlign w:val="bottom"/>
            <w:gridSpan w:val="2"/>
          </w:tcPr>
          <w:p>
            <w:pPr>
              <w:jc w:val="center"/>
              <w:spacing w:after="0"/>
              <w:rPr>
                <w:sz w:val="20"/>
                <w:szCs w:val="20"/>
                <w:color w:val="auto"/>
              </w:rPr>
            </w:pPr>
            <w:r>
              <w:rPr>
                <w:rFonts w:ascii="Arial" w:cs="Arial" w:eastAsia="Arial" w:hAnsi="Arial"/>
                <w:sz w:val="18"/>
                <w:szCs w:val="18"/>
                <w:color w:val="auto"/>
                <w:w w:val="92"/>
              </w:rPr>
              <w:t>Long-term portion, lease obligation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
        </w:trPr>
        <w:tc>
          <w:tcPr>
            <w:tcW w:w="520" w:type="dxa"/>
            <w:vAlign w:val="bottom"/>
            <w:vMerge w:val="restart"/>
          </w:tcPr>
          <w:p>
            <w:pPr>
              <w:jc w:val="right"/>
              <w:ind w:right="290"/>
              <w:spacing w:after="0"/>
              <w:rPr>
                <w:sz w:val="20"/>
                <w:szCs w:val="20"/>
                <w:color w:val="auto"/>
              </w:rPr>
            </w:pPr>
            <w:r>
              <w:rPr>
                <w:rFonts w:ascii="Arial" w:cs="Arial" w:eastAsia="Arial" w:hAnsi="Arial"/>
                <w:sz w:val="18"/>
                <w:szCs w:val="18"/>
                <w:color w:val="auto"/>
                <w:w w:val="79"/>
              </w:rPr>
              <w:t>7.</w:t>
            </w:r>
          </w:p>
        </w:tc>
        <w:tc>
          <w:tcPr>
            <w:tcW w:w="5920" w:type="dxa"/>
            <w:vAlign w:val="bottom"/>
            <w:gridSpan w:val="2"/>
            <w:vMerge w:val="restart"/>
          </w:tcPr>
          <w:p>
            <w:pPr>
              <w:spacing w:after="0"/>
              <w:rPr>
                <w:sz w:val="20"/>
                <w:szCs w:val="20"/>
                <w:color w:val="auto"/>
              </w:rPr>
            </w:pPr>
            <w:r>
              <w:rPr>
                <w:rFonts w:ascii="Arial" w:cs="Arial" w:eastAsia="Arial" w:hAnsi="Arial"/>
                <w:sz w:val="18"/>
                <w:szCs w:val="18"/>
                <w:color w:val="auto"/>
              </w:rPr>
              <w:t>Short-Term Debt Obligations</w:t>
            </w: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520" w:type="dxa"/>
            <w:vAlign w:val="bottom"/>
            <w:vMerge w:val="continue"/>
          </w:tcPr>
          <w:p>
            <w:pPr>
              <w:spacing w:after="0"/>
              <w:rPr>
                <w:sz w:val="24"/>
                <w:szCs w:val="24"/>
                <w:color w:val="auto"/>
              </w:rPr>
            </w:pPr>
          </w:p>
        </w:tc>
        <w:tc>
          <w:tcPr>
            <w:tcW w:w="59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tcBorders>
              <w:right w:val="single" w:sz="8" w:color="auto"/>
            </w:tcBorders>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Company has a $7.4 million line of credit with the financial institution which also manages a substantial portion of its investment in marketable securities. The line is secured by the investments and has no maturity date so long as the Company maintains its investments with the financial institution. During fiscal year 2010, the Company paid off the remaining $1.1 million balance and has not borrowed against it since. During fiscal year 2010, advances against the line of credit bore interest at variable interest rates between 1.51% and 1.66%.</w:t>
      </w:r>
    </w:p>
    <w:p>
      <w:pPr>
        <w:spacing w:after="0" w:line="214"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Company’s European subsidiaries have available approximately 1.9 million Euros (approximately $2.5 million based on current rates of exchange between the dollar and the Euro) in bank credit lines to meet short-term cash flow requirements. As of April 30, 2011, no amount was outstanding under such lines of credit. Borrowings under the bank credit lines, if any, must be repaid within one year of receipt of funds. Interest on these credit lines varies from 0.5% to 1.5% over the EURO Interbank Offered rate (EURIBOR). At April 30, 2011 and 2010, the rate was 1.244% and 0.411%, respectively, based on the 1 month EURIBOR.</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252" w:lineRule="exact"/>
        <w:rPr>
          <w:sz w:val="20"/>
          <w:szCs w:val="20"/>
          <w:color w:val="auto"/>
        </w:rPr>
      </w:pPr>
    </w:p>
    <w:p>
      <w:pPr>
        <w:ind w:left="500" w:hanging="49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Accrued Liabilities</w:t>
      </w:r>
    </w:p>
    <w:p>
      <w:pPr>
        <w:spacing w:after="0" w:line="252"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Accrued liabilities at April 30, 2011 and 2010 consist of the following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2011</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2010</w:t>
            </w:r>
          </w:p>
        </w:tc>
        <w:tc>
          <w:tcPr>
            <w:tcW w:w="80" w:type="dxa"/>
            <w:vAlign w:val="bottom"/>
          </w:tcPr>
          <w:p>
            <w:pPr>
              <w:spacing w:after="0"/>
              <w:rPr>
                <w:sz w:val="20"/>
                <w:szCs w:val="20"/>
                <w:color w:val="auto"/>
              </w:rPr>
            </w:pPr>
          </w:p>
        </w:tc>
      </w:tr>
      <w:tr>
        <w:trPr>
          <w:trHeight w:val="216"/>
        </w:trPr>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Vacation and other compensation</w:t>
            </w:r>
          </w:p>
        </w:tc>
        <w:tc>
          <w:tcPr>
            <w:tcW w:w="22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1,848</w:t>
            </w: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1,156</w:t>
            </w:r>
          </w:p>
        </w:tc>
        <w:tc>
          <w:tcPr>
            <w:tcW w:w="80" w:type="dxa"/>
            <w:vAlign w:val="bottom"/>
            <w:shd w:val="clear" w:color="auto" w:fill="CCFFCC"/>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Payroll taxes</w:t>
            </w:r>
          </w:p>
        </w:tc>
        <w:tc>
          <w:tcPr>
            <w:tcW w:w="2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1,761</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1,464</w:t>
            </w:r>
          </w:p>
        </w:tc>
        <w:tc>
          <w:tcPr>
            <w:tcW w:w="8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Advances from customers</w:t>
            </w:r>
          </w:p>
        </w:tc>
        <w:tc>
          <w:tcPr>
            <w:tcW w:w="20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554</w:t>
            </w:r>
          </w:p>
        </w:tc>
        <w:tc>
          <w:tcPr>
            <w:tcW w:w="180" w:type="dxa"/>
            <w:vAlign w:val="bottom"/>
            <w:shd w:val="clear" w:color="auto" w:fill="CCFFCC"/>
          </w:tcPr>
          <w:p>
            <w:pPr>
              <w:spacing w:after="0"/>
              <w:rPr>
                <w:sz w:val="18"/>
                <w:szCs w:val="18"/>
                <w:color w:val="auto"/>
              </w:rPr>
            </w:pP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1,469</w:t>
            </w:r>
          </w:p>
        </w:tc>
        <w:tc>
          <w:tcPr>
            <w:tcW w:w="80" w:type="dxa"/>
            <w:vAlign w:val="bottom"/>
            <w:shd w:val="clear" w:color="auto" w:fill="CCFFCC"/>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Other</w:t>
            </w:r>
          </w:p>
        </w:tc>
        <w:tc>
          <w:tcPr>
            <w:tcW w:w="2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1,294</w:t>
            </w:r>
          </w:p>
        </w:tc>
        <w:tc>
          <w:tcPr>
            <w:tcW w:w="1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958</w:t>
            </w:r>
          </w:p>
        </w:tc>
      </w:tr>
      <w:tr>
        <w:trPr>
          <w:trHeight w:val="27"/>
        </w:trPr>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37"/>
        </w:trPr>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shd w:val="clear" w:color="auto" w:fill="CCFFCC"/>
          </w:tcPr>
          <w:p>
            <w:pPr>
              <w:spacing w:after="0"/>
              <w:rPr>
                <w:sz w:val="20"/>
                <w:szCs w:val="20"/>
                <w:color w:val="auto"/>
              </w:rPr>
            </w:pPr>
          </w:p>
        </w:tc>
        <w:tc>
          <w:tcPr>
            <w:tcW w:w="2860" w:type="dxa"/>
            <w:vAlign w:val="bottom"/>
            <w:shd w:val="clear" w:color="auto" w:fill="CCFFCC"/>
          </w:tcPr>
          <w:p>
            <w:pPr>
              <w:spacing w:after="0"/>
              <w:rPr>
                <w:sz w:val="20"/>
                <w:szCs w:val="20"/>
                <w:color w:val="auto"/>
              </w:rPr>
            </w:pPr>
          </w:p>
        </w:tc>
        <w:tc>
          <w:tcPr>
            <w:tcW w:w="22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5,457</w:t>
            </w: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5,047</w:t>
            </w:r>
          </w:p>
        </w:tc>
        <w:tc>
          <w:tcPr>
            <w:tcW w:w="80" w:type="dxa"/>
            <w:vAlign w:val="bottom"/>
            <w:shd w:val="clear" w:color="auto" w:fill="CCFFCC"/>
          </w:tcPr>
          <w:p>
            <w:pPr>
              <w:spacing w:after="0"/>
              <w:rPr>
                <w:sz w:val="20"/>
                <w:szCs w:val="20"/>
                <w:color w:val="auto"/>
              </w:rPr>
            </w:pPr>
          </w:p>
        </w:tc>
      </w:tr>
      <w:tr>
        <w:trPr>
          <w:trHeight w:val="20"/>
        </w:trPr>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Borders>
              <w:top w:val="single" w:sz="8" w:color="CCFFCC"/>
            </w:tcBorders>
            <w:shd w:val="clear" w:color="auto" w:fill="CCFFCC"/>
          </w:tcPr>
          <w:p>
            <w:pPr>
              <w:spacing w:after="0" w:line="20" w:lineRule="exact"/>
              <w:rPr>
                <w:sz w:val="1"/>
                <w:szCs w:val="1"/>
                <w:color w:val="auto"/>
              </w:rPr>
            </w:pPr>
          </w:p>
        </w:tc>
        <w:tc>
          <w:tcPr>
            <w:tcW w:w="2860" w:type="dxa"/>
            <w:vAlign w:val="bottom"/>
            <w:tcBorders>
              <w:top w:val="single" w:sz="8" w:color="CCFFCC"/>
            </w:tcBorders>
            <w:shd w:val="clear" w:color="auto" w:fill="CCFFCC"/>
          </w:tcPr>
          <w:p>
            <w:pPr>
              <w:spacing w:after="0" w:line="20" w:lineRule="exact"/>
              <w:rPr>
                <w:sz w:val="1"/>
                <w:szCs w:val="1"/>
                <w:color w:val="auto"/>
              </w:rPr>
            </w:pPr>
          </w:p>
        </w:tc>
        <w:tc>
          <w:tcPr>
            <w:tcW w:w="20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r>
        <w:trPr>
          <w:trHeight w:val="412"/>
        </w:trPr>
        <w:tc>
          <w:tcPr>
            <w:tcW w:w="500" w:type="dxa"/>
            <w:vAlign w:val="bottom"/>
          </w:tcPr>
          <w:p>
            <w:pPr>
              <w:jc w:val="right"/>
              <w:ind w:right="270"/>
              <w:spacing w:after="0"/>
              <w:rPr>
                <w:sz w:val="20"/>
                <w:szCs w:val="20"/>
                <w:color w:val="auto"/>
              </w:rPr>
            </w:pPr>
            <w:r>
              <w:rPr>
                <w:rFonts w:ascii="Arial" w:cs="Arial" w:eastAsia="Arial" w:hAnsi="Arial"/>
                <w:sz w:val="18"/>
                <w:szCs w:val="18"/>
                <w:color w:val="auto"/>
                <w:w w:val="79"/>
              </w:rPr>
              <w:t>9.</w:t>
            </w:r>
          </w:p>
        </w:tc>
        <w:tc>
          <w:tcPr>
            <w:tcW w:w="4780" w:type="dxa"/>
            <w:vAlign w:val="bottom"/>
            <w:gridSpan w:val="3"/>
          </w:tcPr>
          <w:p>
            <w:pPr>
              <w:spacing w:after="0"/>
              <w:rPr>
                <w:sz w:val="20"/>
                <w:szCs w:val="20"/>
                <w:color w:val="auto"/>
              </w:rPr>
            </w:pPr>
            <w:r>
              <w:rPr>
                <w:rFonts w:ascii="Arial" w:cs="Arial" w:eastAsia="Arial" w:hAnsi="Arial"/>
                <w:sz w:val="18"/>
                <w:szCs w:val="18"/>
                <w:color w:val="auto"/>
              </w:rPr>
              <w:t>Investment in Morion, Inc.</w:t>
            </w:r>
          </w:p>
        </w:tc>
        <w:tc>
          <w:tcPr>
            <w:tcW w:w="2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5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right="20" w:firstLine="486"/>
        <w:spacing w:after="0" w:line="286" w:lineRule="auto"/>
        <w:rPr>
          <w:sz w:val="20"/>
          <w:szCs w:val="20"/>
          <w:color w:val="auto"/>
        </w:rPr>
      </w:pPr>
      <w:r>
        <w:rPr>
          <w:rFonts w:ascii="Arial" w:cs="Arial" w:eastAsia="Arial" w:hAnsi="Arial"/>
          <w:sz w:val="17"/>
          <w:szCs w:val="17"/>
          <w:color w:val="auto"/>
        </w:rPr>
        <w:t>The Company has an investment in Morion, Inc., a privately-held Russian company, which manufactures high precision quartz resonators and crystal oscillators. The Company’s investment consists of 4.6% of Morion’s outstanding shares, accordingly, the Company accounts for its investment in Morion on the cost basis. This investment is included in investment in and loans receivable from affiliates in the accompanying balance sheets.</w:t>
      </w:r>
    </w:p>
    <w:p>
      <w:pPr>
        <w:spacing w:after="0" w:line="193"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During the fiscal years ended April 30, 2011 and 2010, the Company acquired product from Morion in the aggregate amount of approximately $151,000 and $292,000, respectively, and the Company sold product to Morion in the aggregate amount of approximately $309,000 and $103,000, respectively. At April 30, 2011, accounts receivable included $61,000 due from Morion and accounts payable included $75,000 due to Morion.</w:t>
      </w:r>
    </w:p>
    <w:p>
      <w:pPr>
        <w:spacing w:after="0" w:line="193" w:lineRule="exact"/>
        <w:rPr>
          <w:sz w:val="20"/>
          <w:szCs w:val="20"/>
          <w:color w:val="auto"/>
        </w:rPr>
      </w:pPr>
    </w:p>
    <w:p>
      <w:pPr>
        <w:ind w:left="500" w:hanging="492"/>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Goodwill and Other Intangible Assets</w:t>
      </w:r>
    </w:p>
    <w:p>
      <w:pPr>
        <w:spacing w:after="0" w:line="252"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During fiscal year 2004 the Company acquired FEI-Zyfer, Inc. (“FEI-Zyfer”). This acquisition resulted in the recording of $218,000 in goodwill. Management has determined that this goodwill is not impaired as of April 30, 2011 and 2010.</w:t>
      </w:r>
    </w:p>
    <w:p>
      <w:pPr>
        <w:spacing w:after="0" w:line="197" w:lineRule="exact"/>
        <w:rPr>
          <w:sz w:val="20"/>
          <w:szCs w:val="20"/>
          <w:color w:val="auto"/>
        </w:rPr>
      </w:pPr>
    </w:p>
    <w:p>
      <w:pPr>
        <w:ind w:left="500" w:hanging="492"/>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Investment in Elcom Technologies, Inc.</w:t>
      </w:r>
    </w:p>
    <w:p>
      <w:pPr>
        <w:spacing w:after="0" w:line="252"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Company has a 25% interest (20% on a fully-diluted basis) in the outstanding shares of Elcom Technologies, Inc., a privately-held company which designs and manufactures advanced RF microwave devices. The Company and Elcom have also entered into a mutual business and facilities support agreement and Frequency Electronics obtained an exclusive license to use Elcom’s technology in space-borne applications. The Company’s investment consists of preferred stock, a five-year $1.5 million convertible note, with interest payable at the prime rate, and a 10-year warrant to purchase additional stock. The Company accounts for this investment on the equity method. This investment is included in investment in and loans receivable from affiliates in the accompanying balance sheets.</w:t>
      </w:r>
    </w:p>
    <w:p>
      <w:pPr>
        <w:spacing w:after="0" w:line="220"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Company measures the current market value of Elcom based on comparisons to comparable companies as well as Elcom’s forecasts of future financial results. For the year ended April 30, 2010, in addition to its equity share in the income or loss of Elcom during the year, the Company determined that its investment was impaired and recorded impairment charges in the amount $550,000. No impairment charges were recorded during the year ended April 30, 2011. At March 31, 2011, Elcom had total assets of approximately $7.0 million, total liabilities of approximately $4.8 million and stockholders’ equity of $2.1 million.</w:t>
      </w:r>
    </w:p>
    <w:p>
      <w:pPr>
        <w:spacing w:after="0" w:line="215"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During the fiscal years ended April 30, 2011 and 2010, the Company acquired technical services from Elcom in the aggregate amount of approximately $317,000 and $41,000, respectively; sold product to Elcom in the amount of approximately $133,000 and $12,000, respectively; and the Company recorded interest income on Elcom’s convertible note and short-term loan in the amount of approximately $90,000 and $82,000, respectively. In addition, during fiscal year 2009, the Company, in coordination with two other major investors, provided Elcom with a short-term working capital loan. The Company’s share of the loan was $217,000, which was repaid in November 2009 and bore interest at 21.8%. At April 30, 2011, no amounts were due from Elcom and no amounts were payable to Elcom. In March 2010, the Company and the other two major investors provided Elcom with an 18-month note which is junior to the Company’s 5-year convertible note. The new note, of which the Company’s share is $308,000, bears interest at 12%.</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252" w:lineRule="exact"/>
        <w:rPr>
          <w:sz w:val="20"/>
          <w:szCs w:val="20"/>
          <w:color w:val="auto"/>
        </w:rPr>
      </w:pPr>
    </w:p>
    <w:p>
      <w:pPr>
        <w:ind w:left="500" w:hanging="492"/>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Employee Benefit Plans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Profit Sharing Plan:</w:t>
      </w:r>
    </w:p>
    <w:p>
      <w:pPr>
        <w:spacing w:after="0" w:line="256"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The Company provides its U.S.-based employees with a profit sharing plan and trust under section 401(k) of the Internal Revenue Code. This plan allows all eligible employees to defer a portion of their income through voluntary contributions to the plan. In accordance with the provisions of the plan, the Company can make discretionary matching contributions in the form of cash or common stock. For the years ended April 30, 2011 and 2010, the Company contributed 58,637 and 74,987 shares of common stock, respectively. The approximate value of these shares at the date of contribution was $379,000 in fiscal year 2011 and $348,000 in fiscal year 2010. Contributed shares are drawn from the Company’s common stock held in treasury and are removed at the Company’s original cost of acquisition of such shares on a specific identification basis. In addition to changes in the treasury stock accounts, such transactions decreased additional paid in capital by $139,000 in fiscal year 2011 and increased that account by $27,000 in fiscal year 2010.</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Incentive Pool:</w:t>
      </w:r>
    </w:p>
    <w:p>
      <w:pPr>
        <w:spacing w:after="0" w:line="25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Company maintains incentive bonus programs for certain employees which are based on operating profits of the individual subsidiaries to which the employees are assigned. The Company also adopted a plan for the President and Chief Executive Officer of the Company, which formula is based on consolidated pre-tax profits. The Company charged approximately $860,000 and $195,000 to operations under these plans for the fiscal years ended April 30, 2011 and 2010, respectively.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Plans</w:t>
      </w:r>
      <w:r>
        <w:rPr>
          <w:rFonts w:ascii="Arial" w:cs="Arial" w:eastAsia="Arial" w:hAnsi="Arial"/>
          <w:sz w:val="18"/>
          <w:szCs w:val="18"/>
          <w:color w:val="auto"/>
        </w:rPr>
        <w:t>:</w:t>
      </w:r>
    </w:p>
    <w:p>
      <w:pPr>
        <w:spacing w:after="0" w:line="256" w:lineRule="exact"/>
        <w:rPr>
          <w:sz w:val="20"/>
          <w:szCs w:val="20"/>
          <w:color w:val="auto"/>
        </w:rPr>
      </w:pPr>
    </w:p>
    <w:p>
      <w:pPr>
        <w:jc w:val="both"/>
        <w:ind w:firstLine="486"/>
        <w:spacing w:after="0" w:line="267" w:lineRule="auto"/>
        <w:rPr>
          <w:sz w:val="20"/>
          <w:szCs w:val="20"/>
          <w:color w:val="auto"/>
        </w:rPr>
      </w:pPr>
      <w:r>
        <w:rPr>
          <w:rFonts w:ascii="Arial" w:cs="Arial" w:eastAsia="Arial" w:hAnsi="Arial"/>
          <w:sz w:val="17"/>
          <w:szCs w:val="17"/>
          <w:color w:val="auto"/>
        </w:rPr>
        <w:t>The Company has various stock plans, some of which have been approved by the Company’s stockholders, for key management employees, including officers and directors who are employees, certain consultants and independent members of the Board of Directors. The plans are Nonqualified Stock Option (“NQSO”) plans, Incentive Stock Option ("ISO”) plans and Stock Appreciation Rights (“SARS”). Under these plans, options or SARS are granted at the discretion of the Stock Option Committee at an exercise price not less than the fair market value of the Company's common stock on the date of grant. Under one NQSO plan, the options were exercisable one year after the date of grant. Under the remaining plans, the options and SARS vest over a four-year period from the date of grant. The options and SARS expire ten years after the date of grant and are subject to certain restrictions on transferability of the shares obtained on exercise. As of April 30, 2011, eligible employees had been granted options to purchase 1,182,500 shares of Company stock under ISO plans of which approximately 339,000 options with a weighted average exercise price of $10.58 are both outstanding and exercisable. During the year ended April 30, 2011, employees exercised ISOs for 6,000 shares of Company stock. Through April 30, 2011, eligible employees had been granted options to acquire 1,090,000 shares of Company stock under NQSO plans. Of the NQSO options outstanding at the beginning of the fiscal year, none remain outstanding or exercisable (see tables below). As of April 30, 2011, eligible employees and directors have been granted SARS based on approximately 1,107,000 shares of Company stock, of which approximately 1,094,000 shares are outstanding and approximately 446,000 with a weighted average exercise price of $8.93 are exercisable. When the SARS become exercisable, the Company will settle the SARS by issuing to exercising recipients the number of shares of stock equal to the appreciated value of the Company’s stock between the grant date and exercise date. At the time of exercise, the quantity of shares under the SARS grant equal to the exercise value divided by the then market value of the shares will be returned to the pool of available shares for future grant under the Company’s stock plan. During the year ended April 30, 2011, employees exercised SARS representing approximately 12,800 shares of Company stock and received approximately 8,300 shares of Company stock. The approximately 4,500 share difference was returned to the pool of available shares and may be used for future grants.</w:t>
      </w:r>
    </w:p>
    <w:p>
      <w:pPr>
        <w:spacing w:after="0" w:line="21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excess of the consideration received over the par value of the common stock or cost of treasury stock issued under both types of option plans is recognized as an increase in additional paid-in capital.</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6860" w:type="dxa"/>
            <w:vAlign w:val="bottom"/>
            <w:gridSpan w:val="8"/>
          </w:tcPr>
          <w:p>
            <w:pPr>
              <w:ind w:left="420"/>
              <w:spacing w:after="0"/>
              <w:rPr>
                <w:sz w:val="20"/>
                <w:szCs w:val="20"/>
                <w:color w:val="auto"/>
              </w:rPr>
            </w:pPr>
            <w:r>
              <w:rPr>
                <w:rFonts w:ascii="Arial" w:cs="Arial" w:eastAsia="Arial" w:hAnsi="Arial"/>
                <w:sz w:val="18"/>
                <w:szCs w:val="18"/>
                <w:color w:val="auto"/>
              </w:rPr>
              <w:t>NOTES TO CONSOLIDATED FINANCIAL STATEMENTS - Continued</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8080" w:type="dxa"/>
            <w:vAlign w:val="bottom"/>
            <w:gridSpan w:val="8"/>
          </w:tcPr>
          <w:p>
            <w:pPr>
              <w:jc w:val="right"/>
              <w:ind w:right="300"/>
              <w:spacing w:after="0"/>
              <w:rPr>
                <w:sz w:val="20"/>
                <w:szCs w:val="20"/>
                <w:color w:val="auto"/>
              </w:rPr>
            </w:pPr>
            <w:r>
              <w:rPr>
                <w:rFonts w:ascii="Arial" w:cs="Arial" w:eastAsia="Arial" w:hAnsi="Arial"/>
                <w:sz w:val="18"/>
                <w:szCs w:val="18"/>
                <w:color w:val="auto"/>
                <w:w w:val="98"/>
              </w:rPr>
              <w:t>The following table summarizes information about stock option activity for the years ended April 30:</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760" w:type="dxa"/>
            <w:vAlign w:val="bottom"/>
            <w:tcBorders>
              <w:bottom w:val="single" w:sz="8" w:color="auto"/>
            </w:tcBorders>
            <w:gridSpan w:val="9"/>
          </w:tcPr>
          <w:p>
            <w:pPr>
              <w:jc w:val="right"/>
              <w:ind w:right="100"/>
              <w:spacing w:after="0"/>
              <w:rPr>
                <w:sz w:val="20"/>
                <w:szCs w:val="20"/>
                <w:color w:val="auto"/>
              </w:rPr>
            </w:pPr>
            <w:r>
              <w:rPr>
                <w:rFonts w:ascii="Arial" w:cs="Arial" w:eastAsia="Arial" w:hAnsi="Arial"/>
                <w:sz w:val="18"/>
                <w:szCs w:val="18"/>
                <w:color w:val="auto"/>
              </w:rPr>
              <w:t>Stock Options and Stock Appreciation Rights</w:t>
            </w:r>
          </w:p>
        </w:tc>
        <w:tc>
          <w:tcPr>
            <w:tcW w:w="13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center"/>
              <w:spacing w:after="0" w:line="201" w:lineRule="exact"/>
              <w:rPr>
                <w:sz w:val="20"/>
                <w:szCs w:val="20"/>
                <w:color w:val="auto"/>
              </w:rPr>
            </w:pPr>
            <w:r>
              <w:rPr>
                <w:rFonts w:ascii="Arial" w:cs="Arial" w:eastAsia="Arial" w:hAnsi="Arial"/>
                <w:sz w:val="18"/>
                <w:szCs w:val="18"/>
                <w:color w:val="auto"/>
                <w:w w:val="89"/>
              </w:rPr>
              <w:t>Weighted Average</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Weighted-</w:t>
            </w:r>
          </w:p>
        </w:tc>
        <w:tc>
          <w:tcPr>
            <w:tcW w:w="1320" w:type="dxa"/>
            <w:vAlign w:val="bottom"/>
          </w:tcPr>
          <w:p>
            <w:pPr>
              <w:jc w:val="center"/>
              <w:spacing w:after="0"/>
              <w:rPr>
                <w:sz w:val="20"/>
                <w:szCs w:val="20"/>
                <w:color w:val="auto"/>
              </w:rPr>
            </w:pPr>
            <w:r>
              <w:rPr>
                <w:rFonts w:ascii="Arial" w:cs="Arial" w:eastAsia="Arial" w:hAnsi="Arial"/>
                <w:sz w:val="18"/>
                <w:szCs w:val="18"/>
                <w:color w:val="auto"/>
                <w:w w:val="92"/>
              </w:rPr>
              <w:t>Remaining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Average</w:t>
            </w: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Contractual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Aggregate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4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Shares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0"/>
              </w:rPr>
              <w:t>Exercise Price</w:t>
            </w:r>
          </w:p>
        </w:tc>
        <w:tc>
          <w:tcPr>
            <w:tcW w:w="120" w:type="dxa"/>
            <w:vAlign w:val="bottom"/>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Term</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3"/>
              </w:rPr>
              <w:t>Intrinsic 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CCFFCC"/>
          </w:tcPr>
          <w:p>
            <w:pPr>
              <w:spacing w:after="0"/>
              <w:rPr>
                <w:sz w:val="20"/>
                <w:szCs w:val="20"/>
                <w:color w:val="auto"/>
              </w:rPr>
            </w:pPr>
            <w:r>
              <w:rPr>
                <w:rFonts w:ascii="Arial" w:cs="Arial" w:eastAsia="Arial" w:hAnsi="Arial"/>
                <w:sz w:val="18"/>
                <w:szCs w:val="18"/>
                <w:color w:val="auto"/>
              </w:rPr>
              <w:t>Outstanding – May 1, 2009</w:t>
            </w:r>
          </w:p>
        </w:tc>
        <w:tc>
          <w:tcPr>
            <w:tcW w:w="392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1,365,525</w:t>
            </w:r>
          </w:p>
        </w:tc>
        <w:tc>
          <w:tcPr>
            <w:tcW w:w="2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10.83</w:t>
            </w:r>
          </w:p>
        </w:tc>
        <w:tc>
          <w:tcPr>
            <w:tcW w:w="120" w:type="dxa"/>
            <w:vAlign w:val="bottom"/>
            <w:shd w:val="clear" w:color="auto" w:fill="CCFFCC"/>
          </w:tcPr>
          <w:p>
            <w:pPr>
              <w:spacing w:after="0"/>
              <w:rPr>
                <w:sz w:val="18"/>
                <w:szCs w:val="18"/>
                <w:color w:val="auto"/>
              </w:rPr>
            </w:pPr>
          </w:p>
        </w:tc>
        <w:tc>
          <w:tcPr>
            <w:tcW w:w="13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6"/>
              </w:rPr>
              <w:t>4.1 years</w:t>
            </w: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Granted</w:t>
            </w:r>
          </w:p>
        </w:tc>
        <w:tc>
          <w:tcPr>
            <w:tcW w:w="3920" w:type="dxa"/>
            <w:vAlign w:val="bottom"/>
            <w:gridSpan w:val="3"/>
          </w:tcPr>
          <w:p>
            <w:pPr>
              <w:jc w:val="right"/>
              <w:ind w:right="140"/>
              <w:spacing w:after="0"/>
              <w:rPr>
                <w:sz w:val="20"/>
                <w:szCs w:val="20"/>
                <w:color w:val="auto"/>
              </w:rPr>
            </w:pPr>
            <w:r>
              <w:rPr>
                <w:rFonts w:ascii="Arial" w:cs="Arial" w:eastAsia="Arial" w:hAnsi="Arial"/>
                <w:sz w:val="18"/>
                <w:szCs w:val="18"/>
                <w:color w:val="auto"/>
              </w:rPr>
              <w:t>283,000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4.51</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CCFFCC"/>
          </w:tcPr>
          <w:p>
            <w:pPr>
              <w:spacing w:after="0"/>
              <w:rPr>
                <w:sz w:val="20"/>
                <w:szCs w:val="20"/>
                <w:color w:val="auto"/>
              </w:rPr>
            </w:pPr>
            <w:r>
              <w:rPr>
                <w:rFonts w:ascii="Arial" w:cs="Arial" w:eastAsia="Arial" w:hAnsi="Arial"/>
                <w:sz w:val="18"/>
                <w:szCs w:val="18"/>
                <w:color w:val="auto"/>
              </w:rPr>
              <w:t>Forfeited</w:t>
            </w:r>
          </w:p>
        </w:tc>
        <w:tc>
          <w:tcPr>
            <w:tcW w:w="392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(15,000)</w:t>
            </w:r>
          </w:p>
        </w:tc>
        <w:tc>
          <w:tcPr>
            <w:tcW w:w="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9.61</w:t>
            </w:r>
          </w:p>
        </w:tc>
        <w:tc>
          <w:tcPr>
            <w:tcW w:w="13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Expired or Canceled</w:t>
            </w:r>
          </w:p>
        </w:tc>
        <w:tc>
          <w:tcPr>
            <w:tcW w:w="2340" w:type="dxa"/>
            <w:vAlign w:val="bottom"/>
          </w:tcPr>
          <w:p>
            <w:pPr>
              <w:spacing w:after="0"/>
              <w:rPr>
                <w:sz w:val="18"/>
                <w:szCs w:val="18"/>
                <w:color w:val="auto"/>
              </w:rPr>
            </w:pP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(229,750)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7.42</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5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40" w:type="dxa"/>
            <w:vAlign w:val="bottom"/>
            <w:shd w:val="clear" w:color="auto" w:fill="CCFFCC"/>
          </w:tcPr>
          <w:p>
            <w:pPr>
              <w:spacing w:after="0"/>
              <w:rPr>
                <w:sz w:val="20"/>
                <w:szCs w:val="20"/>
                <w:color w:val="auto"/>
              </w:rPr>
            </w:pPr>
            <w:r>
              <w:rPr>
                <w:rFonts w:ascii="Arial" w:cs="Arial" w:eastAsia="Arial" w:hAnsi="Arial"/>
                <w:sz w:val="18"/>
                <w:szCs w:val="18"/>
                <w:color w:val="auto"/>
              </w:rPr>
              <w:t>Outstanding – April 30, 2010</w:t>
            </w:r>
          </w:p>
        </w:tc>
        <w:tc>
          <w:tcPr>
            <w:tcW w:w="2340" w:type="dxa"/>
            <w:vAlign w:val="bottom"/>
            <w:shd w:val="clear" w:color="auto" w:fill="CCFFCC"/>
          </w:tcPr>
          <w:p>
            <w:pPr>
              <w:spacing w:after="0"/>
              <w:rPr>
                <w:sz w:val="18"/>
                <w:szCs w:val="18"/>
                <w:color w:val="auto"/>
              </w:rPr>
            </w:pPr>
          </w:p>
        </w:tc>
        <w:tc>
          <w:tcPr>
            <w:tcW w:w="15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1,403,775</w:t>
            </w:r>
          </w:p>
        </w:tc>
        <w:tc>
          <w:tcPr>
            <w:tcW w:w="2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10.11</w:t>
            </w:r>
          </w:p>
        </w:tc>
        <w:tc>
          <w:tcPr>
            <w:tcW w:w="13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6"/>
              </w:rPr>
              <w:t>5.2 years</w:t>
            </w: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Granted</w:t>
            </w:r>
          </w:p>
        </w:tc>
        <w:tc>
          <w:tcPr>
            <w:tcW w:w="3920" w:type="dxa"/>
            <w:vAlign w:val="bottom"/>
            <w:gridSpan w:val="3"/>
          </w:tcPr>
          <w:p>
            <w:pPr>
              <w:jc w:val="right"/>
              <w:ind w:right="140"/>
              <w:spacing w:after="0"/>
              <w:rPr>
                <w:sz w:val="20"/>
                <w:szCs w:val="20"/>
                <w:color w:val="auto"/>
              </w:rPr>
            </w:pPr>
            <w:r>
              <w:rPr>
                <w:rFonts w:ascii="Arial" w:cs="Arial" w:eastAsia="Arial" w:hAnsi="Arial"/>
                <w:sz w:val="18"/>
                <w:szCs w:val="18"/>
                <w:color w:val="auto"/>
              </w:rPr>
              <w:t>350,500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8.20</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CCFFCC"/>
          </w:tcPr>
          <w:p>
            <w:pPr>
              <w:spacing w:after="0"/>
              <w:rPr>
                <w:sz w:val="20"/>
                <w:szCs w:val="20"/>
                <w:color w:val="auto"/>
              </w:rPr>
            </w:pPr>
            <w:r>
              <w:rPr>
                <w:rFonts w:ascii="Arial" w:cs="Arial" w:eastAsia="Arial" w:hAnsi="Arial"/>
                <w:sz w:val="18"/>
                <w:szCs w:val="18"/>
                <w:color w:val="auto"/>
              </w:rPr>
              <w:t>Exercised</w:t>
            </w:r>
          </w:p>
        </w:tc>
        <w:tc>
          <w:tcPr>
            <w:tcW w:w="392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(18,750)</w:t>
            </w:r>
          </w:p>
        </w:tc>
        <w:tc>
          <w:tcPr>
            <w:tcW w:w="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4.70</w:t>
            </w:r>
          </w:p>
        </w:tc>
        <w:tc>
          <w:tcPr>
            <w:tcW w:w="13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Expired or Canceled</w:t>
            </w:r>
          </w:p>
        </w:tc>
        <w:tc>
          <w:tcPr>
            <w:tcW w:w="2340" w:type="dxa"/>
            <w:vAlign w:val="bottom"/>
          </w:tcPr>
          <w:p>
            <w:pPr>
              <w:spacing w:after="0"/>
              <w:rPr>
                <w:sz w:val="18"/>
                <w:szCs w:val="18"/>
                <w:color w:val="auto"/>
              </w:rPr>
            </w:pP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(302,000)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16.55</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5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2540" w:type="dxa"/>
            <w:vAlign w:val="bottom"/>
            <w:shd w:val="clear" w:color="auto" w:fill="CCFFCC"/>
          </w:tcPr>
          <w:p>
            <w:pPr>
              <w:spacing w:after="0"/>
              <w:rPr>
                <w:sz w:val="20"/>
                <w:szCs w:val="20"/>
                <w:color w:val="auto"/>
              </w:rPr>
            </w:pPr>
            <w:r>
              <w:rPr>
                <w:rFonts w:ascii="Arial" w:cs="Arial" w:eastAsia="Arial" w:hAnsi="Arial"/>
                <w:sz w:val="18"/>
                <w:szCs w:val="18"/>
                <w:color w:val="auto"/>
              </w:rPr>
              <w:t>Outstanding – April 30, 2011</w:t>
            </w:r>
          </w:p>
        </w:tc>
        <w:tc>
          <w:tcPr>
            <w:tcW w:w="2340" w:type="dxa"/>
            <w:vAlign w:val="bottom"/>
            <w:shd w:val="clear" w:color="auto" w:fill="CCFFCC"/>
          </w:tcPr>
          <w:p>
            <w:pPr>
              <w:spacing w:after="0"/>
              <w:rPr>
                <w:sz w:val="20"/>
                <w:szCs w:val="20"/>
                <w:color w:val="auto"/>
              </w:rPr>
            </w:pPr>
          </w:p>
        </w:tc>
        <w:tc>
          <w:tcPr>
            <w:tcW w:w="15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1,433,525</w:t>
            </w:r>
          </w:p>
        </w:tc>
        <w:tc>
          <w:tcPr>
            <w:tcW w:w="2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8.22</w:t>
            </w:r>
          </w:p>
        </w:tc>
        <w:tc>
          <w:tcPr>
            <w:tcW w:w="13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6"/>
              </w:rPr>
              <w:t>6.6 years</w:t>
            </w:r>
          </w:p>
        </w:tc>
        <w:tc>
          <w:tcPr>
            <w:tcW w:w="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3,409,400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540" w:type="dxa"/>
            <w:vAlign w:val="bottom"/>
            <w:tcBorders>
              <w:top w:val="single" w:sz="8" w:color="CCFFCC"/>
            </w:tcBorders>
            <w:shd w:val="clear" w:color="auto" w:fill="CCFFCC"/>
          </w:tcPr>
          <w:p>
            <w:pPr>
              <w:spacing w:after="0" w:line="20" w:lineRule="exact"/>
              <w:rPr>
                <w:sz w:val="1"/>
                <w:szCs w:val="1"/>
                <w:color w:val="auto"/>
              </w:rPr>
            </w:pPr>
          </w:p>
        </w:tc>
        <w:tc>
          <w:tcPr>
            <w:tcW w:w="2340" w:type="dxa"/>
            <w:vAlign w:val="bottom"/>
            <w:tcBorders>
              <w:top w:val="single" w:sz="8" w:color="CCFFCC"/>
            </w:tcBorders>
            <w:shd w:val="clear" w:color="auto" w:fill="CCFFCC"/>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3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540" w:type="dxa"/>
            <w:vAlign w:val="bottom"/>
          </w:tcPr>
          <w:p>
            <w:pPr>
              <w:spacing w:after="0" w:line="196" w:lineRule="exact"/>
              <w:rPr>
                <w:sz w:val="20"/>
                <w:szCs w:val="20"/>
                <w:color w:val="auto"/>
              </w:rPr>
            </w:pPr>
            <w:r>
              <w:rPr>
                <w:rFonts w:ascii="Arial" w:cs="Arial" w:eastAsia="Arial" w:hAnsi="Arial"/>
                <w:sz w:val="18"/>
                <w:szCs w:val="18"/>
                <w:color w:val="auto"/>
              </w:rPr>
              <w:t>Exercisable</w:t>
            </w:r>
          </w:p>
        </w:tc>
        <w:tc>
          <w:tcPr>
            <w:tcW w:w="2340" w:type="dxa"/>
            <w:vAlign w:val="bottom"/>
          </w:tcPr>
          <w:p>
            <w:pPr>
              <w:spacing w:after="0"/>
              <w:rPr>
                <w:sz w:val="18"/>
                <w:szCs w:val="18"/>
                <w:color w:val="auto"/>
              </w:rPr>
            </w:pPr>
          </w:p>
        </w:tc>
        <w:tc>
          <w:tcPr>
            <w:tcW w:w="158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785,869</w:t>
            </w:r>
          </w:p>
        </w:tc>
        <w:tc>
          <w:tcPr>
            <w:tcW w:w="22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9.65</w:t>
            </w:r>
          </w:p>
        </w:tc>
        <w:tc>
          <w:tcPr>
            <w:tcW w:w="1320" w:type="dxa"/>
            <w:vAlign w:val="bottom"/>
          </w:tcPr>
          <w:p>
            <w:pPr>
              <w:jc w:val="center"/>
              <w:spacing w:after="0" w:line="196" w:lineRule="exact"/>
              <w:rPr>
                <w:sz w:val="20"/>
                <w:szCs w:val="20"/>
                <w:color w:val="auto"/>
              </w:rPr>
            </w:pPr>
            <w:r>
              <w:rPr>
                <w:rFonts w:ascii="Arial" w:cs="Arial" w:eastAsia="Arial" w:hAnsi="Arial"/>
                <w:sz w:val="18"/>
                <w:szCs w:val="18"/>
                <w:color w:val="auto"/>
                <w:w w:val="86"/>
              </w:rPr>
              <w:t>4.6 years</w:t>
            </w:r>
          </w:p>
        </w:tc>
        <w:tc>
          <w:tcPr>
            <w:tcW w:w="2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1,140,200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40" w:type="dxa"/>
            <w:vAlign w:val="bottom"/>
            <w:shd w:val="clear" w:color="auto" w:fill="CCFFCC"/>
          </w:tcPr>
          <w:p>
            <w:pPr>
              <w:spacing w:after="0"/>
              <w:rPr>
                <w:sz w:val="20"/>
                <w:szCs w:val="20"/>
                <w:color w:val="auto"/>
              </w:rPr>
            </w:pPr>
            <w:r>
              <w:rPr>
                <w:rFonts w:ascii="Arial" w:cs="Arial" w:eastAsia="Arial" w:hAnsi="Arial"/>
                <w:sz w:val="18"/>
                <w:szCs w:val="18"/>
                <w:color w:val="auto"/>
              </w:rPr>
              <w:t>Available for future grants</w:t>
            </w:r>
          </w:p>
        </w:tc>
        <w:tc>
          <w:tcPr>
            <w:tcW w:w="2340" w:type="dxa"/>
            <w:vAlign w:val="bottom"/>
            <w:shd w:val="clear" w:color="auto" w:fill="CCFFCC"/>
          </w:tcPr>
          <w:p>
            <w:pPr>
              <w:spacing w:after="0"/>
              <w:rPr>
                <w:sz w:val="20"/>
                <w:szCs w:val="20"/>
                <w:color w:val="auto"/>
              </w:rPr>
            </w:pPr>
          </w:p>
        </w:tc>
        <w:tc>
          <w:tcPr>
            <w:tcW w:w="15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51,341</w:t>
            </w:r>
          </w:p>
        </w:tc>
        <w:tc>
          <w:tcPr>
            <w:tcW w:w="8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28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32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30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Borders>
              <w:top w:val="single" w:sz="8" w:color="CCFFCC"/>
            </w:tcBorders>
            <w:shd w:val="clear" w:color="auto" w:fill="CCFFCC"/>
          </w:tcPr>
          <w:p>
            <w:pPr>
              <w:spacing w:after="0" w:line="20" w:lineRule="exact"/>
              <w:rPr>
                <w:sz w:val="1"/>
                <w:szCs w:val="1"/>
                <w:color w:val="auto"/>
              </w:rPr>
            </w:pPr>
          </w:p>
        </w:tc>
        <w:tc>
          <w:tcPr>
            <w:tcW w:w="2340" w:type="dxa"/>
            <w:vAlign w:val="bottom"/>
            <w:tcBorders>
              <w:top w:val="single" w:sz="8" w:color="CCFFCC"/>
            </w:tcBorders>
            <w:shd w:val="clear" w:color="auto" w:fill="CCFFCC"/>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2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3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3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As of April 30, 2011, total unrecognized compensation cost related to nonvested options and stock appreciation rights under the plans was approximately $2,013,000. These costs are expected to be recognized over a weighted average period of 3.4 years.</w:t>
      </w:r>
    </w:p>
    <w:p>
      <w:pPr>
        <w:spacing w:after="0" w:line="197"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During the years ended April 30, 2011 and 2010, 175,156 and 139,344 shares, respectively, vested the fair value of which was approximately $566,000 and $535,000, respectively. . The weighted average grant date fair value of stock appreciation rights granted during the years ended April 30, 2011 and 2010, were approximately $4.39 and $2.36, respectively.</w:t>
      </w:r>
    </w:p>
    <w:p>
      <w:pPr>
        <w:spacing w:after="0" w:line="208"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Stock-based compensation costs capitalized as part of work in process inventory or included in the cost of sales of programs on which the Company recognizes revenue under the percentage of completion method were approximately $295,000 and $321,000 for the years ended April 30, 2011 and 2010, respectively.</w:t>
      </w:r>
    </w:p>
    <w:p>
      <w:pPr>
        <w:spacing w:after="0" w:line="208"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The Company classifies cash flows resulting from the tax benefits from tax deductions recognized upon the exercise of stock options or SARS (tax benefits) as financing cash flows. For the year ended April 30, 2011, the Company realized a $39,000 tax benefit from the exercise of stock options and SARS. There were no stock option or SAR exercises during the year ended April 30, 2010, thus, no tax benefit was realized during fiscal year 2010.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Contractor Stock Option Plan:</w:t>
      </w:r>
    </w:p>
    <w:p>
      <w:pPr>
        <w:spacing w:after="0" w:line="256"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The Company had an Independent Contractor Stock Option Plan under which up to 350,000 shares could be granted. This plan was terminated in fiscal year 2006. An Independent Contractor Stock Option Committee determined to whom options may be granted from among eligible participants, the timing and duration of option grants, the option price, and the number of shares of common stock subject to each option. Options were granted to certain independent contractors at a price equal to the then fair market value of the Company’s common stock. The options were exercisable over specified periods per terms of the individual agreements. No compensation expense was recorded during the years ended April 30, 2011 and 2010 as no other grants were made in those years and previous grants have been fully expensed. As a result of the adoption by the stockholders of the 2005 Stock Award Plan, the Independent Contractor Stock Option Plan was discontinued. No additional grants will be made under this plan.</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9" w:name="page40"/>
    <w:bookmarkEnd w:id="39"/>
    <w:tbl>
      <w:tblPr>
        <w:tblLayout w:type="fixed"/>
        <w:tblInd w:w="340" w:type="dxa"/>
        <w:tblCellMar>
          <w:top w:w="0" w:type="dxa"/>
          <w:left w:w="0" w:type="dxa"/>
          <w:bottom w:w="0" w:type="dxa"/>
          <w:right w:w="0" w:type="dxa"/>
        </w:tblCellMar>
      </w:tblPr>
      <w:tr>
        <w:trPr>
          <w:trHeight w:val="230"/>
        </w:trPr>
        <w:tc>
          <w:tcPr>
            <w:tcW w:w="2500" w:type="dxa"/>
            <w:vAlign w:val="bottom"/>
          </w:tcPr>
          <w:p>
            <w:pPr>
              <w:spacing w:after="0"/>
              <w:rPr>
                <w:sz w:val="20"/>
                <w:szCs w:val="20"/>
                <w:color w:val="auto"/>
              </w:rPr>
            </w:pPr>
          </w:p>
        </w:tc>
        <w:tc>
          <w:tcPr>
            <w:tcW w:w="6360" w:type="dxa"/>
            <w:vAlign w:val="bottom"/>
            <w:gridSpan w:val="12"/>
          </w:tcPr>
          <w:p>
            <w:pPr>
              <w:ind w:left="140"/>
              <w:spacing w:after="0"/>
              <w:rPr>
                <w:sz w:val="20"/>
                <w:szCs w:val="20"/>
                <w:color w:val="auto"/>
              </w:rPr>
            </w:pPr>
            <w:r>
              <w:rPr>
                <w:rFonts w:ascii="Arial" w:cs="Arial" w:eastAsia="Arial" w:hAnsi="Arial"/>
                <w:sz w:val="18"/>
                <w:szCs w:val="18"/>
                <w:color w:val="auto"/>
              </w:rPr>
              <w:t>NOTES TO CONSOLIDATED FINANCIAL STATEMENTS - Continued</w:t>
            </w:r>
          </w:p>
        </w:tc>
      </w:tr>
      <w:tr>
        <w:trPr>
          <w:trHeight w:val="459"/>
        </w:trPr>
        <w:tc>
          <w:tcPr>
            <w:tcW w:w="7840" w:type="dxa"/>
            <w:vAlign w:val="bottom"/>
            <w:gridSpan w:val="9"/>
          </w:tcPr>
          <w:p>
            <w:pPr>
              <w:ind w:left="160"/>
              <w:spacing w:after="0"/>
              <w:rPr>
                <w:sz w:val="20"/>
                <w:szCs w:val="20"/>
                <w:color w:val="auto"/>
              </w:rPr>
            </w:pPr>
            <w:r>
              <w:rPr>
                <w:rFonts w:ascii="Arial" w:cs="Arial" w:eastAsia="Arial" w:hAnsi="Arial"/>
                <w:sz w:val="18"/>
                <w:szCs w:val="18"/>
                <w:color w:val="auto"/>
                <w:w w:val="90"/>
              </w:rPr>
              <w:t>Transactions under this plan, including the weighted average exercise prices of the options, are as follows:</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66"/>
        </w:trPr>
        <w:tc>
          <w:tcPr>
            <w:tcW w:w="2500" w:type="dxa"/>
            <w:vAlign w:val="bottom"/>
          </w:tcPr>
          <w:p>
            <w:pPr>
              <w:spacing w:after="0"/>
              <w:rPr>
                <w:sz w:val="24"/>
                <w:szCs w:val="24"/>
                <w:color w:val="auto"/>
              </w:rPr>
            </w:pPr>
          </w:p>
        </w:tc>
        <w:tc>
          <w:tcPr>
            <w:tcW w:w="3400" w:type="dxa"/>
            <w:vAlign w:val="bottom"/>
            <w:gridSpan w:val="4"/>
          </w:tcPr>
          <w:p>
            <w:pPr>
              <w:jc w:val="right"/>
              <w:spacing w:after="0"/>
              <w:rPr>
                <w:sz w:val="20"/>
                <w:szCs w:val="20"/>
                <w:color w:val="auto"/>
              </w:rPr>
            </w:pPr>
            <w:r>
              <w:rPr>
                <w:rFonts w:ascii="Arial" w:cs="Arial" w:eastAsia="Arial" w:hAnsi="Arial"/>
                <w:sz w:val="18"/>
                <w:szCs w:val="18"/>
                <w:color w:val="auto"/>
              </w:rPr>
              <w:t>2011</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4"/>
          </w:tcPr>
          <w:p>
            <w:pPr>
              <w:jc w:val="right"/>
              <w:ind w:right="20"/>
              <w:spacing w:after="0"/>
              <w:rPr>
                <w:sz w:val="20"/>
                <w:szCs w:val="20"/>
                <w:color w:val="auto"/>
              </w:rPr>
            </w:pPr>
            <w:r>
              <w:rPr>
                <w:rFonts w:ascii="Arial" w:cs="Arial" w:eastAsia="Arial" w:hAnsi="Arial"/>
                <w:sz w:val="18"/>
                <w:szCs w:val="18"/>
                <w:color w:val="auto"/>
              </w:rPr>
              <w:t>2010</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2"/>
        </w:trPr>
        <w:tc>
          <w:tcPr>
            <w:tcW w:w="250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30"/>
              <w:spacing w:after="0" w:line="201" w:lineRule="exact"/>
              <w:rPr>
                <w:sz w:val="20"/>
                <w:szCs w:val="20"/>
                <w:color w:val="auto"/>
              </w:rPr>
            </w:pPr>
            <w:r>
              <w:rPr>
                <w:rFonts w:ascii="Arial" w:cs="Arial" w:eastAsia="Arial" w:hAnsi="Arial"/>
                <w:sz w:val="18"/>
                <w:szCs w:val="18"/>
                <w:color w:val="auto"/>
                <w:w w:val="94"/>
              </w:rPr>
              <w:t>Wtd Avg</w:t>
            </w:r>
          </w:p>
        </w:tc>
        <w:tc>
          <w:tcPr>
            <w:tcW w:w="16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30"/>
              <w:spacing w:after="0" w:line="201" w:lineRule="exact"/>
              <w:rPr>
                <w:sz w:val="20"/>
                <w:szCs w:val="20"/>
                <w:color w:val="auto"/>
              </w:rPr>
            </w:pPr>
            <w:r>
              <w:rPr>
                <w:rFonts w:ascii="Arial" w:cs="Arial" w:eastAsia="Arial" w:hAnsi="Arial"/>
                <w:sz w:val="18"/>
                <w:szCs w:val="18"/>
                <w:color w:val="auto"/>
                <w:w w:val="94"/>
              </w:rPr>
              <w:t>Wtd Avg</w:t>
            </w:r>
          </w:p>
        </w:tc>
        <w:tc>
          <w:tcPr>
            <w:tcW w:w="80" w:type="dxa"/>
            <w:vAlign w:val="bottom"/>
          </w:tcPr>
          <w:p>
            <w:pPr>
              <w:spacing w:after="0"/>
              <w:rPr>
                <w:sz w:val="17"/>
                <w:szCs w:val="17"/>
                <w:color w:val="auto"/>
              </w:rPr>
            </w:pPr>
          </w:p>
        </w:tc>
      </w:tr>
      <w:tr>
        <w:trPr>
          <w:trHeight w:val="237"/>
        </w:trPr>
        <w:tc>
          <w:tcPr>
            <w:tcW w:w="25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Shares</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Price</w:t>
            </w:r>
          </w:p>
        </w:tc>
        <w:tc>
          <w:tcPr>
            <w:tcW w:w="160" w:type="dxa"/>
            <w:vAlign w:val="bottom"/>
          </w:tcPr>
          <w:p>
            <w:pPr>
              <w:spacing w:after="0"/>
              <w:rPr>
                <w:sz w:val="20"/>
                <w:szCs w:val="20"/>
                <w:color w:val="auto"/>
              </w:rPr>
            </w:pPr>
          </w:p>
        </w:tc>
        <w:tc>
          <w:tcPr>
            <w:tcW w:w="8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Price</w:t>
            </w:r>
          </w:p>
        </w:tc>
        <w:tc>
          <w:tcPr>
            <w:tcW w:w="80" w:type="dxa"/>
            <w:vAlign w:val="bottom"/>
          </w:tcPr>
          <w:p>
            <w:pPr>
              <w:spacing w:after="0"/>
              <w:rPr>
                <w:sz w:val="20"/>
                <w:szCs w:val="20"/>
                <w:color w:val="auto"/>
              </w:rPr>
            </w:pPr>
          </w:p>
        </w:tc>
      </w:tr>
      <w:tr>
        <w:trPr>
          <w:trHeight w:val="216"/>
        </w:trPr>
        <w:tc>
          <w:tcPr>
            <w:tcW w:w="2500" w:type="dxa"/>
            <w:vAlign w:val="bottom"/>
            <w:shd w:val="clear" w:color="auto" w:fill="CCFFCC"/>
          </w:tcPr>
          <w:p>
            <w:pPr>
              <w:spacing w:after="0"/>
              <w:rPr>
                <w:sz w:val="20"/>
                <w:szCs w:val="20"/>
                <w:color w:val="auto"/>
              </w:rPr>
            </w:pPr>
            <w:r>
              <w:rPr>
                <w:rFonts w:ascii="Arial" w:cs="Arial" w:eastAsia="Arial" w:hAnsi="Arial"/>
                <w:sz w:val="18"/>
                <w:szCs w:val="18"/>
                <w:color w:val="auto"/>
                <w:w w:val="95"/>
              </w:rPr>
              <w:t>Outstanding at beginning of year</w:t>
            </w:r>
          </w:p>
        </w:tc>
        <w:tc>
          <w:tcPr>
            <w:tcW w:w="328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36,000</w:t>
            </w: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14.93</w:t>
            </w:r>
          </w:p>
        </w:tc>
        <w:tc>
          <w:tcPr>
            <w:tcW w:w="10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40,300</w:t>
            </w:r>
          </w:p>
        </w:tc>
        <w:tc>
          <w:tcPr>
            <w:tcW w:w="1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14.29</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Expired</w:t>
            </w:r>
          </w:p>
        </w:tc>
        <w:tc>
          <w:tcPr>
            <w:tcW w:w="3280" w:type="dxa"/>
            <w:vAlign w:val="bottom"/>
            <w:gridSpan w:val="3"/>
          </w:tcPr>
          <w:p>
            <w:pPr>
              <w:jc w:val="right"/>
              <w:ind w:right="100"/>
              <w:spacing w:after="0"/>
              <w:rPr>
                <w:sz w:val="20"/>
                <w:szCs w:val="20"/>
                <w:color w:val="auto"/>
              </w:rPr>
            </w:pPr>
            <w:r>
              <w:rPr>
                <w:rFonts w:ascii="Arial" w:cs="Arial" w:eastAsia="Arial" w:hAnsi="Arial"/>
                <w:sz w:val="18"/>
                <w:szCs w:val="18"/>
                <w:color w:val="auto"/>
              </w:rPr>
              <w:t>(6,000)</w:t>
            </w: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15.80</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(4,300)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8.87</w:t>
            </w:r>
          </w:p>
        </w:tc>
      </w:tr>
      <w:tr>
        <w:trPr>
          <w:trHeight w:val="223"/>
        </w:trPr>
        <w:tc>
          <w:tcPr>
            <w:tcW w:w="25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Exercised</w:t>
            </w:r>
          </w:p>
        </w:tc>
        <w:tc>
          <w:tcPr>
            <w:tcW w:w="2200" w:type="dxa"/>
            <w:vAlign w:val="bottom"/>
            <w:tcBorders>
              <w:bottom w:val="single" w:sz="8" w:color="CCFFCC"/>
            </w:tcBorders>
            <w:shd w:val="clear" w:color="auto" w:fill="CCFFCC"/>
          </w:tcPr>
          <w:p>
            <w:pPr>
              <w:spacing w:after="0"/>
              <w:rPr>
                <w:sz w:val="19"/>
                <w:szCs w:val="19"/>
                <w:color w:val="auto"/>
              </w:rPr>
            </w:pPr>
          </w:p>
        </w:tc>
        <w:tc>
          <w:tcPr>
            <w:tcW w:w="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FFCC"/>
            </w:tcBorders>
            <w:shd w:val="clear" w:color="auto" w:fill="CCFFCC"/>
          </w:tcPr>
          <w:p>
            <w:pPr>
              <w:spacing w:after="0"/>
              <w:rPr>
                <w:sz w:val="19"/>
                <w:szCs w:val="19"/>
                <w:color w:val="auto"/>
              </w:rPr>
            </w:pPr>
          </w:p>
        </w:tc>
        <w:tc>
          <w:tcPr>
            <w:tcW w:w="120" w:type="dxa"/>
            <w:vAlign w:val="bottom"/>
            <w:tcBorders>
              <w:bottom w:val="single" w:sz="8" w:color="CCFFCC"/>
            </w:tcBorders>
            <w:shd w:val="clear" w:color="auto" w:fill="CCFFCC"/>
          </w:tcPr>
          <w:p>
            <w:pPr>
              <w:spacing w:after="0"/>
              <w:rPr>
                <w:sz w:val="19"/>
                <w:szCs w:val="19"/>
                <w:color w:val="auto"/>
              </w:rPr>
            </w:pPr>
          </w:p>
        </w:tc>
        <w:tc>
          <w:tcPr>
            <w:tcW w:w="7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FFCC"/>
            </w:tcBorders>
            <w:shd w:val="clear" w:color="auto" w:fill="CCFFCC"/>
          </w:tcPr>
          <w:p>
            <w:pPr>
              <w:spacing w:after="0"/>
              <w:rPr>
                <w:sz w:val="19"/>
                <w:szCs w:val="19"/>
                <w:color w:val="auto"/>
              </w:rPr>
            </w:pPr>
          </w:p>
        </w:tc>
        <w:tc>
          <w:tcPr>
            <w:tcW w:w="8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FFCC"/>
            </w:tcBorders>
            <w:shd w:val="clear" w:color="auto" w:fill="CCFFCC"/>
          </w:tcPr>
          <w:p>
            <w:pPr>
              <w:spacing w:after="0"/>
              <w:rPr>
                <w:sz w:val="19"/>
                <w:szCs w:val="19"/>
                <w:color w:val="auto"/>
              </w:rPr>
            </w:pPr>
          </w:p>
        </w:tc>
        <w:tc>
          <w:tcPr>
            <w:tcW w:w="40" w:type="dxa"/>
            <w:vAlign w:val="bottom"/>
            <w:tcBorders>
              <w:bottom w:val="single" w:sz="8" w:color="CCFFCC"/>
            </w:tcBorders>
            <w:shd w:val="clear" w:color="auto" w:fill="CCFFCC"/>
          </w:tcPr>
          <w:p>
            <w:pPr>
              <w:spacing w:after="0"/>
              <w:rPr>
                <w:sz w:val="19"/>
                <w:szCs w:val="19"/>
                <w:color w:val="auto"/>
              </w:rPr>
            </w:pPr>
          </w:p>
        </w:tc>
        <w:tc>
          <w:tcPr>
            <w:tcW w:w="120" w:type="dxa"/>
            <w:vAlign w:val="bottom"/>
            <w:tcBorders>
              <w:bottom w:val="single" w:sz="8" w:color="CCFFCC"/>
            </w:tcBorders>
            <w:shd w:val="clear" w:color="auto" w:fill="CCFFCC"/>
          </w:tcPr>
          <w:p>
            <w:pPr>
              <w:spacing w:after="0"/>
              <w:rPr>
                <w:sz w:val="19"/>
                <w:szCs w:val="19"/>
                <w:color w:val="auto"/>
              </w:rPr>
            </w:pPr>
          </w:p>
        </w:tc>
        <w:tc>
          <w:tcPr>
            <w:tcW w:w="860" w:type="dxa"/>
            <w:vAlign w:val="bottom"/>
            <w:tcBorders>
              <w:bottom w:val="single" w:sz="8" w:color="CCFFCC"/>
            </w:tcBorders>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Outstanding at end of year</w:t>
            </w:r>
          </w:p>
        </w:tc>
        <w:tc>
          <w:tcPr>
            <w:tcW w:w="3280" w:type="dxa"/>
            <w:vAlign w:val="bottom"/>
            <w:gridSpan w:val="3"/>
          </w:tcPr>
          <w:p>
            <w:pPr>
              <w:jc w:val="right"/>
              <w:ind w:right="160"/>
              <w:spacing w:after="0"/>
              <w:rPr>
                <w:sz w:val="20"/>
                <w:szCs w:val="20"/>
                <w:color w:val="auto"/>
              </w:rPr>
            </w:pPr>
            <w:r>
              <w:rPr>
                <w:rFonts w:ascii="Arial" w:cs="Arial" w:eastAsia="Arial" w:hAnsi="Arial"/>
                <w:sz w:val="18"/>
                <w:szCs w:val="18"/>
                <w:color w:val="auto"/>
              </w:rPr>
              <w:t>30,000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14.76</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36,000</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14.93</w:t>
            </w:r>
          </w:p>
        </w:tc>
      </w:tr>
      <w:tr>
        <w:trPr>
          <w:trHeight w:val="21"/>
        </w:trPr>
        <w:tc>
          <w:tcPr>
            <w:tcW w:w="25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25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Exercisable at end of year</w:t>
            </w:r>
          </w:p>
        </w:tc>
        <w:tc>
          <w:tcPr>
            <w:tcW w:w="2200" w:type="dxa"/>
            <w:vAlign w:val="bottom"/>
            <w:tcBorders>
              <w:bottom w:val="single" w:sz="8" w:color="CCFFCC"/>
            </w:tcBorders>
            <w:shd w:val="clear" w:color="auto" w:fill="CCFFCC"/>
          </w:tcPr>
          <w:p>
            <w:pPr>
              <w:spacing w:after="0"/>
              <w:rPr>
                <w:sz w:val="21"/>
                <w:szCs w:val="21"/>
                <w:color w:val="auto"/>
              </w:rPr>
            </w:pPr>
          </w:p>
        </w:tc>
        <w:tc>
          <w:tcPr>
            <w:tcW w:w="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30,000</w:t>
            </w:r>
          </w:p>
        </w:tc>
        <w:tc>
          <w:tcPr>
            <w:tcW w:w="1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14.76</w:t>
            </w:r>
          </w:p>
        </w:tc>
        <w:tc>
          <w:tcPr>
            <w:tcW w:w="8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36,000</w:t>
            </w: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FFCC"/>
            </w:tcBorders>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14.93</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Plan:</w:t>
      </w:r>
    </w:p>
    <w:p>
      <w:pPr>
        <w:spacing w:after="0" w:line="256"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During fiscal 1990, the Company adopted a Restricted Stock Plan which provided that key management employees could be granted rights to purchase an aggregate of 375,000 shares of the Company's common stock. The grants, transferability restrictions and purchase price were determined at the discretion of a special committee of the board of directors. The purchase price could not be less than the par value of the common stock. As a result of the adoption by the Company’s stockholders of the 2005 Stock Award Plan, the Restricted Stock Plan was discontinued. No additional grants will be made under this plan. As of April 30, 2011 and 2010, grants for 7,500 and 15,000 restricted shares, respectively, are available to be purchased at a price of $4.00 per share.</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Transferability of shares is restricted for a four-year period, except in the event of a change in control as defined.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Ownership Plan/Stock Bonus Plan:</w:t>
      </w:r>
    </w:p>
    <w:p>
      <w:pPr>
        <w:spacing w:after="0" w:line="25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During 1990 the Company amended its Stock Bonus Plan to become an Employee Stock Ownership Plan (“ESOP”). By means of a bank note, subsequently repaid, the Company reacquired 561,652 shares of its common stock during fiscal 1990. These shares plus approximately 510,000 additional shares issued by the Company from its authorized, unissued shares were sold to the ESOP in May 1990. Shares were released for allocation to participants based on a formula as specified in the ESOP document. By the end of fiscal 2000, all shares (1,071,652) had been allocated to participant accounts of which 451,073 shares remain in the ESOP.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Compensation Agreements:</w:t>
      </w:r>
    </w:p>
    <w:p>
      <w:pPr>
        <w:spacing w:after="0" w:line="256"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The Company has a series of agreements with key employees providing for the payment of benefits upon retirement or death. Under these agreements, each key employee receives specified retirement payments for the remainder of the employee's life with a minimum payment of ten years' benefits to either the employee or his beneficiaries. The agreements also provide for lump sum payments upon termination of employment without cause and reduced benefits upon early retirement. The Company pays the benefits out of its working capital but has also purchased whole life or term life insurance policies on the lives of certain of the participants to cover the optional lump sum obligations of the agreements upon the death of the participant. Deferred compensation expense charged to operations during the years ended April 30, 2011 and 2010 was approximately $675,000 and $491,000,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Life Insurance Policies and Cash Held in Trust:</w:t>
      </w:r>
    </w:p>
    <w:p>
      <w:pPr>
        <w:spacing w:after="0" w:line="256"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The whole-life insurance policies on the lives of certain participants covered by deferred compensation agreements have been placed in a trust. Upon the death of any insured participant, cash received from life insurance policies in excess of the Company’s deferred compensation obligations to the estate or beneficiaries of the deceased, are also placed in the trust. These assets belong to the Company until a change of control event, as defined in the trust agreement, should occur. At that time, the Company is required to add sufficient cash to the trust so as to match the deferred compensation liability described above. Such funds will be used to continue the deferred compensation arrangements following the change of control.</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252" w:lineRule="exact"/>
        <w:rPr>
          <w:sz w:val="20"/>
          <w:szCs w:val="20"/>
          <w:color w:val="auto"/>
        </w:rPr>
      </w:pPr>
    </w:p>
    <w:p>
      <w:pPr>
        <w:ind w:left="500" w:hanging="492"/>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Income Taxes</w:t>
      </w:r>
    </w:p>
    <w:p>
      <w:pPr>
        <w:spacing w:after="0" w:line="252"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The income before provision (benefit) for income taxes consisted of (in thousands):</w:t>
      </w:r>
    </w:p>
    <w:p>
      <w:pPr>
        <w:spacing w:after="0" w:line="252" w:lineRule="exact"/>
        <w:rPr>
          <w:sz w:val="20"/>
          <w:szCs w:val="20"/>
          <w:color w:val="auto"/>
        </w:rPr>
      </w:pPr>
    </w:p>
    <w:tbl>
      <w:tblPr>
        <w:tblLayout w:type="fixed"/>
        <w:tblInd w:w="50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gridSpan w:val="9"/>
          </w:tcPr>
          <w:p>
            <w:pPr>
              <w:jc w:val="right"/>
              <w:ind w:right="240"/>
              <w:spacing w:after="0"/>
              <w:rPr>
                <w:sz w:val="20"/>
                <w:szCs w:val="20"/>
                <w:color w:val="auto"/>
              </w:rPr>
            </w:pPr>
            <w:r>
              <w:rPr>
                <w:rFonts w:ascii="Arial" w:cs="Arial" w:eastAsia="Arial" w:hAnsi="Arial"/>
                <w:sz w:val="18"/>
                <w:szCs w:val="18"/>
                <w:color w:val="auto"/>
                <w:w w:val="95"/>
              </w:rPr>
              <w:t>Year Ended April 30,</w:t>
            </w:r>
          </w:p>
        </w:tc>
      </w:tr>
      <w:tr>
        <w:trPr>
          <w:trHeight w:val="223"/>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2011</w:t>
            </w:r>
          </w:p>
        </w:tc>
        <w:tc>
          <w:tcPr>
            <w:tcW w:w="1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2010</w:t>
            </w:r>
          </w:p>
        </w:tc>
        <w:tc>
          <w:tcPr>
            <w:tcW w:w="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2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4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FFCC"/>
            </w:tcBorders>
            <w:gridSpan w:val="4"/>
            <w:shd w:val="clear" w:color="auto" w:fill="CCFFCC"/>
          </w:tcPr>
          <w:p>
            <w:pPr>
              <w:jc w:val="right"/>
              <w:ind w:right="160"/>
              <w:spacing w:after="0"/>
              <w:rPr>
                <w:sz w:val="20"/>
                <w:szCs w:val="20"/>
                <w:color w:val="auto"/>
              </w:rPr>
            </w:pPr>
            <w:r>
              <w:rPr>
                <w:rFonts w:ascii="Arial" w:cs="Arial" w:eastAsia="Arial" w:hAnsi="Arial"/>
                <w:sz w:val="18"/>
                <w:szCs w:val="18"/>
                <w:color w:val="auto"/>
              </w:rPr>
              <w:t>3,781</w:t>
            </w:r>
          </w:p>
        </w:tc>
        <w:tc>
          <w:tcPr>
            <w:tcW w:w="120" w:type="dxa"/>
            <w:vAlign w:val="bottom"/>
            <w:shd w:val="clear" w:color="auto" w:fill="CCFFCC"/>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4"/>
            <w:shd w:val="clear" w:color="auto" w:fill="CCFFCC"/>
          </w:tcPr>
          <w:p>
            <w:pPr>
              <w:jc w:val="right"/>
              <w:ind w:right="80"/>
              <w:spacing w:after="0"/>
              <w:rPr>
                <w:sz w:val="20"/>
                <w:szCs w:val="20"/>
                <w:color w:val="auto"/>
              </w:rPr>
            </w:pPr>
            <w:r>
              <w:rPr>
                <w:rFonts w:ascii="Arial" w:cs="Arial" w:eastAsia="Arial" w:hAnsi="Arial"/>
                <w:sz w:val="18"/>
                <w:szCs w:val="18"/>
                <w:color w:val="auto"/>
              </w:rPr>
              <w:t>902</w:t>
            </w: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Foreign</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4"/>
          </w:tcPr>
          <w:p>
            <w:pPr>
              <w:jc w:val="right"/>
              <w:ind w:right="100"/>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18"/>
                <w:szCs w:val="18"/>
                <w:color w:val="auto"/>
              </w:rPr>
            </w:pPr>
          </w:p>
        </w:tc>
        <w:tc>
          <w:tcPr>
            <w:tcW w:w="800" w:type="dxa"/>
            <w:vAlign w:val="bottom"/>
            <w:gridSpan w:val="4"/>
          </w:tcPr>
          <w:p>
            <w:pPr>
              <w:jc w:val="right"/>
              <w:ind w:right="80"/>
              <w:spacing w:after="0"/>
              <w:rPr>
                <w:sz w:val="20"/>
                <w:szCs w:val="20"/>
                <w:color w:val="auto"/>
              </w:rPr>
            </w:pPr>
            <w:r>
              <w:rPr>
                <w:rFonts w:ascii="Arial" w:cs="Arial" w:eastAsia="Arial" w:hAnsi="Arial"/>
                <w:sz w:val="18"/>
                <w:szCs w:val="18"/>
                <w:color w:val="auto"/>
              </w:rPr>
              <w:t>327</w:t>
            </w:r>
          </w:p>
        </w:tc>
      </w:tr>
      <w:tr>
        <w:trPr>
          <w:trHeight w:val="27"/>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220" w:type="dxa"/>
            <w:vAlign w:val="bottom"/>
            <w:shd w:val="clear" w:color="auto" w:fill="CCFFCC"/>
          </w:tcPr>
          <w:p>
            <w:pPr>
              <w:spacing w:after="0"/>
              <w:rPr>
                <w:sz w:val="20"/>
                <w:szCs w:val="20"/>
                <w:color w:val="auto"/>
              </w:rPr>
            </w:pPr>
          </w:p>
        </w:tc>
        <w:tc>
          <w:tcPr>
            <w:tcW w:w="380" w:type="dxa"/>
            <w:vAlign w:val="bottom"/>
            <w:shd w:val="clear" w:color="auto" w:fill="CCFFCC"/>
          </w:tcPr>
          <w:p>
            <w:pPr>
              <w:spacing w:after="0"/>
              <w:rPr>
                <w:sz w:val="20"/>
                <w:szCs w:val="20"/>
                <w:color w:val="auto"/>
              </w:rPr>
            </w:pP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3,595</w:t>
            </w:r>
          </w:p>
        </w:tc>
        <w:tc>
          <w:tcPr>
            <w:tcW w:w="160" w:type="dxa"/>
            <w:vAlign w:val="bottom"/>
            <w:tcBorders>
              <w:right w:val="single" w:sz="8" w:color="CCFFCC"/>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4"/>
            <w:shd w:val="clear" w:color="auto" w:fill="CCFFCC"/>
          </w:tcPr>
          <w:p>
            <w:pPr>
              <w:jc w:val="right"/>
              <w:ind w:right="80"/>
              <w:spacing w:after="0"/>
              <w:rPr>
                <w:sz w:val="20"/>
                <w:szCs w:val="20"/>
                <w:color w:val="auto"/>
              </w:rPr>
            </w:pPr>
            <w:r>
              <w:rPr>
                <w:rFonts w:ascii="Arial" w:cs="Arial" w:eastAsia="Arial" w:hAnsi="Arial"/>
                <w:sz w:val="18"/>
                <w:szCs w:val="18"/>
                <w:color w:val="auto"/>
              </w:rPr>
              <w:t>1,229</w:t>
            </w: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2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7140" w:type="dxa"/>
            <w:vAlign w:val="bottom"/>
            <w:gridSpan w:val="2"/>
          </w:tcPr>
          <w:p>
            <w:pPr>
              <w:ind w:left="20"/>
              <w:spacing w:after="0"/>
              <w:rPr>
                <w:sz w:val="20"/>
                <w:szCs w:val="20"/>
                <w:color w:val="auto"/>
              </w:rPr>
            </w:pPr>
            <w:r>
              <w:rPr>
                <w:rFonts w:ascii="Arial" w:cs="Arial" w:eastAsia="Arial" w:hAnsi="Arial"/>
                <w:sz w:val="18"/>
                <w:szCs w:val="18"/>
                <w:color w:val="auto"/>
              </w:rPr>
              <w:t>The provision (benefit) for income taxes consists of the following (in thousands):</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66"/>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94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8"/>
                <w:szCs w:val="18"/>
                <w:color w:val="auto"/>
              </w:rPr>
              <w:t>2011</w:t>
            </w:r>
          </w:p>
        </w:tc>
        <w:tc>
          <w:tcPr>
            <w:tcW w:w="1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2010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Current:</w:t>
            </w:r>
          </w:p>
        </w:tc>
        <w:tc>
          <w:tcPr>
            <w:tcW w:w="3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tcBorders>
              <w:right w:val="single" w:sz="8" w:color="CCFFCC"/>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300"/>
              <w:spacing w:after="0"/>
              <w:rPr>
                <w:sz w:val="20"/>
                <w:szCs w:val="20"/>
                <w:color w:val="auto"/>
              </w:rPr>
            </w:pPr>
            <w:r>
              <w:rPr>
                <w:rFonts w:ascii="Arial" w:cs="Arial" w:eastAsia="Arial" w:hAnsi="Arial"/>
                <w:sz w:val="18"/>
                <w:szCs w:val="18"/>
                <w:color w:val="auto"/>
              </w:rPr>
              <w:t>Federal</w:t>
            </w:r>
          </w:p>
        </w:tc>
        <w:tc>
          <w:tcPr>
            <w:tcW w:w="380" w:type="dxa"/>
            <w:vAlign w:val="bottom"/>
          </w:tcPr>
          <w:p>
            <w:pPr>
              <w:jc w:val="right"/>
              <w:ind w:right="217"/>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1,134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(1,560)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FFCC"/>
          </w:tcPr>
          <w:p>
            <w:pPr>
              <w:ind w:left="300"/>
              <w:spacing w:after="0"/>
              <w:rPr>
                <w:sz w:val="20"/>
                <w:szCs w:val="20"/>
                <w:color w:val="auto"/>
              </w:rPr>
            </w:pPr>
            <w:r>
              <w:rPr>
                <w:rFonts w:ascii="Arial" w:cs="Arial" w:eastAsia="Arial" w:hAnsi="Arial"/>
                <w:sz w:val="18"/>
                <w:szCs w:val="18"/>
                <w:color w:val="auto"/>
              </w:rPr>
              <w:t>Foreign</w:t>
            </w:r>
          </w:p>
        </w:tc>
        <w:tc>
          <w:tcPr>
            <w:tcW w:w="3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160" w:type="dxa"/>
            <w:vAlign w:val="bottom"/>
            <w:tcBorders>
              <w:right w:val="single" w:sz="8" w:color="CCFFCC"/>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300"/>
              <w:spacing w:after="0"/>
              <w:rPr>
                <w:sz w:val="20"/>
                <w:szCs w:val="20"/>
                <w:color w:val="auto"/>
              </w:rPr>
            </w:pPr>
            <w:r>
              <w:rPr>
                <w:rFonts w:ascii="Arial" w:cs="Arial" w:eastAsia="Arial" w:hAnsi="Arial"/>
                <w:sz w:val="18"/>
                <w:szCs w:val="18"/>
                <w:color w:val="auto"/>
              </w:rPr>
              <w:t>State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7140" w:type="dxa"/>
            <w:vAlign w:val="bottom"/>
            <w:gridSpan w:val="2"/>
            <w:shd w:val="clear" w:color="auto" w:fill="CCFFCC"/>
          </w:tcPr>
          <w:p>
            <w:pPr>
              <w:ind w:left="460"/>
              <w:spacing w:after="0"/>
              <w:rPr>
                <w:sz w:val="20"/>
                <w:szCs w:val="20"/>
                <w:color w:val="auto"/>
              </w:rPr>
            </w:pPr>
            <w:r>
              <w:rPr>
                <w:rFonts w:ascii="Arial" w:cs="Arial" w:eastAsia="Arial" w:hAnsi="Arial"/>
                <w:sz w:val="18"/>
                <w:szCs w:val="18"/>
                <w:color w:val="auto"/>
              </w:rPr>
              <w:t>Current provision (benefit)</w:t>
            </w:r>
          </w:p>
        </w:tc>
        <w:tc>
          <w:tcPr>
            <w:tcW w:w="38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4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7"/>
              </w:rPr>
              <w:t>1,130</w:t>
            </w:r>
          </w:p>
        </w:tc>
        <w:tc>
          <w:tcPr>
            <w:tcW w:w="18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60" w:type="dxa"/>
            <w:vAlign w:val="bottom"/>
            <w:tcBorders>
              <w:right w:val="single" w:sz="8" w:color="CCFFCC"/>
            </w:tcBorders>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6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w w:val="98"/>
              </w:rPr>
              <w:t>(1,520)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140" w:type="dxa"/>
            <w:vAlign w:val="bottom"/>
            <w:tcBorders>
              <w:top w:val="single" w:sz="8" w:color="CCFFCC"/>
            </w:tcBorders>
            <w:gridSpan w:val="2"/>
          </w:tcPr>
          <w:p>
            <w:pPr>
              <w:spacing w:after="0"/>
              <w:rPr>
                <w:sz w:val="20"/>
                <w:szCs w:val="20"/>
                <w:color w:val="auto"/>
              </w:rPr>
            </w:pPr>
            <w:r>
              <w:rPr>
                <w:rFonts w:ascii="Arial" w:cs="Arial" w:eastAsia="Arial" w:hAnsi="Arial"/>
                <w:sz w:val="18"/>
                <w:szCs w:val="18"/>
                <w:color w:val="auto"/>
              </w:rPr>
              <w:t>Deferred</w:t>
            </w:r>
          </w:p>
        </w:tc>
        <w:tc>
          <w:tcPr>
            <w:tcW w:w="3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FFCC"/>
          </w:tcPr>
          <w:p>
            <w:pPr>
              <w:ind w:left="300"/>
              <w:spacing w:after="0"/>
              <w:rPr>
                <w:sz w:val="20"/>
                <w:szCs w:val="20"/>
                <w:color w:val="auto"/>
              </w:rPr>
            </w:pPr>
            <w:r>
              <w:rPr>
                <w:rFonts w:ascii="Arial" w:cs="Arial" w:eastAsia="Arial" w:hAnsi="Arial"/>
                <w:sz w:val="18"/>
                <w:szCs w:val="18"/>
                <w:color w:val="auto"/>
              </w:rPr>
              <w:t>Federal</w:t>
            </w:r>
          </w:p>
        </w:tc>
        <w:tc>
          <w:tcPr>
            <w:tcW w:w="3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FFCC"/>
          </w:tcPr>
          <w:p>
            <w:pPr>
              <w:spacing w:after="0"/>
              <w:rPr>
                <w:sz w:val="18"/>
                <w:szCs w:val="18"/>
                <w:color w:val="auto"/>
              </w:rPr>
            </w:pPr>
          </w:p>
        </w:tc>
        <w:tc>
          <w:tcPr>
            <w:tcW w:w="160" w:type="dxa"/>
            <w:vAlign w:val="bottom"/>
            <w:tcBorders>
              <w:right w:val="single" w:sz="8" w:color="CCFFCC"/>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300"/>
              <w:spacing w:after="0"/>
              <w:rPr>
                <w:sz w:val="20"/>
                <w:szCs w:val="20"/>
                <w:color w:val="auto"/>
              </w:rPr>
            </w:pPr>
            <w:r>
              <w:rPr>
                <w:rFonts w:ascii="Arial" w:cs="Arial" w:eastAsia="Arial" w:hAnsi="Arial"/>
                <w:sz w:val="18"/>
                <w:szCs w:val="18"/>
                <w:color w:val="auto"/>
              </w:rPr>
              <w:t>Foreign</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140" w:type="dxa"/>
            <w:vAlign w:val="bottom"/>
            <w:tcBorders>
              <w:bottom w:val="single" w:sz="8" w:color="CCFFCC"/>
            </w:tcBorders>
            <w:gridSpan w:val="2"/>
            <w:shd w:val="clear" w:color="auto" w:fill="CCFFCC"/>
          </w:tcPr>
          <w:p>
            <w:pPr>
              <w:ind w:left="300"/>
              <w:spacing w:after="0"/>
              <w:rPr>
                <w:sz w:val="20"/>
                <w:szCs w:val="20"/>
                <w:color w:val="auto"/>
              </w:rPr>
            </w:pPr>
            <w:r>
              <w:rPr>
                <w:rFonts w:ascii="Arial" w:cs="Arial" w:eastAsia="Arial" w:hAnsi="Arial"/>
                <w:sz w:val="18"/>
                <w:szCs w:val="18"/>
                <w:color w:val="auto"/>
              </w:rPr>
              <w:t>State</w:t>
            </w:r>
          </w:p>
        </w:tc>
        <w:tc>
          <w:tcPr>
            <w:tcW w:w="380" w:type="dxa"/>
            <w:vAlign w:val="bottom"/>
            <w:tcBorders>
              <w:bottom w:val="single" w:sz="8" w:color="auto"/>
            </w:tcBorders>
            <w:shd w:val="clear" w:color="auto" w:fill="CCFFCC"/>
          </w:tcPr>
          <w:p>
            <w:pPr>
              <w:spacing w:after="0"/>
              <w:rPr>
                <w:sz w:val="19"/>
                <w:szCs w:val="19"/>
                <w:color w:val="auto"/>
              </w:rPr>
            </w:pPr>
          </w:p>
        </w:tc>
        <w:tc>
          <w:tcPr>
            <w:tcW w:w="100" w:type="dxa"/>
            <w:vAlign w:val="bottom"/>
            <w:tcBorders>
              <w:bottom w:val="single" w:sz="8" w:color="auto"/>
            </w:tcBorders>
            <w:shd w:val="clear" w:color="auto" w:fill="CCFFCC"/>
          </w:tcPr>
          <w:p>
            <w:pPr>
              <w:spacing w:after="0"/>
              <w:rPr>
                <w:sz w:val="19"/>
                <w:szCs w:val="19"/>
                <w:color w:val="auto"/>
              </w:rPr>
            </w:pPr>
          </w:p>
        </w:tc>
        <w:tc>
          <w:tcPr>
            <w:tcW w:w="4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105</w:t>
            </w:r>
          </w:p>
        </w:tc>
        <w:tc>
          <w:tcPr>
            <w:tcW w:w="180" w:type="dxa"/>
            <w:vAlign w:val="bottom"/>
            <w:tcBorders>
              <w:bottom w:val="single" w:sz="8" w:color="CCFFCC"/>
            </w:tcBorders>
            <w:shd w:val="clear" w:color="auto" w:fill="CCFFCC"/>
          </w:tcPr>
          <w:p>
            <w:pPr>
              <w:spacing w:after="0"/>
              <w:rPr>
                <w:sz w:val="19"/>
                <w:szCs w:val="19"/>
                <w:color w:val="auto"/>
              </w:rPr>
            </w:pPr>
          </w:p>
        </w:tc>
        <w:tc>
          <w:tcPr>
            <w:tcW w:w="120" w:type="dxa"/>
            <w:vAlign w:val="bottom"/>
            <w:tcBorders>
              <w:bottom w:val="single" w:sz="8" w:color="auto"/>
            </w:tcBorders>
            <w:shd w:val="clear" w:color="auto" w:fill="CCFFCC"/>
          </w:tcPr>
          <w:p>
            <w:pPr>
              <w:spacing w:after="0"/>
              <w:rPr>
                <w:sz w:val="19"/>
                <w:szCs w:val="19"/>
                <w:color w:val="auto"/>
              </w:rPr>
            </w:pPr>
          </w:p>
        </w:tc>
        <w:tc>
          <w:tcPr>
            <w:tcW w:w="160" w:type="dxa"/>
            <w:vAlign w:val="bottom"/>
            <w:tcBorders>
              <w:bottom w:val="single" w:sz="8" w:color="auto"/>
              <w:right w:val="single" w:sz="8" w:color="CCFFCC"/>
            </w:tcBorders>
            <w:shd w:val="clear" w:color="auto" w:fill="CCFFCC"/>
          </w:tcPr>
          <w:p>
            <w:pPr>
              <w:spacing w:after="0"/>
              <w:rPr>
                <w:sz w:val="19"/>
                <w:szCs w:val="19"/>
                <w:color w:val="auto"/>
              </w:rPr>
            </w:pPr>
          </w:p>
        </w:tc>
        <w:tc>
          <w:tcPr>
            <w:tcW w:w="120" w:type="dxa"/>
            <w:vAlign w:val="bottom"/>
            <w:tcBorders>
              <w:bottom w:val="single" w:sz="8" w:color="auto"/>
            </w:tcBorders>
            <w:shd w:val="clear" w:color="auto" w:fill="CCFFCC"/>
          </w:tcPr>
          <w:p>
            <w:pPr>
              <w:spacing w:after="0"/>
              <w:rPr>
                <w:sz w:val="19"/>
                <w:szCs w:val="19"/>
                <w:color w:val="auto"/>
              </w:rPr>
            </w:pPr>
          </w:p>
        </w:tc>
        <w:tc>
          <w:tcPr>
            <w:tcW w:w="5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FFCC"/>
            </w:tcBorders>
            <w:shd w:val="clear" w:color="auto" w:fill="CCFFCC"/>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140" w:type="dxa"/>
            <w:vAlign w:val="bottom"/>
            <w:gridSpan w:val="2"/>
          </w:tcPr>
          <w:p>
            <w:pPr>
              <w:ind w:left="460"/>
              <w:spacing w:after="0"/>
              <w:rPr>
                <w:sz w:val="20"/>
                <w:szCs w:val="20"/>
                <w:color w:val="auto"/>
              </w:rPr>
            </w:pPr>
            <w:r>
              <w:rPr>
                <w:rFonts w:ascii="Arial" w:cs="Arial" w:eastAsia="Arial" w:hAnsi="Arial"/>
                <w:sz w:val="18"/>
                <w:szCs w:val="18"/>
                <w:color w:val="auto"/>
              </w:rPr>
              <w:t>Deferred provision</w:t>
            </w: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Change in valuation allowance</w:t>
            </w:r>
          </w:p>
        </w:tc>
        <w:tc>
          <w:tcPr>
            <w:tcW w:w="3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87"/>
              </w:rPr>
              <w:t>(3,635)</w:t>
            </w:r>
          </w:p>
        </w:tc>
        <w:tc>
          <w:tcPr>
            <w:tcW w:w="120" w:type="dxa"/>
            <w:vAlign w:val="bottom"/>
            <w:shd w:val="clear" w:color="auto" w:fill="CCFFCC"/>
          </w:tcPr>
          <w:p>
            <w:pPr>
              <w:spacing w:after="0"/>
              <w:rPr>
                <w:sz w:val="18"/>
                <w:szCs w:val="18"/>
                <w:color w:val="auto"/>
              </w:rPr>
            </w:pPr>
          </w:p>
        </w:tc>
        <w:tc>
          <w:tcPr>
            <w:tcW w:w="160" w:type="dxa"/>
            <w:vAlign w:val="bottom"/>
            <w:tcBorders>
              <w:right w:val="single" w:sz="8" w:color="CCFFCC"/>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920" w:type="dxa"/>
            <w:vAlign w:val="bottom"/>
            <w:shd w:val="clear" w:color="auto" w:fill="CCFFCC"/>
          </w:tcPr>
          <w:p>
            <w:pPr>
              <w:spacing w:after="0"/>
              <w:rPr>
                <w:sz w:val="2"/>
                <w:szCs w:val="2"/>
                <w:color w:val="auto"/>
              </w:rPr>
            </w:pPr>
          </w:p>
        </w:tc>
        <w:tc>
          <w:tcPr>
            <w:tcW w:w="6220" w:type="dxa"/>
            <w:vAlign w:val="bottom"/>
            <w:shd w:val="clear" w:color="auto" w:fill="CCFFCC"/>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140"/>
              <w:spacing w:after="0"/>
              <w:rPr>
                <w:sz w:val="20"/>
                <w:szCs w:val="20"/>
                <w:color w:val="auto"/>
              </w:rPr>
            </w:pPr>
            <w:r>
              <w:rPr>
                <w:rFonts w:ascii="Arial" w:cs="Arial" w:eastAsia="Arial" w:hAnsi="Arial"/>
                <w:sz w:val="18"/>
                <w:szCs w:val="18"/>
                <w:color w:val="auto"/>
              </w:rPr>
              <w:t>Total benefit</w:t>
            </w:r>
          </w:p>
        </w:tc>
        <w:tc>
          <w:tcPr>
            <w:tcW w:w="380" w:type="dxa"/>
            <w:vAlign w:val="bottom"/>
          </w:tcPr>
          <w:p>
            <w:pPr>
              <w:jc w:val="right"/>
              <w:ind w:right="217"/>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(2,420)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(1,520)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The following table reconciles the reported income tax (benefit) expense with the amount computed using the federal statutory income tax rate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00" w:type="dxa"/>
            <w:vAlign w:val="bottom"/>
          </w:tcPr>
          <w:p>
            <w:pPr>
              <w:spacing w:after="0"/>
              <w:rPr>
                <w:sz w:val="20"/>
                <w:szCs w:val="20"/>
                <w:color w:val="auto"/>
              </w:rPr>
            </w:pPr>
          </w:p>
        </w:tc>
        <w:tc>
          <w:tcPr>
            <w:tcW w:w="7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2011</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2010</w:t>
            </w:r>
          </w:p>
        </w:tc>
        <w:tc>
          <w:tcPr>
            <w:tcW w:w="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160" w:type="dxa"/>
            <w:vAlign w:val="bottom"/>
            <w:shd w:val="clear" w:color="auto" w:fill="CCFFCC"/>
          </w:tcPr>
          <w:p>
            <w:pPr>
              <w:spacing w:after="0"/>
              <w:rPr>
                <w:sz w:val="20"/>
                <w:szCs w:val="20"/>
                <w:color w:val="auto"/>
              </w:rPr>
            </w:pPr>
            <w:r>
              <w:rPr>
                <w:rFonts w:ascii="Arial" w:cs="Arial" w:eastAsia="Arial" w:hAnsi="Arial"/>
                <w:sz w:val="18"/>
                <w:szCs w:val="18"/>
                <w:color w:val="auto"/>
              </w:rPr>
              <w:t>Computed "expected" tax expense</w:t>
            </w: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1,222</w:t>
            </w: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418</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State and local tax, net of federal benefit</w:t>
            </w:r>
          </w:p>
        </w:tc>
        <w:tc>
          <w:tcPr>
            <w:tcW w:w="18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67</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20</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160" w:type="dxa"/>
            <w:vAlign w:val="bottom"/>
            <w:shd w:val="clear" w:color="auto" w:fill="CCFFCC"/>
          </w:tcPr>
          <w:p>
            <w:pPr>
              <w:spacing w:after="0"/>
              <w:rPr>
                <w:sz w:val="20"/>
                <w:szCs w:val="20"/>
                <w:color w:val="auto"/>
              </w:rPr>
            </w:pPr>
            <w:r>
              <w:rPr>
                <w:rFonts w:ascii="Arial" w:cs="Arial" w:eastAsia="Arial" w:hAnsi="Arial"/>
                <w:sz w:val="18"/>
                <w:szCs w:val="18"/>
                <w:color w:val="auto"/>
              </w:rPr>
              <w:t>Valuation allowance on deferred tax assets</w:t>
            </w:r>
          </w:p>
        </w:tc>
        <w:tc>
          <w:tcPr>
            <w:tcW w:w="18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(3,635)</w:t>
            </w:r>
          </w:p>
        </w:tc>
        <w:tc>
          <w:tcPr>
            <w:tcW w:w="1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Nontaxable income from foreign subsidiaries</w:t>
            </w:r>
          </w:p>
        </w:tc>
        <w:tc>
          <w:tcPr>
            <w:tcW w:w="18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52</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160" w:type="dxa"/>
            <w:vAlign w:val="bottom"/>
            <w:shd w:val="clear" w:color="auto" w:fill="CCFFCC"/>
          </w:tcPr>
          <w:p>
            <w:pPr>
              <w:spacing w:after="0"/>
              <w:rPr>
                <w:sz w:val="20"/>
                <w:szCs w:val="20"/>
                <w:color w:val="auto"/>
              </w:rPr>
            </w:pPr>
            <w:r>
              <w:rPr>
                <w:rFonts w:ascii="Arial" w:cs="Arial" w:eastAsia="Arial" w:hAnsi="Arial"/>
                <w:sz w:val="18"/>
                <w:szCs w:val="18"/>
                <w:color w:val="auto"/>
              </w:rPr>
              <w:t>Nondeductible expenses</w:t>
            </w:r>
          </w:p>
        </w:tc>
        <w:tc>
          <w:tcPr>
            <w:tcW w:w="18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125</w:t>
            </w:r>
          </w:p>
        </w:tc>
        <w:tc>
          <w:tcPr>
            <w:tcW w:w="1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148</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Nontaxable life insurance cash value increase</w:t>
            </w:r>
          </w:p>
        </w:tc>
        <w:tc>
          <w:tcPr>
            <w:tcW w:w="1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(116)</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(117)</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160" w:type="dxa"/>
            <w:vAlign w:val="bottom"/>
            <w:shd w:val="clear" w:color="auto" w:fill="CCFFCC"/>
          </w:tcPr>
          <w:p>
            <w:pPr>
              <w:spacing w:after="0"/>
              <w:rPr>
                <w:sz w:val="20"/>
                <w:szCs w:val="20"/>
                <w:color w:val="auto"/>
              </w:rPr>
            </w:pPr>
            <w:r>
              <w:rPr>
                <w:rFonts w:ascii="Arial" w:cs="Arial" w:eastAsia="Arial" w:hAnsi="Arial"/>
                <w:sz w:val="18"/>
                <w:szCs w:val="18"/>
                <w:color w:val="auto"/>
              </w:rPr>
              <w:t>Tax credits</w:t>
            </w:r>
          </w:p>
        </w:tc>
        <w:tc>
          <w:tcPr>
            <w:tcW w:w="18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(279)</w:t>
            </w:r>
          </w:p>
        </w:tc>
        <w:tc>
          <w:tcPr>
            <w:tcW w:w="1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(105)</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Net operating loss carryback</w:t>
            </w:r>
          </w:p>
        </w:tc>
        <w:tc>
          <w:tcPr>
            <w:tcW w:w="18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(1,796)</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160" w:type="dxa"/>
            <w:vAlign w:val="bottom"/>
            <w:shd w:val="clear" w:color="auto" w:fill="CCFFCC"/>
          </w:tcPr>
          <w:p>
            <w:pPr>
              <w:spacing w:after="0"/>
              <w:rPr>
                <w:sz w:val="20"/>
                <w:szCs w:val="20"/>
                <w:color w:val="auto"/>
              </w:rPr>
            </w:pPr>
            <w:r>
              <w:rPr>
                <w:rFonts w:ascii="Arial" w:cs="Arial" w:eastAsia="Arial" w:hAnsi="Arial"/>
                <w:sz w:val="18"/>
                <w:szCs w:val="18"/>
                <w:color w:val="auto"/>
              </w:rPr>
              <w:t>Other items, net, none of which individually exceeds 5% of federal taxes at statutory rates</w:t>
            </w:r>
          </w:p>
        </w:tc>
        <w:tc>
          <w:tcPr>
            <w:tcW w:w="180" w:type="dxa"/>
            <w:vAlign w:val="bottom"/>
            <w:shd w:val="clear" w:color="auto" w:fill="CCFFCC"/>
          </w:tcPr>
          <w:p>
            <w:pPr>
              <w:spacing w:after="0"/>
              <w:rPr>
                <w:sz w:val="18"/>
                <w:szCs w:val="18"/>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144</w:t>
            </w:r>
          </w:p>
        </w:tc>
        <w:tc>
          <w:tcPr>
            <w:tcW w:w="1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(56)</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7160" w:type="dxa"/>
            <w:vAlign w:val="bottom"/>
            <w:shd w:val="clear" w:color="auto" w:fill="CCFFC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 w:type="dxa"/>
            <w:vAlign w:val="bottom"/>
          </w:tcPr>
          <w:p>
            <w:pPr>
              <w:spacing w:after="0"/>
              <w:rPr>
                <w:sz w:val="18"/>
                <w:szCs w:val="18"/>
                <w:color w:val="auto"/>
              </w:rPr>
            </w:pPr>
          </w:p>
        </w:tc>
        <w:tc>
          <w:tcPr>
            <w:tcW w:w="716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(2,420)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(1,520)</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660" w:type="dxa"/>
            <w:vAlign w:val="bottom"/>
            <w:gridSpan w:val="2"/>
            <w:vMerge w:val="restart"/>
          </w:tcPr>
          <w:p>
            <w:pPr>
              <w:ind w:left="500"/>
              <w:spacing w:after="0"/>
              <w:rPr>
                <w:sz w:val="20"/>
                <w:szCs w:val="20"/>
                <w:color w:val="auto"/>
              </w:rPr>
            </w:pPr>
            <w:r>
              <w:rPr>
                <w:rFonts w:ascii="Arial" w:cs="Arial" w:eastAsia="Arial" w:hAnsi="Arial"/>
                <w:sz w:val="18"/>
                <w:szCs w:val="18"/>
                <w:color w:val="auto"/>
              </w:rPr>
              <w:t>The components of deferred taxes are as follows (in thousands):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766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50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2011</w:t>
            </w:r>
          </w:p>
        </w:tc>
        <w:tc>
          <w:tcPr>
            <w:tcW w:w="180" w:type="dxa"/>
            <w:vAlign w:val="bottom"/>
          </w:tcPr>
          <w:p>
            <w:pPr>
              <w:spacing w:after="0"/>
              <w:rPr>
                <w:sz w:val="24"/>
                <w:szCs w:val="2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2010</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160" w:type="dxa"/>
            <w:vAlign w:val="bottom"/>
            <w:shd w:val="clear" w:color="auto" w:fill="CCFFCC"/>
          </w:tcPr>
          <w:p>
            <w:pPr>
              <w:spacing w:after="0"/>
              <w:rPr>
                <w:sz w:val="20"/>
                <w:szCs w:val="20"/>
                <w:color w:val="auto"/>
              </w:rPr>
            </w:pPr>
            <w:r>
              <w:rPr>
                <w:rFonts w:ascii="Arial" w:cs="Arial" w:eastAsia="Arial" w:hAnsi="Arial"/>
                <w:sz w:val="18"/>
                <w:szCs w:val="18"/>
                <w:color w:val="auto"/>
              </w:rPr>
              <w:t>Deferred tax assets:</w:t>
            </w:r>
          </w:p>
        </w:tc>
        <w:tc>
          <w:tcPr>
            <w:tcW w:w="180" w:type="dxa"/>
            <w:vAlign w:val="bottom"/>
            <w:tcBorders>
              <w:top w:val="single" w:sz="8" w:color="auto"/>
            </w:tcBorders>
            <w:shd w:val="clear" w:color="auto" w:fill="CCFFCC"/>
          </w:tcPr>
          <w:p>
            <w:pPr>
              <w:spacing w:after="0"/>
              <w:rPr>
                <w:sz w:val="18"/>
                <w:szCs w:val="18"/>
                <w:color w:val="auto"/>
              </w:rPr>
            </w:pPr>
          </w:p>
        </w:tc>
        <w:tc>
          <w:tcPr>
            <w:tcW w:w="76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spacing w:after="0"/>
              <w:rPr>
                <w:sz w:val="18"/>
                <w:szCs w:val="18"/>
                <w:color w:val="auto"/>
              </w:rPr>
            </w:pPr>
          </w:p>
        </w:tc>
        <w:tc>
          <w:tcPr>
            <w:tcW w:w="74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160" w:type="dxa"/>
            <w:vAlign w:val="bottom"/>
          </w:tcPr>
          <w:p>
            <w:pPr>
              <w:ind w:left="160"/>
              <w:spacing w:after="0"/>
              <w:rPr>
                <w:sz w:val="20"/>
                <w:szCs w:val="20"/>
                <w:color w:val="auto"/>
              </w:rPr>
            </w:pPr>
            <w:r>
              <w:rPr>
                <w:rFonts w:ascii="Arial" w:cs="Arial" w:eastAsia="Arial" w:hAnsi="Arial"/>
                <w:sz w:val="18"/>
                <w:szCs w:val="18"/>
                <w:color w:val="auto"/>
              </w:rPr>
              <w:t>Employee benefits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4,980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4,555</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1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Inventory</w:t>
            </w:r>
          </w:p>
        </w:tc>
        <w:tc>
          <w:tcPr>
            <w:tcW w:w="18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1,580</w:t>
            </w:r>
          </w:p>
        </w:tc>
        <w:tc>
          <w:tcPr>
            <w:tcW w:w="1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1,850</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16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18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340</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230</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1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Marketable securities</w:t>
            </w:r>
          </w:p>
        </w:tc>
        <w:tc>
          <w:tcPr>
            <w:tcW w:w="18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200</w:t>
            </w:r>
          </w:p>
        </w:tc>
        <w:tc>
          <w:tcPr>
            <w:tcW w:w="1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265</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160" w:type="dxa"/>
            <w:vAlign w:val="bottom"/>
          </w:tcPr>
          <w:p>
            <w:pPr>
              <w:ind w:left="160"/>
              <w:spacing w:after="0"/>
              <w:rPr>
                <w:sz w:val="20"/>
                <w:szCs w:val="20"/>
                <w:color w:val="auto"/>
              </w:rPr>
            </w:pPr>
            <w:r>
              <w:rPr>
                <w:rFonts w:ascii="Arial" w:cs="Arial" w:eastAsia="Arial" w:hAnsi="Arial"/>
                <w:sz w:val="18"/>
                <w:szCs w:val="18"/>
                <w:color w:val="auto"/>
              </w:rPr>
              <w:t>Research &amp; development credits</w:t>
            </w:r>
          </w:p>
        </w:tc>
        <w:tc>
          <w:tcPr>
            <w:tcW w:w="18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1,030</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961</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1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Other liabilities</w:t>
            </w:r>
          </w:p>
        </w:tc>
        <w:tc>
          <w:tcPr>
            <w:tcW w:w="18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270</w:t>
            </w:r>
          </w:p>
        </w:tc>
        <w:tc>
          <w:tcPr>
            <w:tcW w:w="1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69</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7160" w:type="dxa"/>
            <w:vAlign w:val="bottom"/>
          </w:tcPr>
          <w:p>
            <w:pPr>
              <w:ind w:left="160"/>
              <w:spacing w:after="0"/>
              <w:rPr>
                <w:sz w:val="20"/>
                <w:szCs w:val="20"/>
                <w:color w:val="auto"/>
              </w:rPr>
            </w:pPr>
            <w:r>
              <w:rPr>
                <w:rFonts w:ascii="Arial" w:cs="Arial" w:eastAsia="Arial" w:hAnsi="Arial"/>
                <w:sz w:val="18"/>
                <w:szCs w:val="18"/>
                <w:color w:val="auto"/>
              </w:rPr>
              <w:t>Net operating loss carryforwards</w:t>
            </w: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w:t>
            </w:r>
          </w:p>
        </w:tc>
        <w:tc>
          <w:tcPr>
            <w:tcW w:w="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71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Total deferred tax asset</w:t>
            </w:r>
          </w:p>
        </w:tc>
        <w:tc>
          <w:tcPr>
            <w:tcW w:w="180" w:type="dxa"/>
            <w:vAlign w:val="bottom"/>
            <w:shd w:val="clear" w:color="auto" w:fill="CCFFCC"/>
          </w:tcPr>
          <w:p>
            <w:pPr>
              <w:spacing w:after="0"/>
              <w:rPr>
                <w:sz w:val="19"/>
                <w:szCs w:val="19"/>
                <w:color w:val="auto"/>
              </w:rPr>
            </w:pPr>
          </w:p>
        </w:tc>
        <w:tc>
          <w:tcPr>
            <w:tcW w:w="9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8,970</w:t>
            </w:r>
          </w:p>
        </w:tc>
        <w:tc>
          <w:tcPr>
            <w:tcW w:w="180" w:type="dxa"/>
            <w:vAlign w:val="bottom"/>
            <w:shd w:val="clear" w:color="auto" w:fill="CCFFCC"/>
          </w:tcPr>
          <w:p>
            <w:pPr>
              <w:spacing w:after="0"/>
              <w:rPr>
                <w:sz w:val="19"/>
                <w:szCs w:val="19"/>
                <w:color w:val="auto"/>
              </w:rPr>
            </w:pPr>
          </w:p>
        </w:tc>
        <w:tc>
          <w:tcPr>
            <w:tcW w:w="8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8,900</w:t>
            </w: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160" w:type="dxa"/>
            <w:vAlign w:val="bottom"/>
            <w:tcBorders>
              <w:top w:val="single" w:sz="8" w:color="CCFFCC"/>
            </w:tcBorders>
          </w:tcPr>
          <w:p>
            <w:pPr>
              <w:spacing w:after="0"/>
              <w:rPr>
                <w:sz w:val="20"/>
                <w:szCs w:val="20"/>
                <w:color w:val="auto"/>
              </w:rPr>
            </w:pPr>
            <w:r>
              <w:rPr>
                <w:rFonts w:ascii="Arial" w:cs="Arial" w:eastAsia="Arial" w:hAnsi="Arial"/>
                <w:sz w:val="18"/>
                <w:szCs w:val="18"/>
                <w:color w:val="auto"/>
              </w:rPr>
              <w:t>Deferred tax liabilities</w:t>
            </w: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716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Property, plant and equipment</w:t>
            </w:r>
          </w:p>
        </w:tc>
        <w:tc>
          <w:tcPr>
            <w:tcW w:w="180" w:type="dxa"/>
            <w:vAlign w:val="bottom"/>
            <w:tcBorders>
              <w:bottom w:val="single" w:sz="8" w:color="auto"/>
            </w:tcBorders>
            <w:shd w:val="clear" w:color="auto" w:fill="CCFFCC"/>
          </w:tcPr>
          <w:p>
            <w:pPr>
              <w:spacing w:after="0"/>
              <w:rPr>
                <w:sz w:val="19"/>
                <w:szCs w:val="19"/>
                <w:color w:val="auto"/>
              </w:rPr>
            </w:pPr>
          </w:p>
        </w:tc>
        <w:tc>
          <w:tcPr>
            <w:tcW w:w="7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1,070</w:t>
            </w:r>
          </w:p>
        </w:tc>
        <w:tc>
          <w:tcPr>
            <w:tcW w:w="180" w:type="dxa"/>
            <w:vAlign w:val="bottom"/>
            <w:tcBorders>
              <w:bottom w:val="single" w:sz="8" w:color="CCFFCC"/>
            </w:tcBorders>
            <w:shd w:val="clear" w:color="auto" w:fill="CCFFCC"/>
          </w:tcPr>
          <w:p>
            <w:pPr>
              <w:spacing w:after="0"/>
              <w:rPr>
                <w:sz w:val="19"/>
                <w:szCs w:val="19"/>
                <w:color w:val="auto"/>
              </w:rPr>
            </w:pPr>
          </w:p>
        </w:tc>
        <w:tc>
          <w:tcPr>
            <w:tcW w:w="180" w:type="dxa"/>
            <w:vAlign w:val="bottom"/>
            <w:tcBorders>
              <w:bottom w:val="single" w:sz="8" w:color="auto"/>
            </w:tcBorders>
            <w:shd w:val="clear" w:color="auto" w:fill="CCFFCC"/>
          </w:tcPr>
          <w:p>
            <w:pPr>
              <w:spacing w:after="0"/>
              <w:rPr>
                <w:sz w:val="19"/>
                <w:szCs w:val="19"/>
                <w:color w:val="auto"/>
              </w:rPr>
            </w:pPr>
          </w:p>
        </w:tc>
        <w:tc>
          <w:tcPr>
            <w:tcW w:w="7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838</w:t>
            </w:r>
          </w:p>
        </w:tc>
        <w:tc>
          <w:tcPr>
            <w:tcW w:w="80" w:type="dxa"/>
            <w:vAlign w:val="bottom"/>
            <w:tcBorders>
              <w:bottom w:val="single" w:sz="8" w:color="CCFFCC"/>
            </w:tcBorders>
            <w:shd w:val="clear" w:color="auto" w:fill="CCFFCC"/>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160" w:type="dxa"/>
            <w:vAlign w:val="bottom"/>
          </w:tcPr>
          <w:p>
            <w:pPr>
              <w:ind w:left="160"/>
              <w:spacing w:after="0"/>
              <w:rPr>
                <w:sz w:val="20"/>
                <w:szCs w:val="20"/>
                <w:color w:val="auto"/>
              </w:rPr>
            </w:pPr>
            <w:r>
              <w:rPr>
                <w:rFonts w:ascii="Arial" w:cs="Arial" w:eastAsia="Arial" w:hAnsi="Arial"/>
                <w:sz w:val="18"/>
                <w:szCs w:val="18"/>
                <w:color w:val="auto"/>
              </w:rPr>
              <w:t>Net deferred tax asset</w:t>
            </w:r>
          </w:p>
        </w:tc>
        <w:tc>
          <w:tcPr>
            <w:tcW w:w="18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7,900</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8,062</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7160" w:type="dxa"/>
            <w:vAlign w:val="bottom"/>
            <w:shd w:val="clear" w:color="auto" w:fill="CCFFCC"/>
          </w:tcPr>
          <w:p>
            <w:pPr>
              <w:spacing w:after="0"/>
              <w:rPr>
                <w:sz w:val="20"/>
                <w:szCs w:val="20"/>
                <w:color w:val="auto"/>
              </w:rPr>
            </w:pPr>
            <w:r>
              <w:rPr>
                <w:rFonts w:ascii="Arial" w:cs="Arial" w:eastAsia="Arial" w:hAnsi="Arial"/>
                <w:sz w:val="18"/>
                <w:szCs w:val="18"/>
                <w:color w:val="auto"/>
              </w:rPr>
              <w:t>Valuation allowance</w:t>
            </w:r>
          </w:p>
        </w:tc>
        <w:tc>
          <w:tcPr>
            <w:tcW w:w="180" w:type="dxa"/>
            <w:vAlign w:val="bottom"/>
            <w:shd w:val="clear" w:color="auto" w:fill="CCFFCC"/>
          </w:tcPr>
          <w:p>
            <w:pPr>
              <w:spacing w:after="0"/>
              <w:rPr>
                <w:sz w:val="19"/>
                <w:szCs w:val="19"/>
                <w:color w:val="auto"/>
              </w:rPr>
            </w:pP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(4,570)</w:t>
            </w:r>
          </w:p>
        </w:tc>
        <w:tc>
          <w:tcPr>
            <w:tcW w:w="180" w:type="dxa"/>
            <w:vAlign w:val="bottom"/>
            <w:shd w:val="clear" w:color="auto" w:fill="CCFFCC"/>
          </w:tcPr>
          <w:p>
            <w:pPr>
              <w:spacing w:after="0"/>
              <w:rPr>
                <w:sz w:val="19"/>
                <w:szCs w:val="19"/>
                <w:color w:val="auto"/>
              </w:rPr>
            </w:pPr>
          </w:p>
        </w:tc>
        <w:tc>
          <w:tcPr>
            <w:tcW w:w="8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(8,062)</w:t>
            </w: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160" w:type="dxa"/>
            <w:vAlign w:val="bottom"/>
            <w:tcBorders>
              <w:top w:val="single" w:sz="8" w:color="CCFFCC"/>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3,330</w:t>
            </w:r>
          </w:p>
        </w:tc>
        <w:tc>
          <w:tcPr>
            <w:tcW w:w="180" w:type="dxa"/>
            <w:vAlign w:val="bottom"/>
            <w:tcBorders>
              <w:top w:val="single" w:sz="8" w:color="CCFFCC"/>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FFCC"/>
            </w:tcBorders>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660" w:type="dxa"/>
            <w:vAlign w:val="bottom"/>
            <w:gridSpan w:val="2"/>
            <w:vMerge w:val="restart"/>
          </w:tcPr>
          <w:p>
            <w:pPr>
              <w:jc w:val="right"/>
              <w:ind w:right="1770"/>
              <w:spacing w:after="0"/>
              <w:rPr>
                <w:sz w:val="20"/>
                <w:szCs w:val="20"/>
                <w:color w:val="auto"/>
              </w:rPr>
            </w:pPr>
            <w:r>
              <w:rPr>
                <w:rFonts w:ascii="Arial" w:cs="Arial" w:eastAsia="Arial" w:hAnsi="Arial"/>
                <w:sz w:val="18"/>
                <w:szCs w:val="18"/>
                <w:color w:val="auto"/>
              </w:rPr>
              <w:t>40</w:t>
            </w: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4"/>
        </w:trPr>
        <w:tc>
          <w:tcPr>
            <w:tcW w:w="766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500" w:type="dxa"/>
            <w:vAlign w:val="bottom"/>
            <w:tcBorders>
              <w:bottom w:val="single" w:sz="8" w:color="808080"/>
            </w:tcBorders>
          </w:tcPr>
          <w:p>
            <w:pPr>
              <w:spacing w:after="0"/>
              <w:rPr>
                <w:sz w:val="10"/>
                <w:szCs w:val="10"/>
                <w:color w:val="auto"/>
              </w:rPr>
            </w:pPr>
          </w:p>
        </w:tc>
        <w:tc>
          <w:tcPr>
            <w:tcW w:w="716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25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total valuation allowance relates to deferred tax assets of both domestic and foreign subsidiaries. The change in valuation allowance during the year ended April 30, 2011 was a decrease of $3.5 million, including foreign exchange adjustments of $48,000 and the $95,000 tax effect of unrealized gains on marketable securities. For the year ended April 30, 2010, the change was a decrease of $683,000 which was offset by a change in the components of net deferred tax assets.</w:t>
      </w:r>
    </w:p>
    <w:p>
      <w:pPr>
        <w:spacing w:after="0" w:line="21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During the fourth quarter of fiscal year 2011, the Company reduced its valuation allowance against deferred tax assets in the amount of $3.6 million. This recognition was the result of an evaluation of the Company’s net operating losses incurred in prior years, its recent history of two consecutive years of profitability and new contract bookings which have increased the Company’s long-term backlog to its highest level over the previous 20-year period. The Company assessed the likelihood that its deferred tax assets would be recovered from future taxable income and, in the fourth quarter of fiscal year 2011, determined that recovery was more likely than not based upon all available evidence, both positive and negative. The amount of the non-cash valuation allowance reduction was based on management’s estimates of taxable income by reporting segment and taxing jurisdictions and the period over which the Company believes deferred tax assets will be recoverable.</w:t>
      </w:r>
    </w:p>
    <w:p>
      <w:pPr>
        <w:spacing w:after="0" w:line="216"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At April 30, 2011, the Company has available approximately $1.3 million in net operating losses available to offset future income of certain of its foreign subsidiaries. Due to a change in U.S. tax law effected in November 2009, the taxable loss for the year ended April 30, 2009 was carried back to a prior profitable year which resulted in a tax refund that exceeded by $1.8 million the income tax receivable which the Company recorded at the end of fiscal year 2009. For state income tax purposes, the Company has tax loss carryforwards of approximately $2.3 million in California and $1.9 million in New York.</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has evaluated its tax positions and has concluded that the tax positions meet the more-likely-than-not recognition threshold as specified under accounting standards. It is difficult to predict what would occur to change the Company’s unrecognized tax benefits over the next twelve months. The Company believes, however, that there should be no change during the next twelve months. The Company's tax returns for April 30, 2006 and 2007 have been examined by the Internal Revenue Service, which resulted in no material adjustments. The Company's tax years from April 30, 2005 through April 30, 2011 remain open to examination by state tax authorities and tax years from April 30, 2008 through April 30, 2011 remain open for examination by the Internal Revenue Service.</w:t>
      </w:r>
    </w:p>
    <w:p>
      <w:pPr>
        <w:spacing w:after="0" w:line="220" w:lineRule="exact"/>
        <w:rPr>
          <w:sz w:val="20"/>
          <w:szCs w:val="20"/>
          <w:color w:val="auto"/>
        </w:rPr>
      </w:pPr>
    </w:p>
    <w:p>
      <w:pPr>
        <w:ind w:left="500" w:hanging="492"/>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Product Warranties</w:t>
      </w:r>
    </w:p>
    <w:p>
      <w:pPr>
        <w:spacing w:after="0" w:line="252"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Company generally provides its customers with a one-year warranty regarding the manufactured quality and functionality of its products. For some limited products, the warranty period has been extended. The Company establishes warranty reserves based on its product history, current information on repair costs and annual sales levels. Changes in the carrying amount of accrued product warranty costs are as follows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gridSpan w:val="6"/>
          </w:tcPr>
          <w:p>
            <w:pPr>
              <w:jc w:val="right"/>
              <w:ind w:right="280"/>
              <w:spacing w:after="0"/>
              <w:rPr>
                <w:sz w:val="20"/>
                <w:szCs w:val="20"/>
                <w:color w:val="auto"/>
              </w:rPr>
            </w:pPr>
            <w:r>
              <w:rPr>
                <w:rFonts w:ascii="Arial" w:cs="Arial" w:eastAsia="Arial" w:hAnsi="Arial"/>
                <w:sz w:val="18"/>
                <w:szCs w:val="18"/>
                <w:color w:val="auto"/>
                <w:w w:val="93"/>
              </w:rPr>
              <w:t>Year Ended April 30,</w:t>
            </w: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2011</w:t>
            </w:r>
          </w:p>
        </w:tc>
        <w:tc>
          <w:tcPr>
            <w:tcW w:w="1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2010</w:t>
            </w:r>
          </w:p>
        </w:tc>
        <w:tc>
          <w:tcPr>
            <w:tcW w:w="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600" w:type="dxa"/>
            <w:vAlign w:val="bottom"/>
            <w:shd w:val="clear" w:color="auto" w:fill="CCFFCC"/>
          </w:tcPr>
          <w:p>
            <w:pPr>
              <w:spacing w:after="0"/>
              <w:rPr>
                <w:sz w:val="20"/>
                <w:szCs w:val="20"/>
                <w:color w:val="auto"/>
              </w:rPr>
            </w:pPr>
            <w:r>
              <w:rPr>
                <w:rFonts w:ascii="Arial" w:cs="Arial" w:eastAsia="Arial" w:hAnsi="Arial"/>
                <w:sz w:val="18"/>
                <w:szCs w:val="18"/>
                <w:color w:val="auto"/>
              </w:rPr>
              <w:t>Balance at beginning of year</w:t>
            </w:r>
          </w:p>
        </w:tc>
        <w:tc>
          <w:tcPr>
            <w:tcW w:w="32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145</w:t>
            </w:r>
          </w:p>
        </w:tc>
        <w:tc>
          <w:tcPr>
            <w:tcW w:w="2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245</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Warranty costs incurred</w:t>
            </w:r>
          </w:p>
        </w:tc>
        <w:tc>
          <w:tcPr>
            <w:tcW w:w="3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(156)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(151)</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36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Product warranty accrual</w:t>
            </w:r>
          </w:p>
        </w:tc>
        <w:tc>
          <w:tcPr>
            <w:tcW w:w="3140" w:type="dxa"/>
            <w:vAlign w:val="bottom"/>
            <w:tcBorders>
              <w:bottom w:val="single" w:sz="8" w:color="CCFFCC"/>
            </w:tcBorders>
            <w:shd w:val="clear" w:color="auto" w:fill="CCFFCC"/>
          </w:tcPr>
          <w:p>
            <w:pPr>
              <w:spacing w:after="0"/>
              <w:rPr>
                <w:sz w:val="19"/>
                <w:szCs w:val="19"/>
                <w:color w:val="auto"/>
              </w:rPr>
            </w:pPr>
          </w:p>
        </w:tc>
        <w:tc>
          <w:tcPr>
            <w:tcW w:w="140" w:type="dxa"/>
            <w:vAlign w:val="bottom"/>
            <w:tcBorders>
              <w:bottom w:val="single" w:sz="8" w:color="auto"/>
            </w:tcBorders>
            <w:shd w:val="clear" w:color="auto" w:fill="CCFFCC"/>
          </w:tcPr>
          <w:p>
            <w:pPr>
              <w:spacing w:after="0"/>
              <w:rPr>
                <w:sz w:val="19"/>
                <w:szCs w:val="19"/>
                <w:color w:val="auto"/>
              </w:rPr>
            </w:pPr>
          </w:p>
        </w:tc>
        <w:tc>
          <w:tcPr>
            <w:tcW w:w="7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FFCC"/>
            </w:tcBorders>
            <w:shd w:val="clear" w:color="auto" w:fill="CCFFCC"/>
          </w:tcPr>
          <w:p>
            <w:pPr>
              <w:spacing w:after="0"/>
              <w:rPr>
                <w:sz w:val="19"/>
                <w:szCs w:val="19"/>
                <w:color w:val="auto"/>
              </w:rPr>
            </w:pPr>
          </w:p>
        </w:tc>
        <w:tc>
          <w:tcPr>
            <w:tcW w:w="60" w:type="dxa"/>
            <w:vAlign w:val="bottom"/>
            <w:tcBorders>
              <w:bottom w:val="single" w:sz="8" w:color="CCFFCC"/>
            </w:tcBorders>
            <w:shd w:val="clear" w:color="auto" w:fill="CCFFCC"/>
          </w:tcPr>
          <w:p>
            <w:pPr>
              <w:spacing w:after="0"/>
              <w:rPr>
                <w:sz w:val="19"/>
                <w:szCs w:val="19"/>
                <w:color w:val="auto"/>
              </w:rPr>
            </w:pPr>
          </w:p>
        </w:tc>
        <w:tc>
          <w:tcPr>
            <w:tcW w:w="160" w:type="dxa"/>
            <w:vAlign w:val="bottom"/>
            <w:tcBorders>
              <w:bottom w:val="single" w:sz="8" w:color="auto"/>
            </w:tcBorders>
            <w:shd w:val="clear" w:color="auto" w:fill="CCFFCC"/>
          </w:tcPr>
          <w:p>
            <w:pPr>
              <w:spacing w:after="0"/>
              <w:rPr>
                <w:sz w:val="19"/>
                <w:szCs w:val="19"/>
                <w:color w:val="auto"/>
              </w:rPr>
            </w:pPr>
          </w:p>
        </w:tc>
        <w:tc>
          <w:tcPr>
            <w:tcW w:w="7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51</w:t>
            </w:r>
          </w:p>
        </w:tc>
        <w:tc>
          <w:tcPr>
            <w:tcW w:w="80" w:type="dxa"/>
            <w:vAlign w:val="bottom"/>
            <w:tcBorders>
              <w:bottom w:val="single" w:sz="8" w:color="CCFFCC"/>
            </w:tcBorders>
            <w:shd w:val="clear" w:color="auto" w:fill="CCFFCC"/>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Balance at end of year</w:t>
            </w:r>
          </w:p>
        </w:tc>
        <w:tc>
          <w:tcPr>
            <w:tcW w:w="3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145</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145</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140" w:type="dxa"/>
            <w:vAlign w:val="bottom"/>
            <w:vMerge w:val="restart"/>
          </w:tcPr>
          <w:p>
            <w:pPr>
              <w:jc w:val="right"/>
              <w:ind w:right="1350"/>
              <w:spacing w:after="0"/>
              <w:rPr>
                <w:sz w:val="20"/>
                <w:szCs w:val="20"/>
                <w:color w:val="auto"/>
              </w:rPr>
            </w:pPr>
            <w:r>
              <w:rPr>
                <w:rFonts w:ascii="Arial" w:cs="Arial" w:eastAsia="Arial" w:hAnsi="Arial"/>
                <w:sz w:val="18"/>
                <w:szCs w:val="18"/>
                <w:color w:val="auto"/>
              </w:rPr>
              <w:t>41</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4"/>
        </w:trPr>
        <w:tc>
          <w:tcPr>
            <w:tcW w:w="5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1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500" w:type="dxa"/>
            <w:vAlign w:val="bottom"/>
            <w:tcBorders>
              <w:bottom w:val="single" w:sz="8" w:color="808080"/>
            </w:tcBorders>
          </w:tcPr>
          <w:p>
            <w:pPr>
              <w:spacing w:after="0"/>
              <w:rPr>
                <w:sz w:val="10"/>
                <w:szCs w:val="10"/>
                <w:color w:val="auto"/>
              </w:rPr>
            </w:pPr>
          </w:p>
        </w:tc>
        <w:tc>
          <w:tcPr>
            <w:tcW w:w="3600" w:type="dxa"/>
            <w:vAlign w:val="bottom"/>
            <w:tcBorders>
              <w:bottom w:val="single" w:sz="8" w:color="808080"/>
            </w:tcBorders>
          </w:tcPr>
          <w:p>
            <w:pPr>
              <w:spacing w:after="0"/>
              <w:rPr>
                <w:sz w:val="10"/>
                <w:szCs w:val="10"/>
                <w:color w:val="auto"/>
              </w:rPr>
            </w:pPr>
          </w:p>
        </w:tc>
        <w:tc>
          <w:tcPr>
            <w:tcW w:w="31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1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252" w:lineRule="exact"/>
        <w:rPr>
          <w:sz w:val="20"/>
          <w:szCs w:val="20"/>
          <w:color w:val="auto"/>
        </w:rPr>
      </w:pPr>
    </w:p>
    <w:p>
      <w:pPr>
        <w:ind w:left="500" w:hanging="492"/>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Segment Information</w:t>
      </w:r>
    </w:p>
    <w:p>
      <w:pPr>
        <w:spacing w:after="0" w:line="252"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The Company operates under three reportable segments based on the geographic locations of its subsidiaries:</w:t>
      </w:r>
    </w:p>
    <w:p>
      <w:pPr>
        <w:spacing w:after="0" w:line="23" w:lineRule="exact"/>
        <w:rPr>
          <w:rFonts w:ascii="Arial" w:cs="Arial" w:eastAsia="Arial" w:hAnsi="Arial"/>
          <w:sz w:val="18"/>
          <w:szCs w:val="18"/>
          <w:color w:val="auto"/>
        </w:rPr>
      </w:pPr>
    </w:p>
    <w:p>
      <w:pPr>
        <w:jc w:val="both"/>
        <w:ind w:left="1060" w:hanging="323"/>
        <w:spacing w:after="0" w:line="250" w:lineRule="auto"/>
        <w:tabs>
          <w:tab w:leader="none" w:pos="10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FEI-NY – operates out of New York and its operations consist principally of precision time and frequency control products used in three principal markets- communication satellites (both commercial and U.S. Government-funded); terrestrial cellular telephone or other ground-based telecommunication stations and other components and systems for the U.S. military.</w:t>
      </w:r>
    </w:p>
    <w:p>
      <w:pPr>
        <w:spacing w:after="0" w:line="1" w:lineRule="exact"/>
        <w:rPr>
          <w:rFonts w:ascii="Arial" w:cs="Arial" w:eastAsia="Arial" w:hAnsi="Arial"/>
          <w:sz w:val="18"/>
          <w:szCs w:val="18"/>
          <w:color w:val="auto"/>
        </w:rPr>
      </w:pPr>
    </w:p>
    <w:p>
      <w:pPr>
        <w:ind w:left="1060" w:hanging="323"/>
        <w:spacing w:after="0" w:line="250" w:lineRule="auto"/>
        <w:tabs>
          <w:tab w:leader="none" w:pos="10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Gillam-FEI - operates out of Belgium and France and primarily sells wireline synchronization and network management systems in non-U.S. markets. All sales from Gillam-FEI to the United States are to other segments of the Company.</w:t>
      </w:r>
    </w:p>
    <w:p>
      <w:pPr>
        <w:jc w:val="both"/>
        <w:ind w:left="1060" w:hanging="323"/>
        <w:spacing w:after="0" w:line="302" w:lineRule="auto"/>
        <w:tabs>
          <w:tab w:leader="none" w:pos="1060" w:val="left"/>
        </w:tabs>
        <w:numPr>
          <w:ilvl w:val="1"/>
          <w:numId w:val="22"/>
        </w:numPr>
        <w:rPr>
          <w:rFonts w:ascii="Arial" w:cs="Arial" w:eastAsia="Arial" w:hAnsi="Arial"/>
          <w:sz w:val="16"/>
          <w:szCs w:val="16"/>
          <w:color w:val="auto"/>
        </w:rPr>
      </w:pPr>
      <w:r>
        <w:rPr>
          <w:rFonts w:ascii="Arial" w:cs="Arial" w:eastAsia="Arial" w:hAnsi="Arial"/>
          <w:sz w:val="16"/>
          <w:szCs w:val="16"/>
          <w:color w:val="auto"/>
        </w:rPr>
        <w:t>FEI-Zyfer – operates out of California and its products incorporate Global Positioning System (GPS) technologies into systems and subsystems for secure communications, both government and commercial, and other locator applications. This segment also provides sales and support for the Company’s wireline telecommunications family of products, including US5G, which are sold in the United States market.</w:t>
      </w:r>
    </w:p>
    <w:p>
      <w:pPr>
        <w:spacing w:after="0" w:line="182"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FEI-NY segment also includes the operations of the Company’s wholly-owned subsidiary, FEI-Asia. FEI-Asia functions primarily as a manufacturing facility for the FEI-NY segment.</w:t>
      </w:r>
    </w:p>
    <w:p>
      <w:pPr>
        <w:spacing w:after="0" w:line="197"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Company’s Chief Executive Officer measures segment performance based on total revenues and profits generated by each geographic location rather than on the specific types of customers or end-users. Consequently, the Company determined that the segments indicated above most appropriately reflect the way the Company’s management views the business.</w:t>
      </w:r>
    </w:p>
    <w:p>
      <w:pPr>
        <w:spacing w:after="0" w:line="20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accounting policies of the three segments are the same as those described in the “Summary of Significant Accounting Policies.” The Company evaluates the performance of its segments and allocates resources to them based on operating profit which is defined as income before investment income, interest expense and taxes. The European-based director of Gillam-FEI and the president of FEI-Zyfer manage the assets of these segments. All acquired assets, including intangible assets, are included in the assets of these two segments.</w:t>
      </w:r>
    </w:p>
    <w:p>
      <w:pPr>
        <w:spacing w:after="0" w:line="214"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table below presents information about reported segments for each of the years ended April 30 with reconciliation of segment amounts to consolidated amounts as reported in the statement of operations or the balance sheet for each of the years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2011</w:t>
            </w: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2010</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FFCC"/>
          </w:tcPr>
          <w:p>
            <w:pPr>
              <w:spacing w:after="0"/>
              <w:rPr>
                <w:sz w:val="20"/>
                <w:szCs w:val="20"/>
                <w:color w:val="auto"/>
              </w:rPr>
            </w:pPr>
            <w:r>
              <w:rPr>
                <w:rFonts w:ascii="Arial" w:cs="Arial" w:eastAsia="Arial" w:hAnsi="Arial"/>
                <w:sz w:val="18"/>
                <w:szCs w:val="18"/>
                <w:color w:val="auto"/>
              </w:rPr>
              <w:t>Net revenues:</w:t>
            </w:r>
          </w:p>
        </w:tc>
        <w:tc>
          <w:tcPr>
            <w:tcW w:w="22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340" w:type="dxa"/>
            <w:vAlign w:val="bottom"/>
            <w:tcBorders>
              <w:right w:val="single" w:sz="8" w:color="CCFFCC"/>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160"/>
              <w:spacing w:after="0"/>
              <w:rPr>
                <w:sz w:val="20"/>
                <w:szCs w:val="20"/>
                <w:color w:val="auto"/>
              </w:rPr>
            </w:pPr>
            <w:r>
              <w:rPr>
                <w:rFonts w:ascii="Arial" w:cs="Arial" w:eastAsia="Arial" w:hAnsi="Arial"/>
                <w:sz w:val="18"/>
                <w:szCs w:val="18"/>
                <w:color w:val="auto"/>
              </w:rPr>
              <w:t>FEI-NY</w:t>
            </w:r>
          </w:p>
        </w:tc>
        <w:tc>
          <w:tcPr>
            <w:tcW w:w="2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33,204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29,206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Gillam-FEI</w:t>
            </w:r>
          </w:p>
        </w:tc>
        <w:tc>
          <w:tcPr>
            <w:tcW w:w="22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80" w:type="dxa"/>
            <w:vAlign w:val="bottom"/>
            <w:tcBorders>
              <w:right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13,165**</w:t>
            </w:r>
          </w:p>
        </w:tc>
        <w:tc>
          <w:tcPr>
            <w:tcW w:w="2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13,092**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160"/>
              <w:spacing w:after="0"/>
              <w:rPr>
                <w:sz w:val="20"/>
                <w:szCs w:val="20"/>
                <w:color w:val="auto"/>
              </w:rPr>
            </w:pPr>
            <w:r>
              <w:rPr>
                <w:rFonts w:ascii="Arial" w:cs="Arial" w:eastAsia="Arial" w:hAnsi="Arial"/>
                <w:sz w:val="18"/>
                <w:szCs w:val="18"/>
                <w:color w:val="auto"/>
              </w:rPr>
              <w:t>FEI-Zyfer</w:t>
            </w:r>
          </w:p>
        </w:tc>
        <w:tc>
          <w:tcPr>
            <w:tcW w:w="2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10,737</w:t>
            </w:r>
          </w:p>
        </w:tc>
        <w:tc>
          <w:tcPr>
            <w:tcW w:w="2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11,430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less intersegment revenues</w:t>
            </w:r>
          </w:p>
        </w:tc>
        <w:tc>
          <w:tcPr>
            <w:tcW w:w="22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8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(3,883)**</w:t>
            </w:r>
          </w:p>
        </w:tc>
        <w:tc>
          <w:tcPr>
            <w:tcW w:w="2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(4,312)**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60" w:type="dxa"/>
            <w:vAlign w:val="bottom"/>
            <w:shd w:val="clear" w:color="auto" w:fill="CCFFCC"/>
          </w:tcPr>
          <w:p>
            <w:pPr>
              <w:spacing w:after="0"/>
              <w:rPr>
                <w:sz w:val="2"/>
                <w:szCs w:val="2"/>
                <w:color w:val="auto"/>
              </w:rPr>
            </w:pPr>
          </w:p>
        </w:tc>
        <w:tc>
          <w:tcPr>
            <w:tcW w:w="2240" w:type="dxa"/>
            <w:vAlign w:val="bottom"/>
            <w:shd w:val="clear" w:color="auto" w:fill="CCFFC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Borders>
              <w:right w:val="single" w:sz="8" w:color="CCFFCC"/>
            </w:tcBorders>
            <w:shd w:val="clear" w:color="auto" w:fill="CCFFC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160"/>
              <w:spacing w:after="0"/>
              <w:rPr>
                <w:sz w:val="20"/>
                <w:szCs w:val="20"/>
                <w:color w:val="auto"/>
              </w:rPr>
            </w:pPr>
            <w:r>
              <w:rPr>
                <w:rFonts w:ascii="Arial" w:cs="Arial" w:eastAsia="Arial" w:hAnsi="Arial"/>
                <w:sz w:val="18"/>
                <w:szCs w:val="18"/>
                <w:color w:val="auto"/>
              </w:rPr>
              <w:t>Consolidated revenues</w:t>
            </w:r>
          </w:p>
        </w:tc>
        <w:tc>
          <w:tcPr>
            <w:tcW w:w="2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53,223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49,416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60" w:type="dxa"/>
            <w:vAlign w:val="bottom"/>
            <w:shd w:val="clear" w:color="auto" w:fill="CCFFCC"/>
          </w:tcPr>
          <w:p>
            <w:pPr>
              <w:spacing w:after="0"/>
              <w:rPr>
                <w:sz w:val="18"/>
                <w:szCs w:val="18"/>
                <w:color w:val="auto"/>
              </w:rPr>
            </w:pPr>
          </w:p>
        </w:tc>
        <w:tc>
          <w:tcPr>
            <w:tcW w:w="22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340" w:type="dxa"/>
            <w:vAlign w:val="bottom"/>
            <w:tcBorders>
              <w:right w:val="single" w:sz="8" w:color="CCFFCC"/>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Operating profit (loss):</w:t>
            </w:r>
          </w:p>
        </w:tc>
        <w:tc>
          <w:tcPr>
            <w:tcW w:w="2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FEI-NY</w:t>
            </w:r>
          </w:p>
        </w:tc>
        <w:tc>
          <w:tcPr>
            <w:tcW w:w="2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CFFCC"/>
            </w:tcBorders>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3,536</w:t>
            </w:r>
          </w:p>
        </w:tc>
        <w:tc>
          <w:tcPr>
            <w:tcW w:w="2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1,675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160"/>
              <w:spacing w:after="0"/>
              <w:rPr>
                <w:sz w:val="20"/>
                <w:szCs w:val="20"/>
                <w:color w:val="auto"/>
              </w:rPr>
            </w:pPr>
            <w:r>
              <w:rPr>
                <w:rFonts w:ascii="Arial" w:cs="Arial" w:eastAsia="Arial" w:hAnsi="Arial"/>
                <w:sz w:val="18"/>
                <w:szCs w:val="18"/>
                <w:color w:val="auto"/>
              </w:rPr>
              <w:t>Gillam-FEI</w:t>
            </w:r>
          </w:p>
        </w:tc>
        <w:tc>
          <w:tcPr>
            <w:tcW w:w="2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66**</w:t>
            </w:r>
          </w:p>
        </w:tc>
        <w:tc>
          <w:tcPr>
            <w:tcW w:w="2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FEI-Zyfer</w:t>
            </w:r>
          </w:p>
        </w:tc>
        <w:tc>
          <w:tcPr>
            <w:tcW w:w="22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80" w:type="dxa"/>
            <w:vAlign w:val="bottom"/>
            <w:tcBorders>
              <w:right w:val="single" w:sz="8" w:color="CCFFCC"/>
            </w:tcBorders>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204</w:t>
            </w:r>
          </w:p>
        </w:tc>
        <w:tc>
          <w:tcPr>
            <w:tcW w:w="2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160"/>
              <w:spacing w:after="0"/>
              <w:rPr>
                <w:sz w:val="20"/>
                <w:szCs w:val="20"/>
                <w:color w:val="auto"/>
              </w:rPr>
            </w:pPr>
            <w:r>
              <w:rPr>
                <w:rFonts w:ascii="Arial" w:cs="Arial" w:eastAsia="Arial" w:hAnsi="Arial"/>
                <w:sz w:val="18"/>
                <w:szCs w:val="18"/>
                <w:color w:val="auto"/>
              </w:rPr>
              <w:t>Corporate</w:t>
            </w:r>
          </w:p>
        </w:tc>
        <w:tc>
          <w:tcPr>
            <w:tcW w:w="2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(316)</w:t>
            </w:r>
          </w:p>
        </w:tc>
        <w:tc>
          <w:tcPr>
            <w:tcW w:w="2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9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Consolidated operating profit (loss)</w:t>
            </w:r>
          </w:p>
        </w:tc>
        <w:tc>
          <w:tcPr>
            <w:tcW w:w="2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CFFCC"/>
            </w:tcBorders>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3,490</w:t>
            </w:r>
          </w:p>
        </w:tc>
        <w:tc>
          <w:tcPr>
            <w:tcW w:w="2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1,751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Borders>
              <w:top w:val="single" w:sz="8" w:color="CCFFCC"/>
            </w:tcBorders>
            <w:shd w:val="clear" w:color="auto" w:fill="CCFFCC"/>
          </w:tcPr>
          <w:p>
            <w:pPr>
              <w:spacing w:after="0" w:line="20" w:lineRule="exact"/>
              <w:rPr>
                <w:sz w:val="1"/>
                <w:szCs w:val="1"/>
                <w:color w:val="auto"/>
              </w:rPr>
            </w:pPr>
          </w:p>
        </w:tc>
        <w:tc>
          <w:tcPr>
            <w:tcW w:w="224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420" w:hanging="412"/>
        <w:spacing w:after="0" w:line="259" w:lineRule="auto"/>
        <w:tabs>
          <w:tab w:leader="none" w:pos="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 fiscal years ended April 30, 2011 and 2010, includes Gillam-FEI intersegment sales of $2.5 million and $2.7 million, respectively, to the FEI-NY and FEI-Zyfer segments. Such sales consist principally of manufacture of assemblies and units of a wireline synchronization product for ultimate production and sale in the U.S. plus the costs of ongoing research and development costs to support the product line. In the Gillam-FEI segment, these transactions increased the operating profit in each of the fiscal years.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640" w:type="dxa"/>
            <w:vAlign w:val="bottom"/>
            <w:gridSpan w:val="4"/>
          </w:tcPr>
          <w:p>
            <w:pPr>
              <w:ind w:left="2960"/>
              <w:spacing w:after="0"/>
              <w:rPr>
                <w:sz w:val="20"/>
                <w:szCs w:val="20"/>
                <w:color w:val="auto"/>
              </w:rPr>
            </w:pPr>
            <w:r>
              <w:rPr>
                <w:rFonts w:ascii="Arial" w:cs="Arial" w:eastAsia="Arial" w:hAnsi="Arial"/>
                <w:sz w:val="18"/>
                <w:szCs w:val="18"/>
                <w:color w:val="auto"/>
              </w:rPr>
              <w:t>NOTES TO CONSOLIDATED FINANCIAL STATEMENTS - Continued</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66"/>
        </w:trPr>
        <w:tc>
          <w:tcPr>
            <w:tcW w:w="2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2011</w:t>
            </w: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2010</w:t>
            </w:r>
          </w:p>
        </w:tc>
        <w:tc>
          <w:tcPr>
            <w:tcW w:w="8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FFCC"/>
          </w:tcPr>
          <w:p>
            <w:pPr>
              <w:spacing w:after="0"/>
              <w:rPr>
                <w:sz w:val="20"/>
                <w:szCs w:val="20"/>
                <w:color w:val="auto"/>
              </w:rPr>
            </w:pPr>
            <w:r>
              <w:rPr>
                <w:rFonts w:ascii="Arial" w:cs="Arial" w:eastAsia="Arial" w:hAnsi="Arial"/>
                <w:sz w:val="18"/>
                <w:szCs w:val="18"/>
                <w:color w:val="auto"/>
              </w:rPr>
              <w:t>Identifiable assets:</w:t>
            </w:r>
          </w:p>
        </w:tc>
        <w:tc>
          <w:tcPr>
            <w:tcW w:w="20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160"/>
              <w:spacing w:after="0"/>
              <w:rPr>
                <w:sz w:val="20"/>
                <w:szCs w:val="20"/>
                <w:color w:val="auto"/>
              </w:rPr>
            </w:pPr>
            <w:r>
              <w:rPr>
                <w:rFonts w:ascii="Arial" w:cs="Arial" w:eastAsia="Arial" w:hAnsi="Arial"/>
                <w:sz w:val="18"/>
                <w:szCs w:val="18"/>
                <w:color w:val="auto"/>
              </w:rPr>
              <w:t>FEI-NY (approximately $4 million in China)</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37,912</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35,462</w:t>
            </w:r>
          </w:p>
        </w:tc>
      </w:tr>
      <w:tr>
        <w:trPr>
          <w:trHeight w:val="216"/>
        </w:trPr>
        <w:tc>
          <w:tcPr>
            <w:tcW w:w="20" w:type="dxa"/>
            <w:vAlign w:val="bottom"/>
          </w:tcPr>
          <w:p>
            <w:pPr>
              <w:spacing w:after="0"/>
              <w:rPr>
                <w:sz w:val="18"/>
                <w:szCs w:val="18"/>
                <w:color w:val="auto"/>
              </w:rPr>
            </w:pPr>
          </w:p>
        </w:tc>
        <w:tc>
          <w:tcPr>
            <w:tcW w:w="74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Gillam-FEI (all in Belgium or France)</w:t>
            </w:r>
          </w:p>
        </w:tc>
        <w:tc>
          <w:tcPr>
            <w:tcW w:w="20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20,875</w:t>
            </w:r>
          </w:p>
        </w:tc>
        <w:tc>
          <w:tcPr>
            <w:tcW w:w="18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19,594</w:t>
            </w:r>
          </w:p>
        </w:tc>
      </w:tr>
      <w:tr>
        <w:trPr>
          <w:trHeight w:val="216"/>
        </w:trPr>
        <w:tc>
          <w:tcPr>
            <w:tcW w:w="20" w:type="dxa"/>
            <w:vAlign w:val="bottom"/>
          </w:tcPr>
          <w:p>
            <w:pPr>
              <w:spacing w:after="0"/>
              <w:rPr>
                <w:sz w:val="18"/>
                <w:szCs w:val="18"/>
                <w:color w:val="auto"/>
              </w:rPr>
            </w:pPr>
          </w:p>
        </w:tc>
        <w:tc>
          <w:tcPr>
            <w:tcW w:w="7460" w:type="dxa"/>
            <w:vAlign w:val="bottom"/>
          </w:tcPr>
          <w:p>
            <w:pPr>
              <w:ind w:left="160"/>
              <w:spacing w:after="0"/>
              <w:rPr>
                <w:sz w:val="20"/>
                <w:szCs w:val="20"/>
                <w:color w:val="auto"/>
              </w:rPr>
            </w:pPr>
            <w:r>
              <w:rPr>
                <w:rFonts w:ascii="Arial" w:cs="Arial" w:eastAsia="Arial" w:hAnsi="Arial"/>
                <w:sz w:val="18"/>
                <w:szCs w:val="18"/>
                <w:color w:val="auto"/>
              </w:rPr>
              <w:t>FEI-Zyfer</w:t>
            </w:r>
          </w:p>
        </w:tc>
        <w:tc>
          <w:tcPr>
            <w:tcW w:w="2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8,434</w:t>
            </w: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7,413</w:t>
            </w:r>
          </w:p>
        </w:tc>
      </w:tr>
      <w:tr>
        <w:trPr>
          <w:trHeight w:val="216"/>
        </w:trPr>
        <w:tc>
          <w:tcPr>
            <w:tcW w:w="20" w:type="dxa"/>
            <w:vAlign w:val="bottom"/>
          </w:tcPr>
          <w:p>
            <w:pPr>
              <w:spacing w:after="0"/>
              <w:rPr>
                <w:sz w:val="18"/>
                <w:szCs w:val="18"/>
                <w:color w:val="auto"/>
              </w:rPr>
            </w:pPr>
          </w:p>
        </w:tc>
        <w:tc>
          <w:tcPr>
            <w:tcW w:w="74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less intersegment balances</w:t>
            </w:r>
          </w:p>
        </w:tc>
        <w:tc>
          <w:tcPr>
            <w:tcW w:w="20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(16,295)</w:t>
            </w:r>
          </w:p>
        </w:tc>
        <w:tc>
          <w:tcPr>
            <w:tcW w:w="18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(14,655)</w:t>
            </w:r>
          </w:p>
        </w:tc>
      </w:tr>
      <w:tr>
        <w:trPr>
          <w:trHeight w:val="216"/>
        </w:trPr>
        <w:tc>
          <w:tcPr>
            <w:tcW w:w="20" w:type="dxa"/>
            <w:vAlign w:val="bottom"/>
          </w:tcPr>
          <w:p>
            <w:pPr>
              <w:spacing w:after="0"/>
              <w:rPr>
                <w:sz w:val="18"/>
                <w:szCs w:val="18"/>
                <w:color w:val="auto"/>
              </w:rPr>
            </w:pPr>
          </w:p>
        </w:tc>
        <w:tc>
          <w:tcPr>
            <w:tcW w:w="7460" w:type="dxa"/>
            <w:vAlign w:val="bottom"/>
          </w:tcPr>
          <w:p>
            <w:pPr>
              <w:ind w:left="160"/>
              <w:spacing w:after="0"/>
              <w:rPr>
                <w:sz w:val="20"/>
                <w:szCs w:val="20"/>
                <w:color w:val="auto"/>
              </w:rPr>
            </w:pPr>
            <w:r>
              <w:rPr>
                <w:rFonts w:ascii="Arial" w:cs="Arial" w:eastAsia="Arial" w:hAnsi="Arial"/>
                <w:sz w:val="18"/>
                <w:szCs w:val="18"/>
                <w:color w:val="auto"/>
              </w:rPr>
              <w:t>Corporate</w:t>
            </w:r>
          </w:p>
        </w:tc>
        <w:tc>
          <w:tcPr>
            <w:tcW w:w="2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38,905</w:t>
            </w: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33,606</w:t>
            </w:r>
          </w:p>
        </w:tc>
      </w:tr>
      <w:tr>
        <w:trPr>
          <w:trHeight w:val="27"/>
        </w:trPr>
        <w:tc>
          <w:tcPr>
            <w:tcW w:w="20" w:type="dxa"/>
            <w:vAlign w:val="bottom"/>
          </w:tcPr>
          <w:p>
            <w:pPr>
              <w:spacing w:after="0"/>
              <w:rPr>
                <w:sz w:val="2"/>
                <w:szCs w:val="2"/>
                <w:color w:val="auto"/>
              </w:rPr>
            </w:pPr>
          </w:p>
        </w:tc>
        <w:tc>
          <w:tcPr>
            <w:tcW w:w="7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7460" w:type="dxa"/>
            <w:vAlign w:val="bottom"/>
            <w:shd w:val="clear" w:color="auto" w:fill="CCFFCC"/>
          </w:tcPr>
          <w:p>
            <w:pPr>
              <w:ind w:left="320"/>
              <w:spacing w:after="0"/>
              <w:rPr>
                <w:sz w:val="20"/>
                <w:szCs w:val="20"/>
                <w:color w:val="auto"/>
              </w:rPr>
            </w:pPr>
            <w:r>
              <w:rPr>
                <w:rFonts w:ascii="Arial" w:cs="Arial" w:eastAsia="Arial" w:hAnsi="Arial"/>
                <w:sz w:val="18"/>
                <w:szCs w:val="18"/>
                <w:color w:val="auto"/>
              </w:rPr>
              <w:t>Consolidated identifiable assets</w:t>
            </w:r>
          </w:p>
        </w:tc>
        <w:tc>
          <w:tcPr>
            <w:tcW w:w="2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89,831</w:t>
            </w: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81,420</w:t>
            </w:r>
          </w:p>
        </w:tc>
      </w:tr>
      <w:tr>
        <w:trPr>
          <w:trHeight w:val="210"/>
        </w:trPr>
        <w:tc>
          <w:tcPr>
            <w:tcW w:w="20" w:type="dxa"/>
            <w:vAlign w:val="bottom"/>
          </w:tcPr>
          <w:p>
            <w:pPr>
              <w:spacing w:after="0"/>
              <w:rPr>
                <w:sz w:val="18"/>
                <w:szCs w:val="18"/>
                <w:color w:val="auto"/>
              </w:rPr>
            </w:pPr>
          </w:p>
        </w:tc>
        <w:tc>
          <w:tcPr>
            <w:tcW w:w="7460" w:type="dxa"/>
            <w:vAlign w:val="bottom"/>
            <w:tcBorders>
              <w:top w:val="single" w:sz="8" w:color="CCFFCC"/>
            </w:tcBorders>
          </w:tcPr>
          <w:p>
            <w:pPr>
              <w:spacing w:after="0"/>
              <w:rPr>
                <w:sz w:val="20"/>
                <w:szCs w:val="20"/>
                <w:color w:val="auto"/>
              </w:rPr>
            </w:pPr>
            <w:r>
              <w:rPr>
                <w:rFonts w:ascii="Arial" w:cs="Arial" w:eastAsia="Arial" w:hAnsi="Arial"/>
                <w:sz w:val="18"/>
                <w:szCs w:val="18"/>
                <w:color w:val="auto"/>
              </w:rPr>
              <w:t>Depreciation and amortization (allocated):</w:t>
            </w: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FEI-NY</w:t>
            </w:r>
          </w:p>
        </w:tc>
        <w:tc>
          <w:tcPr>
            <w:tcW w:w="2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1,331</w:t>
            </w: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1,377</w:t>
            </w:r>
          </w:p>
        </w:tc>
      </w:tr>
      <w:tr>
        <w:trPr>
          <w:trHeight w:val="216"/>
        </w:trPr>
        <w:tc>
          <w:tcPr>
            <w:tcW w:w="20" w:type="dxa"/>
            <w:vAlign w:val="bottom"/>
          </w:tcPr>
          <w:p>
            <w:pPr>
              <w:spacing w:after="0"/>
              <w:rPr>
                <w:sz w:val="18"/>
                <w:szCs w:val="18"/>
                <w:color w:val="auto"/>
              </w:rPr>
            </w:pPr>
          </w:p>
        </w:tc>
        <w:tc>
          <w:tcPr>
            <w:tcW w:w="7460" w:type="dxa"/>
            <w:vAlign w:val="bottom"/>
          </w:tcPr>
          <w:p>
            <w:pPr>
              <w:ind w:left="160"/>
              <w:spacing w:after="0"/>
              <w:rPr>
                <w:sz w:val="20"/>
                <w:szCs w:val="20"/>
                <w:color w:val="auto"/>
              </w:rPr>
            </w:pPr>
            <w:r>
              <w:rPr>
                <w:rFonts w:ascii="Arial" w:cs="Arial" w:eastAsia="Arial" w:hAnsi="Arial"/>
                <w:sz w:val="18"/>
                <w:szCs w:val="18"/>
                <w:color w:val="auto"/>
              </w:rPr>
              <w:t>Gillam-FEI</w:t>
            </w:r>
          </w:p>
        </w:tc>
        <w:tc>
          <w:tcPr>
            <w:tcW w:w="2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353</w:t>
            </w: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300</w:t>
            </w:r>
          </w:p>
        </w:tc>
      </w:tr>
      <w:tr>
        <w:trPr>
          <w:trHeight w:val="216"/>
        </w:trPr>
        <w:tc>
          <w:tcPr>
            <w:tcW w:w="20" w:type="dxa"/>
            <w:vAlign w:val="bottom"/>
          </w:tcPr>
          <w:p>
            <w:pPr>
              <w:spacing w:after="0"/>
              <w:rPr>
                <w:sz w:val="18"/>
                <w:szCs w:val="18"/>
                <w:color w:val="auto"/>
              </w:rPr>
            </w:pPr>
          </w:p>
        </w:tc>
        <w:tc>
          <w:tcPr>
            <w:tcW w:w="74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FEI-Zyfer</w:t>
            </w:r>
          </w:p>
        </w:tc>
        <w:tc>
          <w:tcPr>
            <w:tcW w:w="20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234</w:t>
            </w:r>
          </w:p>
        </w:tc>
        <w:tc>
          <w:tcPr>
            <w:tcW w:w="18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242</w:t>
            </w:r>
          </w:p>
        </w:tc>
      </w:tr>
      <w:tr>
        <w:trPr>
          <w:trHeight w:val="216"/>
        </w:trPr>
        <w:tc>
          <w:tcPr>
            <w:tcW w:w="20" w:type="dxa"/>
            <w:vAlign w:val="bottom"/>
          </w:tcPr>
          <w:p>
            <w:pPr>
              <w:spacing w:after="0"/>
              <w:rPr>
                <w:sz w:val="18"/>
                <w:szCs w:val="18"/>
                <w:color w:val="auto"/>
              </w:rPr>
            </w:pPr>
          </w:p>
        </w:tc>
        <w:tc>
          <w:tcPr>
            <w:tcW w:w="7460" w:type="dxa"/>
            <w:vAlign w:val="bottom"/>
          </w:tcPr>
          <w:p>
            <w:pPr>
              <w:ind w:left="160"/>
              <w:spacing w:after="0"/>
              <w:rPr>
                <w:sz w:val="20"/>
                <w:szCs w:val="20"/>
                <w:color w:val="auto"/>
              </w:rPr>
            </w:pPr>
            <w:r>
              <w:rPr>
                <w:rFonts w:ascii="Arial" w:cs="Arial" w:eastAsia="Arial" w:hAnsi="Arial"/>
                <w:sz w:val="18"/>
                <w:szCs w:val="18"/>
                <w:color w:val="auto"/>
              </w:rPr>
              <w:t>Corporate</w:t>
            </w:r>
          </w:p>
        </w:tc>
        <w:tc>
          <w:tcPr>
            <w:tcW w:w="2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7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7460" w:type="dxa"/>
            <w:vAlign w:val="bottom"/>
            <w:shd w:val="clear" w:color="auto" w:fill="CCFFCC"/>
          </w:tcPr>
          <w:p>
            <w:pPr>
              <w:ind w:left="320"/>
              <w:spacing w:after="0"/>
              <w:rPr>
                <w:sz w:val="20"/>
                <w:szCs w:val="20"/>
                <w:color w:val="auto"/>
              </w:rPr>
            </w:pPr>
            <w:r>
              <w:rPr>
                <w:rFonts w:ascii="Arial" w:cs="Arial" w:eastAsia="Arial" w:hAnsi="Arial"/>
                <w:sz w:val="18"/>
                <w:szCs w:val="18"/>
                <w:color w:val="auto"/>
              </w:rPr>
              <w:t>Consolidated depreciation and amortization expense</w:t>
            </w:r>
          </w:p>
        </w:tc>
        <w:tc>
          <w:tcPr>
            <w:tcW w:w="2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1,937</w:t>
            </w: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1,938</w:t>
            </w:r>
          </w:p>
        </w:tc>
      </w:tr>
      <w:tr>
        <w:trPr>
          <w:trHeight w:val="20"/>
        </w:trPr>
        <w:tc>
          <w:tcPr>
            <w:tcW w:w="20" w:type="dxa"/>
            <w:vAlign w:val="bottom"/>
          </w:tcPr>
          <w:p>
            <w:pPr>
              <w:spacing w:after="0" w:line="20" w:lineRule="exact"/>
              <w:rPr>
                <w:sz w:val="1"/>
                <w:szCs w:val="1"/>
                <w:color w:val="auto"/>
              </w:rPr>
            </w:pPr>
          </w:p>
        </w:tc>
        <w:tc>
          <w:tcPr>
            <w:tcW w:w="74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Major Customers</w:t>
      </w:r>
    </w:p>
    <w:p>
      <w:pPr>
        <w:spacing w:after="0" w:line="252" w:lineRule="exact"/>
        <w:rPr>
          <w:sz w:val="20"/>
          <w:szCs w:val="20"/>
          <w:color w:val="auto"/>
        </w:rPr>
      </w:pPr>
    </w:p>
    <w:p>
      <w:pPr>
        <w:jc w:val="both"/>
        <w:ind w:right="20" w:firstLine="486"/>
        <w:spacing w:after="0" w:line="308" w:lineRule="auto"/>
        <w:rPr>
          <w:sz w:val="20"/>
          <w:szCs w:val="20"/>
          <w:color w:val="auto"/>
        </w:rPr>
      </w:pPr>
      <w:r>
        <w:rPr>
          <w:rFonts w:ascii="Arial" w:cs="Arial" w:eastAsia="Arial" w:hAnsi="Arial"/>
          <w:sz w:val="17"/>
          <w:szCs w:val="17"/>
          <w:color w:val="auto"/>
        </w:rPr>
        <w:t>The Company's products are sold to both commercial and governmental customers. For each of the years ended April 30, 2011 and 2010, approximately 54% of the Company's sales were made under contracts to the U.S. Government or subcontracts for U.S. Government end-use.</w:t>
      </w:r>
    </w:p>
    <w:p>
      <w:pPr>
        <w:spacing w:after="0" w:line="174"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fiscal year 2011, sales to five customers of the FEI-NY segment aggregated $22.6 million or 68% of that segment’s total sales. One of these customers, when combined with sales from the FEI-Zyfer segment, accounted for 13% of the Company’s consolidated revenues. During the year ended April 30, 2011, in the Gillam-FEI segment, sales to one customer exceeded 10% of that segment’s revenues. In the FEI-Zyfer segment, two customers each accounted for more than 10% of that segment’s sales. None of the customers in the Gillam-FEI segment and no customer individually in the FEI-Zyfer segment accounted for more than 10% of consolidated revenues.</w:t>
      </w:r>
    </w:p>
    <w:p>
      <w:pPr>
        <w:spacing w:after="0" w:line="215"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In fiscal year 2010, sales to five customers of the FEI-NY segment aggregated $17.9 million or 61% of that segment’s total sales. Two of these customers, when combined with sales from the FEI-Zyfer segment, accounted for 15% and 10%, respectively, of the Company’s consolidated revenues. During the year ended April 30, 2010, in the Gillam-FEI segment, sales to one customer exceeded 10% of that segment’s revenues. In the FEI-Zyfer segment, two customers each accounted for more than 10% of that segment’s sales. None of the customers in the Gillam-FEI segment and no customer individually in the FEI-Zyfer segment accounted for more than 10% of consolidated revenues.</w:t>
      </w:r>
    </w:p>
    <w:p>
      <w:pPr>
        <w:spacing w:after="0" w:line="200"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loss by the Company of any one of these customers would have a material adverse effect on the Company’s business. The Company believes its relationship with these companies to be mutually satisfactory.</w:t>
      </w:r>
    </w:p>
    <w:p>
      <w:pPr>
        <w:spacing w:after="0" w:line="197" w:lineRule="exact"/>
        <w:rPr>
          <w:sz w:val="20"/>
          <w:szCs w:val="20"/>
          <w:color w:val="auto"/>
        </w:rPr>
      </w:pPr>
    </w:p>
    <w:p>
      <w:pPr>
        <w:ind w:left="80"/>
        <w:spacing w:after="0"/>
        <w:rPr>
          <w:sz w:val="20"/>
          <w:szCs w:val="20"/>
          <w:color w:val="auto"/>
        </w:rPr>
      </w:pPr>
      <w:r>
        <w:rPr>
          <w:rFonts w:ascii="Arial" w:cs="Arial" w:eastAsia="Arial" w:hAnsi="Arial"/>
          <w:sz w:val="18"/>
          <w:szCs w:val="18"/>
          <w:i w:val="1"/>
          <w:iCs w:val="1"/>
          <w:u w:val="single" w:color="auto"/>
          <w:color w:val="auto"/>
        </w:rPr>
        <w:t>Foreign Sales</w:t>
      </w:r>
    </w:p>
    <w:p>
      <w:pPr>
        <w:spacing w:after="0" w:line="252"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Revenues in each of the Company’s segments include sales to foreign governments or to companies located in foreign countries. Revenues, based on the location of the procurement entity, were derived from the following countries: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4"/>
          </w:tcPr>
          <w:p>
            <w:pPr>
              <w:jc w:val="right"/>
              <w:ind w:right="210"/>
              <w:spacing w:after="0"/>
              <w:rPr>
                <w:sz w:val="20"/>
                <w:szCs w:val="20"/>
                <w:color w:val="auto"/>
              </w:rPr>
            </w:pPr>
            <w:r>
              <w:rPr>
                <w:rFonts w:ascii="Arial" w:cs="Arial" w:eastAsia="Arial" w:hAnsi="Arial"/>
                <w:sz w:val="18"/>
                <w:szCs w:val="18"/>
                <w:color w:val="auto"/>
                <w:w w:val="98"/>
              </w:rPr>
              <w:t>(in thousands)</w:t>
            </w:r>
          </w:p>
        </w:tc>
        <w:tc>
          <w:tcPr>
            <w:tcW w:w="3140" w:type="dxa"/>
            <w:vAlign w:val="bottom"/>
          </w:tcPr>
          <w:p>
            <w:pPr>
              <w:spacing w:after="0"/>
              <w:rPr>
                <w:sz w:val="18"/>
                <w:szCs w:val="18"/>
                <w:color w:val="auto"/>
              </w:rPr>
            </w:pPr>
          </w:p>
        </w:tc>
      </w:tr>
      <w:tr>
        <w:trPr>
          <w:trHeight w:val="237"/>
        </w:trPr>
        <w:tc>
          <w:tcPr>
            <w:tcW w:w="3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4"/>
              </w:rPr>
              <w:t>2011</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4"/>
              </w:rPr>
              <w:t>2010</w:t>
            </w:r>
          </w:p>
        </w:tc>
        <w:tc>
          <w:tcPr>
            <w:tcW w:w="3140" w:type="dxa"/>
            <w:vAlign w:val="bottom"/>
          </w:tcPr>
          <w:p>
            <w:pPr>
              <w:spacing w:after="0"/>
              <w:rPr>
                <w:sz w:val="20"/>
                <w:szCs w:val="20"/>
                <w:color w:val="auto"/>
              </w:rPr>
            </w:pPr>
          </w:p>
        </w:tc>
      </w:tr>
      <w:tr>
        <w:trPr>
          <w:trHeight w:val="216"/>
        </w:trPr>
        <w:tc>
          <w:tcPr>
            <w:tcW w:w="3160" w:type="dxa"/>
            <w:vAlign w:val="bottom"/>
          </w:tcPr>
          <w:p>
            <w:pPr>
              <w:spacing w:after="0"/>
              <w:rPr>
                <w:sz w:val="18"/>
                <w:szCs w:val="18"/>
                <w:color w:val="auto"/>
              </w:rPr>
            </w:pPr>
          </w:p>
        </w:tc>
        <w:tc>
          <w:tcPr>
            <w:tcW w:w="1540" w:type="dxa"/>
            <w:vAlign w:val="bottom"/>
            <w:shd w:val="clear" w:color="auto" w:fill="CCFFCC"/>
          </w:tcPr>
          <w:p>
            <w:pPr>
              <w:spacing w:after="0"/>
              <w:rPr>
                <w:sz w:val="20"/>
                <w:szCs w:val="20"/>
                <w:color w:val="auto"/>
              </w:rPr>
            </w:pPr>
            <w:r>
              <w:rPr>
                <w:rFonts w:ascii="Arial" w:cs="Arial" w:eastAsia="Arial" w:hAnsi="Arial"/>
                <w:sz w:val="18"/>
                <w:szCs w:val="18"/>
                <w:color w:val="auto"/>
              </w:rPr>
              <w:t>Belgium</w:t>
            </w:r>
          </w:p>
        </w:tc>
        <w:tc>
          <w:tcPr>
            <w:tcW w:w="21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5,617</w:t>
            </w:r>
          </w:p>
        </w:tc>
        <w:tc>
          <w:tcPr>
            <w:tcW w:w="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6,842</w:t>
            </w:r>
          </w:p>
        </w:tc>
        <w:tc>
          <w:tcPr>
            <w:tcW w:w="3140" w:type="dxa"/>
            <w:vAlign w:val="bottom"/>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China</w:t>
            </w: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2,571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1,576</w:t>
            </w:r>
          </w:p>
        </w:tc>
        <w:tc>
          <w:tcPr>
            <w:tcW w:w="3140" w:type="dxa"/>
            <w:vAlign w:val="bottom"/>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1540" w:type="dxa"/>
            <w:vAlign w:val="bottom"/>
            <w:shd w:val="clear" w:color="auto" w:fill="CCFFCC"/>
          </w:tcPr>
          <w:p>
            <w:pPr>
              <w:spacing w:after="0"/>
              <w:rPr>
                <w:sz w:val="20"/>
                <w:szCs w:val="20"/>
                <w:color w:val="auto"/>
              </w:rPr>
            </w:pPr>
            <w:r>
              <w:rPr>
                <w:rFonts w:ascii="Arial" w:cs="Arial" w:eastAsia="Arial" w:hAnsi="Arial"/>
                <w:sz w:val="18"/>
                <w:szCs w:val="18"/>
                <w:color w:val="auto"/>
              </w:rPr>
              <w:t>France</w:t>
            </w:r>
          </w:p>
        </w:tc>
        <w:tc>
          <w:tcPr>
            <w:tcW w:w="20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5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1,946</w:t>
            </w: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2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697</w:t>
            </w:r>
          </w:p>
        </w:tc>
        <w:tc>
          <w:tcPr>
            <w:tcW w:w="3140" w:type="dxa"/>
            <w:vAlign w:val="bottom"/>
          </w:tcPr>
          <w:p>
            <w:pPr>
              <w:spacing w:after="0"/>
              <w:rPr>
                <w:sz w:val="18"/>
                <w:szCs w:val="18"/>
                <w:color w:val="auto"/>
              </w:rPr>
            </w:pPr>
          </w:p>
        </w:tc>
      </w:tr>
      <w:tr>
        <w:trPr>
          <w:trHeight w:val="223"/>
        </w:trPr>
        <w:tc>
          <w:tcPr>
            <w:tcW w:w="3160" w:type="dxa"/>
            <w:vAlign w:val="bottom"/>
          </w:tcPr>
          <w:p>
            <w:pPr>
              <w:spacing w:after="0"/>
              <w:rPr>
                <w:sz w:val="19"/>
                <w:szCs w:val="19"/>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Other</w:t>
            </w:r>
          </w:p>
        </w:tc>
        <w:tc>
          <w:tcPr>
            <w:tcW w:w="20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4,875</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3,276</w:t>
            </w:r>
          </w:p>
        </w:tc>
        <w:tc>
          <w:tcPr>
            <w:tcW w:w="3140" w:type="dxa"/>
            <w:vAlign w:val="bottom"/>
          </w:tcPr>
          <w:p>
            <w:pPr>
              <w:spacing w:after="0"/>
              <w:rPr>
                <w:sz w:val="19"/>
                <w:szCs w:val="19"/>
                <w:color w:val="auto"/>
              </w:rPr>
            </w:pPr>
          </w:p>
        </w:tc>
      </w:tr>
      <w:tr>
        <w:trPr>
          <w:trHeight w:val="257"/>
        </w:trPr>
        <w:tc>
          <w:tcPr>
            <w:tcW w:w="3160" w:type="dxa"/>
            <w:vAlign w:val="bottom"/>
          </w:tcPr>
          <w:p>
            <w:pPr>
              <w:spacing w:after="0"/>
              <w:rPr>
                <w:sz w:val="22"/>
                <w:szCs w:val="22"/>
                <w:color w:val="auto"/>
              </w:rPr>
            </w:pPr>
          </w:p>
        </w:tc>
        <w:tc>
          <w:tcPr>
            <w:tcW w:w="1540" w:type="dxa"/>
            <w:vAlign w:val="bottom"/>
            <w:shd w:val="clear" w:color="auto" w:fill="CCFFCC"/>
          </w:tcPr>
          <w:p>
            <w:pPr>
              <w:spacing w:after="0"/>
              <w:rPr>
                <w:sz w:val="22"/>
                <w:szCs w:val="22"/>
                <w:color w:val="auto"/>
              </w:rPr>
            </w:pPr>
          </w:p>
        </w:tc>
        <w:tc>
          <w:tcPr>
            <w:tcW w:w="21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15,009</w:t>
            </w:r>
          </w:p>
        </w:tc>
        <w:tc>
          <w:tcPr>
            <w:tcW w:w="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98"/>
              </w:rPr>
              <w:t>12,391</w:t>
            </w:r>
          </w:p>
        </w:tc>
        <w:tc>
          <w:tcPr>
            <w:tcW w:w="3140" w:type="dxa"/>
            <w:vAlign w:val="bottom"/>
          </w:tcPr>
          <w:p>
            <w:pPr>
              <w:spacing w:after="0"/>
              <w:rPr>
                <w:sz w:val="22"/>
                <w:szCs w:val="22"/>
                <w:color w:val="auto"/>
              </w:rPr>
            </w:pPr>
          </w:p>
        </w:tc>
      </w:tr>
      <w:tr>
        <w:trPr>
          <w:trHeight w:val="601"/>
        </w:trPr>
        <w:tc>
          <w:tcPr>
            <w:tcW w:w="3160" w:type="dxa"/>
            <w:vAlign w:val="bottom"/>
          </w:tcPr>
          <w:p>
            <w:pPr>
              <w:spacing w:after="0"/>
              <w:rPr>
                <w:sz w:val="24"/>
                <w:szCs w:val="24"/>
                <w:color w:val="auto"/>
              </w:rPr>
            </w:pPr>
          </w:p>
        </w:tc>
        <w:tc>
          <w:tcPr>
            <w:tcW w:w="1540" w:type="dxa"/>
            <w:vAlign w:val="bottom"/>
            <w:tcBorders>
              <w:top w:val="single" w:sz="8" w:color="CCFFCC"/>
            </w:tcBorders>
          </w:tcPr>
          <w:p>
            <w:pPr>
              <w:spacing w:after="0"/>
              <w:rPr>
                <w:sz w:val="24"/>
                <w:szCs w:val="24"/>
                <w:color w:val="auto"/>
              </w:rPr>
            </w:pPr>
          </w:p>
        </w:tc>
        <w:tc>
          <w:tcPr>
            <w:tcW w:w="2020" w:type="dxa"/>
            <w:vAlign w:val="bottom"/>
            <w:tcBorders>
              <w:top w:val="single" w:sz="8" w:color="CCFFCC"/>
            </w:tcBorders>
          </w:tcPr>
          <w:p>
            <w:pPr>
              <w:jc w:val="right"/>
              <w:ind w:right="830"/>
              <w:spacing w:after="0"/>
              <w:rPr>
                <w:sz w:val="20"/>
                <w:szCs w:val="20"/>
                <w:color w:val="auto"/>
              </w:rPr>
            </w:pPr>
            <w:r>
              <w:rPr>
                <w:rFonts w:ascii="Arial" w:cs="Arial" w:eastAsia="Arial" w:hAnsi="Arial"/>
                <w:sz w:val="18"/>
                <w:szCs w:val="18"/>
                <w:color w:val="auto"/>
              </w:rPr>
              <w:t>43</w:t>
            </w: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20" w:type="dxa"/>
            <w:vAlign w:val="bottom"/>
            <w:tcBorders>
              <w:top w:val="single" w:sz="8" w:color="CCFFC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140" w:type="dxa"/>
            <w:vAlign w:val="bottom"/>
          </w:tcPr>
          <w:p>
            <w:pPr>
              <w:spacing w:after="0"/>
              <w:rPr>
                <w:sz w:val="24"/>
                <w:szCs w:val="24"/>
                <w:color w:val="auto"/>
              </w:rPr>
            </w:pPr>
          </w:p>
        </w:tc>
      </w:tr>
      <w:tr>
        <w:trPr>
          <w:trHeight w:val="118"/>
        </w:trPr>
        <w:tc>
          <w:tcPr>
            <w:tcW w:w="316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20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31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auto"/>
        </w:rPr>
        <w:t>Item 9. Changes in and Disagreements with Accountants on Accounting and Financial Disclosure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9A Controls and Procedures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Evaluation of Disclosure Controls and Procedures</w:t>
      </w:r>
      <w:r>
        <w:rPr>
          <w:rFonts w:ascii="Arial" w:cs="Arial" w:eastAsia="Arial" w:hAnsi="Arial"/>
          <w:sz w:val="18"/>
          <w:szCs w:val="18"/>
          <w:color w:val="auto"/>
        </w:rPr>
        <w:t>.</w:t>
      </w:r>
    </w:p>
    <w:p>
      <w:pPr>
        <w:spacing w:after="0" w:line="25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report.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 Based on their evaluation, the Company’s chief executive officer and chief financial officer have concluded that, as of April 30, 2011, the Company’s disclosure controls and procedures were not effective for the reasons discussed below, to ensure that information relating to the Company, including its consolidated subsidiaries, required to be included in its reports that it filed or submitted under the Exchange Act are recorded, processed, summarized and reported within the time periods specified in Securities and Exchange Commission rules and forms.</w:t>
      </w:r>
    </w:p>
    <w:p>
      <w:pPr>
        <w:spacing w:after="0" w:line="20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Management’s Annual Report on Internal Control over Financial Reporting</w:t>
      </w:r>
    </w:p>
    <w:p>
      <w:pPr>
        <w:spacing w:after="0" w:line="2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Management of Frequency Electronics is responsible for establishing and maintaining adequate internal control over financial reporting as defined in Rules 13a-15(f) and 15d-15(f) under the Exchange Act. The Company’s internal control system is designed to provide reasonable assurance regarding the reliability of financial reporting and the preparation of financial statements for external purposes in accordance with generally accepted accounting principles. 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2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Management has assessed the effectiveness of the Company’s internal control over financial reporting as of April 30, 2011. In making this assessment, management used the criteria established in Internal Control—Integrated Framework issued by the Committee of Sponsoring Organizations of the Treadway Commission (COSO). Based on this evaluation, management has concluded that the Company’s internal control over financial reporting was not effective as of April 30, 2011. The Company’s chief executive officer and chief financial officer have concluded that the Company has material weaknesses in its internal control over financial reporting.</w:t>
      </w:r>
    </w:p>
    <w:p>
      <w:pPr>
        <w:spacing w:after="0" w:line="21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Financial Reporting</w:t>
      </w:r>
    </w:p>
    <w:p>
      <w:pPr>
        <w:spacing w:after="0" w:line="25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had inadequate resources and an insufficient number of personnel having adequate knowledge, experience and training to provide effective oversight and review of its internal controls within the prescribed timeframe. As a result, as of April 30, 2011, there was a material weakness in the Company’s internal control because although management has prepared documentation of the internal controls at two of the Company’s subsidiaries, Gillam-FEI and FEI-Zyfer, it has not completed the necessary identification and testing of the internal controls. The incomplete documentation and testing of these subsidiaries constitutes a material weakness. In order to remediate this material weakness, during fiscal year 2012, management will continue to review and document the policies and procedures at its Gillam-FEI and FEI-Zyfer subsidiaries and ensure that testing of their internal controls are completed during fiscal year 2012. If this process identifies material weaknesses or significant deficiencies over such internal controls, the Company will implement appropriate remediation efforts.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5" w:name="page46"/>
    <w:bookmarkEnd w:id="45"/>
    <w:p>
      <w:pPr>
        <w:jc w:val="both"/>
        <w:ind w:firstLine="324"/>
        <w:spacing w:after="0" w:line="264" w:lineRule="auto"/>
        <w:rPr>
          <w:sz w:val="20"/>
          <w:szCs w:val="20"/>
          <w:color w:val="auto"/>
        </w:rPr>
      </w:pPr>
      <w:r>
        <w:rPr>
          <w:rFonts w:ascii="Arial" w:cs="Arial" w:eastAsia="Arial" w:hAnsi="Arial"/>
          <w:sz w:val="18"/>
          <w:szCs w:val="18"/>
          <w:color w:val="auto"/>
        </w:rPr>
        <w:t>This annual report does not include an attestation report of the Company’s registered public accounting firm regarding internal control over financial reporting. Management’s report was not subject to attestation by the Company’s registered public accounting firm pursuant to rules of the Securities and Exchange Commission that permit the Company to provide only management’s report in this annual report.</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Changes in Internal Control Over Financial Reporting</w:t>
      </w:r>
      <w:r>
        <w:rPr>
          <w:rFonts w:ascii="Arial" w:cs="Arial" w:eastAsia="Arial" w:hAnsi="Arial"/>
          <w:sz w:val="18"/>
          <w:szCs w:val="18"/>
          <w:color w:val="auto"/>
        </w:rPr>
        <w:t>.</w:t>
      </w:r>
    </w:p>
    <w:p>
      <w:pPr>
        <w:spacing w:after="0" w:line="2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There were no changes in the Company’s internal control over financial reporting (as such term is defined in Rules 13a-15(f) and 15d-15(f) under the Exchange Act) during the quarter ending April 30, 2011 to which this report relates that have materially affected, or are reasonably likely to materially affect, the Company’s internal control over financial reporting.</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9B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Directors and Executive Officers of the Company</w:t>
      </w:r>
    </w:p>
    <w:p>
      <w:pPr>
        <w:spacing w:after="0" w:line="25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information required to be furnished pursuant to this item with respect to Directors of the Company, in compliance with Section 16(a) of the Securities Exchange Act of 1934, as amended, and the Company’s code of ethics is incorporated herein by reference from the Company’s definitive proxy statement for the annual meeting of stockholders to be held on or about October 11, 2011. The information required to be furnished pursuant to this item with respect to Executive Officers is set forth, pursuant to General Instruction G of Form 10-K, under Part I of this Report.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11. Executive Compensation</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This item is incorporated herein by reference from the Company's definitive proxy statement for the annual meeting of stockholders to be held on or about October 11, 2011.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12. Security Ownership of Certain Beneficial Owners and Management and Related Stockholder Matters</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This item is incorporated herein by reference from the Company's definitive proxy statement for the annual meeting of stockholders to be held on or about October 11, 2011.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13. Certain Relationships and Related Transactions</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This item is incorporated herein by reference from the Company's definitive proxy statement for the annual meeting of stockholders to be held on or about October 11, 2011.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14. Principal Accountant Fees and Services</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This item is incorporated herein by reference from the Company's definitive proxy statement for the annual meeting of stockholders to be held on or about October 11, 2011.</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6" w:name="page47"/>
    <w:bookmarkEnd w:id="46"/>
    <w:p>
      <w:pPr>
        <w:spacing w:after="0" w:line="223" w:lineRule="auto"/>
        <w:framePr w:w="620" w:h="160" w:wrap="auto" w:vAnchor="page" w:hAnchor="page" w:x="9380" w:y="3261"/>
        <w:rPr>
          <w:rFonts w:ascii="Arial" w:cs="Arial" w:eastAsia="Arial" w:hAnsi="Arial"/>
          <w:sz w:val="15"/>
          <w:szCs w:val="15"/>
          <w:color w:val="auto"/>
        </w:rPr>
      </w:pPr>
      <w:r>
        <w:rPr>
          <w:rFonts w:ascii="Arial" w:cs="Arial" w:eastAsia="Arial" w:hAnsi="Arial"/>
          <w:sz w:val="15"/>
          <w:szCs w:val="15"/>
          <w:color w:val="auto"/>
        </w:rPr>
        <w:t>Page(s)</w:t>
      </w:r>
    </w:p>
    <w:p>
      <w:pPr>
        <w:spacing w:after="0" w:line="209" w:lineRule="auto"/>
        <w:framePr w:w="260" w:h="160" w:wrap="auto" w:vAnchor="page" w:hAnchor="page" w:x="9560" w:y="3721"/>
        <w:rPr>
          <w:rFonts w:ascii="Arial" w:cs="Arial" w:eastAsia="Arial" w:hAnsi="Arial"/>
          <w:sz w:val="16"/>
          <w:szCs w:val="16"/>
          <w:color w:val="auto"/>
        </w:rPr>
      </w:pPr>
      <w:r>
        <w:rPr>
          <w:rFonts w:ascii="Arial" w:cs="Arial" w:eastAsia="Arial" w:hAnsi="Arial"/>
          <w:sz w:val="16"/>
          <w:szCs w:val="16"/>
          <w:color w:val="auto"/>
        </w:rPr>
        <w:t>23</w:t>
      </w:r>
    </w:p>
    <w:p>
      <w:pPr>
        <w:spacing w:after="0" w:line="209" w:lineRule="auto"/>
        <w:framePr w:w="260" w:h="160" w:wrap="auto" w:vAnchor="page" w:hAnchor="page" w:x="9560" w:y="4153"/>
        <w:rPr>
          <w:rFonts w:ascii="Arial" w:cs="Arial" w:eastAsia="Arial" w:hAnsi="Arial"/>
          <w:sz w:val="16"/>
          <w:szCs w:val="16"/>
          <w:color w:val="auto"/>
        </w:rPr>
      </w:pPr>
      <w:r>
        <w:rPr>
          <w:rFonts w:ascii="Arial" w:cs="Arial" w:eastAsia="Arial" w:hAnsi="Arial"/>
          <w:sz w:val="16"/>
          <w:szCs w:val="16"/>
          <w:color w:val="auto"/>
        </w:rPr>
        <w:t>24</w:t>
      </w:r>
    </w:p>
    <w:p>
      <w:pPr>
        <w:spacing w:after="0" w:line="209" w:lineRule="auto"/>
        <w:framePr w:w="260" w:h="160" w:wrap="auto" w:vAnchor="page" w:hAnchor="page" w:x="9560" w:y="4585"/>
        <w:rPr>
          <w:rFonts w:ascii="Arial" w:cs="Arial" w:eastAsia="Arial" w:hAnsi="Arial"/>
          <w:sz w:val="16"/>
          <w:szCs w:val="16"/>
          <w:color w:val="auto"/>
        </w:rPr>
      </w:pPr>
      <w:r>
        <w:rPr>
          <w:rFonts w:ascii="Arial" w:cs="Arial" w:eastAsia="Arial" w:hAnsi="Arial"/>
          <w:sz w:val="16"/>
          <w:szCs w:val="16"/>
          <w:color w:val="auto"/>
        </w:rPr>
        <w:t>25</w:t>
      </w:r>
    </w:p>
    <w:p>
      <w:pPr>
        <w:spacing w:after="0" w:line="209" w:lineRule="auto"/>
        <w:framePr w:w="500" w:h="160" w:wrap="auto" w:vAnchor="page" w:hAnchor="page" w:x="9440" w:y="5017"/>
        <w:rPr>
          <w:rFonts w:ascii="Arial" w:cs="Arial" w:eastAsia="Arial" w:hAnsi="Arial"/>
          <w:sz w:val="16"/>
          <w:szCs w:val="16"/>
          <w:color w:val="auto"/>
        </w:rPr>
      </w:pPr>
      <w:r>
        <w:rPr>
          <w:rFonts w:ascii="Arial" w:cs="Arial" w:eastAsia="Arial" w:hAnsi="Arial"/>
          <w:sz w:val="16"/>
          <w:szCs w:val="16"/>
          <w:color w:val="auto"/>
        </w:rPr>
        <w:t>26-27</w:t>
      </w:r>
    </w:p>
    <w:p>
      <w:pPr>
        <w:spacing w:after="0" w:line="209" w:lineRule="auto"/>
        <w:framePr w:w="260" w:h="160" w:wrap="auto" w:vAnchor="page" w:hAnchor="page" w:x="9560" w:y="5449"/>
        <w:rPr>
          <w:rFonts w:ascii="Arial" w:cs="Arial" w:eastAsia="Arial" w:hAnsi="Arial"/>
          <w:sz w:val="16"/>
          <w:szCs w:val="16"/>
          <w:color w:val="auto"/>
        </w:rPr>
      </w:pPr>
      <w:r>
        <w:rPr>
          <w:rFonts w:ascii="Arial" w:cs="Arial" w:eastAsia="Arial" w:hAnsi="Arial"/>
          <w:sz w:val="16"/>
          <w:szCs w:val="16"/>
          <w:color w:val="auto"/>
        </w:rPr>
        <w:t>28</w:t>
      </w:r>
    </w:p>
    <w:p>
      <w:pPr>
        <w:spacing w:after="0" w:line="209" w:lineRule="auto"/>
        <w:framePr w:w="500" w:h="160" w:wrap="auto" w:vAnchor="page" w:hAnchor="page" w:x="9440" w:y="5881"/>
        <w:rPr>
          <w:rFonts w:ascii="Arial" w:cs="Arial" w:eastAsia="Arial" w:hAnsi="Arial"/>
          <w:sz w:val="16"/>
          <w:szCs w:val="16"/>
          <w:color w:val="auto"/>
        </w:rPr>
      </w:pPr>
      <w:r>
        <w:rPr>
          <w:rFonts w:ascii="Arial" w:cs="Arial" w:eastAsia="Arial" w:hAnsi="Arial"/>
          <w:sz w:val="16"/>
          <w:szCs w:val="16"/>
          <w:color w:val="auto"/>
        </w:rPr>
        <w:t>29-43</w:t>
      </w:r>
    </w:p>
    <w:p>
      <w:pPr>
        <w:ind w:left="5380"/>
        <w:spacing w:after="0"/>
        <w:rPr>
          <w:sz w:val="20"/>
          <w:szCs w:val="20"/>
          <w:color w:val="auto"/>
        </w:rPr>
      </w:pPr>
      <w:r>
        <w:rPr>
          <w:rFonts w:ascii="Arial" w:cs="Arial" w:eastAsia="Arial" w:hAnsi="Arial"/>
          <w:sz w:val="18"/>
          <w:szCs w:val="18"/>
          <w:color w:val="auto"/>
        </w:rPr>
        <w:t>PART IV</w:t>
      </w:r>
    </w:p>
    <w:p>
      <w:pPr>
        <w:spacing w:after="0" w:line="252"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u w:val="single" w:color="auto"/>
          <w:color w:val="auto"/>
        </w:rPr>
        <w:t>Item 15. Exhibits and Financial Statement Schedules</w:t>
      </w:r>
    </w:p>
    <w:p>
      <w:pPr>
        <w:spacing w:after="0" w:line="252" w:lineRule="exact"/>
        <w:rPr>
          <w:rFonts w:ascii="Arial" w:cs="Arial" w:eastAsia="Arial" w:hAnsi="Arial"/>
          <w:sz w:val="16"/>
          <w:szCs w:val="16"/>
          <w:color w:val="auto"/>
        </w:rPr>
      </w:pPr>
    </w:p>
    <w:p>
      <w:pPr>
        <w:ind w:left="500" w:hanging="492"/>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Index to Financial Statements and Exhibits</w:t>
      </w:r>
    </w:p>
    <w:p>
      <w:pPr>
        <w:spacing w:after="0" w:line="252"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The financial statements and exhibits are listed below and are filed as part of this report.</w:t>
      </w:r>
    </w:p>
    <w:p>
      <w:pPr>
        <w:spacing w:after="0" w:line="252" w:lineRule="exact"/>
        <w:rPr>
          <w:rFonts w:ascii="Arial" w:cs="Arial" w:eastAsia="Arial" w:hAnsi="Arial"/>
          <w:sz w:val="16"/>
          <w:szCs w:val="16"/>
          <w:color w:val="auto"/>
        </w:rPr>
      </w:pPr>
    </w:p>
    <w:p>
      <w:pPr>
        <w:ind w:left="700" w:right="7179" w:hanging="206"/>
        <w:spacing w:after="0" w:line="659" w:lineRule="auto"/>
        <w:tabs>
          <w:tab w:leader="none" w:pos="748" w:val="left"/>
        </w:tabs>
        <w:numPr>
          <w:ilvl w:val="0"/>
          <w:numId w:val="25"/>
        </w:numPr>
        <w:rPr>
          <w:rFonts w:ascii="Arial" w:cs="Arial" w:eastAsia="Arial" w:hAnsi="Arial"/>
          <w:sz w:val="16"/>
          <w:szCs w:val="16"/>
          <w:color w:val="auto"/>
        </w:rPr>
      </w:pPr>
      <w:r>
        <w:rPr>
          <w:rFonts w:ascii="Arial" w:cs="Arial" w:eastAsia="Arial" w:hAnsi="Arial"/>
          <w:sz w:val="16"/>
          <w:szCs w:val="16"/>
          <w:color w:val="auto"/>
        </w:rPr>
        <w:t>FINANCIAL STATEMENTS Included in Part II of this report:</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5751195</wp:posOffset>
            </wp:positionH>
            <wp:positionV relativeFrom="paragraph">
              <wp:posOffset>87630</wp:posOffset>
            </wp:positionV>
            <wp:extent cx="48895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88950" cy="17145"/>
                    </a:xfrm>
                    <a:prstGeom prst="rect">
                      <a:avLst/>
                    </a:prstGeom>
                    <a:noFill/>
                  </pic:spPr>
                </pic:pic>
              </a:graphicData>
            </a:graphic>
          </wp:anchor>
        </w:drawing>
      </w:r>
    </w:p>
    <w:p>
      <w:pPr>
        <w:spacing w:after="0" w:line="347" w:lineRule="exact"/>
        <w:rPr>
          <w:rFonts w:ascii="Arial" w:cs="Arial" w:eastAsia="Arial" w:hAnsi="Arial"/>
          <w:sz w:val="16"/>
          <w:szCs w:val="16"/>
          <w:color w:val="auto"/>
        </w:rPr>
      </w:pPr>
    </w:p>
    <w:p>
      <w:pPr>
        <w:ind w:left="820" w:right="5119"/>
        <w:spacing w:after="0" w:line="563" w:lineRule="auto"/>
        <w:rPr>
          <w:sz w:val="20"/>
          <w:szCs w:val="20"/>
          <w:color w:val="auto"/>
        </w:rPr>
      </w:pPr>
      <w:r>
        <w:rPr>
          <w:rFonts w:ascii="Arial" w:cs="Arial" w:eastAsia="Arial" w:hAnsi="Arial"/>
          <w:sz w:val="16"/>
          <w:szCs w:val="16"/>
          <w:color w:val="auto"/>
        </w:rPr>
        <w:t>Reports of Independent Registered Public Accounting Firm Consolidated Balance Sheets April 30, 2011 and 2010</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519430</wp:posOffset>
            </wp:positionH>
            <wp:positionV relativeFrom="paragraph">
              <wp:posOffset>-538480</wp:posOffset>
            </wp:positionV>
            <wp:extent cx="572008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20080" cy="137160"/>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-264160</wp:posOffset>
            </wp:positionV>
            <wp:extent cx="572008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20080" cy="137160"/>
                    </a:xfrm>
                    <a:prstGeom prst="rect">
                      <a:avLst/>
                    </a:prstGeom>
                    <a:noFill/>
                  </pic:spPr>
                </pic:pic>
              </a:graphicData>
            </a:graphic>
          </wp:anchor>
        </w:drawing>
      </w:r>
    </w:p>
    <w:p>
      <w:pPr>
        <w:ind w:left="820" w:right="3719"/>
        <w:spacing w:after="0" w:line="563" w:lineRule="auto"/>
        <w:rPr>
          <w:sz w:val="20"/>
          <w:szCs w:val="20"/>
          <w:color w:val="auto"/>
        </w:rPr>
      </w:pPr>
      <w:r>
        <w:rPr>
          <w:rFonts w:ascii="Arial" w:cs="Arial" w:eastAsia="Arial" w:hAnsi="Arial"/>
          <w:sz w:val="16"/>
          <w:szCs w:val="16"/>
          <w:color w:val="auto"/>
        </w:rPr>
        <w:t>Consolidated Statements of Operations -years ended April 30, 2011 and 2010 Consolidated Statements of Cash Flows - years ended April 30, 2011 and 2010</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519430</wp:posOffset>
            </wp:positionH>
            <wp:positionV relativeFrom="paragraph">
              <wp:posOffset>-538480</wp:posOffset>
            </wp:positionV>
            <wp:extent cx="572008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20080" cy="137160"/>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-264160</wp:posOffset>
            </wp:positionV>
            <wp:extent cx="572008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20080" cy="137160"/>
                    </a:xfrm>
                    <a:prstGeom prst="rect">
                      <a:avLst/>
                    </a:prstGeom>
                    <a:noFill/>
                  </pic:spPr>
                </pic:pic>
              </a:graphicData>
            </a:graphic>
          </wp:anchor>
        </w:drawing>
      </w:r>
    </w:p>
    <w:p>
      <w:pPr>
        <w:ind w:left="820" w:right="2219"/>
        <w:spacing w:after="0" w:line="516" w:lineRule="auto"/>
        <w:rPr>
          <w:sz w:val="20"/>
          <w:szCs w:val="20"/>
          <w:color w:val="auto"/>
        </w:rPr>
      </w:pPr>
      <w:r>
        <w:rPr>
          <w:rFonts w:ascii="Arial" w:cs="Arial" w:eastAsia="Arial" w:hAnsi="Arial"/>
          <w:sz w:val="18"/>
          <w:szCs w:val="18"/>
          <w:color w:val="auto"/>
        </w:rPr>
        <w:t>Consolidated Statements of Changes in Stockholders' Equity - years ended April 30, 2011 and 2010 Notes to Consolidated Financial Statements</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519430</wp:posOffset>
            </wp:positionH>
            <wp:positionV relativeFrom="paragraph">
              <wp:posOffset>-555625</wp:posOffset>
            </wp:positionV>
            <wp:extent cx="572008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20080" cy="137160"/>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-281305</wp:posOffset>
            </wp:positionV>
            <wp:extent cx="572008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20080" cy="137160"/>
                    </a:xfrm>
                    <a:prstGeom prst="rect">
                      <a:avLst/>
                    </a:prstGeom>
                    <a:noFill/>
                  </pic:spPr>
                </pic:pic>
              </a:graphicData>
            </a:graphic>
          </wp:anchor>
        </w:drawing>
      </w:r>
    </w:p>
    <w:p>
      <w:pPr>
        <w:ind w:left="500"/>
        <w:spacing w:after="0"/>
        <w:rPr>
          <w:sz w:val="20"/>
          <w:szCs w:val="20"/>
          <w:color w:val="auto"/>
        </w:rPr>
      </w:pPr>
      <w:r>
        <w:rPr>
          <w:rFonts w:ascii="Arial" w:cs="Arial" w:eastAsia="Arial" w:hAnsi="Arial"/>
          <w:sz w:val="18"/>
          <w:szCs w:val="18"/>
          <w:color w:val="auto"/>
        </w:rPr>
        <w:t>(2) EXHIBITS</w:t>
      </w:r>
    </w:p>
    <w:p>
      <w:pPr>
        <w:spacing w:after="0" w:line="252" w:lineRule="exact"/>
        <w:rPr>
          <w:rFonts w:ascii="Arial" w:cs="Arial" w:eastAsia="Arial" w:hAnsi="Arial"/>
          <w:sz w:val="16"/>
          <w:szCs w:val="16"/>
          <w:color w:val="auto"/>
        </w:rPr>
      </w:pPr>
    </w:p>
    <w:p>
      <w:pPr>
        <w:ind w:left="820"/>
        <w:spacing w:after="0"/>
        <w:tabs>
          <w:tab w:leader="none" w:pos="1980" w:val="left"/>
        </w:tabs>
        <w:rPr>
          <w:sz w:val="20"/>
          <w:szCs w:val="20"/>
          <w:color w:val="auto"/>
        </w:rPr>
      </w:pPr>
      <w:r>
        <w:rPr>
          <w:rFonts w:ascii="Arial" w:cs="Arial" w:eastAsia="Arial" w:hAnsi="Arial"/>
          <w:sz w:val="18"/>
          <w:szCs w:val="18"/>
          <w:color w:val="auto"/>
        </w:rPr>
        <w:t>Exhibit 21</w:t>
      </w:r>
      <w:r>
        <w:rPr>
          <w:sz w:val="20"/>
          <w:szCs w:val="20"/>
          <w:color w:val="auto"/>
        </w:rPr>
        <w:tab/>
      </w:r>
      <w:r>
        <w:rPr>
          <w:rFonts w:ascii="Arial" w:cs="Arial" w:eastAsia="Arial" w:hAnsi="Arial"/>
          <w:sz w:val="16"/>
          <w:szCs w:val="16"/>
          <w:color w:val="auto"/>
        </w:rPr>
        <w:t>List of Subsidiaries of Registrant</w:t>
      </w:r>
    </w:p>
    <w:p>
      <w:pPr>
        <w:spacing w:after="0" w:line="225" w:lineRule="exact"/>
        <w:rPr>
          <w:rFonts w:ascii="Arial" w:cs="Arial" w:eastAsia="Arial" w:hAnsi="Arial"/>
          <w:sz w:val="16"/>
          <w:szCs w:val="16"/>
          <w:color w:val="auto"/>
        </w:rPr>
      </w:pPr>
    </w:p>
    <w:p>
      <w:pPr>
        <w:ind w:left="820"/>
        <w:spacing w:after="0"/>
        <w:tabs>
          <w:tab w:leader="none" w:pos="1980" w:val="left"/>
        </w:tabs>
        <w:rPr>
          <w:sz w:val="20"/>
          <w:szCs w:val="20"/>
          <w:color w:val="auto"/>
        </w:rPr>
      </w:pPr>
      <w:r>
        <w:rPr>
          <w:rFonts w:ascii="Arial" w:cs="Arial" w:eastAsia="Arial" w:hAnsi="Arial"/>
          <w:sz w:val="18"/>
          <w:szCs w:val="18"/>
          <w:color w:val="auto"/>
        </w:rPr>
        <w:t>Exhibit 23.1</w:t>
      </w:r>
      <w:r>
        <w:rPr>
          <w:sz w:val="20"/>
          <w:szCs w:val="20"/>
          <w:color w:val="auto"/>
        </w:rPr>
        <w:tab/>
      </w:r>
      <w:r>
        <w:rPr>
          <w:rFonts w:ascii="Arial" w:cs="Arial" w:eastAsia="Arial" w:hAnsi="Arial"/>
          <w:sz w:val="16"/>
          <w:szCs w:val="16"/>
          <w:color w:val="auto"/>
        </w:rPr>
        <w:t>Consent of Independent Registered Public Accounting Firm</w:t>
      </w:r>
    </w:p>
    <w:p>
      <w:pPr>
        <w:spacing w:after="0" w:line="225" w:lineRule="exact"/>
        <w:rPr>
          <w:rFonts w:ascii="Arial" w:cs="Arial" w:eastAsia="Arial" w:hAnsi="Arial"/>
          <w:sz w:val="16"/>
          <w:szCs w:val="16"/>
          <w:color w:val="auto"/>
        </w:rPr>
      </w:pPr>
    </w:p>
    <w:p>
      <w:pPr>
        <w:ind w:left="820"/>
        <w:spacing w:after="0"/>
        <w:tabs>
          <w:tab w:leader="none" w:pos="1980" w:val="left"/>
        </w:tabs>
        <w:rPr>
          <w:sz w:val="20"/>
          <w:szCs w:val="20"/>
          <w:color w:val="auto"/>
        </w:rPr>
      </w:pPr>
      <w:r>
        <w:rPr>
          <w:rFonts w:ascii="Arial" w:cs="Arial" w:eastAsia="Arial" w:hAnsi="Arial"/>
          <w:sz w:val="18"/>
          <w:szCs w:val="18"/>
          <w:color w:val="auto"/>
        </w:rPr>
        <w:t>Exhibit 31.1</w:t>
      </w:r>
      <w:r>
        <w:rPr>
          <w:sz w:val="20"/>
          <w:szCs w:val="20"/>
          <w:color w:val="auto"/>
        </w:rPr>
        <w:tab/>
      </w:r>
      <w:r>
        <w:rPr>
          <w:rFonts w:ascii="Arial" w:cs="Arial" w:eastAsia="Arial" w:hAnsi="Arial"/>
          <w:sz w:val="16"/>
          <w:szCs w:val="16"/>
          <w:color w:val="auto"/>
        </w:rPr>
        <w:t>Certification of the Chief Executive Officer pursuant to Section 302 of the Sarbanes-Oxley Act of 2002</w:t>
      </w:r>
    </w:p>
    <w:p>
      <w:pPr>
        <w:spacing w:after="0" w:line="225" w:lineRule="exact"/>
        <w:rPr>
          <w:rFonts w:ascii="Arial" w:cs="Arial" w:eastAsia="Arial" w:hAnsi="Arial"/>
          <w:sz w:val="16"/>
          <w:szCs w:val="16"/>
          <w:color w:val="auto"/>
        </w:rPr>
      </w:pPr>
    </w:p>
    <w:p>
      <w:pPr>
        <w:ind w:left="820"/>
        <w:spacing w:after="0"/>
        <w:tabs>
          <w:tab w:leader="none" w:pos="1980" w:val="left"/>
        </w:tabs>
        <w:rPr>
          <w:sz w:val="20"/>
          <w:szCs w:val="20"/>
          <w:color w:val="auto"/>
        </w:rPr>
      </w:pPr>
      <w:r>
        <w:rPr>
          <w:rFonts w:ascii="Arial" w:cs="Arial" w:eastAsia="Arial" w:hAnsi="Arial"/>
          <w:sz w:val="18"/>
          <w:szCs w:val="18"/>
          <w:color w:val="auto"/>
        </w:rPr>
        <w:t>Exhibit 31.2</w:t>
      </w:r>
      <w:r>
        <w:rPr>
          <w:sz w:val="20"/>
          <w:szCs w:val="20"/>
          <w:color w:val="auto"/>
        </w:rPr>
        <w:tab/>
      </w:r>
      <w:r>
        <w:rPr>
          <w:rFonts w:ascii="Arial" w:cs="Arial" w:eastAsia="Arial" w:hAnsi="Arial"/>
          <w:sz w:val="16"/>
          <w:szCs w:val="16"/>
          <w:color w:val="auto"/>
        </w:rPr>
        <w:t>Certification of the Chief Financial Officer pursuant to Section 302 of the Sarbanes-Oxley Act of 2002</w:t>
      </w:r>
    </w:p>
    <w:p>
      <w:pPr>
        <w:spacing w:after="0" w:line="225" w:lineRule="exact"/>
        <w:rPr>
          <w:rFonts w:ascii="Arial" w:cs="Arial" w:eastAsia="Arial" w:hAnsi="Arial"/>
          <w:sz w:val="16"/>
          <w:szCs w:val="16"/>
          <w:color w:val="auto"/>
        </w:rPr>
      </w:pPr>
    </w:p>
    <w:p>
      <w:pPr>
        <w:ind w:left="820"/>
        <w:spacing w:after="0"/>
        <w:tabs>
          <w:tab w:leader="none" w:pos="1980" w:val="left"/>
        </w:tabs>
        <w:rPr>
          <w:sz w:val="20"/>
          <w:szCs w:val="20"/>
          <w:color w:val="auto"/>
        </w:rPr>
      </w:pPr>
      <w:r>
        <w:rPr>
          <w:rFonts w:ascii="Arial" w:cs="Arial" w:eastAsia="Arial" w:hAnsi="Arial"/>
          <w:sz w:val="18"/>
          <w:szCs w:val="18"/>
          <w:color w:val="auto"/>
        </w:rPr>
        <w:t>Exhibit 32.1</w:t>
      </w:r>
      <w:r>
        <w:rPr>
          <w:sz w:val="20"/>
          <w:szCs w:val="20"/>
          <w:color w:val="auto"/>
        </w:rPr>
        <w:tab/>
      </w:r>
      <w:r>
        <w:rPr>
          <w:rFonts w:ascii="Arial" w:cs="Arial" w:eastAsia="Arial" w:hAnsi="Arial"/>
          <w:sz w:val="16"/>
          <w:szCs w:val="16"/>
          <w:color w:val="auto"/>
        </w:rPr>
        <w:t>Certification of the Chief Executive Officer pursuant to Section 906 of the Sarbanes-Oxley Act of 2002</w:t>
      </w:r>
    </w:p>
    <w:p>
      <w:pPr>
        <w:spacing w:after="0" w:line="225" w:lineRule="exact"/>
        <w:rPr>
          <w:rFonts w:ascii="Arial" w:cs="Arial" w:eastAsia="Arial" w:hAnsi="Arial"/>
          <w:sz w:val="16"/>
          <w:szCs w:val="16"/>
          <w:color w:val="auto"/>
        </w:rPr>
      </w:pPr>
    </w:p>
    <w:p>
      <w:pPr>
        <w:ind w:left="820"/>
        <w:spacing w:after="0"/>
        <w:tabs>
          <w:tab w:leader="none" w:pos="1980" w:val="left"/>
        </w:tabs>
        <w:rPr>
          <w:sz w:val="20"/>
          <w:szCs w:val="20"/>
          <w:color w:val="auto"/>
        </w:rPr>
      </w:pPr>
      <w:r>
        <w:rPr>
          <w:rFonts w:ascii="Arial" w:cs="Arial" w:eastAsia="Arial" w:hAnsi="Arial"/>
          <w:sz w:val="18"/>
          <w:szCs w:val="18"/>
          <w:color w:val="auto"/>
        </w:rPr>
        <w:t>Exhibit 32.2</w:t>
      </w:r>
      <w:r>
        <w:rPr>
          <w:sz w:val="20"/>
          <w:szCs w:val="20"/>
          <w:color w:val="auto"/>
        </w:rPr>
        <w:tab/>
      </w:r>
      <w:r>
        <w:rPr>
          <w:rFonts w:ascii="Arial" w:cs="Arial" w:eastAsia="Arial" w:hAnsi="Arial"/>
          <w:sz w:val="16"/>
          <w:szCs w:val="16"/>
          <w:color w:val="auto"/>
        </w:rPr>
        <w:t>Certification of the Chief Financial Officer pursuant to Section 906 of the Sarbanes-Oxley Act of 2002</w:t>
      </w:r>
    </w:p>
    <w:p>
      <w:pPr>
        <w:spacing w:after="0" w:line="252" w:lineRule="exact"/>
        <w:rPr>
          <w:rFonts w:ascii="Arial" w:cs="Arial" w:eastAsia="Arial" w:hAnsi="Arial"/>
          <w:sz w:val="16"/>
          <w:szCs w:val="16"/>
          <w:color w:val="auto"/>
        </w:rPr>
      </w:pPr>
    </w:p>
    <w:p>
      <w:pPr>
        <w:ind w:left="820"/>
        <w:spacing w:after="0"/>
        <w:rPr>
          <w:sz w:val="20"/>
          <w:szCs w:val="20"/>
          <w:color w:val="auto"/>
        </w:rPr>
      </w:pPr>
      <w:r>
        <w:rPr>
          <w:rFonts w:ascii="Arial" w:cs="Arial" w:eastAsia="Arial" w:hAnsi="Arial"/>
          <w:sz w:val="16"/>
          <w:szCs w:val="16"/>
          <w:color w:val="auto"/>
        </w:rPr>
        <w:t>The exhibits listed on the accompanying Index to Exhibits beginning on page 51 are filed as part of this annual report.</w:t>
      </w:r>
    </w:p>
    <w:p>
      <w:pPr>
        <w:spacing w:after="0" w:line="200" w:lineRule="exact"/>
        <w:rPr>
          <w:rFonts w:ascii="Arial" w:cs="Arial" w:eastAsia="Arial" w:hAnsi="Arial"/>
          <w:sz w:val="16"/>
          <w:szCs w:val="16"/>
          <w:color w:val="auto"/>
        </w:rPr>
      </w:pPr>
    </w:p>
    <w:p>
      <w:pPr>
        <w:spacing w:after="0" w:line="224" w:lineRule="exact"/>
        <w:rPr>
          <w:rFonts w:ascii="Arial" w:cs="Arial" w:eastAsia="Arial" w:hAnsi="Arial"/>
          <w:sz w:val="16"/>
          <w:szCs w:val="16"/>
          <w:color w:val="auto"/>
        </w:rPr>
      </w:pPr>
    </w:p>
    <w:p>
      <w:pPr>
        <w:ind w:left="5620"/>
        <w:spacing w:after="0"/>
        <w:rPr>
          <w:sz w:val="20"/>
          <w:szCs w:val="20"/>
          <w:color w:val="auto"/>
        </w:rPr>
      </w:pPr>
      <w:r>
        <w:rPr>
          <w:rFonts w:ascii="Arial" w:cs="Arial" w:eastAsia="Arial" w:hAnsi="Arial"/>
          <w:sz w:val="18"/>
          <w:szCs w:val="18"/>
          <w:color w:val="auto"/>
        </w:rPr>
        <w:t>46</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90" w:right="1440"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u w:val="single" w:color="auto"/>
          <w:color w:val="auto"/>
        </w:rPr>
        <w:t>SIGNATURES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 (d)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FREQUENCY ELECTRONICS,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26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/s/ Martin B. Bloch</w:t>
            </w:r>
          </w:p>
        </w:tc>
      </w:tr>
      <w:tr>
        <w:trPr>
          <w:trHeight w:val="202"/>
        </w:trPr>
        <w:tc>
          <w:tcPr>
            <w:tcW w:w="580" w:type="dxa"/>
            <w:vAlign w:val="bottom"/>
          </w:tcPr>
          <w:p>
            <w:pPr>
              <w:spacing w:after="0"/>
              <w:rPr>
                <w:sz w:val="17"/>
                <w:szCs w:val="17"/>
                <w:color w:val="auto"/>
              </w:rPr>
            </w:pPr>
          </w:p>
        </w:tc>
        <w:tc>
          <w:tcPr>
            <w:tcW w:w="2620" w:type="dxa"/>
            <w:vAlign w:val="bottom"/>
          </w:tcPr>
          <w:p>
            <w:pPr>
              <w:spacing w:after="0" w:line="201" w:lineRule="exact"/>
              <w:rPr>
                <w:sz w:val="20"/>
                <w:szCs w:val="20"/>
                <w:color w:val="auto"/>
              </w:rPr>
            </w:pPr>
            <w:r>
              <w:rPr>
                <w:rFonts w:ascii="Arial" w:cs="Arial" w:eastAsia="Arial" w:hAnsi="Arial"/>
                <w:sz w:val="18"/>
                <w:szCs w:val="18"/>
                <w:color w:val="auto"/>
              </w:rPr>
              <w:t>Martin B. Bloch</w:t>
            </w:r>
          </w:p>
        </w:tc>
      </w:tr>
      <w:tr>
        <w:trPr>
          <w:trHeight w:val="230"/>
        </w:trPr>
        <w:tc>
          <w:tcPr>
            <w:tcW w:w="580" w:type="dxa"/>
            <w:vAlign w:val="bottom"/>
          </w:tcPr>
          <w:p>
            <w:pPr>
              <w:spacing w:after="0"/>
              <w:rPr>
                <w:sz w:val="20"/>
                <w:szCs w:val="20"/>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President and CEO</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26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/s/ Alan L. Miller</w:t>
            </w:r>
          </w:p>
        </w:tc>
      </w:tr>
      <w:tr>
        <w:trPr>
          <w:trHeight w:val="202"/>
        </w:trPr>
        <w:tc>
          <w:tcPr>
            <w:tcW w:w="580" w:type="dxa"/>
            <w:vAlign w:val="bottom"/>
          </w:tcPr>
          <w:p>
            <w:pPr>
              <w:spacing w:after="0"/>
              <w:rPr>
                <w:sz w:val="17"/>
                <w:szCs w:val="17"/>
                <w:color w:val="auto"/>
              </w:rPr>
            </w:pPr>
          </w:p>
        </w:tc>
        <w:tc>
          <w:tcPr>
            <w:tcW w:w="2620" w:type="dxa"/>
            <w:vAlign w:val="bottom"/>
          </w:tcPr>
          <w:p>
            <w:pPr>
              <w:spacing w:after="0" w:line="201" w:lineRule="exact"/>
              <w:rPr>
                <w:sz w:val="20"/>
                <w:szCs w:val="20"/>
                <w:color w:val="auto"/>
              </w:rPr>
            </w:pPr>
            <w:r>
              <w:rPr>
                <w:rFonts w:ascii="Arial" w:cs="Arial" w:eastAsia="Arial" w:hAnsi="Arial"/>
                <w:sz w:val="18"/>
                <w:szCs w:val="18"/>
                <w:color w:val="auto"/>
              </w:rPr>
              <w:t>Alan L. Miller</w:t>
            </w:r>
          </w:p>
        </w:tc>
      </w:tr>
      <w:tr>
        <w:trPr>
          <w:trHeight w:val="216"/>
        </w:trPr>
        <w:tc>
          <w:tcPr>
            <w:tcW w:w="58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580" w:type="dxa"/>
            <w:vAlign w:val="bottom"/>
          </w:tcPr>
          <w:p>
            <w:pPr>
              <w:spacing w:after="0"/>
              <w:rPr>
                <w:sz w:val="20"/>
                <w:szCs w:val="20"/>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and Secretary/Treasurer</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Dated: July 29, 2011</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p>
        </w:tc>
        <w:tc>
          <w:tcPr>
            <w:tcW w:w="3100" w:type="dxa"/>
            <w:vAlign w:val="bottom"/>
            <w:tcBorders>
              <w:bottom w:val="single" w:sz="8" w:color="auto"/>
            </w:tcBorders>
          </w:tcPr>
          <w:p>
            <w:pPr>
              <w:ind w:left="1200"/>
              <w:spacing w:after="0"/>
              <w:rPr>
                <w:sz w:val="20"/>
                <w:szCs w:val="20"/>
                <w:color w:val="auto"/>
              </w:rPr>
            </w:pPr>
            <w:r>
              <w:rPr>
                <w:rFonts w:ascii="Arial" w:cs="Arial" w:eastAsia="Arial" w:hAnsi="Arial"/>
                <w:sz w:val="18"/>
                <w:szCs w:val="18"/>
                <w:color w:val="auto"/>
              </w:rPr>
              <w:t>Signature</w:t>
            </w:r>
          </w:p>
        </w:tc>
        <w:tc>
          <w:tcPr>
            <w:tcW w:w="400" w:type="dxa"/>
            <w:vAlign w:val="bottom"/>
          </w:tcPr>
          <w:p>
            <w:pPr>
              <w:spacing w:after="0"/>
              <w:rPr>
                <w:sz w:val="20"/>
                <w:szCs w:val="20"/>
                <w:color w:val="auto"/>
              </w:rPr>
            </w:pPr>
          </w:p>
        </w:tc>
        <w:tc>
          <w:tcPr>
            <w:tcW w:w="3080" w:type="dxa"/>
            <w:vAlign w:val="bottom"/>
            <w:tcBorders>
              <w:bottom w:val="single" w:sz="8" w:color="auto"/>
            </w:tcBorders>
          </w:tcPr>
          <w:p>
            <w:pPr>
              <w:ind w:left="1380"/>
              <w:spacing w:after="0"/>
              <w:rPr>
                <w:sz w:val="20"/>
                <w:szCs w:val="20"/>
                <w:color w:val="auto"/>
              </w:rPr>
            </w:pPr>
            <w:r>
              <w:rPr>
                <w:rFonts w:ascii="Arial" w:cs="Arial" w:eastAsia="Arial" w:hAnsi="Arial"/>
                <w:sz w:val="18"/>
                <w:szCs w:val="18"/>
                <w:color w:val="auto"/>
              </w:rPr>
              <w:t>Title</w:t>
            </w:r>
          </w:p>
        </w:tc>
        <w:tc>
          <w:tcPr>
            <w:tcW w:w="420" w:type="dxa"/>
            <w:vAlign w:val="bottom"/>
          </w:tcPr>
          <w:p>
            <w:pPr>
              <w:spacing w:after="0"/>
              <w:rPr>
                <w:sz w:val="20"/>
                <w:szCs w:val="20"/>
                <w:color w:val="auto"/>
              </w:rPr>
            </w:pPr>
          </w:p>
        </w:tc>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Date</w:t>
            </w:r>
          </w:p>
        </w:tc>
        <w:tc>
          <w:tcPr>
            <w:tcW w:w="560" w:type="dxa"/>
            <w:vAlign w:val="bottom"/>
          </w:tcPr>
          <w:p>
            <w:pPr>
              <w:spacing w:after="0"/>
              <w:rPr>
                <w:sz w:val="20"/>
                <w:szCs w:val="20"/>
                <w:color w:val="auto"/>
              </w:rPr>
            </w:pPr>
          </w:p>
        </w:tc>
      </w:tr>
      <w:tr>
        <w:trPr>
          <w:trHeight w:val="439"/>
        </w:trPr>
        <w:tc>
          <w:tcPr>
            <w:tcW w:w="3680" w:type="dxa"/>
            <w:vAlign w:val="bottom"/>
            <w:gridSpan w:val="2"/>
          </w:tcPr>
          <w:p>
            <w:pPr>
              <w:ind w:left="580"/>
              <w:spacing w:after="0"/>
              <w:rPr>
                <w:sz w:val="20"/>
                <w:szCs w:val="20"/>
                <w:color w:val="auto"/>
              </w:rPr>
            </w:pPr>
            <w:r>
              <w:rPr>
                <w:rFonts w:ascii="Arial" w:cs="Arial" w:eastAsia="Arial" w:hAnsi="Arial"/>
                <w:sz w:val="18"/>
                <w:szCs w:val="18"/>
                <w:color w:val="auto"/>
              </w:rPr>
              <w:t>/s/ Joseph P. Franklin</w:t>
            </w:r>
          </w:p>
        </w:tc>
        <w:tc>
          <w:tcPr>
            <w:tcW w:w="3480" w:type="dxa"/>
            <w:vAlign w:val="bottom"/>
            <w:gridSpan w:val="2"/>
          </w:tcPr>
          <w:p>
            <w:pPr>
              <w:ind w:left="400"/>
              <w:spacing w:after="0"/>
              <w:rPr>
                <w:sz w:val="20"/>
                <w:szCs w:val="20"/>
                <w:color w:val="auto"/>
              </w:rPr>
            </w:pPr>
            <w:r>
              <w:rPr>
                <w:rFonts w:ascii="Arial" w:cs="Arial" w:eastAsia="Arial" w:hAnsi="Arial"/>
                <w:sz w:val="18"/>
                <w:szCs w:val="18"/>
                <w:color w:val="auto"/>
              </w:rPr>
              <w:t>Chairman of the Board</w:t>
            </w:r>
          </w:p>
        </w:tc>
        <w:tc>
          <w:tcPr>
            <w:tcW w:w="3700" w:type="dxa"/>
            <w:vAlign w:val="bottom"/>
            <w:gridSpan w:val="2"/>
          </w:tcPr>
          <w:p>
            <w:pPr>
              <w:jc w:val="center"/>
              <w:ind w:left="310"/>
              <w:spacing w:after="0"/>
              <w:rPr>
                <w:sz w:val="20"/>
                <w:szCs w:val="20"/>
                <w:color w:val="auto"/>
              </w:rPr>
            </w:pPr>
            <w:r>
              <w:rPr>
                <w:rFonts w:ascii="Arial" w:cs="Arial" w:eastAsia="Arial" w:hAnsi="Arial"/>
                <w:sz w:val="18"/>
                <w:szCs w:val="18"/>
                <w:color w:val="auto"/>
                <w:w w:val="89"/>
              </w:rPr>
              <w:t>7/29/11</w:t>
            </w:r>
          </w:p>
        </w:tc>
        <w:tc>
          <w:tcPr>
            <w:tcW w:w="560" w:type="dxa"/>
            <w:vAlign w:val="bottom"/>
          </w:tcPr>
          <w:p>
            <w:pPr>
              <w:spacing w:after="0"/>
              <w:rPr>
                <w:sz w:val="24"/>
                <w:szCs w:val="24"/>
                <w:color w:val="auto"/>
              </w:rPr>
            </w:pPr>
          </w:p>
        </w:tc>
      </w:tr>
      <w:tr>
        <w:trPr>
          <w:trHeight w:val="230"/>
        </w:trPr>
        <w:tc>
          <w:tcPr>
            <w:tcW w:w="580" w:type="dxa"/>
            <w:vAlign w:val="bottom"/>
          </w:tcPr>
          <w:p>
            <w:pPr>
              <w:spacing w:after="0"/>
              <w:rPr>
                <w:sz w:val="20"/>
                <w:szCs w:val="20"/>
                <w:color w:val="auto"/>
              </w:rPr>
            </w:pPr>
          </w:p>
        </w:tc>
        <w:tc>
          <w:tcPr>
            <w:tcW w:w="310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rPr>
              <w:t>Joseph P. Franklin</w:t>
            </w:r>
          </w:p>
        </w:tc>
        <w:tc>
          <w:tcPr>
            <w:tcW w:w="4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425"/>
        </w:trPr>
        <w:tc>
          <w:tcPr>
            <w:tcW w:w="3680" w:type="dxa"/>
            <w:vAlign w:val="bottom"/>
            <w:gridSpan w:val="2"/>
          </w:tcPr>
          <w:p>
            <w:pPr>
              <w:ind w:left="580"/>
              <w:spacing w:after="0"/>
              <w:rPr>
                <w:sz w:val="20"/>
                <w:szCs w:val="20"/>
                <w:color w:val="auto"/>
              </w:rPr>
            </w:pPr>
            <w:r>
              <w:rPr>
                <w:rFonts w:ascii="Arial" w:cs="Arial" w:eastAsia="Arial" w:hAnsi="Arial"/>
                <w:sz w:val="18"/>
                <w:szCs w:val="18"/>
                <w:color w:val="auto"/>
              </w:rPr>
              <w:t>/s/ Joel Girsky</w:t>
            </w:r>
          </w:p>
        </w:tc>
        <w:tc>
          <w:tcPr>
            <w:tcW w:w="3480" w:type="dxa"/>
            <w:vAlign w:val="bottom"/>
            <w:gridSpan w:val="2"/>
          </w:tcPr>
          <w:p>
            <w:pPr>
              <w:ind w:left="400"/>
              <w:spacing w:after="0"/>
              <w:rPr>
                <w:sz w:val="20"/>
                <w:szCs w:val="20"/>
                <w:color w:val="auto"/>
              </w:rPr>
            </w:pPr>
            <w:r>
              <w:rPr>
                <w:rFonts w:ascii="Arial" w:cs="Arial" w:eastAsia="Arial" w:hAnsi="Arial"/>
                <w:sz w:val="18"/>
                <w:szCs w:val="18"/>
                <w:color w:val="auto"/>
              </w:rPr>
              <w:t>Director</w:t>
            </w:r>
          </w:p>
        </w:tc>
        <w:tc>
          <w:tcPr>
            <w:tcW w:w="3700" w:type="dxa"/>
            <w:vAlign w:val="bottom"/>
            <w:gridSpan w:val="2"/>
          </w:tcPr>
          <w:p>
            <w:pPr>
              <w:jc w:val="center"/>
              <w:ind w:left="310"/>
              <w:spacing w:after="0"/>
              <w:rPr>
                <w:sz w:val="20"/>
                <w:szCs w:val="20"/>
                <w:color w:val="auto"/>
              </w:rPr>
            </w:pPr>
            <w:r>
              <w:rPr>
                <w:rFonts w:ascii="Arial" w:cs="Arial" w:eastAsia="Arial" w:hAnsi="Arial"/>
                <w:sz w:val="18"/>
                <w:szCs w:val="18"/>
                <w:color w:val="auto"/>
                <w:w w:val="89"/>
              </w:rPr>
              <w:t>7/29/11</w:t>
            </w:r>
          </w:p>
        </w:tc>
        <w:tc>
          <w:tcPr>
            <w:tcW w:w="560" w:type="dxa"/>
            <w:vAlign w:val="bottom"/>
          </w:tcPr>
          <w:p>
            <w:pPr>
              <w:spacing w:after="0"/>
              <w:rPr>
                <w:sz w:val="24"/>
                <w:szCs w:val="24"/>
                <w:color w:val="auto"/>
              </w:rPr>
            </w:pPr>
          </w:p>
        </w:tc>
      </w:tr>
      <w:tr>
        <w:trPr>
          <w:trHeight w:val="230"/>
        </w:trPr>
        <w:tc>
          <w:tcPr>
            <w:tcW w:w="580" w:type="dxa"/>
            <w:vAlign w:val="bottom"/>
          </w:tcPr>
          <w:p>
            <w:pPr>
              <w:spacing w:after="0"/>
              <w:rPr>
                <w:sz w:val="20"/>
                <w:szCs w:val="20"/>
                <w:color w:val="auto"/>
              </w:rPr>
            </w:pPr>
          </w:p>
        </w:tc>
        <w:tc>
          <w:tcPr>
            <w:tcW w:w="310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rPr>
              <w:t>Joel Girsky</w:t>
            </w:r>
          </w:p>
        </w:tc>
        <w:tc>
          <w:tcPr>
            <w:tcW w:w="4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425"/>
        </w:trPr>
        <w:tc>
          <w:tcPr>
            <w:tcW w:w="3680" w:type="dxa"/>
            <w:vAlign w:val="bottom"/>
            <w:gridSpan w:val="2"/>
          </w:tcPr>
          <w:p>
            <w:pPr>
              <w:ind w:left="580"/>
              <w:spacing w:after="0"/>
              <w:rPr>
                <w:sz w:val="20"/>
                <w:szCs w:val="20"/>
                <w:color w:val="auto"/>
              </w:rPr>
            </w:pPr>
            <w:r>
              <w:rPr>
                <w:rFonts w:ascii="Arial" w:cs="Arial" w:eastAsia="Arial" w:hAnsi="Arial"/>
                <w:sz w:val="18"/>
                <w:szCs w:val="18"/>
                <w:color w:val="auto"/>
              </w:rPr>
              <w:t>/s/ S. Robert Foley</w:t>
            </w:r>
          </w:p>
        </w:tc>
        <w:tc>
          <w:tcPr>
            <w:tcW w:w="3480" w:type="dxa"/>
            <w:vAlign w:val="bottom"/>
            <w:gridSpan w:val="2"/>
          </w:tcPr>
          <w:p>
            <w:pPr>
              <w:ind w:left="400"/>
              <w:spacing w:after="0"/>
              <w:rPr>
                <w:sz w:val="20"/>
                <w:szCs w:val="20"/>
                <w:color w:val="auto"/>
              </w:rPr>
            </w:pPr>
            <w:r>
              <w:rPr>
                <w:rFonts w:ascii="Arial" w:cs="Arial" w:eastAsia="Arial" w:hAnsi="Arial"/>
                <w:sz w:val="18"/>
                <w:szCs w:val="18"/>
                <w:color w:val="auto"/>
              </w:rPr>
              <w:t>Director</w:t>
            </w:r>
          </w:p>
        </w:tc>
        <w:tc>
          <w:tcPr>
            <w:tcW w:w="3700" w:type="dxa"/>
            <w:vAlign w:val="bottom"/>
            <w:gridSpan w:val="2"/>
          </w:tcPr>
          <w:p>
            <w:pPr>
              <w:jc w:val="center"/>
              <w:ind w:left="310"/>
              <w:spacing w:after="0"/>
              <w:rPr>
                <w:sz w:val="20"/>
                <w:szCs w:val="20"/>
                <w:color w:val="auto"/>
              </w:rPr>
            </w:pPr>
            <w:r>
              <w:rPr>
                <w:rFonts w:ascii="Arial" w:cs="Arial" w:eastAsia="Arial" w:hAnsi="Arial"/>
                <w:sz w:val="18"/>
                <w:szCs w:val="18"/>
                <w:color w:val="auto"/>
                <w:w w:val="89"/>
              </w:rPr>
              <w:t>7/29/11</w:t>
            </w:r>
          </w:p>
        </w:tc>
        <w:tc>
          <w:tcPr>
            <w:tcW w:w="560" w:type="dxa"/>
            <w:vAlign w:val="bottom"/>
          </w:tcPr>
          <w:p>
            <w:pPr>
              <w:spacing w:after="0"/>
              <w:rPr>
                <w:sz w:val="24"/>
                <w:szCs w:val="24"/>
                <w:color w:val="auto"/>
              </w:rPr>
            </w:pPr>
          </w:p>
        </w:tc>
      </w:tr>
      <w:tr>
        <w:trPr>
          <w:trHeight w:val="230"/>
        </w:trPr>
        <w:tc>
          <w:tcPr>
            <w:tcW w:w="580" w:type="dxa"/>
            <w:vAlign w:val="bottom"/>
          </w:tcPr>
          <w:p>
            <w:pPr>
              <w:spacing w:after="0"/>
              <w:rPr>
                <w:sz w:val="20"/>
                <w:szCs w:val="20"/>
                <w:color w:val="auto"/>
              </w:rPr>
            </w:pPr>
          </w:p>
        </w:tc>
        <w:tc>
          <w:tcPr>
            <w:tcW w:w="310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S. Robert Foley</w:t>
            </w:r>
          </w:p>
        </w:tc>
        <w:tc>
          <w:tcPr>
            <w:tcW w:w="4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425"/>
        </w:trPr>
        <w:tc>
          <w:tcPr>
            <w:tcW w:w="3680" w:type="dxa"/>
            <w:vAlign w:val="bottom"/>
            <w:gridSpan w:val="2"/>
          </w:tcPr>
          <w:p>
            <w:pPr>
              <w:ind w:left="580"/>
              <w:spacing w:after="0"/>
              <w:rPr>
                <w:sz w:val="20"/>
                <w:szCs w:val="20"/>
                <w:color w:val="auto"/>
              </w:rPr>
            </w:pPr>
            <w:r>
              <w:rPr>
                <w:rFonts w:ascii="Arial" w:cs="Arial" w:eastAsia="Arial" w:hAnsi="Arial"/>
                <w:sz w:val="18"/>
                <w:szCs w:val="18"/>
                <w:color w:val="auto"/>
              </w:rPr>
              <w:t>/s/ Richard Schwartz</w:t>
            </w:r>
          </w:p>
        </w:tc>
        <w:tc>
          <w:tcPr>
            <w:tcW w:w="3480" w:type="dxa"/>
            <w:vAlign w:val="bottom"/>
            <w:gridSpan w:val="2"/>
          </w:tcPr>
          <w:p>
            <w:pPr>
              <w:ind w:left="400"/>
              <w:spacing w:after="0"/>
              <w:rPr>
                <w:sz w:val="20"/>
                <w:szCs w:val="20"/>
                <w:color w:val="auto"/>
              </w:rPr>
            </w:pPr>
            <w:r>
              <w:rPr>
                <w:rFonts w:ascii="Arial" w:cs="Arial" w:eastAsia="Arial" w:hAnsi="Arial"/>
                <w:sz w:val="18"/>
                <w:szCs w:val="18"/>
                <w:color w:val="auto"/>
              </w:rPr>
              <w:t>Director</w:t>
            </w:r>
          </w:p>
        </w:tc>
        <w:tc>
          <w:tcPr>
            <w:tcW w:w="3700" w:type="dxa"/>
            <w:vAlign w:val="bottom"/>
            <w:gridSpan w:val="2"/>
          </w:tcPr>
          <w:p>
            <w:pPr>
              <w:jc w:val="center"/>
              <w:ind w:left="310"/>
              <w:spacing w:after="0"/>
              <w:rPr>
                <w:sz w:val="20"/>
                <w:szCs w:val="20"/>
                <w:color w:val="auto"/>
              </w:rPr>
            </w:pPr>
            <w:r>
              <w:rPr>
                <w:rFonts w:ascii="Arial" w:cs="Arial" w:eastAsia="Arial" w:hAnsi="Arial"/>
                <w:sz w:val="18"/>
                <w:szCs w:val="18"/>
                <w:color w:val="auto"/>
                <w:w w:val="89"/>
              </w:rPr>
              <w:t>7/29/11</w:t>
            </w:r>
          </w:p>
        </w:tc>
        <w:tc>
          <w:tcPr>
            <w:tcW w:w="560" w:type="dxa"/>
            <w:vAlign w:val="bottom"/>
          </w:tcPr>
          <w:p>
            <w:pPr>
              <w:spacing w:after="0"/>
              <w:rPr>
                <w:sz w:val="24"/>
                <w:szCs w:val="24"/>
                <w:color w:val="auto"/>
              </w:rPr>
            </w:pPr>
          </w:p>
        </w:tc>
      </w:tr>
      <w:tr>
        <w:trPr>
          <w:trHeight w:val="230"/>
        </w:trPr>
        <w:tc>
          <w:tcPr>
            <w:tcW w:w="580" w:type="dxa"/>
            <w:vAlign w:val="bottom"/>
          </w:tcPr>
          <w:p>
            <w:pPr>
              <w:spacing w:after="0"/>
              <w:rPr>
                <w:sz w:val="20"/>
                <w:szCs w:val="20"/>
                <w:color w:val="auto"/>
              </w:rPr>
            </w:pPr>
          </w:p>
        </w:tc>
        <w:tc>
          <w:tcPr>
            <w:tcW w:w="310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Richard Schwartz</w:t>
            </w:r>
          </w:p>
        </w:tc>
        <w:tc>
          <w:tcPr>
            <w:tcW w:w="4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425"/>
        </w:trPr>
        <w:tc>
          <w:tcPr>
            <w:tcW w:w="3680" w:type="dxa"/>
            <w:vAlign w:val="bottom"/>
            <w:gridSpan w:val="2"/>
          </w:tcPr>
          <w:p>
            <w:pPr>
              <w:ind w:left="580"/>
              <w:spacing w:after="0"/>
              <w:rPr>
                <w:sz w:val="20"/>
                <w:szCs w:val="20"/>
                <w:color w:val="auto"/>
              </w:rPr>
            </w:pPr>
            <w:r>
              <w:rPr>
                <w:rFonts w:ascii="Arial" w:cs="Arial" w:eastAsia="Arial" w:hAnsi="Arial"/>
                <w:sz w:val="18"/>
                <w:szCs w:val="18"/>
                <w:color w:val="auto"/>
              </w:rPr>
              <w:t>/s/ Martin B. Bloch</w:t>
            </w:r>
          </w:p>
        </w:tc>
        <w:tc>
          <w:tcPr>
            <w:tcW w:w="3480" w:type="dxa"/>
            <w:vAlign w:val="bottom"/>
            <w:gridSpan w:val="2"/>
          </w:tcPr>
          <w:p>
            <w:pPr>
              <w:ind w:left="400"/>
              <w:spacing w:after="0"/>
              <w:rPr>
                <w:sz w:val="20"/>
                <w:szCs w:val="20"/>
                <w:color w:val="auto"/>
              </w:rPr>
            </w:pPr>
            <w:r>
              <w:rPr>
                <w:rFonts w:ascii="Arial" w:cs="Arial" w:eastAsia="Arial" w:hAnsi="Arial"/>
                <w:sz w:val="18"/>
                <w:szCs w:val="18"/>
                <w:color w:val="auto"/>
              </w:rPr>
              <w:t>President and CEO</w:t>
            </w:r>
          </w:p>
        </w:tc>
        <w:tc>
          <w:tcPr>
            <w:tcW w:w="3700" w:type="dxa"/>
            <w:vAlign w:val="bottom"/>
            <w:gridSpan w:val="2"/>
          </w:tcPr>
          <w:p>
            <w:pPr>
              <w:jc w:val="center"/>
              <w:ind w:left="310"/>
              <w:spacing w:after="0"/>
              <w:rPr>
                <w:sz w:val="20"/>
                <w:szCs w:val="20"/>
                <w:color w:val="auto"/>
              </w:rPr>
            </w:pPr>
            <w:r>
              <w:rPr>
                <w:rFonts w:ascii="Arial" w:cs="Arial" w:eastAsia="Arial" w:hAnsi="Arial"/>
                <w:sz w:val="18"/>
                <w:szCs w:val="18"/>
                <w:color w:val="auto"/>
                <w:w w:val="89"/>
              </w:rPr>
              <w:t>7/29/11</w:t>
            </w:r>
          </w:p>
        </w:tc>
        <w:tc>
          <w:tcPr>
            <w:tcW w:w="560" w:type="dxa"/>
            <w:vAlign w:val="bottom"/>
          </w:tcPr>
          <w:p>
            <w:pPr>
              <w:spacing w:after="0"/>
              <w:rPr>
                <w:sz w:val="24"/>
                <w:szCs w:val="24"/>
                <w:color w:val="auto"/>
              </w:rPr>
            </w:pPr>
          </w:p>
        </w:tc>
      </w:tr>
      <w:tr>
        <w:trPr>
          <w:trHeight w:val="230"/>
        </w:trPr>
        <w:tc>
          <w:tcPr>
            <w:tcW w:w="580" w:type="dxa"/>
            <w:vAlign w:val="bottom"/>
          </w:tcPr>
          <w:p>
            <w:pPr>
              <w:spacing w:after="0"/>
              <w:rPr>
                <w:sz w:val="20"/>
                <w:szCs w:val="20"/>
                <w:color w:val="auto"/>
              </w:rPr>
            </w:pPr>
          </w:p>
        </w:tc>
        <w:tc>
          <w:tcPr>
            <w:tcW w:w="310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Martin B. Bloch</w:t>
            </w:r>
          </w:p>
        </w:tc>
        <w:tc>
          <w:tcPr>
            <w:tcW w:w="3480" w:type="dxa"/>
            <w:vAlign w:val="bottom"/>
            <w:gridSpan w:val="2"/>
          </w:tcPr>
          <w:p>
            <w:pPr>
              <w:ind w:left="400"/>
              <w:spacing w:after="0"/>
              <w:rPr>
                <w:sz w:val="20"/>
                <w:szCs w:val="20"/>
                <w:color w:val="auto"/>
              </w:rPr>
            </w:pPr>
            <w:r>
              <w:rPr>
                <w:rFonts w:ascii="Arial" w:cs="Arial" w:eastAsia="Arial" w:hAnsi="Arial"/>
                <w:sz w:val="18"/>
                <w:szCs w:val="18"/>
                <w:color w:val="auto"/>
              </w:rPr>
              <w:t>(Principal Executive Officer)</w:t>
            </w:r>
          </w:p>
        </w:tc>
        <w:tc>
          <w:tcPr>
            <w:tcW w:w="4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425"/>
        </w:trPr>
        <w:tc>
          <w:tcPr>
            <w:tcW w:w="3680" w:type="dxa"/>
            <w:vAlign w:val="bottom"/>
            <w:gridSpan w:val="2"/>
          </w:tcPr>
          <w:p>
            <w:pPr>
              <w:ind w:left="580"/>
              <w:spacing w:after="0"/>
              <w:rPr>
                <w:sz w:val="20"/>
                <w:szCs w:val="20"/>
                <w:color w:val="auto"/>
              </w:rPr>
            </w:pPr>
            <w:r>
              <w:rPr>
                <w:rFonts w:ascii="Arial" w:cs="Arial" w:eastAsia="Arial" w:hAnsi="Arial"/>
                <w:sz w:val="18"/>
                <w:szCs w:val="18"/>
                <w:color w:val="auto"/>
              </w:rPr>
              <w:t>/s/ Alan L. Miller</w:t>
            </w:r>
          </w:p>
        </w:tc>
        <w:tc>
          <w:tcPr>
            <w:tcW w:w="3480" w:type="dxa"/>
            <w:vAlign w:val="bottom"/>
            <w:gridSpan w:val="2"/>
          </w:tcPr>
          <w:p>
            <w:pPr>
              <w:ind w:left="400"/>
              <w:spacing w:after="0"/>
              <w:rPr>
                <w:sz w:val="20"/>
                <w:szCs w:val="20"/>
                <w:color w:val="auto"/>
              </w:rPr>
            </w:pPr>
            <w:r>
              <w:rPr>
                <w:rFonts w:ascii="Arial" w:cs="Arial" w:eastAsia="Arial" w:hAnsi="Arial"/>
                <w:sz w:val="18"/>
                <w:szCs w:val="18"/>
                <w:color w:val="auto"/>
              </w:rPr>
              <w:t>Chief Financial Officer</w:t>
            </w:r>
          </w:p>
        </w:tc>
        <w:tc>
          <w:tcPr>
            <w:tcW w:w="3700" w:type="dxa"/>
            <w:vAlign w:val="bottom"/>
            <w:gridSpan w:val="2"/>
          </w:tcPr>
          <w:p>
            <w:pPr>
              <w:jc w:val="center"/>
              <w:ind w:left="310"/>
              <w:spacing w:after="0"/>
              <w:rPr>
                <w:sz w:val="20"/>
                <w:szCs w:val="20"/>
                <w:color w:val="auto"/>
              </w:rPr>
            </w:pPr>
            <w:r>
              <w:rPr>
                <w:rFonts w:ascii="Arial" w:cs="Arial" w:eastAsia="Arial" w:hAnsi="Arial"/>
                <w:sz w:val="18"/>
                <w:szCs w:val="18"/>
                <w:color w:val="auto"/>
                <w:w w:val="89"/>
              </w:rPr>
              <w:t>7/29/11</w:t>
            </w:r>
          </w:p>
        </w:tc>
        <w:tc>
          <w:tcPr>
            <w:tcW w:w="560" w:type="dxa"/>
            <w:vAlign w:val="bottom"/>
          </w:tcPr>
          <w:p>
            <w:pPr>
              <w:spacing w:after="0"/>
              <w:rPr>
                <w:sz w:val="24"/>
                <w:szCs w:val="24"/>
                <w:color w:val="auto"/>
              </w:rPr>
            </w:pPr>
          </w:p>
        </w:tc>
      </w:tr>
      <w:tr>
        <w:trPr>
          <w:trHeight w:val="202"/>
        </w:trPr>
        <w:tc>
          <w:tcPr>
            <w:tcW w:w="580" w:type="dxa"/>
            <w:vAlign w:val="bottom"/>
          </w:tcPr>
          <w:p>
            <w:pPr>
              <w:spacing w:after="0"/>
              <w:rPr>
                <w:sz w:val="17"/>
                <w:szCs w:val="17"/>
                <w:color w:val="auto"/>
              </w:rPr>
            </w:pPr>
          </w:p>
        </w:tc>
        <w:tc>
          <w:tcPr>
            <w:tcW w:w="3100" w:type="dxa"/>
            <w:vAlign w:val="bottom"/>
            <w:tcBorders>
              <w:top w:val="single" w:sz="8" w:color="auto"/>
            </w:tcBorders>
          </w:tcPr>
          <w:p>
            <w:pPr>
              <w:ind w:left="240"/>
              <w:spacing w:after="0" w:line="201" w:lineRule="exact"/>
              <w:rPr>
                <w:sz w:val="20"/>
                <w:szCs w:val="20"/>
                <w:color w:val="auto"/>
              </w:rPr>
            </w:pPr>
            <w:r>
              <w:rPr>
                <w:rFonts w:ascii="Arial" w:cs="Arial" w:eastAsia="Arial" w:hAnsi="Arial"/>
                <w:sz w:val="18"/>
                <w:szCs w:val="18"/>
                <w:color w:val="auto"/>
              </w:rPr>
              <w:t>Alan L. Miller</w:t>
            </w:r>
          </w:p>
        </w:tc>
        <w:tc>
          <w:tcPr>
            <w:tcW w:w="3480" w:type="dxa"/>
            <w:vAlign w:val="bottom"/>
            <w:gridSpan w:val="2"/>
          </w:tcPr>
          <w:p>
            <w:pPr>
              <w:ind w:left="400"/>
              <w:spacing w:after="0" w:line="201" w:lineRule="exact"/>
              <w:rPr>
                <w:sz w:val="20"/>
                <w:szCs w:val="20"/>
                <w:color w:val="auto"/>
              </w:rPr>
            </w:pPr>
            <w:r>
              <w:rPr>
                <w:rFonts w:ascii="Arial" w:cs="Arial" w:eastAsia="Arial" w:hAnsi="Arial"/>
                <w:sz w:val="18"/>
                <w:szCs w:val="18"/>
                <w:color w:val="auto"/>
              </w:rPr>
              <w:t>and Secretary/Treasurer</w:t>
            </w:r>
          </w:p>
        </w:tc>
        <w:tc>
          <w:tcPr>
            <w:tcW w:w="42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16"/>
        </w:trPr>
        <w:tc>
          <w:tcPr>
            <w:tcW w:w="5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3480" w:type="dxa"/>
            <w:vAlign w:val="bottom"/>
            <w:gridSpan w:val="2"/>
          </w:tcPr>
          <w:p>
            <w:pPr>
              <w:ind w:left="400"/>
              <w:spacing w:after="0"/>
              <w:rPr>
                <w:sz w:val="20"/>
                <w:szCs w:val="20"/>
                <w:color w:val="auto"/>
              </w:rPr>
            </w:pPr>
            <w:r>
              <w:rPr>
                <w:rFonts w:ascii="Arial" w:cs="Arial" w:eastAsia="Arial" w:hAnsi="Arial"/>
                <w:sz w:val="18"/>
                <w:szCs w:val="18"/>
                <w:color w:val="auto"/>
              </w:rPr>
              <w:t>(Principal Financial and</w:t>
            </w:r>
          </w:p>
        </w:tc>
        <w:tc>
          <w:tcPr>
            <w:tcW w:w="4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3480" w:type="dxa"/>
            <w:vAlign w:val="bottom"/>
            <w:gridSpan w:val="2"/>
          </w:tcPr>
          <w:p>
            <w:pPr>
              <w:ind w:left="400"/>
              <w:spacing w:after="0"/>
              <w:rPr>
                <w:sz w:val="20"/>
                <w:szCs w:val="20"/>
                <w:color w:val="auto"/>
              </w:rPr>
            </w:pPr>
            <w:r>
              <w:rPr>
                <w:rFonts w:ascii="Arial" w:cs="Arial" w:eastAsia="Arial" w:hAnsi="Arial"/>
                <w:sz w:val="18"/>
                <w:szCs w:val="18"/>
                <w:color w:val="auto"/>
              </w:rPr>
              <w:t>Accounting Officer)</w:t>
            </w:r>
          </w:p>
        </w:tc>
        <w:tc>
          <w:tcPr>
            <w:tcW w:w="4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608"/>
        </w:trPr>
        <w:tc>
          <w:tcPr>
            <w:tcW w:w="5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480" w:type="dxa"/>
            <w:vAlign w:val="bottom"/>
            <w:gridSpan w:val="2"/>
          </w:tcPr>
          <w:p>
            <w:pPr>
              <w:ind w:left="1940"/>
              <w:spacing w:after="0"/>
              <w:rPr>
                <w:sz w:val="20"/>
                <w:szCs w:val="20"/>
                <w:color w:val="auto"/>
              </w:rPr>
            </w:pPr>
            <w:r>
              <w:rPr>
                <w:rFonts w:ascii="Arial" w:cs="Arial" w:eastAsia="Arial" w:hAnsi="Arial"/>
                <w:sz w:val="18"/>
                <w:szCs w:val="18"/>
                <w:color w:val="auto"/>
              </w:rPr>
              <w:t>47</w:t>
            </w:r>
          </w:p>
        </w:tc>
        <w:tc>
          <w:tcPr>
            <w:tcW w:w="4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8"/>
        </w:trPr>
        <w:tc>
          <w:tcPr>
            <w:tcW w:w="580" w:type="dxa"/>
            <w:vAlign w:val="bottom"/>
            <w:tcBorders>
              <w:bottom w:val="single" w:sz="8" w:color="808080"/>
            </w:tcBorders>
          </w:tcPr>
          <w:p>
            <w:pPr>
              <w:spacing w:after="0"/>
              <w:rPr>
                <w:sz w:val="10"/>
                <w:szCs w:val="10"/>
                <w:color w:val="auto"/>
              </w:rPr>
            </w:pPr>
          </w:p>
        </w:tc>
        <w:tc>
          <w:tcPr>
            <w:tcW w:w="31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308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328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color w:val="auto"/>
        </w:rPr>
        <w:t>INDEX TO EXHIBITS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ITEM 15(a)(3)</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Certain of the following exhibits were filed with the Securities and Exchange Commission as exhibits, numbered as indicated below, to the Registration Statement or report specified below, which exhibits are incorporated herein by reference: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Exhibit No. in</w:t>
            </w:r>
          </w:p>
        </w:tc>
        <w:tc>
          <w:tcPr>
            <w:tcW w:w="36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7"/>
        </w:trPr>
        <w:tc>
          <w:tcPr>
            <w:tcW w:w="1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this Form 10-K</w:t>
            </w:r>
          </w:p>
        </w:tc>
        <w:tc>
          <w:tcPr>
            <w:tcW w:w="360" w:type="dxa"/>
            <w:vAlign w:val="bottom"/>
          </w:tcPr>
          <w:p>
            <w:pPr>
              <w:spacing w:after="0"/>
              <w:rPr>
                <w:sz w:val="20"/>
                <w:szCs w:val="20"/>
                <w:color w:val="auto"/>
              </w:rPr>
            </w:pPr>
          </w:p>
        </w:tc>
        <w:tc>
          <w:tcPr>
            <w:tcW w:w="7980" w:type="dxa"/>
            <w:vAlign w:val="bottom"/>
            <w:tcBorders>
              <w:bottom w:val="single" w:sz="8" w:color="auto"/>
            </w:tcBorders>
          </w:tcPr>
          <w:p>
            <w:pPr>
              <w:ind w:left="3180"/>
              <w:spacing w:after="0"/>
              <w:rPr>
                <w:sz w:val="20"/>
                <w:szCs w:val="20"/>
                <w:color w:val="auto"/>
              </w:rPr>
            </w:pPr>
            <w:r>
              <w:rPr>
                <w:rFonts w:ascii="Arial" w:cs="Arial" w:eastAsia="Arial" w:hAnsi="Arial"/>
                <w:sz w:val="18"/>
                <w:szCs w:val="18"/>
                <w:color w:val="auto"/>
              </w:rPr>
              <w:t>Description of Exhibit</w:t>
            </w:r>
          </w:p>
        </w:tc>
        <w:tc>
          <w:tcPr>
            <w:tcW w:w="220" w:type="dxa"/>
            <w:vAlign w:val="bottom"/>
          </w:tcPr>
          <w:p>
            <w:pPr>
              <w:spacing w:after="0"/>
              <w:rPr>
                <w:sz w:val="20"/>
                <w:szCs w:val="20"/>
                <w:color w:val="auto"/>
              </w:rPr>
            </w:pPr>
          </w:p>
        </w:tc>
        <w:tc>
          <w:tcPr>
            <w:tcW w:w="114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NOTE</w:t>
            </w:r>
          </w:p>
        </w:tc>
      </w:tr>
      <w:tr>
        <w:trPr>
          <w:trHeight w:val="432"/>
        </w:trPr>
        <w:tc>
          <w:tcPr>
            <w:tcW w:w="172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360" w:type="dxa"/>
            <w:vAlign w:val="bottom"/>
          </w:tcPr>
          <w:p>
            <w:pPr>
              <w:spacing w:after="0"/>
              <w:rPr>
                <w:sz w:val="24"/>
                <w:szCs w:val="24"/>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Copy of Certificate of Incorporation of the Registrant filed with the Secretary of State of Delaware</w:t>
            </w:r>
          </w:p>
        </w:tc>
        <w:tc>
          <w:tcPr>
            <w:tcW w:w="136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(1)</w:t>
            </w:r>
          </w:p>
        </w:tc>
      </w:tr>
      <w:tr>
        <w:trPr>
          <w:trHeight w:val="418"/>
        </w:trPr>
        <w:tc>
          <w:tcPr>
            <w:tcW w:w="172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360" w:type="dxa"/>
            <w:vAlign w:val="bottom"/>
          </w:tcPr>
          <w:p>
            <w:pPr>
              <w:spacing w:after="0"/>
              <w:rPr>
                <w:sz w:val="24"/>
                <w:szCs w:val="24"/>
                <w:color w:val="auto"/>
              </w:rPr>
            </w:pPr>
          </w:p>
        </w:tc>
        <w:tc>
          <w:tcPr>
            <w:tcW w:w="7980" w:type="dxa"/>
            <w:vAlign w:val="bottom"/>
          </w:tcPr>
          <w:p>
            <w:pPr>
              <w:spacing w:after="0"/>
              <w:rPr>
                <w:sz w:val="20"/>
                <w:szCs w:val="20"/>
                <w:color w:val="auto"/>
              </w:rPr>
            </w:pPr>
            <w:r>
              <w:rPr>
                <w:rFonts w:ascii="Arial" w:cs="Arial" w:eastAsia="Arial" w:hAnsi="Arial"/>
                <w:sz w:val="18"/>
                <w:szCs w:val="18"/>
                <w:color w:val="auto"/>
                <w:w w:val="93"/>
              </w:rPr>
              <w:t>Amendment to Certificate of Incorporation of the Registrant filed with the Secretary of State of Delaware on</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0"/>
        </w:trPr>
        <w:tc>
          <w:tcPr>
            <w:tcW w:w="1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March 27, 1981</w:t>
            </w:r>
          </w:p>
        </w:tc>
        <w:tc>
          <w:tcPr>
            <w:tcW w:w="136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(2)</w:t>
            </w:r>
          </w:p>
        </w:tc>
      </w:tr>
      <w:tr>
        <w:trPr>
          <w:trHeight w:val="418"/>
        </w:trPr>
        <w:tc>
          <w:tcPr>
            <w:tcW w:w="1720" w:type="dxa"/>
            <w:vAlign w:val="bottom"/>
          </w:tcPr>
          <w:p>
            <w:pPr>
              <w:jc w:val="center"/>
              <w:spacing w:after="0"/>
              <w:rPr>
                <w:sz w:val="20"/>
                <w:szCs w:val="20"/>
                <w:color w:val="auto"/>
              </w:rPr>
            </w:pPr>
            <w:r>
              <w:rPr>
                <w:rFonts w:ascii="Arial" w:cs="Arial" w:eastAsia="Arial" w:hAnsi="Arial"/>
                <w:sz w:val="18"/>
                <w:szCs w:val="18"/>
                <w:color w:val="auto"/>
                <w:w w:val="87"/>
              </w:rPr>
              <w:t>3.3</w:t>
            </w:r>
          </w:p>
        </w:tc>
        <w:tc>
          <w:tcPr>
            <w:tcW w:w="360" w:type="dxa"/>
            <w:vAlign w:val="bottom"/>
          </w:tcPr>
          <w:p>
            <w:pPr>
              <w:spacing w:after="0"/>
              <w:rPr>
                <w:sz w:val="24"/>
                <w:szCs w:val="24"/>
                <w:color w:val="auto"/>
              </w:rPr>
            </w:pPr>
          </w:p>
        </w:tc>
        <w:tc>
          <w:tcPr>
            <w:tcW w:w="7980" w:type="dxa"/>
            <w:vAlign w:val="bottom"/>
          </w:tcPr>
          <w:p>
            <w:pPr>
              <w:spacing w:after="0"/>
              <w:rPr>
                <w:sz w:val="20"/>
                <w:szCs w:val="20"/>
                <w:color w:val="auto"/>
              </w:rPr>
            </w:pPr>
            <w:r>
              <w:rPr>
                <w:rFonts w:ascii="Arial" w:cs="Arial" w:eastAsia="Arial" w:hAnsi="Arial"/>
                <w:sz w:val="18"/>
                <w:szCs w:val="18"/>
                <w:color w:val="auto"/>
                <w:w w:val="97"/>
              </w:rPr>
              <w:t>Amendment to Certificate of Incorporation of the Registrant filed with Secretary of State of Delaware on</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0"/>
        </w:trPr>
        <w:tc>
          <w:tcPr>
            <w:tcW w:w="1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October 26, 1984</w:t>
            </w:r>
          </w:p>
        </w:tc>
        <w:tc>
          <w:tcPr>
            <w:tcW w:w="136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(5)</w:t>
            </w:r>
          </w:p>
        </w:tc>
      </w:tr>
      <w:tr>
        <w:trPr>
          <w:trHeight w:val="418"/>
        </w:trPr>
        <w:tc>
          <w:tcPr>
            <w:tcW w:w="1720" w:type="dxa"/>
            <w:vAlign w:val="bottom"/>
          </w:tcPr>
          <w:p>
            <w:pPr>
              <w:jc w:val="center"/>
              <w:spacing w:after="0"/>
              <w:rPr>
                <w:sz w:val="20"/>
                <w:szCs w:val="20"/>
                <w:color w:val="auto"/>
              </w:rPr>
            </w:pPr>
            <w:r>
              <w:rPr>
                <w:rFonts w:ascii="Arial" w:cs="Arial" w:eastAsia="Arial" w:hAnsi="Arial"/>
                <w:sz w:val="18"/>
                <w:szCs w:val="18"/>
                <w:color w:val="auto"/>
                <w:w w:val="87"/>
              </w:rPr>
              <w:t>3.4</w:t>
            </w:r>
          </w:p>
        </w:tc>
        <w:tc>
          <w:tcPr>
            <w:tcW w:w="360" w:type="dxa"/>
            <w:vAlign w:val="bottom"/>
          </w:tcPr>
          <w:p>
            <w:pPr>
              <w:spacing w:after="0"/>
              <w:rPr>
                <w:sz w:val="24"/>
                <w:szCs w:val="24"/>
                <w:color w:val="auto"/>
              </w:rPr>
            </w:pPr>
          </w:p>
        </w:tc>
        <w:tc>
          <w:tcPr>
            <w:tcW w:w="7980" w:type="dxa"/>
            <w:vAlign w:val="bottom"/>
          </w:tcPr>
          <w:p>
            <w:pPr>
              <w:spacing w:after="0"/>
              <w:rPr>
                <w:sz w:val="20"/>
                <w:szCs w:val="20"/>
                <w:color w:val="auto"/>
              </w:rPr>
            </w:pPr>
            <w:r>
              <w:rPr>
                <w:rFonts w:ascii="Arial" w:cs="Arial" w:eastAsia="Arial" w:hAnsi="Arial"/>
                <w:sz w:val="18"/>
                <w:szCs w:val="18"/>
                <w:color w:val="auto"/>
                <w:w w:val="93"/>
              </w:rPr>
              <w:t>Amendment to Certificate of Incorporation of the Registrant filed with the Secretary of State of Delaware on</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0"/>
        </w:trPr>
        <w:tc>
          <w:tcPr>
            <w:tcW w:w="1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October 22, 1986</w:t>
            </w:r>
          </w:p>
        </w:tc>
        <w:tc>
          <w:tcPr>
            <w:tcW w:w="136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(7)</w:t>
            </w:r>
          </w:p>
        </w:tc>
      </w:tr>
      <w:tr>
        <w:trPr>
          <w:trHeight w:val="418"/>
        </w:trPr>
        <w:tc>
          <w:tcPr>
            <w:tcW w:w="1720" w:type="dxa"/>
            <w:vAlign w:val="bottom"/>
          </w:tcPr>
          <w:p>
            <w:pPr>
              <w:jc w:val="center"/>
              <w:spacing w:after="0"/>
              <w:rPr>
                <w:sz w:val="20"/>
                <w:szCs w:val="20"/>
                <w:color w:val="auto"/>
              </w:rPr>
            </w:pPr>
            <w:r>
              <w:rPr>
                <w:rFonts w:ascii="Arial" w:cs="Arial" w:eastAsia="Arial" w:hAnsi="Arial"/>
                <w:sz w:val="18"/>
                <w:szCs w:val="18"/>
                <w:color w:val="auto"/>
                <w:w w:val="87"/>
              </w:rPr>
              <w:t>3.5</w:t>
            </w:r>
          </w:p>
        </w:tc>
        <w:tc>
          <w:tcPr>
            <w:tcW w:w="360" w:type="dxa"/>
            <w:vAlign w:val="bottom"/>
          </w:tcPr>
          <w:p>
            <w:pPr>
              <w:spacing w:after="0"/>
              <w:rPr>
                <w:sz w:val="24"/>
                <w:szCs w:val="24"/>
                <w:color w:val="auto"/>
              </w:rPr>
            </w:pPr>
          </w:p>
        </w:tc>
        <w:tc>
          <w:tcPr>
            <w:tcW w:w="7980" w:type="dxa"/>
            <w:vAlign w:val="bottom"/>
          </w:tcPr>
          <w:p>
            <w:pPr>
              <w:spacing w:after="0"/>
              <w:rPr>
                <w:sz w:val="20"/>
                <w:szCs w:val="20"/>
                <w:color w:val="auto"/>
              </w:rPr>
            </w:pPr>
            <w:r>
              <w:rPr>
                <w:rFonts w:ascii="Arial" w:cs="Arial" w:eastAsia="Arial" w:hAnsi="Arial"/>
                <w:sz w:val="18"/>
                <w:szCs w:val="18"/>
                <w:color w:val="auto"/>
                <w:w w:val="97"/>
              </w:rPr>
              <w:t>Amended and Restated Certificate of Incorporation of the Registrant filed with the Secretary of State of</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0"/>
        </w:trPr>
        <w:tc>
          <w:tcPr>
            <w:tcW w:w="1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Delaware on October 26, 1987</w:t>
            </w:r>
          </w:p>
        </w:tc>
        <w:tc>
          <w:tcPr>
            <w:tcW w:w="136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(9)</w:t>
            </w:r>
          </w:p>
        </w:tc>
      </w:tr>
      <w:tr>
        <w:trPr>
          <w:trHeight w:val="418"/>
        </w:trPr>
        <w:tc>
          <w:tcPr>
            <w:tcW w:w="1720" w:type="dxa"/>
            <w:vAlign w:val="bottom"/>
          </w:tcPr>
          <w:p>
            <w:pPr>
              <w:jc w:val="center"/>
              <w:spacing w:after="0"/>
              <w:rPr>
                <w:sz w:val="20"/>
                <w:szCs w:val="20"/>
                <w:color w:val="auto"/>
              </w:rPr>
            </w:pPr>
            <w:r>
              <w:rPr>
                <w:rFonts w:ascii="Arial" w:cs="Arial" w:eastAsia="Arial" w:hAnsi="Arial"/>
                <w:sz w:val="18"/>
                <w:szCs w:val="18"/>
                <w:color w:val="auto"/>
                <w:w w:val="87"/>
              </w:rPr>
              <w:t>3.6</w:t>
            </w:r>
          </w:p>
        </w:tc>
        <w:tc>
          <w:tcPr>
            <w:tcW w:w="360" w:type="dxa"/>
            <w:vAlign w:val="bottom"/>
          </w:tcPr>
          <w:p>
            <w:pPr>
              <w:spacing w:after="0"/>
              <w:rPr>
                <w:sz w:val="24"/>
                <w:szCs w:val="24"/>
                <w:color w:val="auto"/>
              </w:rPr>
            </w:pPr>
          </w:p>
        </w:tc>
        <w:tc>
          <w:tcPr>
            <w:tcW w:w="7980" w:type="dxa"/>
            <w:vAlign w:val="bottom"/>
          </w:tcPr>
          <w:p>
            <w:pPr>
              <w:spacing w:after="0"/>
              <w:rPr>
                <w:sz w:val="20"/>
                <w:szCs w:val="20"/>
                <w:color w:val="auto"/>
              </w:rPr>
            </w:pPr>
            <w:r>
              <w:rPr>
                <w:rFonts w:ascii="Arial" w:cs="Arial" w:eastAsia="Arial" w:hAnsi="Arial"/>
                <w:sz w:val="18"/>
                <w:szCs w:val="18"/>
                <w:color w:val="auto"/>
                <w:w w:val="98"/>
              </w:rPr>
              <w:t>Amended Certificate of Incorporation of the Company filed with the Secretary of State of Delaware on</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0"/>
        </w:trPr>
        <w:tc>
          <w:tcPr>
            <w:tcW w:w="1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November 2, 1989</w:t>
            </w:r>
          </w:p>
        </w:tc>
        <w:tc>
          <w:tcPr>
            <w:tcW w:w="136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(9)</w:t>
            </w:r>
          </w:p>
        </w:tc>
      </w:tr>
      <w:tr>
        <w:trPr>
          <w:trHeight w:val="432"/>
        </w:trPr>
        <w:tc>
          <w:tcPr>
            <w:tcW w:w="1720" w:type="dxa"/>
            <w:vAlign w:val="bottom"/>
          </w:tcPr>
          <w:p>
            <w:pPr>
              <w:jc w:val="center"/>
              <w:spacing w:after="0"/>
              <w:rPr>
                <w:sz w:val="20"/>
                <w:szCs w:val="20"/>
                <w:color w:val="auto"/>
              </w:rPr>
            </w:pPr>
            <w:r>
              <w:rPr>
                <w:rFonts w:ascii="Arial" w:cs="Arial" w:eastAsia="Arial" w:hAnsi="Arial"/>
                <w:sz w:val="18"/>
                <w:szCs w:val="18"/>
                <w:color w:val="auto"/>
                <w:w w:val="87"/>
              </w:rPr>
              <w:t>3.7</w:t>
            </w:r>
          </w:p>
        </w:tc>
        <w:tc>
          <w:tcPr>
            <w:tcW w:w="360" w:type="dxa"/>
            <w:vAlign w:val="bottom"/>
          </w:tcPr>
          <w:p>
            <w:pPr>
              <w:spacing w:after="0"/>
              <w:rPr>
                <w:sz w:val="24"/>
                <w:szCs w:val="24"/>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Copy of By-Laws of the Registrant, as amended to date</w:t>
            </w:r>
          </w:p>
        </w:tc>
        <w:tc>
          <w:tcPr>
            <w:tcW w:w="136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(3)</w:t>
            </w:r>
          </w:p>
        </w:tc>
      </w:tr>
      <w:tr>
        <w:trPr>
          <w:trHeight w:val="432"/>
        </w:trPr>
        <w:tc>
          <w:tcPr>
            <w:tcW w:w="172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360" w:type="dxa"/>
            <w:vAlign w:val="bottom"/>
          </w:tcPr>
          <w:p>
            <w:pPr>
              <w:spacing w:after="0"/>
              <w:rPr>
                <w:sz w:val="24"/>
                <w:szCs w:val="24"/>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Specimen of Common Stock certificate</w:t>
            </w:r>
          </w:p>
        </w:tc>
        <w:tc>
          <w:tcPr>
            <w:tcW w:w="136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(1)</w:t>
            </w:r>
          </w:p>
        </w:tc>
      </w:tr>
      <w:tr>
        <w:trPr>
          <w:trHeight w:val="432"/>
        </w:trPr>
        <w:tc>
          <w:tcPr>
            <w:tcW w:w="17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360" w:type="dxa"/>
            <w:vAlign w:val="bottom"/>
          </w:tcPr>
          <w:p>
            <w:pPr>
              <w:spacing w:after="0"/>
              <w:rPr>
                <w:sz w:val="24"/>
                <w:szCs w:val="24"/>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Registrant’s 1997 Independent Contractor Stock Option Plan</w:t>
            </w:r>
          </w:p>
        </w:tc>
        <w:tc>
          <w:tcPr>
            <w:tcW w:w="1360" w:type="dxa"/>
            <w:vAlign w:val="bottom"/>
            <w:gridSpan w:val="2"/>
          </w:tcPr>
          <w:p>
            <w:pPr>
              <w:jc w:val="center"/>
              <w:ind w:left="130"/>
              <w:spacing w:after="0"/>
              <w:rPr>
                <w:sz w:val="20"/>
                <w:szCs w:val="20"/>
                <w:color w:val="auto"/>
              </w:rPr>
            </w:pPr>
            <w:r>
              <w:rPr>
                <w:rFonts w:ascii="Arial" w:cs="Arial" w:eastAsia="Arial" w:hAnsi="Arial"/>
                <w:sz w:val="18"/>
                <w:szCs w:val="18"/>
                <w:color w:val="auto"/>
                <w:w w:val="93"/>
              </w:rPr>
              <w:t>(10)</w:t>
            </w:r>
          </w:p>
        </w:tc>
      </w:tr>
      <w:tr>
        <w:trPr>
          <w:trHeight w:val="432"/>
        </w:trPr>
        <w:tc>
          <w:tcPr>
            <w:tcW w:w="172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360" w:type="dxa"/>
            <w:vAlign w:val="bottom"/>
          </w:tcPr>
          <w:p>
            <w:pPr>
              <w:spacing w:after="0"/>
              <w:rPr>
                <w:sz w:val="24"/>
                <w:szCs w:val="24"/>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Employment agreement between Registrant and Harry Newman</w:t>
            </w:r>
          </w:p>
        </w:tc>
        <w:tc>
          <w:tcPr>
            <w:tcW w:w="136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(4)</w:t>
            </w:r>
          </w:p>
        </w:tc>
      </w:tr>
      <w:tr>
        <w:trPr>
          <w:trHeight w:val="432"/>
        </w:trPr>
        <w:tc>
          <w:tcPr>
            <w:tcW w:w="172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360" w:type="dxa"/>
            <w:vAlign w:val="bottom"/>
          </w:tcPr>
          <w:p>
            <w:pPr>
              <w:spacing w:after="0"/>
              <w:rPr>
                <w:sz w:val="24"/>
                <w:szCs w:val="24"/>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Employment agreement between Registrant and Marcus Hechler</w:t>
            </w:r>
          </w:p>
        </w:tc>
        <w:tc>
          <w:tcPr>
            <w:tcW w:w="136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(4)</w:t>
            </w:r>
          </w:p>
        </w:tc>
      </w:tr>
      <w:tr>
        <w:trPr>
          <w:trHeight w:val="432"/>
        </w:trPr>
        <w:tc>
          <w:tcPr>
            <w:tcW w:w="172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360" w:type="dxa"/>
            <w:vAlign w:val="bottom"/>
          </w:tcPr>
          <w:p>
            <w:pPr>
              <w:spacing w:after="0"/>
              <w:rPr>
                <w:sz w:val="24"/>
                <w:szCs w:val="24"/>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Employment agreement between Registrant and Charles Stone</w:t>
            </w:r>
          </w:p>
        </w:tc>
        <w:tc>
          <w:tcPr>
            <w:tcW w:w="136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(8)</w:t>
            </w:r>
          </w:p>
        </w:tc>
      </w:tr>
      <w:tr>
        <w:trPr>
          <w:trHeight w:val="418"/>
        </w:trPr>
        <w:tc>
          <w:tcPr>
            <w:tcW w:w="1720" w:type="dxa"/>
            <w:vAlign w:val="bottom"/>
          </w:tcPr>
          <w:p>
            <w:pPr>
              <w:jc w:val="center"/>
              <w:spacing w:after="0"/>
              <w:rPr>
                <w:sz w:val="20"/>
                <w:szCs w:val="20"/>
                <w:color w:val="auto"/>
              </w:rPr>
            </w:pPr>
            <w:r>
              <w:rPr>
                <w:rFonts w:ascii="Arial" w:cs="Arial" w:eastAsia="Arial" w:hAnsi="Arial"/>
                <w:sz w:val="18"/>
                <w:szCs w:val="18"/>
                <w:color w:val="auto"/>
                <w:w w:val="88"/>
              </w:rPr>
              <w:t>10.13</w:t>
            </w:r>
          </w:p>
        </w:tc>
        <w:tc>
          <w:tcPr>
            <w:tcW w:w="360" w:type="dxa"/>
            <w:vAlign w:val="bottom"/>
          </w:tcPr>
          <w:p>
            <w:pPr>
              <w:spacing w:after="0"/>
              <w:rPr>
                <w:sz w:val="24"/>
                <w:szCs w:val="24"/>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Lease agreement between Registrant and Reckson Operating</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0"/>
        </w:trPr>
        <w:tc>
          <w:tcPr>
            <w:tcW w:w="1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Partnership, L.P. dated January 6, 1998</w:t>
            </w:r>
          </w:p>
        </w:tc>
        <w:tc>
          <w:tcPr>
            <w:tcW w:w="1360" w:type="dxa"/>
            <w:vAlign w:val="bottom"/>
            <w:gridSpan w:val="2"/>
          </w:tcPr>
          <w:p>
            <w:pPr>
              <w:jc w:val="center"/>
              <w:ind w:left="130"/>
              <w:spacing w:after="0"/>
              <w:rPr>
                <w:sz w:val="20"/>
                <w:szCs w:val="20"/>
                <w:color w:val="auto"/>
              </w:rPr>
            </w:pPr>
            <w:r>
              <w:rPr>
                <w:rFonts w:ascii="Arial" w:cs="Arial" w:eastAsia="Arial" w:hAnsi="Arial"/>
                <w:sz w:val="18"/>
                <w:szCs w:val="18"/>
                <w:color w:val="auto"/>
                <w:w w:val="93"/>
              </w:rPr>
              <w:t>(11)</w:t>
            </w:r>
          </w:p>
        </w:tc>
      </w:tr>
      <w:tr>
        <w:trPr>
          <w:trHeight w:val="418"/>
        </w:trPr>
        <w:tc>
          <w:tcPr>
            <w:tcW w:w="1720" w:type="dxa"/>
            <w:vAlign w:val="bottom"/>
          </w:tcPr>
          <w:p>
            <w:pPr>
              <w:jc w:val="center"/>
              <w:spacing w:after="0"/>
              <w:rPr>
                <w:sz w:val="20"/>
                <w:szCs w:val="20"/>
                <w:color w:val="auto"/>
              </w:rPr>
            </w:pPr>
            <w:r>
              <w:rPr>
                <w:rFonts w:ascii="Arial" w:cs="Arial" w:eastAsia="Arial" w:hAnsi="Arial"/>
                <w:sz w:val="18"/>
                <w:szCs w:val="18"/>
                <w:color w:val="auto"/>
                <w:w w:val="88"/>
              </w:rPr>
              <w:t>10.16</w:t>
            </w:r>
          </w:p>
        </w:tc>
        <w:tc>
          <w:tcPr>
            <w:tcW w:w="360" w:type="dxa"/>
            <w:vAlign w:val="bottom"/>
          </w:tcPr>
          <w:p>
            <w:pPr>
              <w:spacing w:after="0"/>
              <w:rPr>
                <w:sz w:val="24"/>
                <w:szCs w:val="24"/>
                <w:color w:val="auto"/>
              </w:rPr>
            </w:pPr>
          </w:p>
        </w:tc>
        <w:tc>
          <w:tcPr>
            <w:tcW w:w="7980" w:type="dxa"/>
            <w:vAlign w:val="bottom"/>
          </w:tcPr>
          <w:p>
            <w:pPr>
              <w:spacing w:after="0"/>
              <w:rPr>
                <w:sz w:val="20"/>
                <w:szCs w:val="20"/>
                <w:color w:val="auto"/>
              </w:rPr>
            </w:pPr>
            <w:r>
              <w:rPr>
                <w:rFonts w:ascii="Arial" w:cs="Arial" w:eastAsia="Arial" w:hAnsi="Arial"/>
                <w:sz w:val="18"/>
                <w:szCs w:val="18"/>
                <w:color w:val="auto"/>
                <w:w w:val="92"/>
              </w:rPr>
              <w:t>Registrant’s Cash or Deferral Profit Sharing Plan and Trust under Internal Revenue Code Section 401, dated</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0"/>
        </w:trPr>
        <w:tc>
          <w:tcPr>
            <w:tcW w:w="1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April 1, 1985</w:t>
            </w:r>
          </w:p>
        </w:tc>
        <w:tc>
          <w:tcPr>
            <w:tcW w:w="136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(6)</w:t>
            </w:r>
          </w:p>
        </w:tc>
      </w:tr>
      <w:tr>
        <w:trPr>
          <w:trHeight w:val="432"/>
        </w:trPr>
        <w:tc>
          <w:tcPr>
            <w:tcW w:w="1720" w:type="dxa"/>
            <w:vAlign w:val="bottom"/>
          </w:tcPr>
          <w:p>
            <w:pPr>
              <w:jc w:val="center"/>
              <w:spacing w:after="0"/>
              <w:rPr>
                <w:sz w:val="20"/>
                <w:szCs w:val="20"/>
                <w:color w:val="auto"/>
              </w:rPr>
            </w:pPr>
            <w:r>
              <w:rPr>
                <w:rFonts w:ascii="Arial" w:cs="Arial" w:eastAsia="Arial" w:hAnsi="Arial"/>
                <w:sz w:val="18"/>
                <w:szCs w:val="18"/>
                <w:color w:val="auto"/>
                <w:w w:val="88"/>
              </w:rPr>
              <w:t>10.21</w:t>
            </w:r>
          </w:p>
        </w:tc>
        <w:tc>
          <w:tcPr>
            <w:tcW w:w="360" w:type="dxa"/>
            <w:vAlign w:val="bottom"/>
          </w:tcPr>
          <w:p>
            <w:pPr>
              <w:spacing w:after="0"/>
              <w:rPr>
                <w:sz w:val="24"/>
                <w:szCs w:val="24"/>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Form of Agreement concerning Executive Compensation</w:t>
            </w:r>
          </w:p>
        </w:tc>
        <w:tc>
          <w:tcPr>
            <w:tcW w:w="136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(2)</w:t>
            </w:r>
          </w:p>
        </w:tc>
      </w:tr>
      <w:tr>
        <w:trPr>
          <w:trHeight w:val="432"/>
        </w:trPr>
        <w:tc>
          <w:tcPr>
            <w:tcW w:w="1720" w:type="dxa"/>
            <w:vAlign w:val="bottom"/>
          </w:tcPr>
          <w:p>
            <w:pPr>
              <w:jc w:val="center"/>
              <w:spacing w:after="0"/>
              <w:rPr>
                <w:sz w:val="20"/>
                <w:szCs w:val="20"/>
                <w:color w:val="auto"/>
              </w:rPr>
            </w:pPr>
            <w:r>
              <w:rPr>
                <w:rFonts w:ascii="Arial" w:cs="Arial" w:eastAsia="Arial" w:hAnsi="Arial"/>
                <w:sz w:val="18"/>
                <w:szCs w:val="18"/>
                <w:color w:val="auto"/>
                <w:w w:val="88"/>
              </w:rPr>
              <w:t>10.23</w:t>
            </w:r>
          </w:p>
        </w:tc>
        <w:tc>
          <w:tcPr>
            <w:tcW w:w="360" w:type="dxa"/>
            <w:vAlign w:val="bottom"/>
          </w:tcPr>
          <w:p>
            <w:pPr>
              <w:spacing w:after="0"/>
              <w:rPr>
                <w:sz w:val="24"/>
                <w:szCs w:val="24"/>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Registrant’s Senior Executive Stock Option Plan</w:t>
            </w:r>
          </w:p>
        </w:tc>
        <w:tc>
          <w:tcPr>
            <w:tcW w:w="136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(8)</w:t>
            </w:r>
          </w:p>
        </w:tc>
      </w:tr>
      <w:tr>
        <w:trPr>
          <w:trHeight w:val="418"/>
        </w:trPr>
        <w:tc>
          <w:tcPr>
            <w:tcW w:w="1720" w:type="dxa"/>
            <w:vAlign w:val="bottom"/>
          </w:tcPr>
          <w:p>
            <w:pPr>
              <w:jc w:val="center"/>
              <w:spacing w:after="0"/>
              <w:rPr>
                <w:sz w:val="20"/>
                <w:szCs w:val="20"/>
                <w:color w:val="auto"/>
              </w:rPr>
            </w:pPr>
            <w:r>
              <w:rPr>
                <w:rFonts w:ascii="Arial" w:cs="Arial" w:eastAsia="Arial" w:hAnsi="Arial"/>
                <w:sz w:val="18"/>
                <w:szCs w:val="18"/>
                <w:color w:val="auto"/>
                <w:w w:val="88"/>
              </w:rPr>
              <w:t>10.24</w:t>
            </w:r>
          </w:p>
        </w:tc>
        <w:tc>
          <w:tcPr>
            <w:tcW w:w="360" w:type="dxa"/>
            <w:vAlign w:val="bottom"/>
          </w:tcPr>
          <w:p>
            <w:pPr>
              <w:spacing w:after="0"/>
              <w:rPr>
                <w:sz w:val="24"/>
                <w:szCs w:val="24"/>
                <w:color w:val="auto"/>
              </w:rPr>
            </w:pPr>
          </w:p>
        </w:tc>
        <w:tc>
          <w:tcPr>
            <w:tcW w:w="7980" w:type="dxa"/>
            <w:vAlign w:val="bottom"/>
          </w:tcPr>
          <w:p>
            <w:pPr>
              <w:spacing w:after="0"/>
              <w:rPr>
                <w:sz w:val="20"/>
                <w:szCs w:val="20"/>
                <w:color w:val="auto"/>
              </w:rPr>
            </w:pPr>
            <w:r>
              <w:rPr>
                <w:rFonts w:ascii="Arial" w:cs="Arial" w:eastAsia="Arial" w:hAnsi="Arial"/>
                <w:sz w:val="18"/>
                <w:szCs w:val="18"/>
                <w:color w:val="auto"/>
                <w:w w:val="91"/>
              </w:rPr>
              <w:t>Amendment dated Jan. 1, 1988 to Registrant’s Cash or Deferred Profit Sharing Plan and Trust under Section</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0"/>
        </w:trPr>
        <w:tc>
          <w:tcPr>
            <w:tcW w:w="1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401 of Internal Revenue Code</w:t>
            </w:r>
          </w:p>
        </w:tc>
        <w:tc>
          <w:tcPr>
            <w:tcW w:w="136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(8)</w:t>
            </w:r>
          </w:p>
        </w:tc>
      </w:tr>
      <w:tr>
        <w:trPr>
          <w:trHeight w:val="608"/>
        </w:trPr>
        <w:tc>
          <w:tcPr>
            <w:tcW w:w="1720" w:type="dxa"/>
            <w:vAlign w:val="bottom"/>
          </w:tcPr>
          <w:p>
            <w:pPr>
              <w:spacing w:after="0"/>
              <w:rPr>
                <w:sz w:val="24"/>
                <w:szCs w:val="24"/>
                <w:color w:val="auto"/>
              </w:rPr>
            </w:pPr>
          </w:p>
        </w:tc>
        <w:tc>
          <w:tcPr>
            <w:tcW w:w="8340" w:type="dxa"/>
            <w:vAlign w:val="bottom"/>
            <w:gridSpan w:val="2"/>
          </w:tcPr>
          <w:p>
            <w:pPr>
              <w:jc w:val="right"/>
              <w:ind w:right="4170"/>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8"/>
        </w:trPr>
        <w:tc>
          <w:tcPr>
            <w:tcW w:w="17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79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Exhibit No. in</w:t>
            </w:r>
          </w:p>
        </w:tc>
        <w:tc>
          <w:tcPr>
            <w:tcW w:w="36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7"/>
        </w:trPr>
        <w:tc>
          <w:tcPr>
            <w:tcW w:w="1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this Form 10-K</w:t>
            </w:r>
          </w:p>
        </w:tc>
        <w:tc>
          <w:tcPr>
            <w:tcW w:w="360" w:type="dxa"/>
            <w:vAlign w:val="bottom"/>
          </w:tcPr>
          <w:p>
            <w:pPr>
              <w:spacing w:after="0"/>
              <w:rPr>
                <w:sz w:val="20"/>
                <w:szCs w:val="20"/>
                <w:color w:val="auto"/>
              </w:rPr>
            </w:pPr>
          </w:p>
        </w:tc>
        <w:tc>
          <w:tcPr>
            <w:tcW w:w="7980" w:type="dxa"/>
            <w:vAlign w:val="bottom"/>
            <w:tcBorders>
              <w:bottom w:val="single" w:sz="8" w:color="auto"/>
            </w:tcBorders>
          </w:tcPr>
          <w:p>
            <w:pPr>
              <w:ind w:left="3180"/>
              <w:spacing w:after="0"/>
              <w:rPr>
                <w:sz w:val="20"/>
                <w:szCs w:val="20"/>
                <w:color w:val="auto"/>
              </w:rPr>
            </w:pPr>
            <w:r>
              <w:rPr>
                <w:rFonts w:ascii="Arial" w:cs="Arial" w:eastAsia="Arial" w:hAnsi="Arial"/>
                <w:sz w:val="18"/>
                <w:szCs w:val="18"/>
                <w:color w:val="auto"/>
              </w:rPr>
              <w:t>Description of Exhibit</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NOTE</w:t>
            </w:r>
          </w:p>
        </w:tc>
      </w:tr>
      <w:tr>
        <w:trPr>
          <w:trHeight w:val="432"/>
        </w:trPr>
        <w:tc>
          <w:tcPr>
            <w:tcW w:w="1720" w:type="dxa"/>
            <w:vAlign w:val="bottom"/>
          </w:tcPr>
          <w:p>
            <w:pPr>
              <w:jc w:val="center"/>
              <w:spacing w:after="0"/>
              <w:rPr>
                <w:sz w:val="20"/>
                <w:szCs w:val="20"/>
                <w:color w:val="auto"/>
              </w:rPr>
            </w:pPr>
            <w:r>
              <w:rPr>
                <w:rFonts w:ascii="Arial" w:cs="Arial" w:eastAsia="Arial" w:hAnsi="Arial"/>
                <w:sz w:val="18"/>
                <w:szCs w:val="18"/>
                <w:color w:val="auto"/>
                <w:w w:val="88"/>
              </w:rPr>
              <w:t>10.25</w:t>
            </w:r>
          </w:p>
        </w:tc>
        <w:tc>
          <w:tcPr>
            <w:tcW w:w="360" w:type="dxa"/>
            <w:vAlign w:val="bottom"/>
          </w:tcPr>
          <w:p>
            <w:pPr>
              <w:spacing w:after="0"/>
              <w:rPr>
                <w:sz w:val="24"/>
                <w:szCs w:val="24"/>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Executive Incentive Compensation Plan between Registrant and various employees</w:t>
            </w:r>
          </w:p>
        </w:tc>
        <w:tc>
          <w:tcPr>
            <w:tcW w:w="136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(8)</w:t>
            </w:r>
          </w:p>
        </w:tc>
      </w:tr>
      <w:tr>
        <w:trPr>
          <w:trHeight w:val="432"/>
        </w:trPr>
        <w:tc>
          <w:tcPr>
            <w:tcW w:w="1720" w:type="dxa"/>
            <w:vAlign w:val="bottom"/>
          </w:tcPr>
          <w:p>
            <w:pPr>
              <w:jc w:val="center"/>
              <w:spacing w:after="0"/>
              <w:rPr>
                <w:sz w:val="20"/>
                <w:szCs w:val="20"/>
                <w:color w:val="auto"/>
              </w:rPr>
            </w:pPr>
            <w:r>
              <w:rPr>
                <w:rFonts w:ascii="Arial" w:cs="Arial" w:eastAsia="Arial" w:hAnsi="Arial"/>
                <w:sz w:val="18"/>
                <w:szCs w:val="18"/>
                <w:color w:val="auto"/>
                <w:w w:val="89"/>
              </w:rPr>
              <w:t>21</w:t>
            </w:r>
          </w:p>
        </w:tc>
        <w:tc>
          <w:tcPr>
            <w:tcW w:w="360" w:type="dxa"/>
            <w:vAlign w:val="bottom"/>
          </w:tcPr>
          <w:p>
            <w:pPr>
              <w:spacing w:after="0"/>
              <w:rPr>
                <w:sz w:val="24"/>
                <w:szCs w:val="24"/>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List of Subsidiaries of Registrant</w:t>
            </w:r>
          </w:p>
        </w:tc>
        <w:tc>
          <w:tcPr>
            <w:tcW w:w="2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Filed herewith</w:t>
            </w:r>
          </w:p>
        </w:tc>
      </w:tr>
      <w:tr>
        <w:trPr>
          <w:trHeight w:val="418"/>
        </w:trPr>
        <w:tc>
          <w:tcPr>
            <w:tcW w:w="1720" w:type="dxa"/>
            <w:vAlign w:val="bottom"/>
          </w:tcPr>
          <w:p>
            <w:pPr>
              <w:jc w:val="center"/>
              <w:spacing w:after="0"/>
              <w:rPr>
                <w:sz w:val="20"/>
                <w:szCs w:val="20"/>
                <w:color w:val="auto"/>
              </w:rPr>
            </w:pPr>
            <w:r>
              <w:rPr>
                <w:rFonts w:ascii="Arial" w:cs="Arial" w:eastAsia="Arial" w:hAnsi="Arial"/>
                <w:sz w:val="18"/>
                <w:szCs w:val="18"/>
                <w:color w:val="auto"/>
                <w:w w:val="91"/>
              </w:rPr>
              <w:t>23.1</w:t>
            </w:r>
          </w:p>
        </w:tc>
        <w:tc>
          <w:tcPr>
            <w:tcW w:w="360" w:type="dxa"/>
            <w:vAlign w:val="bottom"/>
          </w:tcPr>
          <w:p>
            <w:pPr>
              <w:spacing w:after="0"/>
              <w:rPr>
                <w:sz w:val="24"/>
                <w:szCs w:val="24"/>
                <w:color w:val="auto"/>
              </w:rPr>
            </w:pPr>
          </w:p>
        </w:tc>
        <w:tc>
          <w:tcPr>
            <w:tcW w:w="7980" w:type="dxa"/>
            <w:vAlign w:val="bottom"/>
          </w:tcPr>
          <w:p>
            <w:pPr>
              <w:spacing w:after="0"/>
              <w:rPr>
                <w:sz w:val="20"/>
                <w:szCs w:val="20"/>
                <w:color w:val="auto"/>
              </w:rPr>
            </w:pPr>
            <w:r>
              <w:rPr>
                <w:rFonts w:ascii="Arial" w:cs="Arial" w:eastAsia="Arial" w:hAnsi="Arial"/>
                <w:sz w:val="18"/>
                <w:szCs w:val="18"/>
                <w:color w:val="auto"/>
                <w:w w:val="97"/>
              </w:rPr>
              <w:t>Consent of Independent Registered Public Accounting Firm to incorporation by reference of 2011 audit</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0"/>
        </w:trPr>
        <w:tc>
          <w:tcPr>
            <w:tcW w:w="1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report in Registrant’s Form S-8 Registration Statement.</w:t>
            </w:r>
          </w:p>
        </w:tc>
        <w:tc>
          <w:tcPr>
            <w:tcW w:w="2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Filed herewith</w:t>
            </w:r>
          </w:p>
        </w:tc>
      </w:tr>
      <w:tr>
        <w:trPr>
          <w:trHeight w:val="432"/>
        </w:trPr>
        <w:tc>
          <w:tcPr>
            <w:tcW w:w="172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360" w:type="dxa"/>
            <w:vAlign w:val="bottom"/>
          </w:tcPr>
          <w:p>
            <w:pPr>
              <w:spacing w:after="0"/>
              <w:rPr>
                <w:sz w:val="24"/>
                <w:szCs w:val="24"/>
                <w:color w:val="auto"/>
              </w:rPr>
            </w:pPr>
          </w:p>
        </w:tc>
        <w:tc>
          <w:tcPr>
            <w:tcW w:w="7980" w:type="dxa"/>
            <w:vAlign w:val="bottom"/>
          </w:tcPr>
          <w:p>
            <w:pPr>
              <w:spacing w:after="0"/>
              <w:rPr>
                <w:sz w:val="20"/>
                <w:szCs w:val="20"/>
                <w:color w:val="auto"/>
              </w:rPr>
            </w:pPr>
            <w:r>
              <w:rPr>
                <w:rFonts w:ascii="Arial" w:cs="Arial" w:eastAsia="Arial" w:hAnsi="Arial"/>
                <w:sz w:val="18"/>
                <w:szCs w:val="18"/>
                <w:color w:val="auto"/>
                <w:w w:val="98"/>
              </w:rPr>
              <w:t>Certification of the Chief Executive Officer pursuant to Section 302 of the Sarbanes-Oxley Act of 2002</w:t>
            </w:r>
          </w:p>
        </w:tc>
        <w:tc>
          <w:tcPr>
            <w:tcW w:w="2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Filed herewith</w:t>
            </w:r>
          </w:p>
        </w:tc>
      </w:tr>
      <w:tr>
        <w:trPr>
          <w:trHeight w:val="432"/>
        </w:trPr>
        <w:tc>
          <w:tcPr>
            <w:tcW w:w="172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360" w:type="dxa"/>
            <w:vAlign w:val="bottom"/>
          </w:tcPr>
          <w:p>
            <w:pPr>
              <w:spacing w:after="0"/>
              <w:rPr>
                <w:sz w:val="24"/>
                <w:szCs w:val="24"/>
                <w:color w:val="auto"/>
              </w:rPr>
            </w:pPr>
          </w:p>
        </w:tc>
        <w:tc>
          <w:tcPr>
            <w:tcW w:w="7980" w:type="dxa"/>
            <w:vAlign w:val="bottom"/>
          </w:tcPr>
          <w:p>
            <w:pPr>
              <w:spacing w:after="0"/>
              <w:rPr>
                <w:sz w:val="20"/>
                <w:szCs w:val="20"/>
                <w:color w:val="auto"/>
              </w:rPr>
            </w:pPr>
            <w:r>
              <w:rPr>
                <w:rFonts w:ascii="Arial" w:cs="Arial" w:eastAsia="Arial" w:hAnsi="Arial"/>
                <w:sz w:val="18"/>
                <w:szCs w:val="18"/>
                <w:color w:val="auto"/>
                <w:w w:val="99"/>
              </w:rPr>
              <w:t>Certification of the Chief Financial Officer pursuant to Section 302 of the Sarbanes-Oxley Act of 2002</w:t>
            </w:r>
          </w:p>
        </w:tc>
        <w:tc>
          <w:tcPr>
            <w:tcW w:w="2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Filed herewith</w:t>
            </w:r>
          </w:p>
        </w:tc>
      </w:tr>
      <w:tr>
        <w:trPr>
          <w:trHeight w:val="432"/>
        </w:trPr>
        <w:tc>
          <w:tcPr>
            <w:tcW w:w="172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360" w:type="dxa"/>
            <w:vAlign w:val="bottom"/>
          </w:tcPr>
          <w:p>
            <w:pPr>
              <w:spacing w:after="0"/>
              <w:rPr>
                <w:sz w:val="24"/>
                <w:szCs w:val="24"/>
                <w:color w:val="auto"/>
              </w:rPr>
            </w:pPr>
          </w:p>
        </w:tc>
        <w:tc>
          <w:tcPr>
            <w:tcW w:w="7980" w:type="dxa"/>
            <w:vAlign w:val="bottom"/>
          </w:tcPr>
          <w:p>
            <w:pPr>
              <w:spacing w:after="0"/>
              <w:rPr>
                <w:sz w:val="20"/>
                <w:szCs w:val="20"/>
                <w:color w:val="auto"/>
              </w:rPr>
            </w:pPr>
            <w:r>
              <w:rPr>
                <w:rFonts w:ascii="Arial" w:cs="Arial" w:eastAsia="Arial" w:hAnsi="Arial"/>
                <w:sz w:val="18"/>
                <w:szCs w:val="18"/>
                <w:color w:val="auto"/>
                <w:w w:val="98"/>
              </w:rPr>
              <w:t>Certification of the Chief Executive Officer pursuant to Section 906 of the Sarbanes-Oxley Act of 2002</w:t>
            </w:r>
          </w:p>
        </w:tc>
        <w:tc>
          <w:tcPr>
            <w:tcW w:w="2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Filed herewith</w:t>
            </w:r>
          </w:p>
        </w:tc>
      </w:tr>
      <w:tr>
        <w:trPr>
          <w:trHeight w:val="432"/>
        </w:trPr>
        <w:tc>
          <w:tcPr>
            <w:tcW w:w="172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360" w:type="dxa"/>
            <w:vAlign w:val="bottom"/>
          </w:tcPr>
          <w:p>
            <w:pPr>
              <w:spacing w:after="0"/>
              <w:rPr>
                <w:sz w:val="24"/>
                <w:szCs w:val="24"/>
                <w:color w:val="auto"/>
              </w:rPr>
            </w:pPr>
          </w:p>
        </w:tc>
        <w:tc>
          <w:tcPr>
            <w:tcW w:w="7980" w:type="dxa"/>
            <w:vAlign w:val="bottom"/>
          </w:tcPr>
          <w:p>
            <w:pPr>
              <w:spacing w:after="0"/>
              <w:rPr>
                <w:sz w:val="20"/>
                <w:szCs w:val="20"/>
                <w:color w:val="auto"/>
              </w:rPr>
            </w:pPr>
            <w:r>
              <w:rPr>
                <w:rFonts w:ascii="Arial" w:cs="Arial" w:eastAsia="Arial" w:hAnsi="Arial"/>
                <w:sz w:val="18"/>
                <w:szCs w:val="18"/>
                <w:color w:val="auto"/>
                <w:w w:val="99"/>
              </w:rPr>
              <w:t>Certification of the Chief Financial Officer pursuant to Section 906 of the Sarbanes-Oxley Act of 2002</w:t>
            </w:r>
          </w:p>
        </w:tc>
        <w:tc>
          <w:tcPr>
            <w:tcW w:w="2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Filed herewith</w:t>
            </w:r>
          </w:p>
        </w:tc>
      </w:tr>
      <w:tr>
        <w:trPr>
          <w:trHeight w:val="459"/>
        </w:trPr>
        <w:tc>
          <w:tcPr>
            <w:tcW w:w="1720" w:type="dxa"/>
            <w:vAlign w:val="bottom"/>
          </w:tcPr>
          <w:p>
            <w:pPr>
              <w:ind w:left="100"/>
              <w:spacing w:after="0"/>
              <w:rPr>
                <w:sz w:val="20"/>
                <w:szCs w:val="20"/>
                <w:color w:val="auto"/>
              </w:rPr>
            </w:pPr>
            <w:r>
              <w:rPr>
                <w:rFonts w:ascii="Arial" w:cs="Arial" w:eastAsia="Arial" w:hAnsi="Arial"/>
                <w:sz w:val="18"/>
                <w:szCs w:val="18"/>
                <w:color w:val="auto"/>
              </w:rPr>
              <w:t>NOTES:</w:t>
            </w:r>
          </w:p>
        </w:tc>
        <w:tc>
          <w:tcPr>
            <w:tcW w:w="36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pacing w:after="0" w:line="202" w:lineRule="exact"/>
        <w:rPr>
          <w:sz w:val="20"/>
          <w:szCs w:val="20"/>
          <w:color w:val="auto"/>
        </w:rPr>
      </w:pPr>
    </w:p>
    <w:p>
      <w:pPr>
        <w:ind w:left="960" w:hanging="645"/>
        <w:spacing w:after="0" w:line="258"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Filed with the SEC as an exhibit, numbered as indicated above, to the registration statement of Registrant on Form S-1, File No. 2-29609, which exhibit is incorporated herein by reference.</w:t>
      </w:r>
    </w:p>
    <w:p>
      <w:pPr>
        <w:spacing w:after="0" w:line="1" w:lineRule="exact"/>
        <w:rPr>
          <w:rFonts w:ascii="Arial" w:cs="Arial" w:eastAsia="Arial" w:hAnsi="Arial"/>
          <w:sz w:val="18"/>
          <w:szCs w:val="18"/>
          <w:color w:val="auto"/>
        </w:rPr>
      </w:pPr>
    </w:p>
    <w:p>
      <w:pPr>
        <w:ind w:left="960" w:hanging="645"/>
        <w:spacing w:after="0" w:line="250"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Filed with the SEC as an exhibit, numbered as indicated above, to the registration statement of Registrant on Form S-1, File No. 2-71727, which exhibit is incorporated herein by reference.</w:t>
      </w:r>
    </w:p>
    <w:p>
      <w:pPr>
        <w:ind w:left="960" w:right="20" w:hanging="645"/>
        <w:spacing w:after="0" w:line="250"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Filed with the SEC as an exhibit, numbered as indicated above, to the annual report of Registrant on Form 10-K, File No. 1-8061 for the year ended April 30, 1981, which exhibit is incorporated herein by reference.</w:t>
      </w:r>
    </w:p>
    <w:p>
      <w:pPr>
        <w:ind w:left="960" w:hanging="645"/>
        <w:spacing w:after="0" w:line="250"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Filed with the SEC as an exhibit, numbered as indicated above, to the registration statement of Registrant on Form S-1, File No. 2-69527, which exhibit is incorporated herein by reference.</w:t>
      </w:r>
    </w:p>
    <w:p>
      <w:pPr>
        <w:ind w:left="960" w:hanging="645"/>
        <w:spacing w:after="0" w:line="250"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Filed with the SEC as an exhibit, numbered as indicated above, to the annual report of Registrant on Form 10-K, File No. 1-8061, for the year ended April 30, 1985, which exhibit is incorporated herein by reference.</w:t>
      </w:r>
    </w:p>
    <w:p>
      <w:pPr>
        <w:ind w:left="960" w:hanging="645"/>
        <w:spacing w:after="0" w:line="250"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Filed with the SEC as exhibit, numbered as indicated above, to the annual report of Registrant on Form 10-K, File No. 1-8061, for the year ended April 30, 1986, which exhibit is incorporated herein by reference.</w:t>
      </w:r>
    </w:p>
    <w:p>
      <w:pPr>
        <w:ind w:left="960" w:hanging="645"/>
        <w:spacing w:after="0" w:line="250"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Filed with the SEC as an exhibit, numbered as indicated above, to the annual report of Registrant on Form 10-K, File No. 1-8061, for the year ended April 30, 1987, which exhibit is incorporated herein by reference.</w:t>
      </w:r>
    </w:p>
    <w:p>
      <w:pPr>
        <w:ind w:left="960" w:hanging="645"/>
        <w:spacing w:after="0" w:line="250"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Filed with the SEC as an exhibit, numbered as indicated above, to the annual report of Registrant on Form 10-K, File No. 1-8061, for the year ended April 30, 1989, which exhibit is incorporated herein by reference.</w:t>
      </w:r>
    </w:p>
    <w:p>
      <w:pPr>
        <w:ind w:left="960" w:hanging="645"/>
        <w:spacing w:after="0" w:line="250"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Filed with the SEC as an exhibit, numbered as indicated above, to the annual report of Registrant on Form 10-K, File No. 1-8061, for the year ended April 30, 1990, which exhibit is incorporated herein by reference.</w:t>
      </w:r>
    </w:p>
    <w:p>
      <w:pPr>
        <w:spacing w:after="0" w:line="1" w:lineRule="exact"/>
        <w:rPr>
          <w:sz w:val="20"/>
          <w:szCs w:val="20"/>
          <w:color w:val="auto"/>
        </w:rPr>
      </w:pPr>
    </w:p>
    <w:p>
      <w:pPr>
        <w:ind w:left="960" w:hanging="690"/>
        <w:spacing w:after="0" w:line="250" w:lineRule="auto"/>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Filed with the SEC as an exhibit, numbered as indicated above, to the registration statement of Registrant on Form S-8, File No. 333-42233, which exhibit is incorporated herein by reference.</w:t>
      </w:r>
    </w:p>
    <w:p>
      <w:pPr>
        <w:ind w:left="960" w:hanging="687"/>
        <w:spacing w:after="0" w:line="261" w:lineRule="auto"/>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Filed with the SEC as an exhibit, numbered as indicated above, to the annual report of Registrant on Form 10-K, File No. 1-8061, for the year ended April 30, 1998, which exhibit is incorporated herein by reference.</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color w:val="auto"/>
        </w:rPr>
        <w:t>Exhibit 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List of Subsidiaries of Registrant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40" w:type="dxa"/>
            <w:vAlign w:val="bottom"/>
          </w:tcPr>
          <w:p>
            <w:pPr>
              <w:ind w:left="2080"/>
              <w:spacing w:after="0"/>
              <w:rPr>
                <w:sz w:val="20"/>
                <w:szCs w:val="20"/>
                <w:color w:val="auto"/>
              </w:rPr>
            </w:pPr>
            <w:r>
              <w:rPr>
                <w:rFonts w:ascii="Arial" w:cs="Arial" w:eastAsia="Arial" w:hAnsi="Arial"/>
                <w:sz w:val="18"/>
                <w:szCs w:val="18"/>
                <w:color w:val="auto"/>
              </w:rPr>
              <w:t>Subsidiary &amp; Name under</w:t>
            </w:r>
          </w:p>
        </w:tc>
        <w:tc>
          <w:tcPr>
            <w:tcW w:w="260" w:type="dxa"/>
            <w:vAlign w:val="bottom"/>
          </w:tcPr>
          <w:p>
            <w:pPr>
              <w:spacing w:after="0"/>
              <w:rPr>
                <w:sz w:val="18"/>
                <w:szCs w:val="18"/>
                <w:color w:val="auto"/>
              </w:rPr>
            </w:pPr>
          </w:p>
        </w:tc>
        <w:tc>
          <w:tcPr>
            <w:tcW w:w="5120" w:type="dxa"/>
            <w:vAlign w:val="bottom"/>
          </w:tcPr>
          <w:p>
            <w:pPr>
              <w:spacing w:after="0"/>
              <w:rPr>
                <w:sz w:val="18"/>
                <w:szCs w:val="18"/>
                <w:color w:val="auto"/>
              </w:rPr>
            </w:pPr>
          </w:p>
        </w:tc>
      </w:tr>
      <w:tr>
        <w:trPr>
          <w:trHeight w:val="237"/>
        </w:trPr>
        <w:tc>
          <w:tcPr>
            <w:tcW w:w="6040" w:type="dxa"/>
            <w:vAlign w:val="bottom"/>
            <w:tcBorders>
              <w:bottom w:val="single" w:sz="8" w:color="auto"/>
            </w:tcBorders>
          </w:tcPr>
          <w:p>
            <w:pPr>
              <w:ind w:left="2000"/>
              <w:spacing w:after="0"/>
              <w:rPr>
                <w:sz w:val="20"/>
                <w:szCs w:val="20"/>
                <w:color w:val="auto"/>
              </w:rPr>
            </w:pPr>
            <w:r>
              <w:rPr>
                <w:rFonts w:ascii="Arial" w:cs="Arial" w:eastAsia="Arial" w:hAnsi="Arial"/>
                <w:sz w:val="18"/>
                <w:szCs w:val="18"/>
                <w:color w:val="auto"/>
              </w:rPr>
              <w:t>which business is performed</w:t>
            </w:r>
          </w:p>
        </w:tc>
        <w:tc>
          <w:tcPr>
            <w:tcW w:w="260" w:type="dxa"/>
            <w:vAlign w:val="bottom"/>
          </w:tcPr>
          <w:p>
            <w:pPr>
              <w:spacing w:after="0"/>
              <w:rPr>
                <w:sz w:val="20"/>
                <w:szCs w:val="20"/>
                <w:color w:val="auto"/>
              </w:rPr>
            </w:pPr>
          </w:p>
        </w:tc>
        <w:tc>
          <w:tcPr>
            <w:tcW w:w="5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Jurisdiction of Incorporation</w:t>
            </w:r>
          </w:p>
        </w:tc>
      </w:tr>
      <w:tr>
        <w:trPr>
          <w:trHeight w:val="432"/>
        </w:trPr>
        <w:tc>
          <w:tcPr>
            <w:tcW w:w="6040" w:type="dxa"/>
            <w:vAlign w:val="bottom"/>
          </w:tcPr>
          <w:p>
            <w:pPr>
              <w:spacing w:after="0"/>
              <w:rPr>
                <w:sz w:val="20"/>
                <w:szCs w:val="20"/>
                <w:color w:val="auto"/>
              </w:rPr>
            </w:pPr>
            <w:r>
              <w:rPr>
                <w:rFonts w:ascii="Arial" w:cs="Arial" w:eastAsia="Arial" w:hAnsi="Arial"/>
                <w:sz w:val="18"/>
                <w:szCs w:val="18"/>
                <w:color w:val="auto"/>
              </w:rPr>
              <w:t>Frequency Electronics, Inc.</w:t>
            </w:r>
          </w:p>
        </w:tc>
        <w:tc>
          <w:tcPr>
            <w:tcW w:w="260" w:type="dxa"/>
            <w:vAlign w:val="bottom"/>
          </w:tcPr>
          <w:p>
            <w:pPr>
              <w:spacing w:after="0"/>
              <w:rPr>
                <w:sz w:val="24"/>
                <w:szCs w:val="24"/>
                <w:color w:val="auto"/>
              </w:rPr>
            </w:pPr>
          </w:p>
        </w:tc>
        <w:tc>
          <w:tcPr>
            <w:tcW w:w="512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432"/>
        </w:trPr>
        <w:tc>
          <w:tcPr>
            <w:tcW w:w="6040" w:type="dxa"/>
            <w:vAlign w:val="bottom"/>
          </w:tcPr>
          <w:p>
            <w:pPr>
              <w:spacing w:after="0"/>
              <w:rPr>
                <w:sz w:val="20"/>
                <w:szCs w:val="20"/>
                <w:color w:val="auto"/>
              </w:rPr>
            </w:pPr>
            <w:r>
              <w:rPr>
                <w:rFonts w:ascii="Arial" w:cs="Arial" w:eastAsia="Arial" w:hAnsi="Arial"/>
                <w:sz w:val="18"/>
                <w:szCs w:val="18"/>
                <w:color w:val="auto"/>
              </w:rPr>
              <w:t>FEI Communications, Inc.</w:t>
            </w:r>
          </w:p>
        </w:tc>
        <w:tc>
          <w:tcPr>
            <w:tcW w:w="260" w:type="dxa"/>
            <w:vAlign w:val="bottom"/>
          </w:tcPr>
          <w:p>
            <w:pPr>
              <w:spacing w:after="0"/>
              <w:rPr>
                <w:sz w:val="24"/>
                <w:szCs w:val="24"/>
                <w:color w:val="auto"/>
              </w:rPr>
            </w:pPr>
          </w:p>
        </w:tc>
        <w:tc>
          <w:tcPr>
            <w:tcW w:w="512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432"/>
        </w:trPr>
        <w:tc>
          <w:tcPr>
            <w:tcW w:w="6040" w:type="dxa"/>
            <w:vAlign w:val="bottom"/>
          </w:tcPr>
          <w:p>
            <w:pPr>
              <w:spacing w:after="0"/>
              <w:rPr>
                <w:sz w:val="20"/>
                <w:szCs w:val="20"/>
                <w:color w:val="auto"/>
              </w:rPr>
            </w:pPr>
            <w:r>
              <w:rPr>
                <w:rFonts w:ascii="Arial" w:cs="Arial" w:eastAsia="Arial" w:hAnsi="Arial"/>
                <w:sz w:val="18"/>
                <w:szCs w:val="18"/>
                <w:color w:val="auto"/>
              </w:rPr>
              <w:t>FEI Government Systems, Inc.</w:t>
            </w:r>
          </w:p>
        </w:tc>
        <w:tc>
          <w:tcPr>
            <w:tcW w:w="260" w:type="dxa"/>
            <w:vAlign w:val="bottom"/>
          </w:tcPr>
          <w:p>
            <w:pPr>
              <w:spacing w:after="0"/>
              <w:rPr>
                <w:sz w:val="24"/>
                <w:szCs w:val="24"/>
                <w:color w:val="auto"/>
              </w:rPr>
            </w:pPr>
          </w:p>
        </w:tc>
        <w:tc>
          <w:tcPr>
            <w:tcW w:w="512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432"/>
        </w:trPr>
        <w:tc>
          <w:tcPr>
            <w:tcW w:w="6040" w:type="dxa"/>
            <w:vAlign w:val="bottom"/>
          </w:tcPr>
          <w:p>
            <w:pPr>
              <w:spacing w:after="0"/>
              <w:rPr>
                <w:sz w:val="20"/>
                <w:szCs w:val="20"/>
                <w:color w:val="auto"/>
              </w:rPr>
            </w:pPr>
            <w:r>
              <w:rPr>
                <w:rFonts w:ascii="Arial" w:cs="Arial" w:eastAsia="Arial" w:hAnsi="Arial"/>
                <w:sz w:val="18"/>
                <w:szCs w:val="18"/>
                <w:color w:val="auto"/>
              </w:rPr>
              <w:t>FEI Realty, Inc. (Inactive)</w:t>
            </w:r>
          </w:p>
        </w:tc>
        <w:tc>
          <w:tcPr>
            <w:tcW w:w="260" w:type="dxa"/>
            <w:vAlign w:val="bottom"/>
          </w:tcPr>
          <w:p>
            <w:pPr>
              <w:spacing w:after="0"/>
              <w:rPr>
                <w:sz w:val="24"/>
                <w:szCs w:val="24"/>
                <w:color w:val="auto"/>
              </w:rPr>
            </w:pPr>
          </w:p>
        </w:tc>
        <w:tc>
          <w:tcPr>
            <w:tcW w:w="512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432"/>
        </w:trPr>
        <w:tc>
          <w:tcPr>
            <w:tcW w:w="6040" w:type="dxa"/>
            <w:vAlign w:val="bottom"/>
          </w:tcPr>
          <w:p>
            <w:pPr>
              <w:spacing w:after="0"/>
              <w:rPr>
                <w:sz w:val="20"/>
                <w:szCs w:val="20"/>
                <w:color w:val="auto"/>
              </w:rPr>
            </w:pPr>
            <w:r>
              <w:rPr>
                <w:rFonts w:ascii="Arial" w:cs="Arial" w:eastAsia="Arial" w:hAnsi="Arial"/>
                <w:sz w:val="18"/>
                <w:szCs w:val="18"/>
                <w:color w:val="auto"/>
              </w:rPr>
              <w:t>Monitor Corp. (Inactive)</w:t>
            </w:r>
          </w:p>
        </w:tc>
        <w:tc>
          <w:tcPr>
            <w:tcW w:w="260" w:type="dxa"/>
            <w:vAlign w:val="bottom"/>
          </w:tcPr>
          <w:p>
            <w:pPr>
              <w:spacing w:after="0"/>
              <w:rPr>
                <w:sz w:val="24"/>
                <w:szCs w:val="24"/>
                <w:color w:val="auto"/>
              </w:rPr>
            </w:pPr>
          </w:p>
        </w:tc>
        <w:tc>
          <w:tcPr>
            <w:tcW w:w="512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432"/>
        </w:trPr>
        <w:tc>
          <w:tcPr>
            <w:tcW w:w="6040" w:type="dxa"/>
            <w:vAlign w:val="bottom"/>
          </w:tcPr>
          <w:p>
            <w:pPr>
              <w:spacing w:after="0"/>
              <w:rPr>
                <w:sz w:val="20"/>
                <w:szCs w:val="20"/>
                <w:color w:val="auto"/>
              </w:rPr>
            </w:pPr>
            <w:r>
              <w:rPr>
                <w:rFonts w:ascii="Arial" w:cs="Arial" w:eastAsia="Arial" w:hAnsi="Arial"/>
                <w:sz w:val="18"/>
                <w:szCs w:val="18"/>
                <w:color w:val="auto"/>
              </w:rPr>
              <w:t>FEI Zyfer, Inc.</w:t>
            </w:r>
          </w:p>
        </w:tc>
        <w:tc>
          <w:tcPr>
            <w:tcW w:w="260" w:type="dxa"/>
            <w:vAlign w:val="bottom"/>
          </w:tcPr>
          <w:p>
            <w:pPr>
              <w:spacing w:after="0"/>
              <w:rPr>
                <w:sz w:val="24"/>
                <w:szCs w:val="24"/>
                <w:color w:val="auto"/>
              </w:rPr>
            </w:pPr>
          </w:p>
        </w:tc>
        <w:tc>
          <w:tcPr>
            <w:tcW w:w="512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432"/>
        </w:trPr>
        <w:tc>
          <w:tcPr>
            <w:tcW w:w="6040" w:type="dxa"/>
            <w:vAlign w:val="bottom"/>
          </w:tcPr>
          <w:p>
            <w:pPr>
              <w:spacing w:after="0"/>
              <w:rPr>
                <w:sz w:val="20"/>
                <w:szCs w:val="20"/>
                <w:color w:val="auto"/>
              </w:rPr>
            </w:pPr>
            <w:r>
              <w:rPr>
                <w:rFonts w:ascii="Arial" w:cs="Arial" w:eastAsia="Arial" w:hAnsi="Arial"/>
                <w:sz w:val="18"/>
                <w:szCs w:val="18"/>
                <w:color w:val="auto"/>
              </w:rPr>
              <w:t>Gillam-FEI, s.a.</w:t>
            </w:r>
          </w:p>
        </w:tc>
        <w:tc>
          <w:tcPr>
            <w:tcW w:w="260" w:type="dxa"/>
            <w:vAlign w:val="bottom"/>
          </w:tcPr>
          <w:p>
            <w:pPr>
              <w:spacing w:after="0"/>
              <w:rPr>
                <w:sz w:val="24"/>
                <w:szCs w:val="24"/>
                <w:color w:val="auto"/>
              </w:rPr>
            </w:pPr>
          </w:p>
        </w:tc>
        <w:tc>
          <w:tcPr>
            <w:tcW w:w="5120" w:type="dxa"/>
            <w:vAlign w:val="bottom"/>
          </w:tcPr>
          <w:p>
            <w:pPr>
              <w:jc w:val="center"/>
              <w:spacing w:after="0"/>
              <w:rPr>
                <w:sz w:val="20"/>
                <w:szCs w:val="20"/>
                <w:color w:val="auto"/>
              </w:rPr>
            </w:pPr>
            <w:r>
              <w:rPr>
                <w:rFonts w:ascii="Arial" w:cs="Arial" w:eastAsia="Arial" w:hAnsi="Arial"/>
                <w:sz w:val="18"/>
                <w:szCs w:val="18"/>
                <w:color w:val="auto"/>
                <w:w w:val="95"/>
              </w:rPr>
              <w:t>Belgium</w:t>
            </w:r>
          </w:p>
        </w:tc>
      </w:tr>
      <w:tr>
        <w:trPr>
          <w:trHeight w:val="432"/>
        </w:trPr>
        <w:tc>
          <w:tcPr>
            <w:tcW w:w="6040" w:type="dxa"/>
            <w:vAlign w:val="bottom"/>
          </w:tcPr>
          <w:p>
            <w:pPr>
              <w:spacing w:after="0"/>
              <w:rPr>
                <w:sz w:val="20"/>
                <w:szCs w:val="20"/>
                <w:color w:val="auto"/>
              </w:rPr>
            </w:pPr>
            <w:r>
              <w:rPr>
                <w:rFonts w:ascii="Arial" w:cs="Arial" w:eastAsia="Arial" w:hAnsi="Arial"/>
                <w:sz w:val="18"/>
                <w:szCs w:val="18"/>
                <w:color w:val="auto"/>
              </w:rPr>
              <w:t>Satel-FEI, s.a.</w:t>
            </w:r>
          </w:p>
        </w:tc>
        <w:tc>
          <w:tcPr>
            <w:tcW w:w="260" w:type="dxa"/>
            <w:vAlign w:val="bottom"/>
          </w:tcPr>
          <w:p>
            <w:pPr>
              <w:spacing w:after="0"/>
              <w:rPr>
                <w:sz w:val="24"/>
                <w:szCs w:val="24"/>
                <w:color w:val="auto"/>
              </w:rPr>
            </w:pPr>
          </w:p>
        </w:tc>
        <w:tc>
          <w:tcPr>
            <w:tcW w:w="5120" w:type="dxa"/>
            <w:vAlign w:val="bottom"/>
          </w:tcPr>
          <w:p>
            <w:pPr>
              <w:jc w:val="center"/>
              <w:spacing w:after="0"/>
              <w:rPr>
                <w:sz w:val="20"/>
                <w:szCs w:val="20"/>
                <w:color w:val="auto"/>
              </w:rPr>
            </w:pPr>
            <w:r>
              <w:rPr>
                <w:rFonts w:ascii="Arial" w:cs="Arial" w:eastAsia="Arial" w:hAnsi="Arial"/>
                <w:sz w:val="18"/>
                <w:szCs w:val="18"/>
                <w:color w:val="auto"/>
                <w:w w:val="85"/>
              </w:rPr>
              <w:t>France</w:t>
            </w:r>
          </w:p>
        </w:tc>
      </w:tr>
      <w:tr>
        <w:trPr>
          <w:trHeight w:val="432"/>
        </w:trPr>
        <w:tc>
          <w:tcPr>
            <w:tcW w:w="6040" w:type="dxa"/>
            <w:vAlign w:val="bottom"/>
          </w:tcPr>
          <w:p>
            <w:pPr>
              <w:spacing w:after="0"/>
              <w:rPr>
                <w:sz w:val="20"/>
                <w:szCs w:val="20"/>
                <w:color w:val="auto"/>
              </w:rPr>
            </w:pPr>
            <w:r>
              <w:rPr>
                <w:rFonts w:ascii="Arial" w:cs="Arial" w:eastAsia="Arial" w:hAnsi="Arial"/>
                <w:sz w:val="18"/>
                <w:szCs w:val="18"/>
                <w:color w:val="auto"/>
              </w:rPr>
              <w:t>Frequency Electronics, Inc. Asia</w:t>
            </w:r>
          </w:p>
        </w:tc>
        <w:tc>
          <w:tcPr>
            <w:tcW w:w="260" w:type="dxa"/>
            <w:vAlign w:val="bottom"/>
          </w:tcPr>
          <w:p>
            <w:pPr>
              <w:spacing w:after="0"/>
              <w:rPr>
                <w:sz w:val="24"/>
                <w:szCs w:val="24"/>
                <w:color w:val="auto"/>
              </w:rPr>
            </w:pPr>
          </w:p>
        </w:tc>
        <w:tc>
          <w:tcPr>
            <w:tcW w:w="5120" w:type="dxa"/>
            <w:vAlign w:val="bottom"/>
          </w:tcPr>
          <w:p>
            <w:pPr>
              <w:jc w:val="center"/>
              <w:spacing w:after="0"/>
              <w:rPr>
                <w:sz w:val="20"/>
                <w:szCs w:val="20"/>
                <w:color w:val="auto"/>
              </w:rPr>
            </w:pPr>
            <w:r>
              <w:rPr>
                <w:rFonts w:ascii="Arial" w:cs="Arial" w:eastAsia="Arial" w:hAnsi="Arial"/>
                <w:sz w:val="18"/>
                <w:szCs w:val="18"/>
                <w:color w:val="auto"/>
                <w:w w:val="90"/>
              </w:rPr>
              <w:t>People’s Republic of China</w:t>
            </w:r>
          </w:p>
        </w:tc>
      </w:tr>
      <w:tr>
        <w:trPr>
          <w:trHeight w:val="659"/>
        </w:trPr>
        <w:tc>
          <w:tcPr>
            <w:tcW w:w="604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51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color w:val="auto"/>
        </w:rPr>
        <w:t>Exhibit 23.1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consent to the incorporation by reference in the Registration Statements on Form S-8 (Nos. 333-08901, 333-40506, 333-140938, 333-156600 and 333-42233) of Frequency Electronics, Inc. of our report dated July 29, 2011 on our audits of the consolidated financial statements as of April 30, 2011 and 2010 and for each of the years in the two-year period ended April 30, 2011 which report was included in the Annual Report on Form 10-K filed July 29, 2011.</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/s/ EisnerAmper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53873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EisnerAmper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29,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Martin B. Bloch, certify that:</w:t>
      </w:r>
    </w:p>
    <w:p>
      <w:pPr>
        <w:spacing w:after="0" w:line="252" w:lineRule="exact"/>
        <w:rPr>
          <w:sz w:val="20"/>
          <w:szCs w:val="20"/>
          <w:color w:val="auto"/>
        </w:rPr>
      </w:pPr>
    </w:p>
    <w:p>
      <w:pPr>
        <w:ind w:left="240" w:hanging="232"/>
        <w:spacing w:after="0"/>
        <w:tabs>
          <w:tab w:leader="none" w:pos="2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Frequency Electronics, Inc.;</w:t>
      </w:r>
    </w:p>
    <w:p>
      <w:pPr>
        <w:spacing w:after="0" w:line="252" w:lineRule="exact"/>
        <w:rPr>
          <w:rFonts w:ascii="Arial" w:cs="Arial" w:eastAsia="Arial" w:hAnsi="Arial"/>
          <w:sz w:val="18"/>
          <w:szCs w:val="18"/>
          <w:color w:val="auto"/>
        </w:rPr>
      </w:pPr>
    </w:p>
    <w:p>
      <w:pPr>
        <w:ind w:right="20" w:firstLine="8"/>
        <w:spacing w:after="0" w:line="342" w:lineRule="auto"/>
        <w:tabs>
          <w:tab w:leader="none" w:pos="275"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firstLine="8"/>
        <w:spacing w:after="0" w:line="277" w:lineRule="auto"/>
        <w:tabs>
          <w:tab w:leader="none" w:pos="225"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firstLine="8"/>
        <w:spacing w:after="0" w:line="264" w:lineRule="auto"/>
        <w:tabs>
          <w:tab w:leader="none" w:pos="2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660" w:hanging="4"/>
        <w:spacing w:after="0" w:line="264" w:lineRule="auto"/>
        <w:tabs>
          <w:tab w:leader="none" w:pos="974"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660" w:right="20" w:hanging="4"/>
        <w:spacing w:after="0" w:line="264" w:lineRule="auto"/>
        <w:tabs>
          <w:tab w:leader="none" w:pos="10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hanging="4"/>
        <w:spacing w:after="0" w:line="308" w:lineRule="auto"/>
        <w:tabs>
          <w:tab w:leader="none" w:pos="1027" w:val="left"/>
        </w:tabs>
        <w:numPr>
          <w:ilvl w:val="1"/>
          <w:numId w:val="2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660" w:hanging="4"/>
        <w:spacing w:after="0" w:line="264" w:lineRule="auto"/>
        <w:tabs>
          <w:tab w:leader="none" w:pos="982"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08" w:lineRule="exact"/>
        <w:rPr>
          <w:rFonts w:ascii="Arial" w:cs="Arial" w:eastAsia="Arial" w:hAnsi="Arial"/>
          <w:sz w:val="18"/>
          <w:szCs w:val="18"/>
          <w:color w:val="auto"/>
        </w:rPr>
      </w:pPr>
    </w:p>
    <w:p>
      <w:pPr>
        <w:ind w:right="20" w:firstLine="8"/>
        <w:spacing w:after="0" w:line="277" w:lineRule="auto"/>
        <w:tabs>
          <w:tab w:leader="none" w:pos="271"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ind w:left="660" w:right="20" w:hanging="4"/>
        <w:spacing w:after="0" w:line="277" w:lineRule="auto"/>
        <w:tabs>
          <w:tab w:leader="none" w:pos="955"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4"/>
        <w:spacing w:after="0" w:line="277" w:lineRule="auto"/>
        <w:tabs>
          <w:tab w:leader="none" w:pos="961"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July 29, 2011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Martin B. Bloch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14605</wp:posOffset>
            </wp:positionV>
            <wp:extent cx="342201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2015" cy="17145"/>
                    </a:xfrm>
                    <a:prstGeom prst="rect">
                      <a:avLst/>
                    </a:prstGeom>
                    <a:noFill/>
                  </pic:spPr>
                </pic:pic>
              </a:graphicData>
            </a:graphic>
          </wp:anchor>
        </w:drawing>
      </w:r>
    </w:p>
    <w:p>
      <w:pPr>
        <w:spacing w:after="0" w:line="1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Martin B. Bloch</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Alan L. Miller, certify that:</w:t>
      </w:r>
    </w:p>
    <w:p>
      <w:pPr>
        <w:spacing w:after="0" w:line="252" w:lineRule="exact"/>
        <w:rPr>
          <w:sz w:val="20"/>
          <w:szCs w:val="20"/>
          <w:color w:val="auto"/>
        </w:rPr>
      </w:pPr>
    </w:p>
    <w:p>
      <w:pPr>
        <w:ind w:left="240" w:hanging="232"/>
        <w:spacing w:after="0"/>
        <w:tabs>
          <w:tab w:leader="none" w:pos="2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Frequency Electronics, Inc.;</w:t>
      </w:r>
    </w:p>
    <w:p>
      <w:pPr>
        <w:spacing w:after="0" w:line="252" w:lineRule="exact"/>
        <w:rPr>
          <w:rFonts w:ascii="Arial" w:cs="Arial" w:eastAsia="Arial" w:hAnsi="Arial"/>
          <w:sz w:val="18"/>
          <w:szCs w:val="18"/>
          <w:color w:val="auto"/>
        </w:rPr>
      </w:pPr>
    </w:p>
    <w:p>
      <w:pPr>
        <w:ind w:right="20" w:firstLine="8"/>
        <w:spacing w:after="0" w:line="342" w:lineRule="auto"/>
        <w:tabs>
          <w:tab w:leader="none" w:pos="275"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firstLine="8"/>
        <w:spacing w:after="0" w:line="277" w:lineRule="auto"/>
        <w:tabs>
          <w:tab w:leader="none" w:pos="225"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firstLine="8"/>
        <w:spacing w:after="0" w:line="264" w:lineRule="auto"/>
        <w:tabs>
          <w:tab w:leader="none" w:pos="2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660" w:hanging="4"/>
        <w:spacing w:after="0" w:line="264" w:lineRule="auto"/>
        <w:tabs>
          <w:tab w:leader="none" w:pos="974"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660" w:right="20" w:hanging="4"/>
        <w:spacing w:after="0" w:line="264" w:lineRule="auto"/>
        <w:tabs>
          <w:tab w:leader="none" w:pos="10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hanging="4"/>
        <w:spacing w:after="0" w:line="308" w:lineRule="auto"/>
        <w:tabs>
          <w:tab w:leader="none" w:pos="1027" w:val="left"/>
        </w:tabs>
        <w:numPr>
          <w:ilvl w:val="1"/>
          <w:numId w:val="2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660" w:hanging="4"/>
        <w:spacing w:after="0" w:line="264" w:lineRule="auto"/>
        <w:tabs>
          <w:tab w:leader="none" w:pos="982"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08" w:lineRule="exact"/>
        <w:rPr>
          <w:rFonts w:ascii="Arial" w:cs="Arial" w:eastAsia="Arial" w:hAnsi="Arial"/>
          <w:sz w:val="18"/>
          <w:szCs w:val="18"/>
          <w:color w:val="auto"/>
        </w:rPr>
      </w:pPr>
    </w:p>
    <w:p>
      <w:pPr>
        <w:ind w:right="20" w:firstLine="8"/>
        <w:spacing w:after="0" w:line="277" w:lineRule="auto"/>
        <w:tabs>
          <w:tab w:leader="none" w:pos="271"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ind w:left="660" w:right="20" w:hanging="4"/>
        <w:spacing w:after="0" w:line="277" w:lineRule="auto"/>
        <w:tabs>
          <w:tab w:leader="none" w:pos="955"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4"/>
        <w:spacing w:after="0" w:line="277" w:lineRule="auto"/>
        <w:tabs>
          <w:tab w:leader="none" w:pos="961"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July 29, 2011</w:t>
      </w:r>
    </w:p>
    <w:p>
      <w:pPr>
        <w:spacing w:after="0" w:line="25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Alan L.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14605</wp:posOffset>
            </wp:positionV>
            <wp:extent cx="336169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1690" cy="17145"/>
                    </a:xfrm>
                    <a:prstGeom prst="rect">
                      <a:avLst/>
                    </a:prstGeom>
                    <a:noFill/>
                  </pic:spPr>
                </pic:pic>
              </a:graphicData>
            </a:graphic>
          </wp:anchor>
        </w:drawing>
      </w:r>
    </w:p>
    <w:p>
      <w:pPr>
        <w:spacing w:after="0" w:line="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Alan L. Miller</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color w:val="auto"/>
        </w:rPr>
        <w:t>Exhibit 32.1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 of CEO</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Annual Report of Frequency Electronics, Inc. (the “Company”) on Form 10-K for the year ended April 30, 2011 as filed with the Securities and Exchange Commission on the date hereof (the “Report”), I, Martin B. Bloch, Chief Executive Officer of the Company, certify, pursuant to Section 18 U.S.C. 1350, as adopted pursuant to Section 906 of the Sarbanes-Oxley Act of 2002, that:</w:t>
      </w:r>
    </w:p>
    <w:p>
      <w:pPr>
        <w:spacing w:after="0" w:line="208" w:lineRule="exact"/>
        <w:rPr>
          <w:sz w:val="20"/>
          <w:szCs w:val="20"/>
          <w:color w:val="auto"/>
        </w:rPr>
      </w:pPr>
    </w:p>
    <w:p>
      <w:pPr>
        <w:ind w:left="820" w:hanging="326"/>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and 15(d) of the Securities Exchange Act of 1934; and</w:t>
      </w:r>
    </w:p>
    <w:p>
      <w:pPr>
        <w:spacing w:after="0" w:line="252" w:lineRule="exact"/>
        <w:rPr>
          <w:rFonts w:ascii="Arial" w:cs="Arial" w:eastAsia="Arial" w:hAnsi="Arial"/>
          <w:sz w:val="18"/>
          <w:szCs w:val="18"/>
          <w:color w:val="auto"/>
        </w:rPr>
      </w:pPr>
    </w:p>
    <w:p>
      <w:pPr>
        <w:ind w:left="820" w:hanging="326"/>
        <w:spacing w:after="0"/>
        <w:tabs>
          <w:tab w:leader="none" w:pos="8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tabs>
          <w:tab w:leader="none" w:pos="7600" w:val="left"/>
        </w:tabs>
        <w:rPr>
          <w:sz w:val="20"/>
          <w:szCs w:val="20"/>
          <w:color w:val="auto"/>
        </w:rPr>
      </w:pPr>
      <w:r>
        <w:rPr>
          <w:rFonts w:ascii="Arial" w:cs="Arial" w:eastAsia="Arial" w:hAnsi="Arial"/>
          <w:sz w:val="18"/>
          <w:szCs w:val="18"/>
          <w:color w:val="auto"/>
        </w:rPr>
        <w:t>/s/ Martin B. Bloch</w:t>
      </w:r>
      <w:r>
        <w:rPr>
          <w:sz w:val="20"/>
          <w:szCs w:val="20"/>
          <w:color w:val="auto"/>
        </w:rPr>
        <w:tab/>
      </w:r>
      <w:r>
        <w:rPr>
          <w:rFonts w:ascii="Arial" w:cs="Arial" w:eastAsia="Arial" w:hAnsi="Arial"/>
          <w:sz w:val="16"/>
          <w:szCs w:val="16"/>
          <w:color w:val="auto"/>
        </w:rPr>
        <w:t>July 29,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40982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4098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Martin B. Bloch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38"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r>
        <w:rPr>
          <w:rFonts w:ascii="Arial" w:cs="Arial" w:eastAsia="Arial" w:hAnsi="Arial"/>
          <w:sz w:val="17"/>
          <w:szCs w:val="17"/>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386715</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color w:val="auto"/>
        </w:rPr>
        <w:t>Exhibit 32.2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 of CFO</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Annual Report of Frequency Electronics, Inc. (the “Company”) on Form 10-K for the year ended April 30, 2011 as filed with the Securities and Exchange Commission on the date hereof (the “Report”), I, Alan L. Miller, Chief Financial Officer of the Company, certify, pursuant to Section 18 U.S.C. 1350, as adopted pursuant to Section 906 of the Sarbanes-Oxley Act of 2002, that:</w:t>
      </w:r>
    </w:p>
    <w:p>
      <w:pPr>
        <w:spacing w:after="0" w:line="208" w:lineRule="exact"/>
        <w:rPr>
          <w:sz w:val="20"/>
          <w:szCs w:val="20"/>
          <w:color w:val="auto"/>
        </w:rPr>
      </w:pPr>
    </w:p>
    <w:p>
      <w:pPr>
        <w:ind w:left="820" w:hanging="326"/>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and 15(d) of the Securities Exchange Act of 1934; and</w:t>
      </w:r>
    </w:p>
    <w:p>
      <w:pPr>
        <w:spacing w:after="0" w:line="252" w:lineRule="exact"/>
        <w:rPr>
          <w:rFonts w:ascii="Arial" w:cs="Arial" w:eastAsia="Arial" w:hAnsi="Arial"/>
          <w:sz w:val="18"/>
          <w:szCs w:val="18"/>
          <w:color w:val="auto"/>
        </w:rPr>
      </w:pPr>
    </w:p>
    <w:p>
      <w:pPr>
        <w:ind w:left="820" w:hanging="326"/>
        <w:spacing w:after="0"/>
        <w:tabs>
          <w:tab w:leader="none" w:pos="8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tabs>
          <w:tab w:leader="none" w:pos="7600" w:val="left"/>
        </w:tabs>
        <w:rPr>
          <w:sz w:val="20"/>
          <w:szCs w:val="20"/>
          <w:color w:val="auto"/>
        </w:rPr>
      </w:pPr>
      <w:r>
        <w:rPr>
          <w:rFonts w:ascii="Arial" w:cs="Arial" w:eastAsia="Arial" w:hAnsi="Arial"/>
          <w:sz w:val="18"/>
          <w:szCs w:val="18"/>
          <w:color w:val="auto"/>
        </w:rPr>
        <w:t>/s/ Alan L. Miller</w:t>
      </w:r>
      <w:r>
        <w:rPr>
          <w:sz w:val="20"/>
          <w:szCs w:val="20"/>
          <w:color w:val="auto"/>
        </w:rPr>
        <w:tab/>
      </w:r>
      <w:r>
        <w:rPr>
          <w:rFonts w:ascii="Arial" w:cs="Arial" w:eastAsia="Arial" w:hAnsi="Arial"/>
          <w:sz w:val="16"/>
          <w:szCs w:val="16"/>
          <w:color w:val="auto"/>
        </w:rPr>
        <w:t>July 29,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40982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409825" cy="17145"/>
                    </a:xfrm>
                    <a:prstGeom prst="rect">
                      <a:avLst/>
                    </a:prstGeom>
                    <a:noFill/>
                  </pic:spPr>
                </pic:pic>
              </a:graphicData>
            </a:graphic>
          </wp:anchor>
        </w:drawing>
      </w:r>
    </w:p>
    <w:p>
      <w:pPr>
        <w:spacing w:after="0" w:line="1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Alan L. Miller</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Chief Financial Officer</w:t>
      </w:r>
    </w:p>
    <w:p>
      <w:pPr>
        <w:spacing w:after="0" w:line="238"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r>
        <w:rPr>
          <w:rFonts w:ascii="Arial" w:cs="Arial" w:eastAsia="Arial" w:hAnsi="Arial"/>
          <w:sz w:val="17"/>
          <w:szCs w:val="17"/>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386715</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x"/>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decimal"/>
      <w:start w:val="1"/>
    </w:lvl>
  </w:abstractNum>
  <w:abstractNum w:abstractNumId="3">
    <w:nsid w:val="519B500D"/>
    <w:multiLevelType w:val="hybridMultilevel"/>
    <w:lvl w:ilvl="0">
      <w:lvlJc w:val="left"/>
      <w:lvlText w:val="(%1)"/>
      <w:numFmt w:val="decimal"/>
      <w:start w:val="3"/>
    </w:lvl>
  </w:abstractNum>
  <w:abstractNum w:abstractNumId="4">
    <w:nsid w:val="431BD7B7"/>
    <w:multiLevelType w:val="hybridMultilevel"/>
    <w:lvl w:ilvl="0">
      <w:lvlJc w:val="left"/>
      <w:lvlText w:val="(%1)"/>
      <w:numFmt w:val="decimal"/>
      <w:start w:val="4"/>
    </w:lvl>
  </w:abstractNum>
  <w:abstractNum w:abstractNumId="5">
    <w:nsid w:val="3F2DBA31"/>
    <w:multiLevelType w:val="hybridMultilevel"/>
    <w:lvl w:ilvl="0">
      <w:lvlJc w:val="left"/>
      <w:lvlText w:val="(%1)"/>
      <w:numFmt w:val="decimal"/>
      <w:start w:val="5"/>
    </w:lvl>
  </w:abstractNum>
  <w:abstractNum w:abstractNumId="6">
    <w:nsid w:val="7C83E458"/>
    <w:multiLevelType w:val="hybridMultilevel"/>
    <w:lvl w:ilvl="0">
      <w:lvlJc w:val="left"/>
      <w:lvlText w:val="(%1)"/>
      <w:numFmt w:val="decimal"/>
      <w:start w:val="7"/>
    </w:lvl>
  </w:abstractNum>
  <w:abstractNum w:abstractNumId="7">
    <w:nsid w:val="257130A3"/>
    <w:multiLevelType w:val="hybridMultilevel"/>
    <w:lvl w:ilvl="0">
      <w:lvlJc w:val="left"/>
      <w:lvlText w:val="%1."/>
      <w:numFmt w:val="decimal"/>
      <w:start w:val="1"/>
    </w:lvl>
  </w:abstractNum>
  <w:abstractNum w:abstractNumId="8">
    <w:nsid w:val="62BBD95A"/>
    <w:multiLevelType w:val="hybridMultilevel"/>
    <w:lvl w:ilvl="0">
      <w:lvlJc w:val="left"/>
      <w:lvlText w:val="(%1)"/>
      <w:numFmt w:val="decimal"/>
      <w:start w:val="1"/>
    </w:lvl>
  </w:abstractNum>
  <w:abstractNum w:abstractNumId="9">
    <w:nsid w:val="436C6125"/>
    <w:multiLevelType w:val="hybridMultilevel"/>
    <w:lvl w:ilvl="0">
      <w:lvlJc w:val="left"/>
      <w:lvlText w:val="%1."/>
      <w:numFmt w:val="decimal"/>
      <w:start w:val="1"/>
    </w:lvl>
  </w:abstractNum>
  <w:abstractNum w:abstractNumId="10">
    <w:nsid w:val="628C895D"/>
    <w:multiLevelType w:val="hybridMultilevel"/>
    <w:lvl w:ilvl="0">
      <w:lvlJc w:val="left"/>
      <w:lvlText w:val="%1."/>
      <w:numFmt w:val="decimal"/>
      <w:start w:val="2"/>
    </w:lvl>
  </w:abstractNum>
  <w:abstractNum w:abstractNumId="11">
    <w:nsid w:val="333AB105"/>
    <w:multiLevelType w:val="hybridMultilevel"/>
    <w:lvl w:ilvl="0">
      <w:lvlJc w:val="left"/>
      <w:lvlText w:val="%1."/>
      <w:numFmt w:val="decimal"/>
      <w:start w:val="3"/>
    </w:lvl>
  </w:abstractNum>
  <w:abstractNum w:abstractNumId="12">
    <w:nsid w:val="721DA317"/>
    <w:multiLevelType w:val="hybridMultilevel"/>
    <w:lvl w:ilvl="0">
      <w:lvlJc w:val="left"/>
      <w:lvlText w:val="%1."/>
      <w:numFmt w:val="decimal"/>
      <w:start w:val="4"/>
    </w:lvl>
  </w:abstractNum>
  <w:abstractNum w:abstractNumId="13">
    <w:nsid w:val="2443A858"/>
    <w:multiLevelType w:val="hybridMultilevel"/>
    <w:lvl w:ilvl="0">
      <w:lvlJc w:val="left"/>
      <w:lvlText w:val="%1."/>
      <w:numFmt w:val="decimal"/>
      <w:start w:val="5"/>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1."/>
      <w:numFmt w:val="decimal"/>
      <w:start w:val="8"/>
    </w:lvl>
  </w:abstractNum>
  <w:abstractNum w:abstractNumId="16">
    <w:nsid w:val="75A2A8D4"/>
    <w:multiLevelType w:val="hybridMultilevel"/>
    <w:lvl w:ilvl="0">
      <w:lvlJc w:val="left"/>
      <w:lvlText w:val="%1."/>
      <w:numFmt w:val="decimal"/>
      <w:start w:val="10"/>
    </w:lvl>
  </w:abstractNum>
  <w:abstractNum w:abstractNumId="17">
    <w:nsid w:val="8EDBDAB"/>
    <w:multiLevelType w:val="hybridMultilevel"/>
    <w:lvl w:ilvl="0">
      <w:lvlJc w:val="left"/>
      <w:lvlText w:val="%1."/>
      <w:numFmt w:val="decimal"/>
      <w:start w:val="11"/>
    </w:lvl>
  </w:abstractNum>
  <w:abstractNum w:abstractNumId="18">
    <w:nsid w:val="79838CB2"/>
    <w:multiLevelType w:val="hybridMultilevel"/>
    <w:lvl w:ilvl="0">
      <w:lvlJc w:val="left"/>
      <w:lvlText w:val="%1."/>
      <w:numFmt w:val="decimal"/>
      <w:start w:val="12"/>
    </w:lvl>
  </w:abstractNum>
  <w:abstractNum w:abstractNumId="19">
    <w:nsid w:val="4353D0CD"/>
    <w:multiLevelType w:val="hybridMultilevel"/>
    <w:lvl w:ilvl="0">
      <w:lvlJc w:val="left"/>
      <w:lvlText w:val="%1."/>
      <w:numFmt w:val="decimal"/>
      <w:start w:val="13"/>
    </w:lvl>
  </w:abstractNum>
  <w:abstractNum w:abstractNumId="20">
    <w:nsid w:val="B03E0C6"/>
    <w:multiLevelType w:val="hybridMultilevel"/>
    <w:lvl w:ilvl="0">
      <w:lvlJc w:val="left"/>
      <w:lvlText w:val="%1."/>
      <w:numFmt w:val="decimal"/>
      <w:start w:val="14"/>
    </w:lvl>
  </w:abstractNum>
  <w:abstractNum w:abstractNumId="21">
    <w:nsid w:val="189A769B"/>
    <w:multiLevelType w:val="hybridMultilevel"/>
    <w:lvl w:ilvl="0">
      <w:lvlJc w:val="left"/>
      <w:lvlText w:val="%1."/>
      <w:numFmt w:val="decimal"/>
      <w:start w:val="15"/>
    </w:lvl>
    <w:lvl w:ilvl="1">
      <w:lvlJc w:val="left"/>
      <w:lvlText w:val="(%2)"/>
      <w:numFmt w:val="decimal"/>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1)"/>
      <w:numFmt w:val="lowerLetter"/>
      <w:start w:val="1"/>
    </w:lvl>
  </w:abstractNum>
  <w:abstractNum w:abstractNumId="24">
    <w:nsid w:val="2CA88611"/>
    <w:multiLevelType w:val="hybridMultilevel"/>
    <w:lvl w:ilvl="0">
      <w:lvlJc w:val="left"/>
      <w:lvlText w:val="(%1)"/>
      <w:numFmt w:val="decimal"/>
      <w:start w:val="1"/>
    </w:lvl>
  </w:abstractNum>
  <w:abstractNum w:abstractNumId="25">
    <w:nsid w:val="836C40E"/>
    <w:multiLevelType w:val="hybridMultilevel"/>
    <w:lvl w:ilvl="0">
      <w:lvlJc w:val="left"/>
      <w:lvlText w:val="(%1)"/>
      <w:numFmt w:val="decimal"/>
      <w:start w:val="1"/>
    </w:lvl>
  </w:abstractNum>
  <w:abstractNum w:abstractNumId="26">
    <w:nsid w:val="2901D82"/>
    <w:multiLevelType w:val="hybridMultilevel"/>
    <w:lvl w:ilvl="0">
      <w:lvlJc w:val="left"/>
      <w:lvlText w:val="(%1)"/>
      <w:numFmt w:val="decimal"/>
      <w:start w:val="10"/>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2019-12-10T00:47:20Z</dcterms:created>
  <dcterms:modified xsi:type="dcterms:W3CDTF">2019-12-10T00:47:20Z</dcterms:modified>
</cp:coreProperties>
</file>