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184785</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86995</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2" w:lineRule="exact"/>
        <w:rPr>
          <w:sz w:val="24"/>
          <w:szCs w:val="24"/>
          <w:color w:val="auto"/>
        </w:rPr>
      </w:pPr>
    </w:p>
    <w:p>
      <w:pPr>
        <w:ind w:left="4240" w:right="2240" w:hanging="3867"/>
        <w:spacing w:after="0" w:line="475" w:lineRule="auto"/>
        <w:tabs>
          <w:tab w:leader="none" w:pos="8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 (d) OF THE SECURITIES EXCHANGE ACT OF 1934 For the Fiscal Year ended April 30, 2017</w:t>
      </w:r>
    </w:p>
    <w:p>
      <w:pPr>
        <w:ind w:left="5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3600" w:right="1920" w:hanging="3227"/>
        <w:spacing w:after="0" w:line="477" w:lineRule="auto"/>
        <w:tabs>
          <w:tab w:leader="none" w:pos="8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04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(State or</w:t>
            </w: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37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other jurisdiction of</w:t>
            </w:r>
          </w:p>
        </w:tc>
        <w:tc>
          <w:tcPr>
            <w:tcW w:w="3620" w:type="dxa"/>
            <w:vAlign w:val="bottom"/>
            <w:gridSpan w:val="5"/>
          </w:tcPr>
          <w:p>
            <w:pPr>
              <w:jc w:val="center"/>
              <w:ind w:left="91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0" w:type="dxa"/>
            <w:vAlign w:val="bottom"/>
          </w:tcPr>
          <w:p>
            <w:pPr>
              <w:spacing w:after="0"/>
              <w:rPr>
                <w:sz w:val="19"/>
                <w:szCs w:val="19"/>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00"/>
        </w:trPr>
        <w:tc>
          <w:tcPr>
            <w:tcW w:w="6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 (b) of the Act:</w:t>
      </w:r>
    </w:p>
    <w:p>
      <w:pPr>
        <w:spacing w:after="0" w:line="194"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194"/>
        </w:trPr>
        <w:tc>
          <w:tcPr>
            <w:tcW w:w="100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8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color w:val="auto"/>
                <w:w w:val="98"/>
              </w:rPr>
              <w:t>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2"/>
        </w:trPr>
        <w:tc>
          <w:tcPr>
            <w:tcW w:w="484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350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 (g) of the Act:</w:t>
      </w:r>
    </w:p>
    <w:p>
      <w:pPr>
        <w:spacing w:after="0" w:line="198"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color w:val="auto"/>
        </w:rPr>
        <w:t>None</w:t>
      </w:r>
    </w:p>
    <w:p>
      <w:pPr>
        <w:spacing w:after="0" w:line="1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7"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898" w:right="239" w:bottom="0" w:gutter="0" w:footer="0" w:header="0"/>
        </w:sectPr>
      </w:pPr>
    </w:p>
    <w:p>
      <w:pPr>
        <w:spacing w:after="0" w:line="1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06" w:lineRule="exact"/>
        <w:rPr>
          <w:sz w:val="24"/>
          <w:szCs w:val="24"/>
          <w:color w:val="auto"/>
        </w:rPr>
      </w:pPr>
    </w:p>
    <w:p>
      <w:pPr>
        <w:sectPr>
          <w:pgSz w:w="11900" w:h="16838" w:orient="portrait"/>
          <w:cols w:equalWidth="0" w:num="2">
            <w:col w:w="5120" w:space="600"/>
            <w:col w:w="5700"/>
          </w:cols>
          <w:pgMar w:left="240" w:top="898" w:right="239" w:bottom="0" w:gutter="0" w:footer="0" w:header="0"/>
          <w:type w:val="continuous"/>
        </w:sectPr>
      </w:pPr>
    </w:p>
    <w:p>
      <w:pPr>
        <w:ind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as of October 31, 2016 - $45,300,000</w:t>
      </w:r>
    </w:p>
    <w:p>
      <w:pPr>
        <w:sectPr>
          <w:pgSz w:w="11900" w:h="16838" w:orient="portrait"/>
          <w:cols w:equalWidth="0" w:num="1">
            <w:col w:w="11420"/>
          </w:cols>
          <w:pgMar w:left="240" w:top="898"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as of July 25, 2017 – 8,729,682</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PART III incorporates information by reference from the definitive proxy statement to be filed for the Annual Meeting of Stockholders to be held on or about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20" w:type="dxa"/>
            <w:vAlign w:val="bottom"/>
            <w:gridSpan w:val="11"/>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0" w:type="dxa"/>
            <w:vAlign w:val="bottom"/>
            <w:gridSpan w:val="6"/>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52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19"/>
          </w:tcPr>
          <w:p>
            <w:pPr>
              <w:spacing w:after="0" w:line="18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Risk Factors</w:t>
              </w:r>
            </w:hyperlink>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1B.</w:t>
            </w:r>
          </w:p>
        </w:tc>
        <w:tc>
          <w:tcPr>
            <w:tcW w:w="90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Unresolved</w:t>
              </w:r>
            </w:hyperlink>
          </w:p>
        </w:tc>
        <w:tc>
          <w:tcPr>
            <w:tcW w:w="8260" w:type="dxa"/>
            <w:vAlign w:val="bottom"/>
            <w:gridSpan w:val="16"/>
          </w:tcPr>
          <w:p>
            <w:pPr>
              <w:spacing w:after="0" w:line="18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Staff Comments</w:t>
              </w:r>
            </w:hyperlink>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Properties</w:t>
              </w:r>
            </w:hyperlink>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160" w:type="dxa"/>
            <w:vAlign w:val="bottom"/>
            <w:gridSpan w:val="19"/>
          </w:tcPr>
          <w:p>
            <w:pPr>
              <w:spacing w:after="0" w:line="18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Legal Proceedings</w:t>
              </w:r>
            </w:hyperlink>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7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160" w:type="dxa"/>
            <w:vAlign w:val="bottom"/>
            <w:gridSpan w:val="19"/>
          </w:tcPr>
          <w:p>
            <w:pPr>
              <w:spacing w:after="0" w:line="18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Mine Safety Disclosures</w:t>
              </w:r>
            </w:hyperlink>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19"/>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8120" w:type="dxa"/>
            <w:vAlign w:val="bottom"/>
            <w:tcBorders>
              <w:top w:val="single" w:sz="8" w:color="0000EE"/>
            </w:tcBorders>
            <w:gridSpan w:val="18"/>
          </w:tcPr>
          <w:p>
            <w:pPr>
              <w:spacing w:after="0" w:line="18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Selected Financial Data</w:t>
              </w:r>
            </w:hyperlink>
          </w:p>
        </w:tc>
        <w:tc>
          <w:tcPr>
            <w:tcW w:w="10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7.</w:t>
            </w:r>
          </w:p>
        </w:tc>
        <w:tc>
          <w:tcPr>
            <w:tcW w:w="170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Management’s Discussion</w:t>
              </w:r>
            </w:hyperlink>
          </w:p>
        </w:tc>
        <w:tc>
          <w:tcPr>
            <w:tcW w:w="100" w:type="dxa"/>
            <w:vAlign w:val="bottom"/>
            <w:gridSpan w:val="2"/>
          </w:tcPr>
          <w:p>
            <w:pPr>
              <w:spacing w:after="0"/>
              <w:rPr>
                <w:sz w:val="15"/>
                <w:szCs w:val="15"/>
                <w:color w:val="auto"/>
              </w:rPr>
            </w:pPr>
          </w:p>
        </w:tc>
        <w:tc>
          <w:tcPr>
            <w:tcW w:w="7360" w:type="dxa"/>
            <w:vAlign w:val="bottom"/>
            <w:gridSpan w:val="12"/>
          </w:tcPr>
          <w:p>
            <w:pPr>
              <w:ind w:left="140"/>
              <w:spacing w:after="0" w:line="18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and Analysis of Financial Condition and Results of Operations</w:t>
              </w:r>
            </w:hyperlink>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Quantitative and Qualitative Disclosures About Market Risk</w:t>
              </w:r>
            </w:hyperlink>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80" w:type="dxa"/>
            <w:vAlign w:val="bottom"/>
            <w:gridSpan w:val="2"/>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Financial Statements and Supplementary Data</w:t>
              </w:r>
            </w:hyperlink>
          </w:p>
        </w:tc>
        <w:tc>
          <w:tcPr>
            <w:tcW w:w="10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880" w:type="dxa"/>
            <w:vAlign w:val="bottom"/>
            <w:gridSpan w:val="2"/>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7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9160" w:type="dxa"/>
            <w:vAlign w:val="bottom"/>
            <w:gridSpan w:val="19"/>
          </w:tcPr>
          <w:p>
            <w:pPr>
              <w:spacing w:after="0" w:line="18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Controls and Procedures</w:t>
              </w:r>
            </w:hyperlink>
          </w:p>
        </w:tc>
        <w:tc>
          <w:tcPr>
            <w:tcW w:w="780" w:type="dxa"/>
            <w:vAlign w:val="bottom"/>
          </w:tcPr>
          <w:p>
            <w:pPr>
              <w:spacing w:after="0"/>
              <w:rPr>
                <w:sz w:val="15"/>
                <w:szCs w:val="15"/>
                <w:color w:val="auto"/>
              </w:rPr>
            </w:pPr>
          </w:p>
        </w:tc>
        <w:tc>
          <w:tcPr>
            <w:tcW w:w="1880" w:type="dxa"/>
            <w:vAlign w:val="bottom"/>
            <w:gridSpan w:val="2"/>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6"/>
          </w:tcPr>
          <w:p>
            <w:pPr>
              <w:spacing w:after="0" w:line="18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Other Information</w:t>
              </w:r>
            </w:hyperlink>
          </w:p>
        </w:tc>
        <w:tc>
          <w:tcPr>
            <w:tcW w:w="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880" w:type="dxa"/>
            <w:vAlign w:val="bottom"/>
            <w:gridSpan w:val="2"/>
          </w:tcPr>
          <w:p>
            <w:pPr>
              <w:spacing w:after="0"/>
              <w:rPr>
                <w:sz w:val="15"/>
                <w:szCs w:val="15"/>
                <w:color w:val="auto"/>
              </w:rPr>
            </w:pPr>
          </w:p>
        </w:tc>
        <w:tc>
          <w:tcPr>
            <w:tcW w:w="1840" w:type="dxa"/>
            <w:vAlign w:val="bottom"/>
            <w:gridSpan w:val="3"/>
          </w:tcPr>
          <w:p>
            <w:pPr>
              <w:spacing w:after="0"/>
              <w:rPr>
                <w:sz w:val="15"/>
                <w:szCs w:val="15"/>
                <w:color w:val="auto"/>
              </w:rPr>
            </w:pPr>
          </w:p>
        </w:tc>
        <w:tc>
          <w:tcPr>
            <w:tcW w:w="1880" w:type="dxa"/>
            <w:vAlign w:val="bottom"/>
            <w:gridSpan w:val="2"/>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26"/>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19"/>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Directors and Executive Officers of the Company</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11.</w:t>
            </w:r>
          </w:p>
        </w:tc>
        <w:tc>
          <w:tcPr>
            <w:tcW w:w="356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Executive Compensation</w:t>
              </w:r>
            </w:hyperlink>
          </w:p>
        </w:tc>
        <w:tc>
          <w:tcPr>
            <w:tcW w:w="1880" w:type="dxa"/>
            <w:vAlign w:val="bottom"/>
            <w:gridSpan w:val="2"/>
          </w:tcPr>
          <w:p>
            <w:pPr>
              <w:spacing w:after="0"/>
              <w:rPr>
                <w:sz w:val="15"/>
                <w:szCs w:val="15"/>
                <w:color w:val="auto"/>
              </w:rPr>
            </w:pPr>
          </w:p>
        </w:tc>
        <w:tc>
          <w:tcPr>
            <w:tcW w:w="1840" w:type="dxa"/>
            <w:vAlign w:val="bottom"/>
            <w:gridSpan w:val="3"/>
          </w:tcPr>
          <w:p>
            <w:pPr>
              <w:spacing w:after="0"/>
              <w:rPr>
                <w:sz w:val="15"/>
                <w:szCs w:val="15"/>
                <w:color w:val="auto"/>
              </w:rPr>
            </w:pPr>
          </w:p>
        </w:tc>
        <w:tc>
          <w:tcPr>
            <w:tcW w:w="1880" w:type="dxa"/>
            <w:vAlign w:val="bottom"/>
            <w:gridSpan w:val="2"/>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12.</w:t>
            </w:r>
          </w:p>
        </w:tc>
        <w:tc>
          <w:tcPr>
            <w:tcW w:w="1800" w:type="dxa"/>
            <w:vAlign w:val="bottom"/>
            <w:tcBorders>
              <w:top w:val="single" w:sz="8" w:color="0000EE"/>
            </w:tcBorders>
            <w:gridSpan w:val="7"/>
          </w:tcPr>
          <w:p>
            <w:pPr>
              <w:spacing w:after="0" w:line="18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Security Ownership of</w:t>
              </w:r>
            </w:hyperlink>
          </w:p>
        </w:tc>
        <w:tc>
          <w:tcPr>
            <w:tcW w:w="7360" w:type="dxa"/>
            <w:vAlign w:val="bottom"/>
            <w:gridSpan w:val="12"/>
          </w:tcPr>
          <w:p>
            <w:pPr>
              <w:spacing w:after="0" w:line="18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Certain Beneficial Owners and Management and Related Stockholder Matters</w:t>
              </w:r>
            </w:hyperlink>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Certain Relationships and Related Transactions, and Director Independence</w:t>
              </w:r>
            </w:hyperlink>
          </w:p>
        </w:tc>
        <w:tc>
          <w:tcPr>
            <w:tcW w:w="1880" w:type="dxa"/>
            <w:vAlign w:val="bottom"/>
            <w:gridSpan w:val="2"/>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Principal Accountant Fees and Services</w:t>
              </w:r>
            </w:hyperlink>
          </w:p>
        </w:tc>
        <w:tc>
          <w:tcPr>
            <w:tcW w:w="3720" w:type="dxa"/>
            <w:vAlign w:val="bottom"/>
            <w:gridSpan w:val="5"/>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26"/>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7"/>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Exhibits and Financial Statement Schedules</w:t>
              </w:r>
            </w:hyperlink>
          </w:p>
        </w:tc>
        <w:tc>
          <w:tcPr>
            <w:tcW w:w="600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85"/>
        </w:trPr>
        <w:tc>
          <w:tcPr>
            <w:tcW w:w="10200" w:type="dxa"/>
            <w:vAlign w:val="bottom"/>
            <w:gridSpan w:val="20"/>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SIGNATURES</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tcPr>
          <w:p>
            <w:pPr>
              <w:spacing w:after="0" w:line="20" w:lineRule="exact"/>
              <w:rPr>
                <w:sz w:val="1"/>
                <w:szCs w:val="1"/>
                <w:color w:val="auto"/>
              </w:rPr>
            </w:pPr>
          </w:p>
        </w:tc>
        <w:tc>
          <w:tcPr>
            <w:tcW w:w="8440" w:type="dxa"/>
            <w:vAlign w:val="bottom"/>
            <w:gridSpan w:val="1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0" w:type="dxa"/>
            <w:vAlign w:val="bottom"/>
            <w:gridSpan w:val="20"/>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INDEX TO EXHIBITS</w:t>
              </w:r>
            </w:hyperlink>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797"/>
        </w:trPr>
        <w:tc>
          <w:tcPr>
            <w:tcW w:w="104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DISCUSSION</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Frequency Electronics, Inc. (sometimes referred to as “Registrant”, “Frequency Electronics” or the “Company”) is a world leader in precision time and frequency generation technology, which is employed in commercial and Government Satellite Payload systems, Secure Communications, Command, Control, Communication, Computer, Intelligence, Security and Reconnaissance (“C4ISR”), and EW (Electronic Warfare) systems. Its technology is used for a wide range of terrestrial and space applications.</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Times New Roman" w:cs="Times New Roman" w:eastAsia="Times New Roman" w:hAnsi="Times New Roman"/>
          <w:sz w:val="18"/>
          <w:szCs w:val="18"/>
          <w:i w:val="1"/>
          <w:iCs w:val="1"/>
          <w:color w:val="auto"/>
        </w:rPr>
        <w:t>www.frequencyelectronics.com.</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dominant end markets are satellite payloads and precision time for terrestrial secure communications and command and control.</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For the satellite market, the Company has a unique legacy of providing master timing systems, power converters, and frequency generation, synthesis and distribution systems. It is currently addressing new opportunities in frequency converters and receivers, representing a potential for a significant increase in the revenue for FEI products on any one satellite. These products support primary and hosted payloads for both commercial and U.S. Government end-use. Currently, approximately one thousand satellites with varying remaining years of useful life are operating in High/Geostationary, Medium and Low Earth Orbits. This number of operational satellites with emphasis on high-throughput is expected to continue to grow over the next ten years as many new satellites are added and older ones are replaced. Furthermore, the U.S. Government is expected to issue a competitive request for proposals for twenty-two additional satellites for the GPS III constellation, and the Company is well positioned to participate via prime contractors with its high-precision digital atomic frequency standard.</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the terrestrial secure communications and command and control market, the Company’s products support multiple C4ISR counter measures and EW applications for the U.S. Government on land, sea and air-borne platforms. Recently identified threats to the communication capabilities of U.S. Government facilities through jamming, multi-path or “spoofing” GPS signals may be mitigated by the Company’s technologies. In addition, similar types of threats to the public and enterprise networks have been identified by the Department of Homeland Security. The Company’s high precision, ruggedized clocks combined with specialized software are essential for communication and operational security.</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address these markets, the Company has several corporate entities which operate under two reportable segments primarily based on the geographic locations of its subsidiaries.</w:t>
      </w:r>
    </w:p>
    <w:p>
      <w:pPr>
        <w:spacing w:after="0" w:line="14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Frequency Electronics has made a strategic decision to concentrate its focus on two of its major business areas, satellite payloads and secure communications, because these two business areas represent unprecedented opportunities for growth in comparison to both domestic and foreign opportunities looking ahead in the Company’s wire line network infrastructure business. The Company believes it should allocate the full measure of its resources on its FEI-NY and FEI-Zyfer segments in which the satellite payload and secure communications revenues are generated. Accordingly, the Company has determined to divest Gillam-FEI s.a. (“Gillam”), FEI’s heretofore third reportable segment. Gillam is a wholly owned foreign (Belgium) subsidiary of FEI, which develops and manufactures network infrastructure products.</w:t>
      </w:r>
    </w:p>
    <w:p>
      <w:pPr>
        <w:spacing w:after="0" w:line="17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December 2016, the Company entered into a contingent share purchase agreement with certain foreign parties with respect to a potential sale of Gillam. However, these parties have not yet performed their obligations under that agreement, and the Company continues to negotiate with these parties with respect to a potential sale. Subsequently, in April 2017, the Company decided to sell its Gillam business in any event as soon as practicable. The Company is currently in discussions with a number of potential buyers and believes that the divestment of Gillam is on a path to completion by the end of fiscal year 2018. Accordingly, the Company determined that the assets and liabilities of this reportable segment met the discontinued operations criteria set forth in Accounting Standards Codification 205-20-45 in the quarter ended April 30, 2017. As such Gillam’s results have been classified as discontinued operations in the accompanying Consolidated Statements of Operations and Comprehensive (Loss) Income.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both"/>
        <w:ind w:left="620" w:hanging="612"/>
        <w:spacing w:after="0" w:line="26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FEI-NY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satellite payload products for U.S. Government and commercial satellite programs are designed, developed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manufactured at its Long Island, New York facility. At this location, the Company also applies its technology and legacy to products for the U.S. military and other U.S. Government agencies, as well as products for certain terrestrial commercial communications and other industrial applications.</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Frequency Electronics, Inc. Asia (“FEI-Asia”) was established in fiscal year 2002 as a wholly-owned subsidiary, to be the Company’s Asia-based low-cost manufacturer of certain commercial communications products used primarily in the wireless and wireline markets as well as power grids. FEI-Asia is located in the Free-Trade Zone in Tianjin, China.</w:t>
      </w:r>
    </w:p>
    <w:p>
      <w:pPr>
        <w:spacing w:after="0" w:line="16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Company’s subsidiary, FEI-Elcom Tech, Inc. (“FEI-Elcom”) designs and manufactures Radio Frequency (“RF”) microwave modules, devices and subsystems up to 46 GHz including fast switching, ultra-low phase noise synthesizers, up-down converters, receivers, tuners, ceramic resonant oscillators and dielectric resonant oscillators. These instruments and components are mission critical for multiple applications in the EW market, including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We continue to right-size the FEI-NY subsidiary in response to the end market weakness while at the same time best positioning FEI to capture the eventual recovery in business. These actions have had to include headcount reductions, however, we are ensuring that these reductions will have no effect on the Company’s ability to provide on time delivery for present contractual obligations and to fully achieve its internal research and development objectives. We are also implementing a variety of improved operating disciplines that should prove to optimize the organization allowing the company to generate larger margins and enhanced inventory turns when our satellite end markets recover. We are working to consolidate certain of FEI-Elcom’s capabilities with other FEI-NY operations in an effort to reduce costs and improve working capital management. This should have the collateral benefit of providing engineering efficiencies and better customer coverage.</w:t>
      </w:r>
    </w:p>
    <w:p>
      <w:pPr>
        <w:spacing w:after="0" w:line="190" w:lineRule="exact"/>
        <w:rPr>
          <w:sz w:val="20"/>
          <w:szCs w:val="20"/>
          <w:color w:val="auto"/>
        </w:rPr>
      </w:pPr>
    </w:p>
    <w:p>
      <w:pPr>
        <w:jc w:val="both"/>
        <w:ind w:left="660" w:hanging="652"/>
        <w:spacing w:after="0" w:line="247" w:lineRule="auto"/>
        <w:tabs>
          <w:tab w:leader="none" w:pos="10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FEI-Zyfer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Precision time for terrestrial secure communications and command and control, and frequency products that incorporate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positioning systems (“GPS”) technology are manufactured by the Company’s subsidiary FEI-Zyfer, Inc. (“FEI-Zyfer”). FEI-Zyfer’s GPS capability complements the Company’s existing technologies and permits the combined entities to provide a broader range of embedded systems for a variety of timing functions and anti-spoofing (“SAASM”) applications.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about these reportable segments, see “Item 1. Business – Reportable Segments and Products.”</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10 to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REPORTABLE SEGMENTS AND PRODUCTS</w:t>
      </w:r>
    </w:p>
    <w:p>
      <w:pPr>
        <w:spacing w:after="0" w:line="19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operates under two reportable segments, primarily aligned with the geographical locations of its subsidiaries: (1) FEI-NY and (2)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subsidiaries, FEI-Asia and FEI-Elcom. FEI-Asia functions as a manufacturing facility for FEI-NY and FEI-Zyfer with historically minimal sales to outside customers. Beginning in late fiscal year 2014 thru fiscal 2016, FEI-Asia increased shipments of product to third parties as a contract manufacturer. Subsequently such third party sales declined to prior nominal levels. FEI-Elcom, in addition to its own product line, provides design and technical support for the FEI-NY segment’s satellite business. The products manufactured by the FEI-NY segment are principally marketed to the commercial and U.S. Government satellite markets, to other U.S. Department of Defense (“DOD”) programs and to wireless communications networks. The primary business of the FEI-Zyfer segment, which operates out of California, is the design and manufacture of products which incorporate GPS technologies and rugged high-precision-clocks that are designed and manufactured at FEI-NY. FEI-Zyfer sells its products to both commercial and U.S. Government customers and collaborates with FEI-NY on joint product development activities.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fiscal years 2017 and 2016, approximately 78% and 80%, respectively, of the Company’s consolidated revenues were from products sold by the FEI-NY segment. In fiscal years 2017 and 2016, sales for the FEI-Zyfer segment were 30% and 22% of consolidated revenues, respectively. (The sum of annual sales percentages exceeds 100% due to intersegment sales.)</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Consolidated revenues include sales to end-users in countries located outside of the U.S, primarily in Europe and China. During fiscal years 2017 and 2016, foreign sales comprised 9% and 12%, respectively, of consolidated revenues. For segment information, see Note 14 to the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FEI-NY </w:t>
      </w:r>
      <w:r>
        <w:rPr>
          <w:rFonts w:ascii="Times New Roman" w:cs="Times New Roman" w:eastAsia="Times New Roman" w:hAnsi="Times New Roman"/>
          <w:sz w:val="12"/>
          <w:szCs w:val="12"/>
          <w:b w:val="1"/>
          <w:bCs w:val="1"/>
          <w:color w:val="auto"/>
        </w:rPr>
        <w:t>SEGMENT</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 provides precision time, frequency generation and synchronization products and subsystems that are found on-board satellites, in ground-based communication stations, and imbedded in moving platforms operated by the U.S. military. The Company has made a substantial investment in research and development to apply its core technologies to satellite payloads, non-space DOD programs and commercial and industrial markets. Revenues from satellite payloads, both for commercial and U.S. Government applications have increased in recent years while the portion of network infrastructure sales was reduced. The Company expects to continue to generate substantial revenues from deployment of new and replacement satellites and other U.S. Government/DOD applications including sales of ruggedized subsystems for moving platforms of the U.S. military.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Satellite Payloads</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cesium) and other significant timing and frequency generation products for communication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Constellation, Intelsat EPIC, O3B, WAAS, MexSat, MSV, ICO, TerreStar, EchoStar, Inmarsat and numerous others. The Company is also positioned to participate in certain large constellations being planned for the very near future that will operate in low or mid earth orbits such as the O3B Next Generation Constellation and the LeoSat constellation that consists of up to 108 satellites.</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the years ahead, the Company expects that the U.S. DOD will require more secure communication capabilities, more assets in space and greater bandwidth. The Global Positioning Satellite System (GPS), the MILSTAR Satellite System and the AEHF Satellite System are examples of the programs in which the Company participates - programs which management believes are important to the success of the U.S. Government’s security, communication and intelligence needs.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U.S. Government- Non-space:</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to space-based programs, the Company’s proprietary products have been used in airborne and ground-based guidance, navigation, communications, radar, sonar surveillance and electronic countermeasure and timing systems. The Company has developed and patented a low g-sensitivity (gravity) technology which offers a 100-fold improvement in performance under shock, vibration and other environmental effects.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FEI-Elcom designs and manufactures Radio Frequency (RF) microwave modules and subsystems up to 46 GHz including fast switching, ultra-low phase noise synthesizers, up-down converters, receivers, tuners, ceramic resonant oscillators and dielectric resonant oscillators. These instruments and components are mission critical for multiple applications in the EW market, including SATCOM communication, surveillance, signal intelligence (COMINT, MASINT, and ELINT), threat simulation, electronic attack (EA) and electronic prevention (EP) systems.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1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gathering community is dependent on successful and timely deployment of these systems. Thus, the Company anticipates that adequate funds will be provided by the U.S. Government to ensure that the programs are completed. The Company’s experience indicates that some programs or product sales have been slowed or delayed due to U.S. Government spending constraints.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Recently the Company has also received several cost-plus-fee contracts under U.S. Government programs. Under these contracts, the Company may be able to recover all of its direct and indirect costs related to the programs plus a pre-determined fee. In the event of substantial cost overruns, the fee may be reduced.</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Negotiations on U.S. Government contracts are sometimes based in part on Certificates of Current Costs. An inaccuracy in such certificates may entitle the government to an appropriate recovery. The Company’s accounts with respect to these contracts are subject to audit by the Defense Contracts Audit Agency (“DCAA”). Frequency’s last full incurred cost audit was performed in 2008. The Company is required to submit for subsequent review an incurred cost report by October 31, for each year then ended. All such required reports have been filed with no adverse comment to date.</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a large anticipated Cost Plus fixed fee contract, the DCAA has initiated an Accounting System Audit which upon successful completion would for the first time enable Frequency to enter into cost plus contracts with certain Government agencies directly without intermediary contractors, which would further enable the Company to take advantage of future opportunities. The Company knows of no reason to expect other than a quick and favorable Audit result.</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 There were no end-use contracts terminated for the year ended April 30, 2017.</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FEI-Z</w:t>
      </w:r>
      <w:r>
        <w:rPr>
          <w:rFonts w:ascii="Times New Roman" w:cs="Times New Roman" w:eastAsia="Times New Roman" w:hAnsi="Times New Roman"/>
          <w:sz w:val="12"/>
          <w:szCs w:val="12"/>
          <w:b w:val="1"/>
          <w:bCs w:val="1"/>
          <w:color w:val="auto"/>
        </w:rPr>
        <w:t>YFER SEGMENT</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85% of revenues are derived from sales where the end user is the U.S. Government. FEI-Zyfer’s products are an important extension of FEI’s core product line, specifically in the area of GPS capabilities and precision time for terrestrial secure communications and command and control. Recently identified threats to the communication capabilities of U.S. Government facilities and to the public and enterprise networks through jamming, multi-path or “spoofing” GPS signals may be mitigated by FEI-Zyfer’s technologies and products. High precision, ruggedized clocks combined with specialized software are essential for communication and operational security.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BACKLOG</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As of April 30, 2017, the Company’s consolidated backlog amounted to approximately $28 million compared to approximately $30 million at the end of the prior fiscal year. Approximately 80% of the current backlog is expected to be filled during the Company’s fiscal year ending April 30, 2018. As of April 30, 2017, there are no amounts included in backlog under cost-plus fee contracts that have not been funded. The Company excludes from backlog those contracts or awards for which it has not received authorization to proceed. On fixed price contracts, the Company excludes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CUSTOMERS AND SUPPLIERS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markets its products both directly and through independent sales representative organizations located in the U.S., Europe and Asia.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non-U.S. end-users, totaled approximately 9% and 12%, respectively, of net revenues in fiscal years 2017 and 2016.</w:t>
      </w:r>
    </w:p>
    <w:p>
      <w:pPr>
        <w:spacing w:after="0" w:line="17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the years ended April 30, 2017 and 2016, approximately 59% and 65%, respectively, of the Company’s sales were made under contracts to the U.S. Government or subcontracts for U.S. Government end-use.</w:t>
      </w:r>
    </w:p>
    <w:p>
      <w:pPr>
        <w:spacing w:after="0" w:line="14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fiscal year 2017, Lockheed Martin Corporation (“Lockheed”), Northrop Grumman Corporation (“Northrop”), and Thales Alenia Space (“Thales”), each accounted for more than 10% of FEI-NY segment revenues; additionally, Lockheed and Northrop also each accounted for more than 10% of consolidated revenues. During fiscal year 2016, Boeing Corporation (“Boeing”), Lockheed, Northrop and Space and Intelligence Systems/Harris Corporation (“Harris”), each accounted for more than 10% of FEI-NY segment revenues; additionally, Boeing and Lockheed also each accounted for more than 10% of consolidated revenues.</w:t>
      </w:r>
    </w:p>
    <w:p>
      <w:pPr>
        <w:spacing w:after="0" w:line="172"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During fiscal year 2017, Raytheon Company (“Raytheon”) was a major customer of the FEI-Zyfer segment, accounting for more than 10% of the segment’s revenues; additionally, Raytheon also accounted for more than 10% of consolidated revenues. During fiscal year 2016, Copper River Information Technology and Raytheon were major customers of the FEI-Zyfer segment, each accounting for more than 10% of the segment’s revenues.</w:t>
      </w:r>
    </w:p>
    <w:p>
      <w:pPr>
        <w:spacing w:after="0" w:line="16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Company’s technological leadership continues to be an essential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6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continues to focus a significant portion of its own resources and efforts on developing hardware for satellite (commercial and U.S. Government) and terrestrial commercial communications systems, including wireless and GPS-related systems. During fiscal years 2017 and 2016, the Company expended $6.9 million and $5.4 million of its own funds, respectively, on such research and development activity. See “Item 7. Management’s Discussion and Analysis of Financial Condition and Results of Operations.” Additionally, the Company receives customer funding for specific R&amp;D projects, and anticipates additional funding from customers for future R&amp;D initiatives. During fiscal years 2017 and 2016, some of the Company’s development resources were applied to certain cost-plus-fee contracts and the design-stage of fixed-price satellite payload programs. For fiscal year 2018 the resources to be allocated to research and development will depend on market conditions and identification of new opportunities, as was the case in fiscal 2017.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PATENTS AND LICENSES</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intends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COMPETITION</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experiences competition in all areas of its business. Many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includes quartz, rubidium, and cesium-based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principal competition for space products is the in-house capability of its major customers such as Boeing, Northrop, Lockheed Martin and Space Systems Loral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 domestic companies such as Microsemi Corporation, Vectron, Inc., a division of Dover Corp., and Mercury Systems.</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has successfully outsourced certain manufacturing processes to third parties and to its wholly-owned subsidiary, FEI-Asia in Tianjin, China and to Russia-based Morion, in which the Company is a minority shareholder. The Company conducts this outsourcing to maintain a competitive position on cost while adhering to its high quality standards.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employs approximately 320 full-time persons worldwide. None of the U.S. or Chinese employees are represented by labor unions.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ASPECTS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business is not seasonal although it expects to experience some fluctuation in revenues during the second fiscal quarter as a result of summer holiday periods. No unusual working capital requirements exist.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 OF THE COMPANY</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executive officers hold office until the annual meeting of the Board of Directors following the annual meeting of stockholders, subject to earlier removal by the Board of Directors.</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names of all executive officers of the Company and all positions and offices with the Company which they presently hold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Martin B. Bloch</w:t>
            </w:r>
          </w:p>
        </w:tc>
        <w:tc>
          <w:tcPr>
            <w:tcW w:w="9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President, Chief Executive Officer and Director</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Markus Hechler</w:t>
            </w:r>
          </w:p>
        </w:tc>
        <w:tc>
          <w:tcPr>
            <w:tcW w:w="9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Executive Vice President, President of FEI Government Systems, Inc. and Secretary and Treasurer</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Oleandro Mancini</w:t>
            </w:r>
          </w:p>
        </w:tc>
        <w:tc>
          <w:tcPr>
            <w:tcW w:w="9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Senior Vice President, Business Development</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Steven Strang</w:t>
            </w:r>
          </w:p>
        </w:tc>
        <w:tc>
          <w:tcPr>
            <w:tcW w:w="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FEI-Zyfer</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James Davis</w:t>
            </w:r>
          </w:p>
        </w:tc>
        <w:tc>
          <w:tcPr>
            <w:tcW w:w="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FEI-Elcom Tech</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9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Vice President, Advanced Development</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Adrian Lalicata</w:t>
            </w:r>
          </w:p>
        </w:tc>
        <w:tc>
          <w:tcPr>
            <w:tcW w:w="9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Vice President, RF &amp; Microwave Systems</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41"/>
        </w:trPr>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right"/>
              <w:ind w:right="5594"/>
              <w:spacing w:after="0"/>
              <w:rPr>
                <w:sz w:val="20"/>
                <w:szCs w:val="20"/>
                <w:color w:val="auto"/>
              </w:rPr>
            </w:pPr>
            <w:r>
              <w:rPr>
                <w:rFonts w:ascii="Times New Roman" w:cs="Times New Roman" w:eastAsia="Times New Roman" w:hAnsi="Times New Roman"/>
                <w:sz w:val="14"/>
                <w:szCs w:val="14"/>
                <w:color w:val="auto"/>
              </w:rPr>
              <w:t>8</w:t>
            </w:r>
          </w:p>
        </w:tc>
      </w:tr>
      <w:tr>
        <w:trPr>
          <w:trHeight w:val="44"/>
        </w:trPr>
        <w:tc>
          <w:tcPr>
            <w:tcW w:w="17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Martin B. Bloch, age 81,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Markus Hechler, age 71,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 and in April 2016 was appointed Secretary and Treasurer.</w:t>
      </w:r>
    </w:p>
    <w:p>
      <w:pPr>
        <w:spacing w:after="0" w:line="1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Oleandro Mancini, age 68,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Steven Strang, age 53, was named President of FEI-Zyfer, Inc., effective May 1, 2005. Previously, Mr. Strang was Executive Vice President of this subsidiary and its predecessor companies where he has served for 20 years in various technical and management positions.</w:t>
      </w:r>
    </w:p>
    <w:p>
      <w:pPr>
        <w:spacing w:after="0" w:line="14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James Davis, age 64, is the President of FEI-Elcom Tech, Inc. which the Company acquired in February 2012. Mr. Davis was named an officer of the Company in October 2013. Mr. Davis became the president of Elcom Technologies, Inc., the pre-acquisition company, on September 20, 2007. Prior to joining FEI-Elcom, Mr. Davis held leadership positions at other technology companies including General Manager of Hewlett Packard’s (Agilent) Semiconductor Systems Center, Vice President and General Manager of Schlumberger Technologies N.A. and Vice President and General Manager of Gretag Macbeth LLC. Mr. Davis also held the rank of Captain as a U.S. Army Special Forces Team Commander.</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Thomas McClelland, age 62,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4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Adrian Lalicata, age 70,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Steven L. Bernstein, age 52, joined the Company in April 2010 as its Controller and was appointed to the position of Chief Financial Officer in April 2016. Prior to joining the Company, Mr. Bernstein worked in the North America accounting group of a Fortune 500 electronics distributor.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required for smaller reporting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Unresolved Staff Comments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required for smaller reporting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Properties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Size (sq. ft.)</w:t>
            </w:r>
          </w:p>
        </w:tc>
        <w:tc>
          <w:tcPr>
            <w:tcW w:w="12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 or Lease</w:t>
            </w:r>
          </w:p>
        </w:tc>
        <w:tc>
          <w:tcPr>
            <w:tcW w:w="144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 Island, NY</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93,000</w:t>
            </w: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Garden Grove, CA</w:t>
            </w:r>
          </w:p>
        </w:tc>
        <w:tc>
          <w:tcPr>
            <w:tcW w:w="288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6"/>
              </w:rPr>
              <w:t>27,850</w:t>
            </w:r>
          </w:p>
        </w:tc>
        <w:tc>
          <w:tcPr>
            <w:tcW w:w="1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Tianjin, China</w:t>
            </w:r>
          </w:p>
        </w:tc>
        <w:tc>
          <w:tcPr>
            <w:tcW w:w="288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6"/>
              </w:rPr>
              <w:t>28,000</w:t>
            </w: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14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Rockleigh, NJ</w:t>
            </w:r>
          </w:p>
        </w:tc>
        <w:tc>
          <w:tcPr>
            <w:tcW w:w="288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6"/>
              </w:rPr>
              <w:t>32,000</w:t>
            </w:r>
          </w:p>
        </w:tc>
        <w:tc>
          <w:tcPr>
            <w:tcW w:w="12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1440" w:type="dxa"/>
            <w:vAlign w:val="bottom"/>
          </w:tcPr>
          <w:p>
            <w:pPr>
              <w:spacing w:after="0"/>
              <w:rPr>
                <w:sz w:val="20"/>
                <w:szCs w:val="20"/>
                <w:color w:val="auto"/>
              </w:rPr>
            </w:pPr>
          </w:p>
        </w:tc>
      </w:tr>
      <w:tr>
        <w:trPr>
          <w:trHeight w:val="539"/>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80" w:type="dxa"/>
            <w:vAlign w:val="bottom"/>
            <w:gridSpan w:val="2"/>
          </w:tcPr>
          <w:p>
            <w:pPr>
              <w:jc w:val="center"/>
              <w:ind w:left="54"/>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
        </w:trPr>
        <w:tc>
          <w:tcPr>
            <w:tcW w:w="144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leased its manufacturing and office space from Reckson under an initial 11-year lease followed by two five-year renewal periods. The Company is currently in the second 5-year renewal period paying annual rent of $800,000 per year plus it’s pro rata share of real estate taxes and the costs of utilities and insurance. The lease will end in January 2019. The leased space is adequate to meet the Company’s domestic operational needs which encompass the principal operations of the FEI-NY segment and also serves as the Company’s world-wide corporate headquarters.</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Garden Grove, California facility is leased by the Company’s subsidiary, FEI-Zyfer, Inc. The facility consists of a combination office and manufacturing space. The lease, which expires in August 2017, currently requires monthly payments of approximately $31,200 and will remain constant over the remaining 4 months of the lease term. The Company has signed a second amendment to the lease, which extends the lease an additional 88 months, beginning October 1, 2017 and expiring January 31, 2025. The average annual rent over the period of the amendment is approximately $332,000.</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Tianjin, China facility is the location of the Company’s wholly-owned subsidiary, FEI-Asia. The subsidiary’s office and manufacturing facility is located in the Tianjin Free-Trade Zone. The lease is renewable annually with monthly rent of $1,000 through May 2018. The facility is adequate for the near-term manufacturing expectations for the Company.</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FEI-Elcom operates out of a leased facility located in Rockleigh, New Jersey. The facility consists of a combination office and manufacturing space. The lease, which expires in March 2018, requires monthly payments of $39,900.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Legal Proceedings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defendant in litigation arising out of the ordinary course of business. As of July 31, 2017, the Company is not a party to any material, pending legal proceeding other than routine litigation incidental to its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Mine Safety Disclosures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Market for Registrant’s Common Equity, Related Stockholder Matters and Issuer Purchases of Equity Securities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Common Stock of the Company is listed on The Nasdaq Global Market (“NASDAQ”) under the ticker symbol “FEIM.” The following table shows the high and low sale price for the Company’s Common Stock for the quarters indicated, as reported on the NASDAQ.</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QUARTER</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HIGH SALE</w:t>
            </w:r>
          </w:p>
        </w:tc>
        <w:tc>
          <w:tcPr>
            <w:tcW w:w="16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LOW SALE</w:t>
            </w:r>
          </w:p>
        </w:tc>
      </w:tr>
      <w:tr>
        <w:trPr>
          <w:trHeight w:val="216"/>
        </w:trPr>
        <w:tc>
          <w:tcPr>
            <w:tcW w:w="5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5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r>
      <w:tr>
        <w:trPr>
          <w:trHeight w:val="211"/>
        </w:trPr>
        <w:tc>
          <w:tcPr>
            <w:tcW w:w="5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2016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5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r>
      <w:tr>
        <w:trPr>
          <w:trHeight w:val="234"/>
        </w:trPr>
        <w:tc>
          <w:tcPr>
            <w:tcW w:w="5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r>
    </w:tbl>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July 25, 2017, the approximate number of holders of record of common stock was 655. The closing share price of the Company’s stock on April 30, 2017 was $10.50. The closing share price of the Company’s stock on July 25, 2017 was $8.70.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POLICY</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Company’s dividend policy at each regular meeting. No dividends were declared or paid during fiscal years 2017 and 2016.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BUYBACK PROGRAM</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2017 or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39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to</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80" w:type="dxa"/>
            <w:vAlign w:val="bottom"/>
          </w:tcPr>
          <w:p>
            <w:pPr>
              <w:spacing w:after="0"/>
              <w:rPr>
                <w:sz w:val="17"/>
                <w:szCs w:val="17"/>
                <w:color w:val="auto"/>
              </w:rPr>
            </w:pPr>
          </w:p>
        </w:tc>
        <w:tc>
          <w:tcPr>
            <w:tcW w:w="184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plans</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80" w:type="dxa"/>
            <w:vAlign w:val="bottom"/>
          </w:tcPr>
          <w:p>
            <w:pPr>
              <w:spacing w:after="0"/>
              <w:rPr>
                <w:sz w:val="17"/>
                <w:szCs w:val="17"/>
                <w:color w:val="auto"/>
              </w:rPr>
            </w:pPr>
          </w:p>
        </w:tc>
        <w:tc>
          <w:tcPr>
            <w:tcW w:w="184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03"/>
        </w:trPr>
        <w:tc>
          <w:tcPr>
            <w:tcW w:w="5740" w:type="dxa"/>
            <w:vAlign w:val="bottom"/>
            <w:gridSpan w:val="3"/>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80" w:type="dxa"/>
            <w:vAlign w:val="bottom"/>
          </w:tcPr>
          <w:p>
            <w:pPr>
              <w:spacing w:after="0"/>
              <w:rPr>
                <w:sz w:val="17"/>
                <w:szCs w:val="17"/>
                <w:color w:val="auto"/>
              </w:rPr>
            </w:pPr>
          </w:p>
        </w:tc>
        <w:tc>
          <w:tcPr>
            <w:tcW w:w="184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outstanding options</w:t>
            </w: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0" w:type="dxa"/>
            <w:vAlign w:val="bottom"/>
          </w:tcPr>
          <w:p>
            <w:pPr>
              <w:spacing w:after="0"/>
              <w:rPr>
                <w:sz w:val="1"/>
                <w:szCs w:val="1"/>
                <w:color w:val="auto"/>
              </w:rPr>
            </w:pPr>
          </w:p>
        </w:tc>
      </w:tr>
      <w:tr>
        <w:trPr>
          <w:trHeight w:val="117"/>
        </w:trPr>
        <w:tc>
          <w:tcPr>
            <w:tcW w:w="5740" w:type="dxa"/>
            <w:vAlign w:val="bottom"/>
            <w:gridSpan w:val="3"/>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40" w:type="dxa"/>
            <w:vAlign w:val="bottom"/>
            <w:vMerge w:val="restart"/>
          </w:tcPr>
          <w:p>
            <w:pPr>
              <w:spacing w:after="0"/>
              <w:rPr>
                <w:sz w:val="10"/>
                <w:szCs w:val="10"/>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vMerge w:val="restart"/>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700" w:type="dxa"/>
            <w:vAlign w:val="bottom"/>
            <w:tcBorders>
              <w:bottom w:val="single" w:sz="8" w:color="auto"/>
            </w:tcBorders>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40" w:type="dxa"/>
            <w:vAlign w:val="bottom"/>
            <w:gridSpan w:val="3"/>
            <w:vMerge w:val="continue"/>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by Security Holders (1)</w:t>
            </w:r>
          </w:p>
        </w:tc>
        <w:tc>
          <w:tcPr>
            <w:tcW w:w="1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1,642,625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compensation plans are described in Note 12 to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Selected Financial Data</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required for smaller reporting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Management’s Discussion and Analysis of Financial Condition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the full amount of anticipated losses on contracts are made in the period in which they become determinable.</w:t>
      </w:r>
    </w:p>
    <w:p>
      <w:pPr>
        <w:spacing w:after="0" w:line="18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On production-type orders, revenue is recorded as units are delivered with the related cost of sales recognized on each shipment based upon a percentage of estimated final program costs.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Costs and Expenses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income tax expense, deferred tax asset and liabilities, and liabilities for unrecognized tax benefits reflect management’s best estimate of current and future taxes to be paid. We are subject to tax in the United States and foreign jurisdictions. Significant judgments and estimates are required in the determination of the consolidated income tax expense.</w:t>
      </w:r>
    </w:p>
    <w:p>
      <w:pPr>
        <w:spacing w:after="0" w:line="16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The carrying value of the Company’s net deferred tax assets, assumes that the Company will be able to generate sufficient future taxable income in certain jurisdictions, based on estimates and assumptions. If these estimates and assumptions change in the future, the Company may be required to record an additional valuation allowances against its deferred tax assets resulting in additional income tax expense in the consolidated statement of operations, or conversely to further reduce its existing valuation allowance resulting in less income tax expense. The Company evaluates the realizability of deferred tax assets quarterly and assesses the need for additional valuation allowance quarterly. 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 Interest and penalties recognized on the liability for unrecognized tax benefits are recorded as income tax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 Presentation</w:t>
      </w:r>
    </w:p>
    <w:p>
      <w:pPr>
        <w:spacing w:after="0" w:line="20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results of Gillam for fiscal years ended April 30, 2017 and 2016, are presented as discontinued operations in our Consolidated Statements of Operations and Comprehensive (Loss) Income. Unless otherwise stated, financial results discussed herein refer to continuing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fiscal years ended April 30, 2017 and 2016, the percentage of consolidated net sales represented by certain items in the Company’s consolidated statements of operations: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(Loss) Profit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1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44,238</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12,285</w:t>
            </w:r>
          </w:p>
        </w:tc>
        <w:tc>
          <w:tcPr>
            <w:tcW w:w="8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(3,988)</w:t>
            </w:r>
          </w:p>
        </w:tc>
        <w:tc>
          <w:tcPr>
            <w:tcW w:w="3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w:t>
            </w: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55,416</w:t>
            </w:r>
          </w:p>
        </w:tc>
        <w:tc>
          <w:tcPr>
            <w:tcW w:w="220" w:type="dxa"/>
            <w:vAlign w:val="bottom"/>
          </w:tcPr>
          <w:p>
            <w:pPr>
              <w:spacing w:after="0"/>
              <w:rPr>
                <w:sz w:val="18"/>
                <w:szCs w:val="18"/>
                <w:color w:val="auto"/>
              </w:rPr>
            </w:pPr>
          </w:p>
        </w:tc>
        <w:tc>
          <w:tcPr>
            <w:tcW w:w="840" w:type="dxa"/>
            <w:vAlign w:val="bottom"/>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Fiscal year 2017 compared to fiscal year 2016:</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Fiscal 2017 revenues from satellite programs, the Company’s largest business area, decreased by $10.5 million, or 32%, compared to the prior fiscal year. This decrease is in line with the protracted industry wide slowdown in commercial communications satellite procurement, and reflects reductions in orders received from satellite service providers by the Company’s major customers. Revenues on satellite program contracts are recorded in the FEI-NY segment and are recognized primarily under the percentage of completion method. Sales revenues from non-space U.S. Government/DOD customers increased by approximately $3.8 million or 24% compared to prior fiscal year. These revenues are recorded in both the FEI-NY and FEI-Zyfer segments, accounted for approximately 38% and 28% of consolidated revenues for fiscal years 2017, and 2016, respectively. For the year ended April 30, 2017, other commercial and industrial sales accounted for approximately 17% of consolidated revenues compared to approximately 12% for fiscal year 2016. Sales in this business area were $8.6 million for the year ended April 30, 2017 compared to $6.9 million for the preceding year.</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Gross Margin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7"/>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5"/>
        </w:trPr>
        <w:tc>
          <w:tcPr>
            <w:tcW w:w="14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ind w:left="47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246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color w:val="auto"/>
                <w:w w:val="96"/>
              </w:rPr>
              <w:t>GM Rate</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39"/>
        </w:trPr>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673"/>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
        </w:trPr>
        <w:tc>
          <w:tcPr>
            <w:tcW w:w="14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400" w:firstLine="648"/>
        <w:spacing w:after="0" w:line="241" w:lineRule="auto"/>
        <w:rPr>
          <w:sz w:val="20"/>
          <w:szCs w:val="20"/>
          <w:color w:val="auto"/>
        </w:rPr>
      </w:pPr>
      <w:r>
        <w:rPr>
          <w:rFonts w:ascii="Times New Roman" w:cs="Times New Roman" w:eastAsia="Times New Roman" w:hAnsi="Times New Roman"/>
          <w:sz w:val="18"/>
          <w:szCs w:val="18"/>
          <w:color w:val="auto"/>
        </w:rPr>
        <w:t>For the year ended April 30, 2017, gross margin and gross margin rate both decreased compared to the prior year. The two major contributing factors affecting gross margin dollars, include the $5.1 million revenue decrease and the $7 million of inventory adjustments. The gross margin percentage rate additionally reflects one-time non-cash inventory adjustments. Consistent with the Company’s phase-out of its wire-line network infrastructure business area and the anticipated sale of Gillam-FEI, its foreign (Belgium) subsidiary, the Company took a one-time non-cash write down of approximately $5 million of inventory relating to wire-line copper based synchronization products in the FEI-Zyfer segment. Additionally, the Company recorded $2 million of inventory adjustments in the FEI-NY segment.</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r>
      <w:tr>
        <w:trPr>
          <w:trHeight w:val="216"/>
        </w:trPr>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bl>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the fiscal years ended April 30, 2017 and 2016, selling and administrative costs (“SG&amp;A”) were 24% and 21%, respectively, of consolidated revenues, the percentage increase of (“SG&amp;A”) was impacted by the year over year decline in revenues. A reduction in other selling and administrative costs was more than offset by a year over year increase in deferred compensation expense. Stock compensation expenses which are included in total (“SG&amp;A”) were $424,000 and $548,000, in 2017 and 2016 respectively.</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r>
      <w:tr>
        <w:trPr>
          <w:trHeight w:val="216"/>
        </w:trPr>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fiscal 2017, the Company accelerated its research and development (“R&amp;D”) activity. As a percentage of consolidated revenue, R&amp;D spending for the years ended April 30, 2017 and 2016 was approximately 14% and 10%, respectively. These R&amp;D efforts address large business opportunities in secure communications command and control, and satellite systems that require advanced technologies and capabilities going forward. The Company believes it enjoys a competitive edge and has a head start in the development of these requirements.</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also engages in customer-funded development activity. The funds received in connection therewith appear in revenues and are not included in the table above. Although funding is obtained from customers, the Company retains the rights to any products developed. The Company believes that internally generated cash and cash reserves are adequate to fund its research and development activity.</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(Loss) Profit</w:t>
      </w:r>
    </w:p>
    <w:p>
      <w:pPr>
        <w:spacing w:after="0" w:line="1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r>
      <w:tr>
        <w:trPr>
          <w:trHeight w:val="216"/>
        </w:trPr>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fiscal year ended April 30, 2017, the Company recorded an operating loss of 15% of revenues compared to an operating profit of 4.5% of revenues for fiscal 2016. Approximately $7 million of the $7.5 million operating loss was due to non-cash inventory adjustments.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w:t>
      </w:r>
    </w:p>
    <w:p>
      <w:pPr>
        <w:spacing w:after="0" w:line="1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34"/>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Pr>
          <w:p>
            <w:pPr>
              <w:spacing w:after="0"/>
              <w:rPr>
                <w:sz w:val="20"/>
                <w:szCs w:val="20"/>
                <w:color w:val="auto"/>
              </w:rPr>
            </w:pP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Investment income is derived primarily from the Company’s holdings of marketable securities. Earnings on these securities vary based on changes in dividend payments and interest rates. During fiscal year 2017, investment income included losses upon the sale or redemption of marketable securities of approximately $28,000 compared to a gain of approximately $131,000 during fiscal year 2016. In fiscal year 2017, the Company received a $249,000 dividend from its investment in Morion compared to $30,000 in the prior year, yielding higher investment income than in prior year.</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fiscal year 2017, interest expense was incurred on borrowings under the Company’s credit facility with a bank and on deferred compensation payments. During fiscal year 2017, deferred compensation interest payments increased and interest expense relating to the line of credit was reduced. As all borrowings under the credit facility were paid in full.</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because during fiscal year 2016, other income included approximately $380,000 from the proceeds of a life insurance policy of a former officer of the Company.</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(Benefit) Provision</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r>
      <w:tr>
        <w:trPr>
          <w:trHeight w:val="216"/>
        </w:trPr>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 on pre-tax book income:</w:t>
      </w:r>
    </w:p>
    <w:p>
      <w:pPr>
        <w:spacing w:after="0" w:line="212" w:lineRule="exact"/>
        <w:rPr>
          <w:sz w:val="20"/>
          <w:szCs w:val="20"/>
          <w:color w:val="auto"/>
        </w:rPr>
      </w:pPr>
    </w:p>
    <w:p>
      <w:pPr>
        <w:ind w:left="3020"/>
        <w:spacing w:after="0"/>
        <w:tabs>
          <w:tab w:leader="none" w:pos="5220" w:val="left"/>
        </w:tabs>
        <w:rPr>
          <w:sz w:val="20"/>
          <w:szCs w:val="20"/>
          <w:color w:val="auto"/>
        </w:rPr>
      </w:pPr>
      <w:r>
        <w:rPr>
          <w:rFonts w:ascii="Times New Roman" w:cs="Times New Roman" w:eastAsia="Times New Roman" w:hAnsi="Times New Roman"/>
          <w:sz w:val="18"/>
          <w:szCs w:val="18"/>
          <w:color w:val="auto"/>
        </w:rPr>
        <w:t>30.0%</w:t>
      </w:r>
      <w:r>
        <w:rPr>
          <w:sz w:val="20"/>
          <w:szCs w:val="20"/>
          <w:color w:val="auto"/>
        </w:rPr>
        <w:tab/>
      </w:r>
      <w:r>
        <w:rPr>
          <w:rFonts w:ascii="Times New Roman" w:cs="Times New Roman" w:eastAsia="Times New Roman" w:hAnsi="Times New Roman"/>
          <w:sz w:val="17"/>
          <w:szCs w:val="17"/>
          <w:color w:val="auto"/>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-127635</wp:posOffset>
            </wp:positionV>
            <wp:extent cx="542861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Company is subject to taxation in several countries. The statutory federal rates are 34% in the U.S., 33% in Europe and 25% in China. For the year ended April 30, 2017, the Company recognized a tax benefit related to a current year domestic pretax loss compared to a provision for taxes in in the prior year related to domestic pretax income. The Company intends to carry back the fiscal 2017 domestic loss for a refund of taxes paid in prior years. The effective tax rate was impacted favorably by a U.S. tax deduction relating to the realization of the excess tax basis in common shares of FEI-Asia as the Company made an election to treat FEI-Asia as a disregarded entity. The effective tax rate was also impacted unfavorably by unrecognized tax benefits, a state tax rate change, and losses incurred at the Company’s foreign subsidiaries for which it receives no tax benefit. (See Note 13 to the Consolidated Financial Statements for a reconciliation of the actual tax benefit to the expected tax provision at the federal statutory rate and a tabular rollforward of unrecognized tax benefits.)</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Company’s Asia subsidiary has available net operating loss (“NOL”) carryforwards of approximately $0.9 million to offset future taxable income. The associated deferred tax asset for the foreign subsidiary NOL is fully reserved by a valuation allowance. These loss carryforwards have no expiration date. As a result of the acquisition of FEI-Elcom, the Company has a federal NOL carryforward of $4.4 million which may be applied in annually limited amounts to offset future U.S.-sourced taxable income over the next 14 years.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5"/>
        </w:trPr>
        <w:tc>
          <w:tcPr>
            <w:tcW w:w="1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557"/>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
        </w:trPr>
        <w:tc>
          <w:tcPr>
            <w:tcW w:w="14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above table represents the net income (loss) for the Gillam segment accounted for as discontinued operations as presented in Note 2 to the financial statements. Revenues for 2017 and 2016 were relatively flat at approximately $5.9 million for each fiscal year. The gross margin and gross margin percentage increased in fiscal 2017 due to increased engineering costs incurred in fiscal 2016. Combined SG&amp;A and R&amp;D expenses for fiscal 2017 decreased approximately 9% compared to fiscal 2016, resulting in an operating loss of $544,000 compared $1.2 million in fiscal 2016. The Company recognized a deferred tax asset, net of valuation allowance, of $650,000 for its excess outside tax basis in the common shares of Gillam. The corresponding tax benefit has been allocated to discontinued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Net positive cash flow from operations increased to $3.5 million in fiscal 2017 compared to $2.8 million in the prior year. The Company generated positive cash flow from operations despite the reported operating loss for fiscal 2017. The Company’s balance sheet continues to reflect a highly liquid position with working capital of $61.7 million at April 30, 2017. Included in working capital at April 30, 2017 is approximately $10.0 million consisting of cash, cash equivalents and short-term investments. The Company’s current ratio at April 30, 2017 is 8.6 to 1 compared to 8.3 to 1 at the end of the prior fiscal year.</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fiscal years 2017 and 2016, the Company incurred $11.3 million and $2.8 million, respectively, in non-cash charges to earnings, including depreciation and amortization expense, inventory adjustments, warranty and accounts receivable reserves, certain employee benefit plan expenses, including accounting for stock-based compensation. During fiscal year 2017, operating cash was increased by decreases in inventory, accounts payable, and accrued liabilities. During fiscal year 2016, operating cash was reduced by increases to inventory offset by a decrease to accounts receivables.</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Net cash used in investing activities for the fiscal year ended April 30, 2017 was $1.4 million compared $3.4 million in fiscal year 2016. In fiscal year 2017, investing activities included net proceeds from the redemption, sale or purchase of marketable securities for $3.8 million and uses of acquisitions of capital equipment and other long-term assets for $5.2 million. In fiscal year 2016, investing activities included net uses from the redemption, sale or purchase of marketable securities for $89,000 and acquisitions of capital equipment and other long-term assets for $3.3 million. The Company may continue to invest cash equivalents as dictated by its investment and acquisition strategies.</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year ended April 30, 2017, cash used in financing activities was $6.7 million consisting of the net principal balance repayment of $6 million to JPMorgan Chase Bank, N.A (“JP Morgan”) and the tax effect arising from the exercise of stock-based awards. On January 30, 2017, the Company repaid the principal balance due on its credit facility, dated June 6, 2013, with JPMorgan. Subsequently, the Company voluntarily terminated this credit facility with JPMorgan to reduce the fees and expenses associated with maintaining that facility. The Company did not incur any early termination fees associated with its voluntary termination of this credit facility.</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year ended April 30, 2016, cash provided by financing activities was $141,000 consisting of the tax benefit arising from the exercise of stock-based awards. There were no additional borrowings or payments made under the bank credit facility in 2016. The Company has been authorized by its Board of Directors to repurchase up to $5 million worth of shares of its common stock for treasury whenever appropriate opportunities arise but it has neither a fixed repurchase plan nor commitments to purchase additional shares in the future. As of the end of fiscal year 2017, the Company has repurchased approximately $4 million of its common stock out of the $5 million authorization. There were no repurchases in fiscal 2017 or 2016.</w:t>
      </w:r>
    </w:p>
    <w:p>
      <w:pPr>
        <w:spacing w:after="0" w:line="1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During fiscal year 2017, the Company secured partial customer funding for a portion of its R&amp;D efforts. The customer funds received in connection therewith appear in revenues and are not included in R&amp;D expenses. For fiscal year 2018, the Company anticipates securing additional customer funding for a portion of its research and development activities, and will allocate internal funds depending on market conditions and identification of new opportunities as in fiscal 2017. The Company expects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Company’s decision to sell its Gillam business and the associated presentation as Discontinued Operations, the Company believes that the effect on cash flow will be neutral, however it is expected to have a positive cash effect when the intended sale is concluded.</w:t>
      </w:r>
    </w:p>
    <w:p>
      <w:pPr>
        <w:spacing w:after="0" w:line="14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international business is subject to changes in demand or pricing resulting from fluctuations in currency exchange rates, primarily in the Euro to U.S. Dollar exchange rate and in the Chinese Renminbi to U.S. Dollar exchange rate.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74"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The Company does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As of April 30, 2017, the Company’s consolidated backlog amounted to approximately $28 million as compared to approximately $30 million at the beginning of the fiscal year. (See Item 1). Approximately 80% of this backlog is expected to be filled during the Company’s fiscal year ending April 30, 2017.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liquidity is adequate to meet its operating and investment needs through at least July 31, 2018.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0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(Topic 350): Simplifying the Test for Goodwill Impairment </w:t>
      </w:r>
      <w:r>
        <w:rPr>
          <w:rFonts w:ascii="Times New Roman" w:cs="Times New Roman" w:eastAsia="Times New Roman" w:hAnsi="Times New Roman"/>
          <w:sz w:val="18"/>
          <w:szCs w:val="18"/>
          <w:color w:val="auto"/>
        </w:rPr>
        <w:t>(“ASU 2017-04”), which simplifies how an entity is required to test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early adopting and is in the process of determining the effect that ASU 2017-04 may have, however, the Company expects the new standard to have an immaterial effect on its financial statements.</w:t>
      </w:r>
    </w:p>
    <w:p>
      <w:pPr>
        <w:spacing w:after="0" w:line="1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March 2016, the FASB amended the existing accounting standards for stock-based compensation,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The amendments impact several aspects of accounting for share-based payment transactions, including the income tax consequences, forfeitures, 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in the next fiscal year. The Company has not determined the full impact of implementation of this standard, however the Company is determining if the stock options offered would require any type of transition under the new pronouncement and expects that, when adopted beginning in fiscal 2019, the new standard will have an immaterial effect on the Company’s financials.</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the ASU 2016-02 are effective for fiscal years beginning after December 31, 2018 and early adoption is permitted. The Company is currently evaluating the impact of this standard on our consolidated financial statements, however the Company has minimal leases and expects that when adopted beginning in fiscal 2019, the new standard to have an immaterial effect on the Company’s financials.</w:t>
      </w:r>
    </w:p>
    <w:p>
      <w:pPr>
        <w:spacing w:after="0" w:line="1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The amendments in ASU 2015-17 seek to simplify the presentation of deferred income taxes and require that deferred tax liabilities and assets be classified as noncurrent in a classified statement of financial position. ASU 2015-17 is effective for financial statements issued for annual periods beginning after December 15, 2016, and interim periods within those annual periods, with early application permitted for all entities as of the beginning of an interim or annual reporting period. The Company has adopted the guidance during fiscal 2017 on a prospective basis in order to simplify balance sheet classification. Prior periods have not been retrospectively adjusted.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xml:space="preserve">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 however based upon the preliminary work that has been done when adopted this pronouncement is expected to have minimal, if any effect, on the financial statements. This pronouncement will be adopted for the Company’s next fiscal year.</w:t>
      </w:r>
    </w:p>
    <w:p>
      <w:pPr>
        <w:spacing w:after="0" w:line="1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May 2014, the FASB issued ASU No.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This ASU is effective for public companies for annual reporting periods beginning on or after December 15, 2017 and for the Company, must be adopted for its fiscal year 2019 beginning on May 1, 2018. The Company is currently evaluating the impact that ASU 2014-09 may have on its financial statements when the statement is adopted for its fiscal year 2019.</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fiscal year 2017, as in fiscal year 2016, the impact of inflation on the Company’s business has not been materially significant.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7A. Quantitative and Qualitative Disclosure About Market Risk</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required for smaller reporting companies.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Financial Statements and Supplementary Data</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Frequency Electronics, Inc. and Subsidiaries (the “Company”) as of April 30, 2017 and 2016, and the related consolidated statements of operations, comprehensive (loss) income, cash flows and changes in stockholders’ equity for each of the years then ended. The financial statements are the responsibility of the Company’s management. Our responsibility is to express an opinion on these financial statements based on our audits.</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Frequency Electronics, Inc. and Subsidiaries as of April 30, 2017 and 2016, and the consolidated results of their operations and their cash flows for each of the years then ended, in conformity with accounting principles generally accepted in the United States of America.</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EisnerAmper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rPr>
          <w:sz w:val="20"/>
          <w:szCs w:val="20"/>
          <w:color w:val="auto"/>
        </w:rPr>
      </w:pPr>
      <w:r>
        <w:rPr>
          <w:rFonts w:ascii="Times New Roman" w:cs="Times New Roman" w:eastAsia="Times New Roman" w:hAnsi="Times New Roman"/>
          <w:sz w:val="18"/>
          <w:szCs w:val="18"/>
          <w:color w:val="auto"/>
        </w:rPr>
        <w:t>July 31, 2017</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color w:val="auto"/>
        </w:rPr>
        <w:t>April 30, 2017 and 2016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r>
      <w:tr>
        <w:trPr>
          <w:trHeight w:val="198"/>
        </w:trPr>
        <w:tc>
          <w:tcPr>
            <w:tcW w:w="7920" w:type="dxa"/>
            <w:vAlign w:val="bottom"/>
          </w:tcPr>
          <w:p>
            <w:pPr>
              <w:ind w:left="376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5,818</w:t>
            </w:r>
          </w:p>
        </w:tc>
      </w:tr>
      <w:tr>
        <w:trPr>
          <w:trHeight w:val="216"/>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Marketable securities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11,111</w:t>
            </w:r>
          </w:p>
        </w:tc>
      </w:tr>
      <w:tr>
        <w:trPr>
          <w:trHeight w:val="216"/>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$187 in 2017 and $189 in 2016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7,166</w:t>
            </w:r>
          </w:p>
        </w:tc>
      </w:tr>
      <w:tr>
        <w:trPr>
          <w:trHeight w:val="216"/>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and estimated earnings in excess of billings, net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12,377</w:t>
            </w:r>
          </w:p>
        </w:tc>
      </w:tr>
      <w:tr>
        <w:trPr>
          <w:trHeight w:val="216"/>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29,051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36,280</w:t>
            </w:r>
          </w:p>
        </w:tc>
      </w:tr>
      <w:tr>
        <w:trPr>
          <w:trHeight w:val="216"/>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income taxes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223"/>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8,838</w:t>
            </w:r>
          </w:p>
        </w:tc>
      </w:tr>
      <w:tr>
        <w:trPr>
          <w:trHeight w:val="216"/>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85,862</w:t>
            </w:r>
          </w:p>
        </w:tc>
        <w:tc>
          <w:tcPr>
            <w:tcW w:w="100" w:type="dxa"/>
            <w:vAlign w:val="bottom"/>
            <w:shd w:val="clear" w:color="auto" w:fill="CCEEFF"/>
          </w:tcPr>
          <w:p>
            <w:pPr>
              <w:spacing w:after="0"/>
              <w:rPr>
                <w:sz w:val="18"/>
                <w:szCs w:val="18"/>
                <w:color w:val="auto"/>
              </w:rPr>
            </w:pPr>
          </w:p>
        </w:tc>
      </w:tr>
      <w:tr>
        <w:trPr>
          <w:trHeight w:val="184"/>
        </w:trPr>
        <w:tc>
          <w:tcPr>
            <w:tcW w:w="7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Property, plant and equipment, at cost, net of</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14,813</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w:t>
            </w:r>
          </w:p>
        </w:tc>
      </w:tr>
      <w:tr>
        <w:trPr>
          <w:trHeight w:val="223"/>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113,319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122,177</w:t>
            </w:r>
          </w:p>
        </w:tc>
      </w:tr>
      <w:tr>
        <w:trPr>
          <w:trHeight w:val="21"/>
        </w:trPr>
        <w:tc>
          <w:tcPr>
            <w:tcW w:w="7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660" w:right="80"/>
        <w:spacing w:after="0" w:line="250" w:lineRule="auto"/>
        <w:rPr>
          <w:sz w:val="20"/>
          <w:szCs w:val="20"/>
          <w:color w:val="auto"/>
        </w:rPr>
      </w:pPr>
      <w:r>
        <w:rPr>
          <w:rFonts w:ascii="Times New Roman" w:cs="Times New Roman" w:eastAsia="Times New Roman" w:hAnsi="Times New Roman"/>
          <w:sz w:val="18"/>
          <w:szCs w:val="18"/>
          <w:color w:val="auto"/>
        </w:rPr>
        <w:t>Accounts payable - trade $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p>
      <w:pPr>
        <w:spacing w:after="0" w:line="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rent and other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Preferred stock, $1.00 par value authorized 600 shares, no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right="300" w:firstLine="488"/>
        <w:spacing w:after="0" w:line="235" w:lineRule="auto"/>
        <w:rPr>
          <w:sz w:val="20"/>
          <w:szCs w:val="20"/>
          <w:color w:val="auto"/>
        </w:rPr>
      </w:pPr>
      <w:r>
        <w:rPr>
          <w:rFonts w:ascii="Times New Roman" w:cs="Times New Roman" w:eastAsia="Times New Roman" w:hAnsi="Times New Roman"/>
          <w:sz w:val="18"/>
          <w:szCs w:val="18"/>
          <w:color w:val="auto"/>
        </w:rPr>
        <w:t>Common stock, $1.00 par value; authorized 20,000 shares, 9,164 shares issued and 8,817 outstanding in 2017; 8,753 outstanding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reacquired and held in treasury - at cost (347 shares in 2017 and 411 shares in 2016)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16"/>
        </w:trPr>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2,437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r>
      <w:tr>
        <w:trPr>
          <w:trHeight w:val="216"/>
        </w:trPr>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3,425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28"/>
        </w:trPr>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2,249</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31"/>
        </w:trPr>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8,111</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-163195</wp:posOffset>
            </wp:positionV>
            <wp:extent cx="8750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75030" cy="17145"/>
                    </a:xfrm>
                    <a:prstGeom prst="rect">
                      <a:avLst/>
                    </a:prstGeom>
                    <a:noFill/>
                  </pic:spPr>
                </pic:pic>
              </a:graphicData>
            </a:graphic>
          </wp:anchor>
        </w:drawing>
      </w:r>
    </w:p>
    <w:p>
      <w:pPr>
        <w:ind w:left="1660" w:hanging="1228"/>
        <w:spacing w:after="0"/>
        <w:tabs>
          <w:tab w:leader="none" w:pos="1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w:t>
      </w:r>
    </w:p>
    <w:tbl>
      <w:tblPr>
        <w:tblLayout w:type="fixed"/>
        <w:tblInd w:w="0" w:type="dxa"/>
        <w:tblCellMar>
          <w:top w:w="0" w:type="dxa"/>
          <w:left w:w="0" w:type="dxa"/>
          <w:bottom w:w="0" w:type="dxa"/>
          <w:right w:w="0" w:type="dxa"/>
        </w:tblCellMar>
      </w:tblPr>
      <w:tr>
        <w:trPr>
          <w:trHeight w:val="205"/>
        </w:trPr>
        <w:tc>
          <w:tcPr>
            <w:tcW w:w="72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w w:val="96"/>
              </w:rPr>
              <w:t>13,252</w:t>
            </w:r>
          </w:p>
        </w:tc>
        <w:tc>
          <w:tcPr>
            <w:tcW w:w="13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11,773</w:t>
            </w:r>
          </w:p>
        </w:tc>
        <w:tc>
          <w:tcPr>
            <w:tcW w:w="60" w:type="dxa"/>
            <w:vAlign w:val="bottom"/>
          </w:tcPr>
          <w:p>
            <w:pPr>
              <w:spacing w:after="0"/>
              <w:rPr>
                <w:sz w:val="17"/>
                <w:szCs w:val="17"/>
                <w:color w:val="auto"/>
              </w:rPr>
            </w:pPr>
          </w:p>
        </w:tc>
      </w:tr>
      <w:tr>
        <w:trPr>
          <w:trHeight w:val="216"/>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8"/>
                <w:szCs w:val="18"/>
                <w:color w:val="auto"/>
              </w:rPr>
            </w:pPr>
          </w:p>
        </w:tc>
      </w:tr>
      <w:tr>
        <w:trPr>
          <w:trHeight w:val="228"/>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Pr>
          <w:p>
            <w:pPr>
              <w:spacing w:after="0"/>
              <w:rPr>
                <w:sz w:val="19"/>
                <w:szCs w:val="19"/>
                <w:color w:val="auto"/>
              </w:rPr>
            </w:pPr>
          </w:p>
        </w:tc>
      </w:tr>
      <w:tr>
        <w:trPr>
          <w:trHeight w:val="223"/>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23,987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60" w:type="dxa"/>
            <w:vAlign w:val="bottom"/>
          </w:tcPr>
          <w:p>
            <w:pPr>
              <w:spacing w:after="0"/>
              <w:rPr>
                <w:sz w:val="19"/>
                <w:szCs w:val="19"/>
                <w:color w:val="auto"/>
              </w:rPr>
            </w:pPr>
          </w:p>
        </w:tc>
      </w:tr>
      <w:tr>
        <w:trPr>
          <w:trHeight w:val="662"/>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387"/>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9,164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60" w:type="dxa"/>
            <w:vAlign w:val="bottom"/>
          </w:tcPr>
          <w:p>
            <w:pPr>
              <w:spacing w:after="0"/>
              <w:rPr>
                <w:sz w:val="24"/>
                <w:szCs w:val="24"/>
                <w:color w:val="auto"/>
              </w:rPr>
            </w:pPr>
          </w:p>
        </w:tc>
      </w:tr>
      <w:tr>
        <w:trPr>
          <w:trHeight w:val="216"/>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55,767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60" w:type="dxa"/>
            <w:vAlign w:val="bottom"/>
          </w:tcPr>
          <w:p>
            <w:pPr>
              <w:spacing w:after="0"/>
              <w:rPr>
                <w:sz w:val="18"/>
                <w:szCs w:val="18"/>
                <w:color w:val="auto"/>
              </w:rPr>
            </w:pPr>
          </w:p>
        </w:tc>
      </w:tr>
      <w:tr>
        <w:trPr>
          <w:trHeight w:val="228"/>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23,712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60" w:type="dxa"/>
            <w:vAlign w:val="bottom"/>
          </w:tcPr>
          <w:p>
            <w:pPr>
              <w:spacing w:after="0"/>
              <w:rPr>
                <w:sz w:val="19"/>
                <w:szCs w:val="19"/>
                <w:color w:val="auto"/>
              </w:rPr>
            </w:pPr>
          </w:p>
        </w:tc>
      </w:tr>
      <w:tr>
        <w:trPr>
          <w:trHeight w:val="211"/>
        </w:trPr>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88,643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93,273</w:t>
            </w:r>
          </w:p>
        </w:tc>
        <w:tc>
          <w:tcPr>
            <w:tcW w:w="60" w:type="dxa"/>
            <w:vAlign w:val="bottom"/>
          </w:tcPr>
          <w:p>
            <w:pPr>
              <w:spacing w:after="0"/>
              <w:rPr>
                <w:sz w:val="18"/>
                <w:szCs w:val="18"/>
                <w:color w:val="auto"/>
              </w:rPr>
            </w:pPr>
          </w:p>
        </w:tc>
      </w:tr>
      <w:tr>
        <w:trPr>
          <w:trHeight w:val="219"/>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-1250315</wp:posOffset>
            </wp:positionV>
            <wp:extent cx="8750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5030"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-289560</wp:posOffset>
            </wp:positionV>
            <wp:extent cx="8750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5030" cy="1714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8520" w:space="720"/>
            <w:col w:w="21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89,332</w:t>
            </w:r>
          </w:p>
        </w:tc>
        <w:tc>
          <w:tcPr>
            <w:tcW w:w="4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93,352</w:t>
            </w: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113,319</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Income</w:t>
      </w:r>
    </w:p>
    <w:p>
      <w:pPr>
        <w:jc w:val="center"/>
        <w:spacing w:after="0"/>
        <w:rPr>
          <w:sz w:val="20"/>
          <w:szCs w:val="20"/>
          <w:color w:val="auto"/>
        </w:rPr>
      </w:pPr>
      <w:r>
        <w:rPr>
          <w:rFonts w:ascii="Times New Roman" w:cs="Times New Roman" w:eastAsia="Times New Roman" w:hAnsi="Times New Roman"/>
          <w:sz w:val="18"/>
          <w:szCs w:val="18"/>
          <w:color w:val="auto"/>
        </w:rPr>
        <w:t>Years ended April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0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50,351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39,102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11,249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(loss) profit</w:t>
            </w: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(7,039)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(2,115)</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(4,924)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(4,821)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(loss) earnings from continued operations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 earnings (loss) from discontinued operations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 (loss) earnings from continued operations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earnings (loss) from discontinued operations</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shd w:val="clear" w:color="auto" w:fill="CCEEFF"/>
              </w:rPr>
              <w:t>Consolidated Statements of Comprehensive (Loss) Income</w:t>
            </w:r>
          </w:p>
        </w:tc>
        <w:tc>
          <w:tcPr>
            <w:tcW w:w="38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80" w:type="dxa"/>
            <w:vAlign w:val="bottom"/>
            <w:tcBorders>
              <w:top w:val="single" w:sz="8" w:color="CCEEFF"/>
            </w:tcBorders>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(4,821)</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340" w:type="dxa"/>
            <w:vAlign w:val="bottom"/>
            <w:gridSpan w:val="2"/>
          </w:tcPr>
          <w:p>
            <w:pPr>
              <w:ind w:left="640"/>
              <w:spacing w:after="0" w:line="184" w:lineRule="exact"/>
              <w:rPr>
                <w:sz w:val="20"/>
                <w:szCs w:val="20"/>
                <w:color w:val="auto"/>
              </w:rPr>
            </w:pPr>
            <w:r>
              <w:rPr>
                <w:rFonts w:ascii="Times New Roman" w:cs="Times New Roman" w:eastAsia="Times New Roman" w:hAnsi="Times New Roman"/>
                <w:sz w:val="18"/>
                <w:szCs w:val="18"/>
                <w:color w:val="auto"/>
              </w:rPr>
              <w:t>Change in market value of marketable securities before reclassification, net of tax of ($182) and $51,</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340" w:type="dxa"/>
            <w:vAlign w:val="bottom"/>
            <w:gridSpan w:val="2"/>
            <w:shd w:val="clear" w:color="auto" w:fill="CCEEFF"/>
          </w:tcPr>
          <w:p>
            <w:pPr>
              <w:ind w:left="64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 net income, net of tax of ($25) and $57,</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unrealized gain (loss) on marketable securities, net of tax</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(4,504)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8"/>
          <w:szCs w:val="18"/>
          <w:color w:val="auto"/>
        </w:rPr>
        <w:t>Years ended April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8860"/>
        <w:spacing w:after="0"/>
        <w:tabs>
          <w:tab w:leader="none" w:pos="1044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19685</wp:posOffset>
            </wp:positionV>
            <wp:extent cx="18783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ectPr>
          <w:pgSz w:w="11900" w:h="16838" w:orient="portrait"/>
          <w:cols w:equalWidth="0" w:num="1">
            <w:col w:w="11420"/>
          </w:cols>
          <w:pgMar w:left="240" w:top="121" w:right="239" w:bottom="1440" w:gutter="0" w:footer="0" w:header="0"/>
        </w:sectPr>
      </w:pP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(loss)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Net income (loss) from discontinued operations</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to net cash provided in operating activities:</w:t>
      </w:r>
    </w:p>
    <w:p>
      <w:pPr>
        <w:ind w:left="14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Deferred lease obligation and other liabilities</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Provision for losses on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140"/>
        <w:spacing w:after="0" w:line="234" w:lineRule="auto"/>
        <w:rPr>
          <w:sz w:val="20"/>
          <w:szCs w:val="20"/>
          <w:color w:val="auto"/>
        </w:rPr>
      </w:pPr>
      <w:r>
        <w:rPr>
          <w:rFonts w:ascii="Times New Roman" w:cs="Times New Roman" w:eastAsia="Times New Roman" w:hAnsi="Times New Roman"/>
          <w:sz w:val="18"/>
          <w:szCs w:val="18"/>
          <w:color w:val="auto"/>
        </w:rPr>
        <w:t>receivable, inventories and warranty reserve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Losses (gains) on marketable securities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(gain) on sale of fixed and 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Employee benefit plans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Tax effect (benefit) from exercise of stock-based compensation</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2,204</w:t>
            </w:r>
          </w:p>
        </w:tc>
      </w:tr>
      <w:tr>
        <w:trPr>
          <w:trHeight w:val="228"/>
        </w:trPr>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34"/>
        </w:trPr>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tcPr>
          <w:p>
            <w:pPr>
              <w:spacing w:after="0"/>
              <w:rPr>
                <w:sz w:val="20"/>
                <w:szCs w:val="20"/>
                <w:color w:val="auto"/>
              </w:rPr>
            </w:pPr>
          </w:p>
        </w:tc>
      </w:tr>
      <w:tr>
        <w:trPr>
          <w:trHeight w:val="814"/>
        </w:trPr>
        <w:tc>
          <w:tcPr>
            <w:tcW w:w="5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(1,355)</w:t>
            </w:r>
          </w:p>
        </w:tc>
        <w:tc>
          <w:tcPr>
            <w:tcW w:w="4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2,498</w:t>
            </w:r>
          </w:p>
        </w:tc>
      </w:tr>
      <w:tr>
        <w:trPr>
          <w:trHeight w:val="234"/>
        </w:trPr>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87"/>
        </w:trPr>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r>
      <w:tr>
        <w:trPr>
          <w:trHeight w:val="234"/>
        </w:trPr>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02"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 (payable) refundable</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(3,099)</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 – continuing operations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or redemption of marketable securities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investing activities – continuing operations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Years ended April 30, 2017 and 2016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8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36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Proceeds from credit line borrowing</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Tax (effect) benefit from exercise of stock-based compensation</w:t>
            </w:r>
          </w:p>
        </w:tc>
        <w:tc>
          <w:tcPr>
            <w:tcW w:w="880" w:type="dxa"/>
            <w:vAlign w:val="bottom"/>
          </w:tcPr>
          <w:p>
            <w:pPr>
              <w:spacing w:after="0"/>
              <w:rPr>
                <w:sz w:val="19"/>
                <w:szCs w:val="19"/>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(671)</w:t>
            </w: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used in financing activities – continuing operations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(6,671)</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Cash used in financing activities – discontinued operations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(6,671)</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before effect of exchange rate changes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(4,234)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 at end of year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and equivalents of discontinued operations at end of year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of continuing operations at end of year</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jc w:val="center"/>
        <w:spacing w:after="0" w:line="234" w:lineRule="auto"/>
        <w:rPr>
          <w:sz w:val="20"/>
          <w:szCs w:val="20"/>
          <w:color w:val="auto"/>
        </w:rPr>
      </w:pPr>
      <w:r>
        <w:rPr>
          <w:rFonts w:ascii="Times New Roman" w:cs="Times New Roman" w:eastAsia="Times New Roman" w:hAnsi="Times New Roman"/>
          <w:sz w:val="18"/>
          <w:szCs w:val="18"/>
          <w:color w:val="auto"/>
        </w:rPr>
        <w:t>Years ended April 30, 2017 and 2016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2020" w:type="dxa"/>
            <w:vAlign w:val="bottom"/>
            <w:tcBorders>
              <w:bottom w:val="single" w:sz="8" w:color="auto"/>
            </w:tcBorders>
            <w:gridSpan w:val="5"/>
          </w:tcPr>
          <w:p>
            <w:pPr>
              <w:ind w:left="420"/>
              <w:spacing w:after="0" w:line="191"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1440" w:type="dxa"/>
            <w:vAlign w:val="bottom"/>
            <w:tcBorders>
              <w:bottom w:val="single" w:sz="8" w:color="auto"/>
            </w:tcBorders>
            <w:gridSpan w:val="4"/>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rPr>
              <w:t>(at cost)</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120"/>
              <w:spacing w:after="0" w:line="191"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2015</w:t>
            </w: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27,528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465,163</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(2,132)</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91,810</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Contribution of stock to</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(46,743)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Tax benefit from stock option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exercise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Exercise of stock options and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stock appreciation rights - net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of shares tendered for exercise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price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Change in unrealized gains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and losses on marketable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securities, net of taxes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2016</w:t>
            </w: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9,163,940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28,533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411,384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93,352</w:t>
            </w: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Contribution of stock to</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(47,839)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Change in excess tax benefits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from stock-based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Exercise of stock options and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stock appreciation rights - net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of shares tendered for exercise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price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Change in unrealized gains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and losses on marketable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securities, net of taxes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2017</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9,163,940</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23,712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347,422</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(1,592)</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89,332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Summary of Accounting Policies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14 for information regarding the Company’s FEI-NY (which includes the subsidiaries FEI Government Systems, Inc., FEI Communications, Inc., Frequency Electronics, Inc. Asia (“FEI-Asia”) and FEI-Elcom Tech, Inc. (“FEI-Elcom”)), and FEI-Zyfer business segments. Intercompany accounts and significant intercompany transactions are eliminated in consolidation.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financial statements have been prepared in conformity with United States generally accepted accounting principles (“U.S. GAAP”) and require management to make estimates and assumptions that affect amounts reported and disclosed in the financial statements and related notes. Actual results could differ from these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FDIC and SIPC insurance limits. No losses have been experienced on such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Marketable securities consist of investments in common stocks, including exchange-traded funds, corporate debt securities and debt securities of U.S. Government agencies. All marketable securities were held in the custody of financial institutions; two institutions at April 30, 2017 and three institutions at April 30, 2016.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7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Inventories, which consist of finished goods, work-in-process, raw materials and components, are accounted for at the lower of cost (specific and average) or market.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of identifiable intangible assets is based upon the expected lives of the assets and is recorded at a rate which approximates the Company’s utilization of the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Intangible assets consist of the ISO 9000 certification arising from the acquisition of FEI-Elcom in the assignment of fair value to its acquired assets including intangibles. The certification is valued at fair value and was amortized over the estimated useful life of 3 years from the date of acquisition.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Cost Recognition:</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net of billings on uncompleted contracts in excess of costs and estimated earnings, are included in current assets.</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production-type orders, revenue is recorded as units are delivered with the related cost of sales recognized on each shipment based upon a percentage of estimated final program costs.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job performance on long-term and production-type orders may result in revisions to costs and revenue and are recognized in the period in which revisions are determined to be required. Provisions for the full amount of anticipated losses are made in the period in which they become determinable.</w:t>
      </w:r>
    </w:p>
    <w:p>
      <w:pPr>
        <w:spacing w:after="0" w:line="14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Program costs for which production-level orders cannot be determined as probable are written down in the period in which that assessment is made.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Comprehensive (loss) income consists of net income and other comprehensive (loss) income. Other comprehensive (loss) income includes changes in unrealized gains or losses, net of tax, on securities available for sale during the year and the effects of foreign currency translation adjustments.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 The Company also engages in customer-funded development activity. The customer funds received in connection therewith appear in revenues and are not included in R&amp;D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When and if the Company were to recognize interest or penalties related to income taxes, it would be reported net of the federal tax benefit in the tax provision.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Cash and cash equivalents, short-term credit obligations, long term debt and cash surrender value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company, Morion, Inc. (“Morion”). The Company is unable to reasonably estimate a fair value for this investment.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 and Foreign Currency Adjustments:</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 maintains manufacturing operations in Belgium (see Note 2)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each option or stock appreciation right (“SAR”) has been estimated on the date of grant using the Black-Scholes option pricing model with the following range of weighted average assumptions used for grants:</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316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r>
      <w:tr>
        <w:trPr>
          <w:trHeight w:val="223"/>
        </w:trPr>
        <w:tc>
          <w:tcPr>
            <w:tcW w:w="5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 and 1.14%</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 and 1.50%</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 years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years</w:t>
            </w:r>
          </w:p>
        </w:tc>
      </w:tr>
    </w:tbl>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expected life assumption was determined based on the Company’s historical experience as well as the term of recent SAR agreements.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 or SARs.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principally of cash and cash equivalents and trade receivables. The Company maintains accounts at several commercial banks at which the balances exceed Federal Deposit Insurance Corporation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(Topic 350): Simplifying the Test for Goodwill Impairment </w:t>
      </w:r>
      <w:r>
        <w:rPr>
          <w:rFonts w:ascii="Times New Roman" w:cs="Times New Roman" w:eastAsia="Times New Roman" w:hAnsi="Times New Roman"/>
          <w:sz w:val="18"/>
          <w:szCs w:val="18"/>
          <w:color w:val="auto"/>
        </w:rPr>
        <w:t>(“ASU 2017-04”), which simplifies how an entity is required to test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early adopting and is in the process of determining the effect that ASU 2017-04 may have, however, the Company expects the new standard to have an immaterial effect on its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March 2016, the FASB amended the existing accounting standards for stock-based compensation,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The amendments impact several aspects of accounting for share-based payment transactions, including the income tax consequences, forfeitures, 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in the next fiscal year. The Company has not determined the full impact of implementation of this standard, however the Company is determining if the stock options offered would require any type of transition under the new pronouncement and expects that, when adopted beginning in fiscal 2019, the new standard will have an immaterial effect on the Company’s financials.</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the ASU 2016-02 are effective for fiscal years beginning after December 31, 2018 and early adoption is permitted. The Company is currently evaluating the impact of this standard on our consolidated financial statements, however the Company has minimal leases and expects that when adopted beginning in fiscal 2019, the new standard to have an immaterial effect on the Company’s financials.</w:t>
      </w:r>
    </w:p>
    <w:p>
      <w:pPr>
        <w:spacing w:after="0" w:line="1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The amendments in ASU 2015-17 seek to simplify the presentation of deferred income taxes and require that deferred tax liabilities and assets be classified as noncurrent in a classified statement of financial position. ASU 2015-17 is effective for financial statements issued for annual periods beginning after December 15, 2016, and interim periods within those annual periods, with early application permitted for all entities as of the beginning of an interim or annual reporting period. The Company has adopted the guidance during fiscal 2017 on a prospective basis in order to simplify balance sheet classification. Prior periods have not been retrospectively adjusted.</w:t>
      </w:r>
    </w:p>
    <w:p>
      <w:pPr>
        <w:spacing w:after="0" w:line="17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xml:space="preserve">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 however based upon the preliminary work that has been done when adopted this pronouncement is expected to have minimal, if any effect, on the financial statements. This pronouncement will be adopted for the Company’s next fiscal year.</w:t>
      </w:r>
    </w:p>
    <w:p>
      <w:pPr>
        <w:spacing w:after="0" w:line="1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May 2014, the FASB issued ASU No.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This ASU is effective for public companies for annual reporting periods beginning on or after December 15, 2017 and for the Company, must be adopted for its fiscal year 2019 beginning on May 1, 2018. The Company is currently evaluating the impact that ASU 2014-09 may have on its financial statements when the statement is adopted for its fiscal year 2019.</w:t>
      </w:r>
    </w:p>
    <w:p>
      <w:pPr>
        <w:spacing w:after="0" w:line="174"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Operations</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December 2016, the Company entered into a contingent share purchase agreement with certain foreign parties with respect to a potential sale of Gillam-FEI, the Company’s Belgian subsidiary. However, these parties have not yet performed their obligations under that agreement, and the Company continues to negotiate with these parties with respect to a potential sale. Subsequently, in April 2017, the Company decided to sell its Gillam business in any event as soon as practicable. The Company is currently in discussions with a number of potential buyers and believes that the divestment is on a path to completion by the end of fiscal year 2018. Accordingly, the Company determined that the assets and liabilities of this reportable segment met the discontinued operations criteria in Accounting Standards Codification 205-20-45 in the quarter ended April 30, 2017. As such Gillam’s results have been classified as discontinued operations in the accompanying Consolidated Statements of Operations and Comprehensive (Loss) Income.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ind w:right="-19"/>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operating results for the Gillam discontinued operations, for the years ended April 30, 2017 and 2016 respectively, are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7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30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years ended April 30,</w:t>
            </w:r>
          </w:p>
        </w:tc>
      </w:tr>
      <w:tr>
        <w:trPr>
          <w:trHeight w:val="223"/>
        </w:trPr>
        <w:tc>
          <w:tcPr>
            <w:tcW w:w="7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5,985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4,781</w:t>
            </w: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1,578</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1,714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780" w:type="dxa"/>
            <w:vAlign w:val="bottom"/>
          </w:tcPr>
          <w:p>
            <w:pPr>
              <w:spacing w:after="0"/>
              <w:rPr>
                <w:sz w:val="2"/>
                <w:szCs w:val="2"/>
                <w:color w:val="auto"/>
              </w:rPr>
            </w:pPr>
          </w:p>
        </w:tc>
        <w:tc>
          <w:tcPr>
            <w:tcW w:w="54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8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(loss) income</w:t>
            </w:r>
          </w:p>
        </w:tc>
        <w:tc>
          <w:tcPr>
            <w:tcW w:w="9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80" w:type="dxa"/>
            <w:vAlign w:val="bottom"/>
          </w:tcPr>
          <w:p>
            <w:pPr>
              <w:spacing w:after="0"/>
              <w:rPr>
                <w:sz w:val="2"/>
                <w:szCs w:val="2"/>
                <w:color w:val="auto"/>
              </w:rPr>
            </w:pPr>
          </w:p>
        </w:tc>
        <w:tc>
          <w:tcPr>
            <w:tcW w:w="54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(547)</w:t>
            </w:r>
          </w:p>
        </w:tc>
        <w:tc>
          <w:tcPr>
            <w:tcW w:w="3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w:t>
            </w:r>
          </w:p>
        </w:tc>
      </w:tr>
      <w:tr>
        <w:trPr>
          <w:trHeight w:val="223"/>
        </w:trPr>
        <w:tc>
          <w:tcPr>
            <w:tcW w:w="780" w:type="dxa"/>
            <w:vAlign w:val="bottom"/>
          </w:tcPr>
          <w:p>
            <w:pPr>
              <w:spacing w:after="0"/>
              <w:rPr>
                <w:sz w:val="19"/>
                <w:szCs w:val="19"/>
                <w:color w:val="auto"/>
              </w:rPr>
            </w:pPr>
          </w:p>
        </w:tc>
        <w:tc>
          <w:tcPr>
            <w:tcW w:w="54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w:t>
            </w:r>
          </w:p>
        </w:tc>
      </w:tr>
      <w:tr>
        <w:trPr>
          <w:trHeight w:val="21"/>
        </w:trPr>
        <w:tc>
          <w:tcPr>
            <w:tcW w:w="62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7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The carrying amounts of assets and liabilities for the Gillam discontinued operations are as follows: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7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78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3,202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3,384</w:t>
            </w: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4,999</w:t>
            </w:r>
          </w:p>
        </w:tc>
      </w:tr>
      <w:tr>
        <w:trPr>
          <w:trHeight w:val="223"/>
        </w:trPr>
        <w:tc>
          <w:tcPr>
            <w:tcW w:w="78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780" w:type="dxa"/>
            <w:vAlign w:val="bottom"/>
          </w:tcPr>
          <w:p>
            <w:pPr>
              <w:spacing w:after="0"/>
              <w:rPr>
                <w:sz w:val="19"/>
                <w:szCs w:val="19"/>
                <w:color w:val="auto"/>
              </w:rPr>
            </w:pPr>
          </w:p>
        </w:tc>
        <w:tc>
          <w:tcPr>
            <w:tcW w:w="548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8,165</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84"/>
        </w:trPr>
        <w:tc>
          <w:tcPr>
            <w:tcW w:w="780" w:type="dxa"/>
            <w:vAlign w:val="bottom"/>
          </w:tcPr>
          <w:p>
            <w:pPr>
              <w:spacing w:after="0"/>
              <w:rPr>
                <w:sz w:val="16"/>
                <w:szCs w:val="16"/>
                <w:color w:val="auto"/>
              </w:rPr>
            </w:pPr>
          </w:p>
        </w:tc>
        <w:tc>
          <w:tcPr>
            <w:tcW w:w="54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Property, plant and equipment, at cost, net of accumulated depreciation</w:t>
            </w: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7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 – non-current</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548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 trade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w:t>
            </w:r>
          </w:p>
        </w:tc>
      </w:tr>
      <w:tr>
        <w:trPr>
          <w:trHeight w:val="223"/>
        </w:trPr>
        <w:tc>
          <w:tcPr>
            <w:tcW w:w="78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1,629</w:t>
            </w:r>
          </w:p>
        </w:tc>
      </w:tr>
      <w:tr>
        <w:trPr>
          <w:trHeight w:val="223"/>
        </w:trPr>
        <w:tc>
          <w:tcPr>
            <w:tcW w:w="780" w:type="dxa"/>
            <w:vAlign w:val="bottom"/>
          </w:tcPr>
          <w:p>
            <w:pPr>
              <w:spacing w:after="0"/>
              <w:rPr>
                <w:sz w:val="19"/>
                <w:szCs w:val="19"/>
                <w:color w:val="auto"/>
              </w:rPr>
            </w:pPr>
          </w:p>
        </w:tc>
        <w:tc>
          <w:tcPr>
            <w:tcW w:w="548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2,249</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 and other liabilities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r>
      <w:tr>
        <w:trPr>
          <w:trHeight w:val="223"/>
        </w:trPr>
        <w:tc>
          <w:tcPr>
            <w:tcW w:w="780" w:type="dxa"/>
            <w:vAlign w:val="bottom"/>
          </w:tcPr>
          <w:p>
            <w:pPr>
              <w:spacing w:after="0"/>
              <w:rPr>
                <w:sz w:val="19"/>
                <w:szCs w:val="19"/>
                <w:color w:val="auto"/>
              </w:rPr>
            </w:pPr>
          </w:p>
        </w:tc>
        <w:tc>
          <w:tcPr>
            <w:tcW w:w="548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non-current liabilities of discontinued operations</w:t>
            </w: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1,215</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Earnings Per Share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Reconciliations of the weighted average shares outstanding for basic and diluted Earnings Per Share are as follows: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480" w:type="dxa"/>
            <w:vAlign w:val="bottom"/>
          </w:tcPr>
          <w:p>
            <w:pPr>
              <w:spacing w:after="0"/>
              <w:rPr>
                <w:sz w:val="21"/>
                <w:szCs w:val="21"/>
                <w:color w:val="auto"/>
              </w:rPr>
            </w:pPr>
          </w:p>
        </w:tc>
        <w:tc>
          <w:tcPr>
            <w:tcW w:w="30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r>
      <w:tr>
        <w:trPr>
          <w:trHeight w:val="223"/>
        </w:trPr>
        <w:tc>
          <w:tcPr>
            <w:tcW w:w="54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 Shares outstanding (weighted average)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8,787,082</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8,727,874</w:t>
            </w:r>
          </w:p>
        </w:tc>
        <w:tc>
          <w:tcPr>
            <w:tcW w:w="12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209,035</w:t>
            </w: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Shares outstanding</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8,787,082</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8,936,909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ind w:firstLine="656"/>
        <w:spacing w:after="0" w:line="266" w:lineRule="auto"/>
        <w:tabs>
          <w:tab w:leader="none" w:pos="8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April 30, 2017, dilutive securities are excluded since the inclusion of such shares would be antidilutive due to the net loss for the period. The exercisable shares excluded are 1,280,625.</w:t>
      </w:r>
    </w:p>
    <w:p>
      <w:pPr>
        <w:sectPr>
          <w:pgSz w:w="11900" w:h="16838" w:orient="portrait"/>
          <w:cols w:equalWidth="0" w:num="1">
            <w:col w:w="11400"/>
          </w:cols>
          <w:pgMar w:left="240" w:top="121" w:right="25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earnings per share in the other fiscal periods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5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Years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19685</wp:posOffset>
            </wp:positionV>
            <wp:extent cx="18694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69440" cy="17145"/>
                    </a:xfrm>
                    <a:prstGeom prst="rect">
                      <a:avLst/>
                    </a:prstGeom>
                    <a:noFill/>
                  </pic:spPr>
                </pic:pic>
              </a:graphicData>
            </a:graphic>
          </wp:anchor>
        </w:drawing>
      </w:r>
    </w:p>
    <w:p>
      <w:pPr>
        <w:spacing w:after="0" w:line="16" w:lineRule="exact"/>
        <w:rPr>
          <w:sz w:val="20"/>
          <w:szCs w:val="20"/>
          <w:color w:val="auto"/>
        </w:rPr>
      </w:pPr>
    </w:p>
    <w:p>
      <w:pPr>
        <w:ind w:left="742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19685</wp:posOffset>
            </wp:positionV>
            <wp:extent cx="18694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69440" cy="17145"/>
                    </a:xfrm>
                    <a:prstGeom prst="rect">
                      <a:avLst/>
                    </a:prstGeom>
                    <a:noFill/>
                  </pic:spPr>
                </pic:pic>
              </a:graphicData>
            </a:graphic>
          </wp:anchor>
        </w:drawing>
      </w:r>
    </w:p>
    <w:p>
      <w:pPr>
        <w:spacing w:after="0" w:line="20" w:lineRule="exact"/>
        <w:rPr>
          <w:sz w:val="20"/>
          <w:szCs w:val="20"/>
          <w:color w:val="auto"/>
        </w:rPr>
      </w:pPr>
    </w:p>
    <w:p>
      <w:pPr>
        <w:ind w:left="1440"/>
        <w:spacing w:after="0"/>
        <w:tabs>
          <w:tab w:leader="none" w:pos="8080" w:val="left"/>
          <w:tab w:leader="none" w:pos="9260" w:val="left"/>
        </w:tabs>
        <w:rPr>
          <w:sz w:val="20"/>
          <w:szCs w:val="20"/>
          <w:color w:val="auto"/>
        </w:rPr>
      </w:pPr>
      <w:r>
        <w:rPr>
          <w:rFonts w:ascii="Times New Roman" w:cs="Times New Roman" w:eastAsia="Times New Roman" w:hAnsi="Times New Roman"/>
          <w:sz w:val="18"/>
          <w:szCs w:val="18"/>
          <w:color w:val="auto"/>
        </w:rPr>
        <w:t>Outstanding options and SARS excluded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388,625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-119380</wp:posOffset>
            </wp:positionV>
            <wp:extent cx="542861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92"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Estimated Earnings in Excess of Billings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April 30, 2017 and 2016, costs and estimated earnings in excess of billings, net, consist of the following:</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8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12,460</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(926)</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w:t>
            </w:r>
          </w:p>
        </w:tc>
        <w:tc>
          <w:tcPr>
            <w:tcW w:w="9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2017 and 2016, revenue recognized under percentage of completion contracts was approximately $26.4 million and $32.5 million, respectively. If contract losses are anticipated, costs and estimated earnings in excess of billings are reduced for the full amount of such losses when they are determinable. Total contract losses at April 30, 2017 and 2016 were approximately $300,000 and $450,000, respectively.</w:t>
      </w:r>
    </w:p>
    <w:p>
      <w:pPr>
        <w:spacing w:after="0" w:line="172"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at April 30, 2017 and 2016, respectively, consisted of the following (in thousands):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8,316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4,124</w:t>
            </w:r>
          </w:p>
        </w:tc>
      </w:tr>
      <w:tr>
        <w:trPr>
          <w:trHeight w:val="27"/>
        </w:trPr>
        <w:tc>
          <w:tcPr>
            <w:tcW w:w="54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29,051</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36,280</w:t>
            </w:r>
          </w:p>
        </w:tc>
      </w:tr>
      <w:tr>
        <w:trPr>
          <w:trHeight w:val="21"/>
        </w:trPr>
        <w:tc>
          <w:tcPr>
            <w:tcW w:w="5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of April 30, 2017 and 2016, approximately $28.2 million and $35.3 million, respectively, of total inventory is located in the United States and $0.8 million and $1.0 million, respectively, is located in China. For the year ended April 30, 2017 the Company took a one-time non-cash write down of approximately $5 million of inventory relating to wire-line copper based synchronization products in the FEI-Zyfer segment. Additionally, the Company recorded $2 million of inventory adjustments in the FEI-NY segment. The Company buys inventory in bulk quantities which may be used over significant time periods; due to its nature, the inventory does not deteriorate.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 and Equipment and Leases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at April 30, 2017 and 2016, consists of the following (in thousands):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51,468</w:t>
            </w:r>
          </w:p>
        </w:tc>
      </w:tr>
      <w:tr>
        <w:trPr>
          <w:trHeight w:val="216"/>
        </w:trPr>
        <w:tc>
          <w:tcPr>
            <w:tcW w:w="5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59,081</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54,111</w:t>
            </w:r>
          </w:p>
        </w:tc>
        <w:tc>
          <w:tcPr>
            <w:tcW w:w="12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41,797</w:t>
            </w:r>
          </w:p>
        </w:tc>
      </w:tr>
      <w:tr>
        <w:trPr>
          <w:trHeight w:val="257"/>
        </w:trPr>
        <w:tc>
          <w:tcPr>
            <w:tcW w:w="5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April 30, 2017 and 2016 was $2,610,000 and $2,456,000, respectively.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Maintenance and repairs charged to operations for the years ended April 30, 2017 and 2016 was approximately $675,000 and $593,000, respectively.</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leases its Long Island, New York headquarters building at an annual rent of $800,000 following the Company’s exercise of its option to renew the lease for a second 5-year period. The lease will end in January 2019. Under the terms of the lease, the Company is required to pay its proportionate share of real estate taxes, insurance and other charges.</w:t>
      </w:r>
    </w:p>
    <w:p>
      <w:pPr>
        <w:spacing w:after="0" w:line="16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the Company’s subsidiaries in New Jersey, China, and California lease their office and manufacturing facilities. FEI-Elcom leases 32,000 square feet of office and manufacturing space at current monthly rental of approximately $40,000 through the end of the lease which expires in March 2018. The lease for the FEI-Asia facility is for a one-year term with monthly rent of $1,000 through May 2018. FEI-Zyfer leases office and manufacturing space encompassing 27,850 square feet. Monthly rental payments are currently $31,200 for the remaining 4 months of the lease term. The Company has signed a second amendment to the lease, which extends the lease an additional 88 months, beginning October 1, 2017 and expiring January 31, 2025. The average annual rent over the period of the amendment is approximately $332,000.</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Rent expense under operating leases for the years ended April 30, 2017 and 2016 was approximately $1.6 million and $1.5 million, respectively. The Company records rent expense on its New York building and FEI-Zyfer facility on the straight-line method over the lives of the respective leases. As a result, as of April 30, 2017 and 2016, the Company’s balance sheet includes deferred rent payable of approximately $99,000 and $214,000, respectively, which will be recognized over the respective rental periods.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noncancelable minimum lease payments required by the operating leases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74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Years 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45"/>
        </w:trPr>
        <w:tc>
          <w:tcPr>
            <w:tcW w:w="2880" w:type="dxa"/>
            <w:vAlign w:val="bottom"/>
          </w:tcPr>
          <w:p>
            <w:pPr>
              <w:spacing w:after="0"/>
              <w:rPr>
                <w:sz w:val="21"/>
                <w:szCs w:val="21"/>
                <w:color w:val="auto"/>
              </w:rPr>
            </w:pPr>
          </w:p>
        </w:tc>
        <w:tc>
          <w:tcPr>
            <w:tcW w:w="274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27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2018</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2019</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2020</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2021</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2022</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27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Thereafter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57"/>
        </w:trPr>
        <w:tc>
          <w:tcPr>
            <w:tcW w:w="288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future minimum lease payments</w:t>
            </w:r>
          </w:p>
        </w:tc>
        <w:tc>
          <w:tcPr>
            <w:tcW w:w="1360" w:type="dxa"/>
            <w:vAlign w:val="bottom"/>
            <w:tcBorders>
              <w:bottom w:val="single" w:sz="8" w:color="CCEEFF"/>
            </w:tcBorders>
            <w:gridSpan w:val="2"/>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40" w:type="dxa"/>
            <w:vAlign w:val="bottom"/>
            <w:tcBorders>
              <w:bottom w:val="single" w:sz="8" w:color="CCEEFF"/>
            </w:tcBorders>
            <w:shd w:val="clear" w:color="auto" w:fill="CCEEFF"/>
          </w:tcPr>
          <w:p>
            <w:pPr>
              <w:spacing w:after="0"/>
              <w:rPr>
                <w:sz w:val="22"/>
                <w:szCs w:val="22"/>
                <w:color w:val="auto"/>
              </w:rPr>
            </w:pPr>
          </w:p>
        </w:tc>
        <w:tc>
          <w:tcPr>
            <w:tcW w:w="2840" w:type="dxa"/>
            <w:vAlign w:val="bottom"/>
          </w:tcPr>
          <w:p>
            <w:pPr>
              <w:spacing w:after="0"/>
              <w:rPr>
                <w:sz w:val="22"/>
                <w:szCs w:val="22"/>
                <w:color w:val="auto"/>
              </w:rPr>
            </w:pPr>
          </w:p>
        </w:tc>
      </w:tr>
      <w:tr>
        <w:trPr>
          <w:trHeight w:val="551"/>
        </w:trPr>
        <w:tc>
          <w:tcPr>
            <w:tcW w:w="28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4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99"/>
              </w:rPr>
              <w:t>33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
        </w:trPr>
        <w:tc>
          <w:tcPr>
            <w:tcW w:w="288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Marketable Securities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April 30, 2017 and 2016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40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12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45"/>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86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1,248</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6,239</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40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12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45"/>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7,589</w:t>
            </w: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92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7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1"/>
                <w:szCs w:val="21"/>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0"/>
        </w:trPr>
        <w:tc>
          <w:tcPr>
            <w:tcW w:w="20" w:type="dxa"/>
            <w:vAlign w:val="bottom"/>
          </w:tcPr>
          <w:p>
            <w:pPr>
              <w:spacing w:after="0"/>
              <w:rPr>
                <w:sz w:val="18"/>
                <w:szCs w:val="18"/>
                <w:color w:val="auto"/>
              </w:rPr>
            </w:pPr>
          </w:p>
        </w:tc>
        <w:tc>
          <w:tcPr>
            <w:tcW w:w="1820" w:type="dxa"/>
            <w:vAlign w:val="bottom"/>
            <w:tcBorders>
              <w:bottom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b w:val="1"/>
                <w:bCs w:val="1"/>
                <w:color w:val="auto"/>
              </w:rPr>
              <w:t>April 30, 2017</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1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1,243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1820" w:type="dxa"/>
            <w:vAlign w:val="bottom"/>
            <w:tcBorders>
              <w:top w:val="single" w:sz="8" w:color="CCEEFF"/>
              <w:bottom w:val="single" w:sz="8" w:color="auto"/>
            </w:tcBorders>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April 30, 2016</w:t>
            </w: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1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(18)</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2,232</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9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2,806</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r>
      <w:tr>
        <w:trPr>
          <w:trHeight w:val="257"/>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(18)</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2017 are other-than-temporary due to market volatility of the security’s fair value, analysts’ expectations and the Company’s ability to hold the securities for a period of time sufficient to allow for any anticipated recoveries in market value.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Proceeds from the sale or redemption of available-for-sale securities and the resulting gross realized gains and losses included in the determination of net income (loss) are as follows (in thousands):</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years ended April 30,</w:t>
            </w:r>
          </w:p>
        </w:tc>
      </w:tr>
      <w:tr>
        <w:trPr>
          <w:trHeight w:val="223"/>
        </w:trPr>
        <w:tc>
          <w:tcPr>
            <w:tcW w:w="5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9"/>
                <w:szCs w:val="19"/>
                <w:color w:val="auto"/>
              </w:rPr>
            </w:pPr>
          </w:p>
        </w:tc>
      </w:tr>
      <w:tr>
        <w:trPr>
          <w:trHeight w:val="257"/>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r>
      <w:tr>
        <w:trPr>
          <w:trHeight w:val="21"/>
        </w:trPr>
        <w:tc>
          <w:tcPr>
            <w:tcW w:w="54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April 30, 2017 are as follows (at cost,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levels of the fair value hierarchy are described below:</w:t>
      </w:r>
    </w:p>
    <w:p>
      <w:pPr>
        <w:spacing w:after="0" w:line="198" w:lineRule="exact"/>
        <w:rPr>
          <w:sz w:val="20"/>
          <w:szCs w:val="20"/>
          <w:color w:val="auto"/>
        </w:rPr>
      </w:pPr>
    </w:p>
    <w:p>
      <w:pPr>
        <w:ind w:left="1300" w:right="20" w:hanging="931"/>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unadjusted quoted prices for identical assets or liabilities in active markets that the Company has the ability to access.</w:t>
      </w:r>
    </w:p>
    <w:p>
      <w:pPr>
        <w:spacing w:after="0" w:line="148"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212" w:lineRule="exact"/>
        <w:rPr>
          <w:sz w:val="20"/>
          <w:szCs w:val="20"/>
          <w:color w:val="auto"/>
        </w:rPr>
      </w:pPr>
    </w:p>
    <w:p>
      <w:pPr>
        <w:ind w:left="1540" w:hanging="106"/>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5" w:lineRule="exact"/>
        <w:rPr>
          <w:rFonts w:ascii="Times New Roman" w:cs="Times New Roman" w:eastAsia="Times New Roman" w:hAnsi="Times New Roman"/>
          <w:sz w:val="18"/>
          <w:szCs w:val="18"/>
          <w:color w:val="auto"/>
        </w:rPr>
      </w:pPr>
    </w:p>
    <w:p>
      <w:pPr>
        <w:ind w:left="1540" w:hanging="106"/>
        <w:spacing w:after="0" w:line="234"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ind w:left="1540" w:hanging="106"/>
        <w:spacing w:after="0" w:line="234"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ind w:left="1540" w:hanging="106"/>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78"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163"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Obligations</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 As at April 30, 2017, the Company had available credit at variable terms based on its securities holdings under an advisory arrangement, under which no borrowings have been made.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Liabilities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at April 30, 2017 and 2016 consist of the following (in thousands):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and other compensation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r>
      <w:tr>
        <w:trPr>
          <w:trHeight w:val="27"/>
        </w:trPr>
        <w:tc>
          <w:tcPr>
            <w:tcW w:w="54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4,479</w:t>
            </w:r>
          </w:p>
        </w:tc>
      </w:tr>
      <w:tr>
        <w:trPr>
          <w:trHeight w:val="21"/>
        </w:trPr>
        <w:tc>
          <w:tcPr>
            <w:tcW w:w="5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Investment in Morion, Inc.</w:t>
      </w:r>
    </w:p>
    <w:p>
      <w:pPr>
        <w:spacing w:after="0" w:line="25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fiscal years ended April 30, 2017 and 2016, the Company acquired product from Morion in the aggregate amount of approximately $317,000 and $140,000, respectively, and the Company sold product to Morion in the aggregate amount of approximately $10,000 and $845,000, respectively. At April 30, 2017, accounts receivable included $18,000 due from Morion and $13,000 was payable to Morion. Throughout the fiscal years 2017 and 2016, the Company received dividends from Morion of approximately $249,000 and $30,000, respectively.</w:t>
      </w:r>
    </w:p>
    <w:p>
      <w:pPr>
        <w:spacing w:after="0" w:line="17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fiscal year ended April 30, 2016, sales to Morion included $375,000 for product and training services under this agreement. Per the amended agreement, the balance of $1 million for the transfer of the license will be due once the United States Department of State (“State Department”) approves the removal of certain provisions of the original agreement. The State Department has approved the technology transfer called for under the agreement.</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29, 2016, the Company renegotiated the $1 million amendment under the original agreement dated October 22, 2012 to $602,000 due to the U.S. Government easing of export regulations. Of this amount $392,500 was billed and paid during FY 2016 and the balance of $210,000 was billed during FY 2017 and was subsequently collected.</w:t>
      </w:r>
    </w:p>
    <w:p>
      <w:pPr>
        <w:spacing w:after="0" w:line="163"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fiscal year 2004, the Company acquired FEI-Zyfer, Inc. (“FEI-Zyfer”). This acquisition resulted in the recording of $219,000 in goodwill. In February 2012, the Company acquired FEI-Elcom resulting in the recording of goodwill in the amount of $398,000. Management has determined that goodwill is not impaired as of April 30, 2017 and 2016.</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Sharing Plan:</w:t>
      </w:r>
    </w:p>
    <w:p>
      <w:pPr>
        <w:spacing w:after="0" w:line="2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2017 and 2016, the Company contributed 47,839 and 46,743 shares of common stock, respectively. The approximate value of these shares at the date of contribution was $493,000 in fiscal year 2017 and $498,000 in fiscal year 2016. Contributed shares are drawn from the Company’s common stock held in treasury and are removed at the Company’s original cost of acquisition of such shares on a specific identification basis. In addition to changes in the treasury stock accounts, during fiscal years 2017 and 2016, such transactions increased additional paid in capital by $274,000 and $283,000, respectively. As of April 30, 2017, all shares of the Company’s common stock held by the two plans were combined for an aggregate holding of 738,064 shares, which are allocated to the accounts of the individual participants.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Incentive Pool:</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Under these plans, the Company charged approximately $272,000 and $702,000 to selling and administrative expenses for the fiscal years ended April 30, 2017 and 2016,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Typically, options and SARS vest over a four-year period from the date of grant. The options and SARS generally expire ten years after the date of grant (the most recent SAR award expires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7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As of April 30, 2017, eligible employees and directors have been granted SARS based on approximately 2,197,000 shares of Company stock, of which approximately 1,635,000 shares are outstanding and approximately 1,281,000 shares with a weighted average exercise price of $8.35 are exercisable. As of April 30, 2016, eligible employees and directors had been granted SARS based on approximately 2,021,000 shares of Company stock, of which approximately 1,653,000 shares were outstanding and approximately 1,314,000 shares with a weighted average exercise price of $8.45 were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year ended April 30, 2017, employees exercised SARS representing 35,500 shares of Company stock and received 15,273 shares of Company stock. The 20,227 share difference was returned to the pool of available shares and may be used for future grants. During the year ended April 30, 2016, employees exercised SARS representing 19,500 shares of Company stock and received 5,736 shares of Company stock. The 13,764 share difference was returned to the pool of available shares and may be used for future grants.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and stock appreciation rights activity for the years ended April 30: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Stock Options and Stock Appreciation Rights</w:t>
            </w: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8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80" w:type="dxa"/>
            <w:vAlign w:val="bottom"/>
          </w:tcPr>
          <w:p>
            <w:pPr>
              <w:spacing w:after="0"/>
              <w:rPr>
                <w:sz w:val="21"/>
                <w:szCs w:val="21"/>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2015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 years</w:t>
            </w: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72,000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12.30</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Canceled</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10.39</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2016</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5.1 years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10.65</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Canceled</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(157,000)</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12.02</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2017</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1,635,125</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4.3 years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2,974,178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1,280,625</w:t>
            </w:r>
          </w:p>
        </w:tc>
        <w:tc>
          <w:tcPr>
            <w:tcW w:w="140" w:type="dxa"/>
            <w:vAlign w:val="bottom"/>
          </w:tcPr>
          <w:p>
            <w:pPr>
              <w:spacing w:after="0"/>
              <w:rPr>
                <w:sz w:val="18"/>
                <w:szCs w:val="18"/>
                <w:color w:val="auto"/>
              </w:rPr>
            </w:pPr>
          </w:p>
        </w:tc>
        <w:tc>
          <w:tcPr>
            <w:tcW w:w="134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4.0 years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2,958,083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future grants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2017, total unrecognized compensation cost related to non-vested options and stock appreciation rights under the plans was approximately $1,016,000. These costs are expected to be recognized over a weighted average period of 2.6 years.</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years ended April 30, 2017 and 2016, 159,500 and 151,500 shares, respectively, vested, the fair value of which was approximately $694,000 and $661,000, respectively. The weighted average grant date fair value of stock appreciation rights granted during the years ended April 30, 2017 and 2016, were approximately $3.48 and $4.06, respectively.</w:t>
      </w:r>
    </w:p>
    <w:p>
      <w:pPr>
        <w:spacing w:after="0" w:line="1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Stock-based compensation costs capitalized as part of work in process inventory or included in the cost of sales of programs on which the Company recognizes revenue under the percentage of completion method were approximately $229,000 and $265,000 for the years ended April 30, 2017 and 2016, respectively. Selling and administrative expenses include stock-based compensation expense of approximately $424,000 and $559,000 for the years ended April 30, 2017 and 2016, respectively.</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classifies cash flows resulting from the tax benefits from tax deductions recognized upon the exercise of stock options or SARS (tax benefits) as financing cash flows. For the years ended April 30, 2017 and 2016, the Company realized $26,000 and $141,000 respectively, of tax benefits from the exercise of stock options and SARS.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Plan:</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As a result of the adoption by the Company’s stockholders of the 2005 Stock Award Plan, the Restricted Stock Plan was discontinued. No additional grants will be made under this plan. As of April 30, 2017 and 2016, grants for 7,500 shares are available to be purchased at a price of $4.00 per share.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Agreements:</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2017 and 2016 was approximately $2,029,000 and $959,000,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Policies and Cash Held in Trust:</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13. Income Taxes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280" w:type="dxa"/>
            <w:vAlign w:val="bottom"/>
          </w:tcPr>
          <w:p>
            <w:pPr>
              <w:spacing w:after="0"/>
              <w:rPr>
                <w:sz w:val="24"/>
                <w:szCs w:val="24"/>
                <w:color w:val="auto"/>
              </w:rPr>
            </w:pPr>
          </w:p>
        </w:tc>
        <w:tc>
          <w:tcPr>
            <w:tcW w:w="61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income before provision for income taxes consisted of (in thousands):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(6,625)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w:t>
            </w:r>
          </w:p>
        </w:tc>
        <w:tc>
          <w:tcPr>
            <w:tcW w:w="9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r>
      <w:tr>
        <w:trPr>
          <w:trHeight w:val="257"/>
        </w:trPr>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(7,039)</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12"/>
        </w:trPr>
        <w:tc>
          <w:tcPr>
            <w:tcW w:w="280" w:type="dxa"/>
            <w:vAlign w:val="bottom"/>
          </w:tcPr>
          <w:p>
            <w:pPr>
              <w:spacing w:after="0"/>
              <w:rPr>
                <w:sz w:val="24"/>
                <w:szCs w:val="24"/>
                <w:color w:val="auto"/>
              </w:rPr>
            </w:pPr>
          </w:p>
        </w:tc>
        <w:tc>
          <w:tcPr>
            <w:tcW w:w="61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3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provision</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w:t>
            </w:r>
          </w:p>
        </w:tc>
        <w:tc>
          <w:tcPr>
            <w:tcW w:w="9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w:t>
            </w: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(1,861)</w:t>
            </w:r>
          </w:p>
        </w:tc>
        <w:tc>
          <w:tcPr>
            <w:tcW w:w="9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benefit</w:t>
            </w: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(1,354)</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(2,115)</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April 30, 2017, the Company recognized a tax benefit related to a current year domestic pretax loss compared to a provision for taxes in in the prior year related to domestic pretax income. The Company intends to carry back the fiscal 2017 domestic loss for a refund of taxes paid in prior years.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ind w:right="-19"/>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reported income tax expense with the amount computed using the federal statutory income tax rate (in thousands):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(2,394)</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Worthless Securities</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life insurance cash value increase</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0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r>
      <w:tr>
        <w:trPr>
          <w:trHeight w:val="257"/>
        </w:trPr>
        <w:tc>
          <w:tcPr>
            <w:tcW w:w="4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(2,115)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effective tax rate was impacted favorably by a U.S. tax deduction relating to the realization of the excess tax basis in common shares of FEI-Asia as the Company made an election to treat FEI-Asia as a disregarded entity. The effective tax rate was also impacted unfavorably by unrecognized tax benefits, a state tax rate change, and losses incurred at the Company’s foreign subsidiaries for which it receives no tax benefit.</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taxes are as follows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benefits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7,590</w:t>
            </w:r>
          </w:p>
        </w:tc>
        <w:tc>
          <w:tcPr>
            <w:tcW w:w="38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subsidiary – outside basis</w:t>
            </w: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0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17,782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13,295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state income tax</w:t>
            </w: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deferred tax asset</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tcBorders>
              <w:top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deferred tax asset were as follows (in thousands):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assets</w:t>
            </w:r>
          </w:p>
        </w:tc>
        <w:tc>
          <w:tcPr>
            <w:tcW w:w="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asset</w:t>
            </w:r>
          </w:p>
        </w:tc>
        <w:tc>
          <w:tcPr>
            <w:tcW w:w="3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right="620"/>
        <w:spacing w:after="0" w:line="266" w:lineRule="auto"/>
        <w:rPr>
          <w:sz w:val="20"/>
          <w:szCs w:val="20"/>
          <w:color w:val="auto"/>
        </w:rPr>
      </w:pPr>
      <w:r>
        <w:rPr>
          <w:rFonts w:ascii="Times New Roman" w:cs="Times New Roman" w:eastAsia="Times New Roman" w:hAnsi="Times New Roman"/>
          <w:sz w:val="18"/>
          <w:szCs w:val="18"/>
          <w:color w:val="auto"/>
        </w:rPr>
        <w:t>*This amount consists of $3,138 included in current assets in deferred and prepaid income taxes and $7,702 included in non-current assets in deferred income taxes.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some portion, or all, of the deferred tax assets will not be realized. We consider the level of historical income, scheduled reversal of temporary differences, tax planning strategies and projected future taxable income in determining whether a valuation allowance is warranted. The valuation allowance of $3.3 million as of April 30, 2017, is intended to provide for uncertainty regarding the ultimate realization of U.S. state investment tax credit carryovers, capital loss assets and foreign net operating loss carryovers. Based on these considerations, we believe it is more likely than not that we will realize the benefit of the net deferred tax asset of $11.9 million as of April 30, 2017, which is net of the valuation allowance.</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valuation allowance excluding discontinued operations increased by approximately $2.3 million during the year ended April 30, 2017. The change consists of a $2.3 million deferred tax provision related to a capital loss asset, investment tax credits and a foreign net operating loss.</w:t>
      </w:r>
    </w:p>
    <w:p>
      <w:pPr>
        <w:spacing w:after="0" w:line="14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At April 30, 2017, the Company has available approximately $.9 million in net operating losses available to offset future income of certain of its foreign subsidiaries. These loss carryforwards have no expiration date. As a result of the acquisition of FEI-Elcom, the Company has a federal net operating loss carryforward of $4.4 million which may be applied in annually limited amounts to offset future U.S.-sourced taxable income over the next 14 years. As of April 30, 2017, the Company has state investment tax credits of $1 million. The state investment tax credit expires beginning in 2023 through 2032.</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2016</w:t>
            </w:r>
          </w:p>
        </w:tc>
        <w:tc>
          <w:tcPr>
            <w:tcW w:w="9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positions taken in the current year</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r>
      <w:tr>
        <w:trPr>
          <w:trHeight w:val="216"/>
        </w:trPr>
        <w:tc>
          <w:tcPr>
            <w:tcW w:w="7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positions taken in prior years</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r>
      <w:tr>
        <w:trPr>
          <w:trHeight w:val="223"/>
        </w:trPr>
        <w:tc>
          <w:tcPr>
            <w:tcW w:w="78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Decreases based on positions taken in prior years</w:t>
            </w:r>
          </w:p>
        </w:tc>
        <w:tc>
          <w:tcPr>
            <w:tcW w:w="4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57"/>
        </w:trPr>
        <w:tc>
          <w:tcPr>
            <w:tcW w:w="780" w:type="dxa"/>
            <w:vAlign w:val="bottom"/>
          </w:tcPr>
          <w:p>
            <w:pPr>
              <w:spacing w:after="0"/>
              <w:rPr>
                <w:sz w:val="22"/>
                <w:szCs w:val="22"/>
                <w:color w:val="auto"/>
              </w:rPr>
            </w:pPr>
          </w:p>
        </w:tc>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April 30, 2017</w:t>
            </w:r>
          </w:p>
        </w:tc>
        <w:tc>
          <w:tcPr>
            <w:tcW w:w="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entire amount reflected in the table above at April 30, 2017, if recognized, would reduce our effective tax rate. As of April 30, 2017 and 2016, the Company had $21,000 and $0, respectively, accrued for the payment of interest and penalties. For the fiscal years ended April 30, 2017 and 2016, the Company recognized interest and penalties of $21,000 and $0, respectively. It is difficult to predict or estimate the change in the Company’s unrecognized tax benefits over the next twelve months as a result of the progression of ongoing tax audits or other events. The Company believes, however, that it is reasonably possible that decreases in unrecognized tax benefits of up to $.2 million may be recognized during the next twelve months.</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local and foreign jurisdictions. The Company is no longer subject to examination of its federal income tax returns by the Internal Revenue Service for fiscal years 2013 and prior. In June 2017, the Company received notification from the Internal Revenue Service that it is seeking to review its tax return for the year ended April 30, 2016. The Company is no longer subject to examination by the taxing authorities in its foreign jurisdictions for fiscal 2013 and prior. Net operating losses generated by domestic and foreign entities in closed years and utilized in open years are subject to adjustment by the tax authorities.</w:t>
      </w:r>
    </w:p>
    <w:p>
      <w:pPr>
        <w:spacing w:after="0" w:line="17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Information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198" w:lineRule="exact"/>
        <w:rPr>
          <w:sz w:val="20"/>
          <w:szCs w:val="20"/>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6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ind w:right="-19"/>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president of FEI-Zyfer manages the assets of one segment. All acquired assets, including intangible assets, are included in the assets of both reporting segments.</w:t>
      </w:r>
    </w:p>
    <w:p>
      <w:pPr>
        <w:spacing w:after="0" w:line="154"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44,238</w:t>
            </w:r>
          </w:p>
        </w:tc>
        <w:tc>
          <w:tcPr>
            <w:tcW w:w="0" w:type="dxa"/>
            <w:vAlign w:val="bottom"/>
          </w:tcPr>
          <w:p>
            <w:pPr>
              <w:spacing w:after="0"/>
              <w:rPr>
                <w:sz w:val="1"/>
                <w:szCs w:val="1"/>
                <w:color w:val="auto"/>
              </w:rPr>
            </w:pP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55,416</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(2,937)</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Consolidated operating (loss)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5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 (approximately $1.7 and $2.5 million in China)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62,999</w:t>
            </w:r>
          </w:p>
        </w:tc>
        <w:tc>
          <w:tcPr>
            <w:tcW w:w="0" w:type="dxa"/>
            <w:vAlign w:val="bottom"/>
          </w:tcPr>
          <w:p>
            <w:pPr>
              <w:spacing w:after="0"/>
              <w:rPr>
                <w:sz w:val="1"/>
                <w:szCs w:val="1"/>
                <w:color w:val="auto"/>
              </w:rPr>
            </w:pP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13,275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intersegment receivables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(11,992)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(7,658)</w:t>
            </w:r>
          </w:p>
        </w:tc>
        <w:tc>
          <w:tcPr>
            <w:tcW w:w="0" w:type="dxa"/>
            <w:vAlign w:val="bottom"/>
          </w:tcPr>
          <w:p>
            <w:pPr>
              <w:spacing w:after="0"/>
              <w:rPr>
                <w:sz w:val="1"/>
                <w:szCs w:val="1"/>
                <w:color w:val="auto"/>
              </w:rPr>
            </w:pPr>
          </w:p>
        </w:tc>
      </w:tr>
      <w:tr>
        <w:trPr>
          <w:trHeight w:val="223"/>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53,561</w:t>
            </w: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113,319</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(allocated):</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Consolidated depreciation and amortization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Major Customers</w:t>
      </w:r>
    </w:p>
    <w:p>
      <w:pPr>
        <w:spacing w:after="0" w:line="20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the years ended April 30, 2017 and 2016, approximately 59% and 65% respectively, of the Company’s sales were made under contracts to the U.S. Government or subcontracts for U.S. Government end-use.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fiscal year 2017, sales to three customers of the FEI-NY segment accounted for more than 10% of that segment’s sales. Two of these customers also exceeded 10% of the Company’s consolidated revenues. In the FEI-Zyfer segment, one customer accounted for more than 10% of that segment’s sales and also exceeded 10% of the Company’s consolidated revenues.</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fiscal year 2016, sales to four customers of the FEI-NY segment aggregated $30.7 million or 69% of that segment’s total sales. Two of these customers also exceeded 10% of the Company’s consolidated revenues. In the FEI-Zyfer segment, two customers accounted for more than 10% of that segment’s sales. None of the customers in the FEI-Zyfer segment accounted for more than 10% of consolidated revenues.</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loss by the Company of any one of these customers would have a material adverse effect on the Company’s business. The Company believes its relationship with these customers to be mutually satisfactory. Sales to major customers above can include commercial and governmental end users.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Sales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in each of the Company’s segments include sales to foreign governments or to companies located in foreign countries. Revenues, based on the location of the procurement entity and excluding intersegment sales, were derived from the following countries:</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6,776</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Product Warranties</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5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2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9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accrual</w:t>
            </w:r>
          </w:p>
        </w:tc>
        <w:tc>
          <w:tcPr>
            <w:tcW w:w="2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3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vMerge w:val="restart"/>
          </w:tcPr>
          <w:p>
            <w:pPr>
              <w:jc w:val="right"/>
              <w:ind w:right="1048"/>
              <w:spacing w:after="0"/>
              <w:rPr>
                <w:sz w:val="20"/>
                <w:szCs w:val="20"/>
                <w:color w:val="auto"/>
              </w:rPr>
            </w:pPr>
            <w:r>
              <w:rPr>
                <w:rFonts w:ascii="Times New Roman" w:cs="Times New Roman" w:eastAsia="Times New Roman" w:hAnsi="Times New Roman"/>
                <w:sz w:val="14"/>
                <w:szCs w:val="14"/>
                <w:color w:val="auto"/>
              </w:rPr>
              <w:t>43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14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4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jc w:val="center"/>
        <w:spacing w:after="0"/>
        <w:rPr>
          <w:sz w:val="20"/>
          <w:szCs w:val="20"/>
          <w:color w:val="auto"/>
        </w:rPr>
      </w:pPr>
      <w:r>
        <w:rPr>
          <w:rFonts w:ascii="Times New Roman" w:cs="Times New Roman" w:eastAsia="Times New Roman" w:hAnsi="Times New Roman"/>
          <w:sz w:val="18"/>
          <w:szCs w:val="18"/>
          <w:color w:val="auto"/>
        </w:rPr>
        <w:t>April 30, 2017 and 2016</w:t>
      </w:r>
    </w:p>
    <w:p>
      <w:pPr>
        <w:spacing w:after="0" w:line="178"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Comprehensive Income (Loss)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Changes in Accumulated Other Comprehensive Income (“AOCI”) by component and reclassifications out of AOCI are as follows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April 30, 2015, net of taxes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of other comprehensive income (loss)</w:t>
      </w:r>
    </w:p>
    <w:p>
      <w:pPr>
        <w:spacing w:after="0" w:line="234" w:lineRule="auto"/>
        <w:rPr>
          <w:sz w:val="20"/>
          <w:szCs w:val="20"/>
          <w:color w:val="auto"/>
        </w:rPr>
      </w:pPr>
      <w:r>
        <w:rPr>
          <w:rFonts w:ascii="Times New Roman" w:cs="Times New Roman" w:eastAsia="Times New Roman" w:hAnsi="Times New Roman"/>
          <w:sz w:val="18"/>
          <w:szCs w:val="18"/>
          <w:color w:val="auto"/>
        </w:rPr>
        <w:t>before reclassification, pretax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w:t>
      </w:r>
    </w:p>
    <w:p>
      <w:pPr>
        <w:spacing w:after="0" w:line="16" w:lineRule="exact"/>
        <w:rPr>
          <w:sz w:val="20"/>
          <w:szCs w:val="20"/>
          <w:color w:val="auto"/>
        </w:rPr>
      </w:pPr>
    </w:p>
    <w:p>
      <w:pPr>
        <w:ind w:right="1140"/>
        <w:spacing w:after="0" w:line="247" w:lineRule="auto"/>
        <w:rPr>
          <w:sz w:val="20"/>
          <w:szCs w:val="20"/>
          <w:color w:val="auto"/>
        </w:rPr>
      </w:pPr>
      <w:r>
        <w:rPr>
          <w:rFonts w:ascii="Times New Roman" w:cs="Times New Roman" w:eastAsia="Times New Roman" w:hAnsi="Times New Roman"/>
          <w:sz w:val="18"/>
          <w:szCs w:val="18"/>
          <w:color w:val="auto"/>
        </w:rPr>
        <w:t>Items of other comprehensive income (loss) before reclassification, net of taxes Reclassification adjustments, pretax **</w:t>
      </w:r>
    </w:p>
    <w:p>
      <w:pPr>
        <w:spacing w:after="0"/>
        <w:rPr>
          <w:sz w:val="20"/>
          <w:szCs w:val="20"/>
          <w:color w:val="auto"/>
        </w:rPr>
      </w:pPr>
      <w:r>
        <w:rPr>
          <w:rFonts w:ascii="Times New Roman" w:cs="Times New Roman" w:eastAsia="Times New Roman" w:hAnsi="Times New Roman"/>
          <w:sz w:val="18"/>
          <w:szCs w:val="18"/>
          <w:color w:val="auto"/>
        </w:rPr>
        <w:t>Tax effect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other comprehensive income (loss), net of taxes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April 30, 2016, net of taxes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of other comprehensive income (loss)</w:t>
      </w:r>
    </w:p>
    <w:p>
      <w:pPr>
        <w:spacing w:after="0" w:line="234" w:lineRule="auto"/>
        <w:rPr>
          <w:sz w:val="20"/>
          <w:szCs w:val="20"/>
          <w:color w:val="auto"/>
        </w:rPr>
      </w:pPr>
      <w:r>
        <w:rPr>
          <w:rFonts w:ascii="Times New Roman" w:cs="Times New Roman" w:eastAsia="Times New Roman" w:hAnsi="Times New Roman"/>
          <w:sz w:val="18"/>
          <w:szCs w:val="18"/>
          <w:color w:val="auto"/>
        </w:rPr>
        <w:t>before reclassification, pretax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w:t>
      </w:r>
    </w:p>
    <w:p>
      <w:pPr>
        <w:spacing w:after="0" w:line="16" w:lineRule="exact"/>
        <w:rPr>
          <w:sz w:val="20"/>
          <w:szCs w:val="20"/>
          <w:color w:val="auto"/>
        </w:rPr>
      </w:pPr>
    </w:p>
    <w:p>
      <w:pPr>
        <w:ind w:right="1140"/>
        <w:spacing w:after="0" w:line="249" w:lineRule="auto"/>
        <w:rPr>
          <w:sz w:val="20"/>
          <w:szCs w:val="20"/>
          <w:color w:val="auto"/>
        </w:rPr>
      </w:pPr>
      <w:r>
        <w:rPr>
          <w:rFonts w:ascii="Times New Roman" w:cs="Times New Roman" w:eastAsia="Times New Roman" w:hAnsi="Times New Roman"/>
          <w:sz w:val="18"/>
          <w:szCs w:val="18"/>
          <w:color w:val="auto"/>
        </w:rPr>
        <w:t>Items of other comprehensive income (loss) before reclassification, net of taxes Reclassification adjustments, pretax **</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3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of Marketable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23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28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440" w:type="dxa"/>
            <w:vAlign w:val="bottom"/>
            <w:tcBorders>
              <w:top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1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70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198"/>
        </w:trPr>
        <w:tc>
          <w:tcPr>
            <w:tcW w:w="17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gridSpan w:val="2"/>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1"/>
        </w:trPr>
        <w:tc>
          <w:tcPr>
            <w:tcW w:w="15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-2193290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-1798955</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-1387475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-1096010</wp:posOffset>
            </wp:positionV>
            <wp:extent cx="72466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-803910</wp:posOffset>
            </wp:positionV>
            <wp:extent cx="7246620" cy="257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-392430</wp:posOffset>
            </wp:positionV>
            <wp:extent cx="7246620"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320" w:space="720"/>
            <w:col w:w="63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April 30, 2017, net of taxes</w:t>
            </w:r>
          </w:p>
        </w:tc>
        <w:tc>
          <w:tcPr>
            <w:tcW w:w="1620" w:type="dxa"/>
            <w:vAlign w:val="bottom"/>
            <w:tcBorders>
              <w:bottom w:val="single" w:sz="8" w:color="CCEEFF"/>
            </w:tcBorders>
            <w:gridSpan w:val="2"/>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reclassification adjustments represent net realized gains on the sale or redemption of available-for-sale marketable securities that were reclassified from AOCI to Other income (expense), net.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Changes in and Disagreements with Accountants on Accounting and Financial Disclosure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9A. 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07" w:lineRule="exact"/>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2017, the Company’s disclosure controls and procedures were effective.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as of April 30, 2017. In making this assessment, management used the criteria established in Internal Control—Integrated Framework (2013) issued by the Committee of Sponsoring Organizations of the Treadway Commission. Based on this evaluation, management has concluded that the Company’s internal control over financial reporting were effective as of April 30, 2017.</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Reporting</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during the year ended April 30, 2017 to which this report relates that have materially affected, or are reasonably likely to materially affect,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9B. Other Information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Directors and Executive Officers of the Company</w:t>
      </w:r>
    </w:p>
    <w:p>
      <w:pPr>
        <w:spacing w:after="0" w:line="198" w:lineRule="exact"/>
        <w:rPr>
          <w:sz w:val="20"/>
          <w:szCs w:val="20"/>
          <w:color w:val="auto"/>
        </w:rPr>
      </w:pPr>
    </w:p>
    <w:p>
      <w:pPr>
        <w:jc w:val="both"/>
        <w:ind w:firstLine="648"/>
        <w:spacing w:after="0" w:line="209" w:lineRule="exact"/>
        <w:rPr>
          <w:sz w:val="20"/>
          <w:szCs w:val="20"/>
          <w:color w:val="auto"/>
        </w:rPr>
      </w:pPr>
      <w:r>
        <w:rPr>
          <w:rFonts w:ascii="Times New Roman" w:cs="Times New Roman" w:eastAsia="Times New Roman" w:hAnsi="Times New Roman"/>
          <w:sz w:val="18"/>
          <w:szCs w:val="18"/>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to be filed no later than 120 days after April 30, 2017, for the annual meeting of stockholders to be held on or about November 8, 2017. The information required to be furnished pursuant to this item with respect to Executive Officers is set forth, pursuant to General Instruction G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under Part I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11. Executive Compensation</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item is incorporated herein by reference from the Company’s definitive proxy statement to be filed no later than 120 days after April 30, 2017, for the annual meeting of stockholders to be held on or about November 8,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12. Security Ownership of Certain Beneficial Owners and Management and Related Stockholder Matters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item is incorporated herein by reference from the Company’s definitive proxy statement to be filed no later than 120 days after April 30, 2017, for the annual meeting of stockholders to be held on or about November 8,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13. Certain Relationships and Related Transactions, and Director Independence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item is incorporated herein by reference from the Company’s definitive proxy statement to be filed no later than 120 days after April 30, 2017, for the annual meeting of stockholders to be held on or about November 8,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14. Principal Accountant Fees and Services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item is incorporated herein by reference from the Company’s definitive proxy statement to be filed no later than 120 days after April 30, 2017, for the annual meeting of stockholders to be held on or about November 8, 2017.</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15. Exhibits and Financial Statement Schedules</w:t>
      </w:r>
    </w:p>
    <w:p>
      <w:pPr>
        <w:spacing w:after="0" w:line="198"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Index to Financial Statements and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exhibits are listed below and are filed as part of this report.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(1) FINANCIAL STATEMENTS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Included in Part II of this report: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960" w:type="dxa"/>
            <w:vAlign w:val="bottom"/>
          </w:tcPr>
          <w:p>
            <w:pPr>
              <w:spacing w:after="0"/>
              <w:rPr>
                <w:sz w:val="24"/>
                <w:szCs w:val="24"/>
                <w:color w:val="auto"/>
              </w:rPr>
            </w:pPr>
          </w:p>
        </w:tc>
        <w:tc>
          <w:tcPr>
            <w:tcW w:w="4220" w:type="dxa"/>
            <w:vAlign w:val="bottom"/>
            <w:gridSpan w:val="4"/>
            <w:vMerge w:val="restart"/>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Report of Independent Registered Public Accounting Firm</w:t>
              </w:r>
            </w:hyperlink>
          </w:p>
        </w:tc>
        <w:tc>
          <w:tcPr>
            <w:tcW w:w="3340" w:type="dxa"/>
            <w:vAlign w:val="bottom"/>
            <w:gridSpan w:val="3"/>
            <w:vMerge w:val="restart"/>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Page(s)</w:t>
            </w: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4220" w:type="dxa"/>
            <w:vAlign w:val="bottom"/>
            <w:tcBorders>
              <w:bottom w:val="single" w:sz="8" w:color="0000EE"/>
            </w:tcBorders>
            <w:gridSpan w:val="4"/>
            <w:vMerge w:val="continue"/>
          </w:tcPr>
          <w:p>
            <w:pPr>
              <w:spacing w:after="0"/>
              <w:rPr>
                <w:sz w:val="15"/>
                <w:szCs w:val="15"/>
                <w:color w:val="auto"/>
              </w:rPr>
            </w:pPr>
          </w:p>
        </w:tc>
        <w:tc>
          <w:tcPr>
            <w:tcW w:w="3340" w:type="dxa"/>
            <w:vAlign w:val="bottom"/>
            <w:gridSpan w:val="3"/>
            <w:vMerge w:val="continue"/>
          </w:tcPr>
          <w:p>
            <w:pPr>
              <w:spacing w:after="0"/>
              <w:rPr>
                <w:sz w:val="15"/>
                <w:szCs w:val="15"/>
                <w:color w:val="auto"/>
              </w:rPr>
            </w:pPr>
          </w:p>
        </w:tc>
        <w:tc>
          <w:tcPr>
            <w:tcW w:w="1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85"/>
        </w:trPr>
        <w:tc>
          <w:tcPr>
            <w:tcW w:w="1960" w:type="dxa"/>
            <w:vAlign w:val="bottom"/>
          </w:tcPr>
          <w:p>
            <w:pPr>
              <w:spacing w:after="0"/>
              <w:rPr>
                <w:sz w:val="24"/>
                <w:szCs w:val="24"/>
                <w:color w:val="auto"/>
              </w:rPr>
            </w:pPr>
          </w:p>
        </w:tc>
        <w:tc>
          <w:tcPr>
            <w:tcW w:w="7560" w:type="dxa"/>
            <w:vAlign w:val="bottom"/>
            <w:gridSpan w:val="7"/>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Consolidated Balance Sheets</w:t>
              </w:r>
            </w:hyperlink>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2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 April 30, 2017 and 2016</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960" w:type="dxa"/>
            <w:vAlign w:val="bottom"/>
          </w:tcPr>
          <w:p>
            <w:pPr>
              <w:spacing w:after="0"/>
              <w:rPr>
                <w:sz w:val="24"/>
                <w:szCs w:val="24"/>
                <w:color w:val="auto"/>
              </w:rPr>
            </w:pPr>
          </w:p>
        </w:tc>
        <w:tc>
          <w:tcPr>
            <w:tcW w:w="7560" w:type="dxa"/>
            <w:vAlign w:val="bottom"/>
            <w:gridSpan w:val="7"/>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Consolidated Statements of Operations and Comprehensive (Loss) Income</w:t>
              </w:r>
            </w:hyperlink>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53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 years ended April 30, 2017 and 2016</w:t>
            </w:r>
          </w:p>
        </w:tc>
        <w:tc>
          <w:tcPr>
            <w:tcW w:w="218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960" w:type="dxa"/>
            <w:vAlign w:val="bottom"/>
          </w:tcPr>
          <w:p>
            <w:pPr>
              <w:spacing w:after="0"/>
              <w:rPr>
                <w:sz w:val="24"/>
                <w:szCs w:val="24"/>
                <w:color w:val="auto"/>
              </w:rPr>
            </w:pPr>
          </w:p>
        </w:tc>
        <w:tc>
          <w:tcPr>
            <w:tcW w:w="7560" w:type="dxa"/>
            <w:vAlign w:val="bottom"/>
            <w:gridSpan w:val="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Consolidated Statements of Cash Flows</w:t>
              </w:r>
            </w:hyperlink>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28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years ended April 30, 2017 and 2016</w:t>
            </w:r>
          </w:p>
        </w:tc>
        <w:tc>
          <w:tcPr>
            <w:tcW w:w="28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3160" w:type="dxa"/>
            <w:vAlign w:val="bottom"/>
            <w:gridSpan w:val="2"/>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960" w:type="dxa"/>
            <w:vAlign w:val="bottom"/>
          </w:tcPr>
          <w:p>
            <w:pPr>
              <w:spacing w:after="0"/>
              <w:rPr>
                <w:sz w:val="24"/>
                <w:szCs w:val="24"/>
                <w:color w:val="auto"/>
              </w:rPr>
            </w:pPr>
          </w:p>
        </w:tc>
        <w:tc>
          <w:tcPr>
            <w:tcW w:w="7560" w:type="dxa"/>
            <w:vAlign w:val="bottom"/>
            <w:gridSpan w:val="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Consolidated Statements of Changes in Stockholders’ Equity</w:t>
              </w:r>
            </w:hyperlink>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44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 years ended April 30, 2017 and 2016</w:t>
            </w:r>
          </w:p>
        </w:tc>
        <w:tc>
          <w:tcPr>
            <w:tcW w:w="3160" w:type="dxa"/>
            <w:vAlign w:val="bottom"/>
            <w:gridSpan w:val="2"/>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960" w:type="dxa"/>
            <w:vAlign w:val="bottom"/>
          </w:tcPr>
          <w:p>
            <w:pPr>
              <w:spacing w:after="0"/>
              <w:rPr>
                <w:sz w:val="24"/>
                <w:szCs w:val="24"/>
                <w:color w:val="auto"/>
              </w:rPr>
            </w:pPr>
          </w:p>
        </w:tc>
        <w:tc>
          <w:tcPr>
            <w:tcW w:w="7560" w:type="dxa"/>
            <w:vAlign w:val="bottom"/>
            <w:gridSpan w:val="7"/>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Notes to Consolidated Financial Statements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EXHIBITS</w:t>
      </w:r>
    </w:p>
    <w:p>
      <w:pPr>
        <w:sectPr>
          <w:pgSz w:w="11900" w:h="16838" w:orient="portrait"/>
          <w:cols w:equalWidth="0" w:num="1">
            <w:col w:w="11420"/>
          </w:cols>
          <w:pgMar w:left="240" w:top="121" w:right="239" w:bottom="1440" w:gutter="0" w:footer="0" w:header="0"/>
        </w:sectPr>
      </w:pP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21</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Exhibit 23.1</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Exhibit 31.1</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Exhibit 31.2</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32</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Subsidiaries of Registrant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4" w:lineRule="auto"/>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w:t>
      </w:r>
    </w:p>
    <w:p>
      <w:pPr>
        <w:spacing w:after="0" w:line="235" w:lineRule="auto"/>
        <w:rPr>
          <w:sz w:val="20"/>
          <w:szCs w:val="20"/>
          <w:color w:val="auto"/>
        </w:rPr>
      </w:pPr>
      <w:r>
        <w:rPr>
          <w:rFonts w:ascii="Times New Roman" w:cs="Times New Roman" w:eastAsia="Times New Roman" w:hAnsi="Times New Roman"/>
          <w:sz w:val="18"/>
          <w:szCs w:val="18"/>
          <w:color w:val="auto"/>
        </w:rPr>
        <w:t>2002</w:t>
      </w:r>
    </w:p>
    <w:p>
      <w:pPr>
        <w:spacing w:after="0" w:line="235" w:lineRule="auto"/>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w:t>
      </w:r>
    </w:p>
    <w:p>
      <w:pPr>
        <w:spacing w:after="0" w:line="235" w:lineRule="auto"/>
        <w:rPr>
          <w:sz w:val="20"/>
          <w:szCs w:val="20"/>
          <w:color w:val="auto"/>
        </w:rPr>
      </w:pPr>
      <w:r>
        <w:rPr>
          <w:rFonts w:ascii="Times New Roman" w:cs="Times New Roman" w:eastAsia="Times New Roman" w:hAnsi="Times New Roman"/>
          <w:sz w:val="18"/>
          <w:szCs w:val="18"/>
          <w:color w:val="auto"/>
        </w:rPr>
        <w:t>2002</w:t>
      </w:r>
    </w:p>
    <w:p>
      <w:pPr>
        <w:spacing w:after="0" w:line="235" w:lineRule="auto"/>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pursuant to Section 906 of</w:t>
      </w:r>
    </w:p>
    <w:p>
      <w:pPr>
        <w:spacing w:after="0" w:line="235" w:lineRule="auto"/>
        <w:rPr>
          <w:sz w:val="20"/>
          <w:szCs w:val="20"/>
          <w:color w:val="auto"/>
        </w:rPr>
      </w:pPr>
      <w:r>
        <w:rPr>
          <w:rFonts w:ascii="Times New Roman" w:cs="Times New Roman" w:eastAsia="Times New Roman" w:hAnsi="Times New Roman"/>
          <w:sz w:val="18"/>
          <w:szCs w:val="18"/>
          <w:color w:val="auto"/>
        </w:rPr>
        <w:t>the Sarbanes-Oxley Act of 2002</w:t>
      </w:r>
    </w:p>
    <w:p>
      <w:pPr>
        <w:spacing w:after="0" w:line="235" w:lineRule="auto"/>
        <w:rPr>
          <w:sz w:val="20"/>
          <w:szCs w:val="20"/>
          <w:color w:val="auto"/>
        </w:rPr>
      </w:pPr>
      <w:r>
        <w:rPr>
          <w:rFonts w:ascii="Times New Roman" w:cs="Times New Roman" w:eastAsia="Times New Roman" w:hAnsi="Times New Roman"/>
          <w:sz w:val="18"/>
          <w:szCs w:val="18"/>
          <w:color w:val="auto"/>
        </w:rPr>
        <w:t>The following materials from the Frequency Electronics, Inc. Annual Report on Form 10-K for the</w:t>
      </w:r>
    </w:p>
    <w:p>
      <w:pPr>
        <w:spacing w:after="0" w:line="235" w:lineRule="auto"/>
        <w:rPr>
          <w:sz w:val="20"/>
          <w:szCs w:val="20"/>
          <w:color w:val="auto"/>
        </w:rPr>
      </w:pPr>
      <w:r>
        <w:rPr>
          <w:rFonts w:ascii="Times New Roman" w:cs="Times New Roman" w:eastAsia="Times New Roman" w:hAnsi="Times New Roman"/>
          <w:sz w:val="18"/>
          <w:szCs w:val="18"/>
          <w:color w:val="auto"/>
        </w:rPr>
        <w:t>year ended April 30, 2017 formatted in eXtensible Business Reporting Language (XBRL): (i)</w:t>
      </w:r>
    </w:p>
    <w:p>
      <w:pPr>
        <w:spacing w:after="0"/>
        <w:rPr>
          <w:sz w:val="20"/>
          <w:szCs w:val="20"/>
          <w:color w:val="auto"/>
        </w:rPr>
      </w:pPr>
      <w:r>
        <w:rPr>
          <w:rFonts w:ascii="Times New Roman" w:cs="Times New Roman" w:eastAsia="Times New Roman" w:hAnsi="Times New Roman"/>
          <w:sz w:val="18"/>
          <w:szCs w:val="18"/>
          <w:color w:val="auto"/>
        </w:rPr>
        <w:t>Consolidated Balance Sheets, (ii) Consolidated Statements of Operations and Comprehensive (Loss)</w:t>
      </w:r>
    </w:p>
    <w:p>
      <w:pPr>
        <w:spacing w:after="0" w:line="7" w:lineRule="exact"/>
        <w:rPr>
          <w:sz w:val="20"/>
          <w:szCs w:val="20"/>
          <w:color w:val="auto"/>
        </w:rPr>
      </w:pPr>
    </w:p>
    <w:p>
      <w:pPr>
        <w:sectPr>
          <w:pgSz w:w="11900" w:h="16838" w:orient="portrait"/>
          <w:cols w:equalWidth="0" w:num="2">
            <w:col w:w="3360" w:space="720"/>
            <w:col w:w="7340"/>
          </w:cols>
          <w:pgMar w:left="240" w:top="121" w:right="239" w:bottom="1440" w:gutter="0" w:footer="0" w:header="0"/>
          <w:type w:val="continuous"/>
        </w:sectPr>
      </w:pPr>
    </w:p>
    <w:p>
      <w:pPr>
        <w:ind w:left="4080" w:right="20"/>
        <w:spacing w:after="0" w:line="234" w:lineRule="auto"/>
        <w:rPr>
          <w:sz w:val="20"/>
          <w:szCs w:val="20"/>
          <w:color w:val="auto"/>
        </w:rPr>
      </w:pPr>
      <w:r>
        <w:rPr>
          <w:rFonts w:ascii="Times New Roman" w:cs="Times New Roman" w:eastAsia="Times New Roman" w:hAnsi="Times New Roman"/>
          <w:sz w:val="18"/>
          <w:szCs w:val="18"/>
          <w:color w:val="auto"/>
        </w:rPr>
        <w:t>Income, (iii) Consolidated Statements of Cash Flows, (iv) Consolidated Statements of Changes in Stockholders’ Equity and (v) Notes to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Index to Exhibits beginning on page 49 are filed as part of this annual report.</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0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8890</wp:posOffset>
            </wp:positionV>
            <wp:extent cx="289877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Martin B. Bloch</w:t>
      </w:r>
    </w:p>
    <w:p>
      <w:pPr>
        <w:spacing w:after="0" w:line="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38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8890</wp:posOffset>
            </wp:positionV>
            <wp:extent cx="289877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31, 2017</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and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40" w:type="dxa"/>
            <w:vAlign w:val="bottom"/>
          </w:tcPr>
          <w:p>
            <w:pPr>
              <w:spacing w:after="0"/>
              <w:rPr>
                <w:sz w:val="20"/>
                <w:szCs w:val="20"/>
                <w:color w:val="auto"/>
              </w:rPr>
            </w:pPr>
          </w:p>
        </w:tc>
        <w:tc>
          <w:tcPr>
            <w:tcW w:w="548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40" w:type="dxa"/>
            <w:vAlign w:val="bottom"/>
          </w:tcPr>
          <w:p>
            <w:pPr>
              <w:spacing w:after="0"/>
              <w:rPr>
                <w:sz w:val="20"/>
                <w:szCs w:val="20"/>
                <w:color w:val="auto"/>
              </w:rPr>
            </w:pPr>
          </w:p>
        </w:tc>
        <w:tc>
          <w:tcPr>
            <w:tcW w:w="1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12"/>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Joel Girsky</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Joel Girsky</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80"/>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 Robert Foley</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 Robert Foley</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80"/>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Richard Schwartz</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Richard Schwartz</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80"/>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Stanton D. Sloane</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Stanton D. Sloane</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4"/>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Russell M. Sarachek</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Russell M. Sarachek</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4"/>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General Lance W. Lord</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General Lance W. Lord</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4"/>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Ryan J. Levenson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Ryan J. Levenson</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4"/>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Martin B. Bloch</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Martin B. Bloch</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80"/>
        </w:trPr>
        <w:tc>
          <w:tcPr>
            <w:tcW w:w="3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Steven L. Bernstein</w:t>
            </w:r>
          </w:p>
        </w:tc>
        <w:tc>
          <w:tcPr>
            <w:tcW w:w="3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16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7/31/17</w:t>
            </w:r>
          </w:p>
        </w:tc>
      </w:tr>
      <w:tr>
        <w:trPr>
          <w:trHeight w:val="23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Steven L. Bernstein</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25"/>
        </w:trPr>
        <w:tc>
          <w:tcPr>
            <w:tcW w:w="3440" w:type="dxa"/>
            <w:vAlign w:val="bottom"/>
          </w:tcPr>
          <w:p>
            <w:pPr>
              <w:spacing w:after="0"/>
              <w:rPr>
                <w:sz w:val="24"/>
                <w:szCs w:val="24"/>
                <w:color w:val="auto"/>
              </w:rPr>
            </w:pPr>
          </w:p>
        </w:tc>
        <w:tc>
          <w:tcPr>
            <w:tcW w:w="5820" w:type="dxa"/>
            <w:vAlign w:val="bottom"/>
            <w:gridSpan w:val="2"/>
          </w:tcPr>
          <w:p>
            <w:pPr>
              <w:jc w:val="right"/>
              <w:ind w:right="3390"/>
              <w:spacing w:after="0"/>
              <w:rPr>
                <w:sz w:val="20"/>
                <w:szCs w:val="20"/>
                <w:color w:val="auto"/>
              </w:rPr>
            </w:pPr>
            <w:r>
              <w:rPr>
                <w:rFonts w:ascii="Times New Roman" w:cs="Times New Roman" w:eastAsia="Times New Roman" w:hAnsi="Times New Roman"/>
                <w:sz w:val="14"/>
                <w:szCs w:val="14"/>
                <w:color w:val="auto"/>
              </w:rPr>
              <w:t>48</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4"/>
        </w:trPr>
        <w:tc>
          <w:tcPr>
            <w:tcW w:w="3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ITEM 15(a)(3)</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 in</w:t>
            </w:r>
          </w:p>
        </w:tc>
        <w:tc>
          <w:tcPr>
            <w:tcW w:w="20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2"/>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this Form 10-K</w:t>
            </w:r>
          </w:p>
        </w:tc>
        <w:tc>
          <w:tcPr>
            <w:tcW w:w="200" w:type="dxa"/>
            <w:vAlign w:val="bottom"/>
          </w:tcPr>
          <w:p>
            <w:pPr>
              <w:spacing w:after="0"/>
              <w:rPr>
                <w:sz w:val="20"/>
                <w:szCs w:val="20"/>
                <w:color w:val="auto"/>
              </w:rPr>
            </w:pPr>
          </w:p>
        </w:tc>
        <w:tc>
          <w:tcPr>
            <w:tcW w:w="72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220" w:type="dxa"/>
            <w:vAlign w:val="bottom"/>
          </w:tcPr>
          <w:p>
            <w:pPr>
              <w:spacing w:after="0"/>
              <w:rPr>
                <w:sz w:val="20"/>
                <w:szCs w:val="20"/>
                <w:color w:val="auto"/>
              </w:rPr>
            </w:pPr>
          </w:p>
        </w:tc>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NOTE</w:t>
            </w:r>
          </w:p>
        </w:tc>
      </w:tr>
      <w:tr>
        <w:trPr>
          <w:trHeight w:val="387"/>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 dated as of February 21, 2012, by and among the Registrant, Elcom</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03"/>
        </w:trPr>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9"/>
              </w:rPr>
              <w:t>Technologies Inc. and the stockholders of Elcom Technologies Inc. identified on the signature pages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thereto</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Copy of Certificate of Incorporation of the Registrant filed with the Secretary of State of Delaware</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w:t>
            </w:r>
          </w:p>
        </w:tc>
      </w:tr>
      <w:tr>
        <w:trPr>
          <w:trHeight w:val="373"/>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Certificate of Incorporation of the Registrant filed with the Secretary of State of</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Delaware on March 27, 1981</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3"/>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Certificate of Incorporation of the Registrant filed with Secretary of State of</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Delaware on October 26, 1984</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3"/>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Certificate of Incorporation of the Registrant filed with the Secretary of State of</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Delaware on October 22, 1986</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3"/>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 filed with the Secretary of</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State of Delaware on October 26, 1987</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3"/>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Amended Certificate of Incorporation of the Company filed with the Secretary of State of Delaware</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on November 2, 1989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Copy of By-Laws of the Registrant, as amended to date</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w:t>
            </w: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Specimen of Common Stock certificate</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w:t>
            </w: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1997 Independent Contractor Stock Option Plan</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w:t>
            </w: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Registrant and Harry Newman</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w:t>
            </w: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Registrant and Marcus Hechler</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w:t>
            </w: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Registrant and Charles Stone</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(8)</w:t>
            </w:r>
          </w:p>
        </w:tc>
      </w:tr>
      <w:tr>
        <w:trPr>
          <w:trHeight w:val="373"/>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 between Registrant and Reckson Operating Partnership, L.P. dated January 6,</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(11)</w:t>
            </w:r>
          </w:p>
        </w:tc>
      </w:tr>
      <w:tr>
        <w:trPr>
          <w:trHeight w:val="234"/>
        </w:trPr>
        <w:tc>
          <w:tcPr>
            <w:tcW w:w="2080" w:type="dxa"/>
            <w:vAlign w:val="bottom"/>
          </w:tcPr>
          <w:p>
            <w:pPr>
              <w:spacing w:after="0"/>
              <w:rPr>
                <w:sz w:val="20"/>
                <w:szCs w:val="20"/>
                <w:color w:val="auto"/>
              </w:rPr>
            </w:pP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1998</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3"/>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Cash or Deferral Profit Sharing Plan and Trust under Internal Revenue Code Section</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401, dated April 1, 1985</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Form of Agreement concerning Executive Compensation</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w:t>
            </w:r>
          </w:p>
        </w:tc>
      </w:tr>
      <w:tr>
        <w:trPr>
          <w:trHeight w:val="40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Senior Executive Stock Option Plan</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(8)</w:t>
            </w:r>
          </w:p>
        </w:tc>
      </w:tr>
      <w:tr>
        <w:trPr>
          <w:trHeight w:val="584"/>
        </w:trPr>
        <w:tc>
          <w:tcPr>
            <w:tcW w:w="2080" w:type="dxa"/>
            <w:vAlign w:val="bottom"/>
          </w:tcPr>
          <w:p>
            <w:pPr>
              <w:spacing w:after="0"/>
              <w:rPr>
                <w:sz w:val="24"/>
                <w:szCs w:val="24"/>
                <w:color w:val="auto"/>
              </w:rPr>
            </w:pPr>
          </w:p>
        </w:tc>
        <w:tc>
          <w:tcPr>
            <w:tcW w:w="7420" w:type="dxa"/>
            <w:vAlign w:val="bottom"/>
            <w:gridSpan w:val="2"/>
          </w:tcPr>
          <w:p>
            <w:pPr>
              <w:jc w:val="right"/>
              <w:ind w:right="3630"/>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
        </w:trPr>
        <w:tc>
          <w:tcPr>
            <w:tcW w:w="2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565"/>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Exhibit No. in</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2"/>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this Form 10-K</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8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w:t>
            </w:r>
          </w:p>
        </w:tc>
      </w:tr>
      <w:tr>
        <w:trPr>
          <w:trHeight w:val="387"/>
        </w:trPr>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10.24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Amendment dated Jan. 1, 1988 to Registrant’s Cash or Deferred Profit Sharing Plan and Trust under</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 401 of Internal Revenue Code</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05"/>
        </w:trPr>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10.25</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Executive Incentive Compensation Plan between Registrant and various employees</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(8)</w:t>
            </w:r>
          </w:p>
        </w:tc>
      </w:tr>
      <w:tr>
        <w:trPr>
          <w:trHeight w:val="365"/>
        </w:trPr>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21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List of Subsidiaries of Registrant</w:t>
              </w:r>
            </w:hyperlink>
          </w:p>
        </w:tc>
        <w:tc>
          <w:tcPr>
            <w:tcW w:w="48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85"/>
        </w:trPr>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23.1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gridSpan w:val="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Consent of Independent Registered Public Accounting Firm to incorporation by reference of its</w:t>
              </w:r>
            </w:hyperlink>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2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2017 audit report in Registrant’s Form S-8 Registration Statements.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85"/>
        </w:trPr>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31.1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gridSpan w:val="7"/>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Certification of the Chief Executive Officer pursuant to Section 302 of the Sarbanes-Oxley Act of</w:t>
              </w:r>
            </w:hyperlink>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4"/>
              </w:rPr>
            </w:pPr>
            <w:hyperlink w:anchor="page54">
              <w:r>
                <w:rPr>
                  <w:rFonts w:ascii="Times New Roman" w:cs="Times New Roman" w:eastAsia="Times New Roman" w:hAnsi="Times New Roman"/>
                  <w:sz w:val="18"/>
                  <w:szCs w:val="18"/>
                  <w:color w:val="0000EE"/>
                  <w:w w:val="94"/>
                </w:rPr>
                <w:t>2002</w:t>
              </w:r>
            </w:hyperlink>
          </w:p>
        </w:tc>
        <w:tc>
          <w:tcPr>
            <w:tcW w:w="19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8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85"/>
        </w:trPr>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31.2</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Certification of the Chief Financial Officer pursuant to Section 302 of the Sarbanes-Oxley Act of</w:t>
              </w:r>
            </w:hyperlink>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4"/>
              </w:rPr>
            </w:pPr>
            <w:hyperlink w:anchor="page55">
              <w:r>
                <w:rPr>
                  <w:rFonts w:ascii="Times New Roman" w:cs="Times New Roman" w:eastAsia="Times New Roman" w:hAnsi="Times New Roman"/>
                  <w:sz w:val="18"/>
                  <w:szCs w:val="18"/>
                  <w:color w:val="0000EE"/>
                  <w:w w:val="94"/>
                </w:rPr>
                <w:t>2002</w:t>
              </w:r>
            </w:hyperlink>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85"/>
        </w:trPr>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32</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gridSpan w:val="7"/>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Certifications of the Chief Executive Officer and Chief Financial Officer pursuant to Section 906 of</w:t>
              </w:r>
            </w:hyperlink>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the Sarbanes-Oxley Act of 2002</w:t>
              </w:r>
            </w:hyperlink>
          </w:p>
        </w:tc>
        <w:tc>
          <w:tcPr>
            <w:tcW w:w="492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198" w:lineRule="exact"/>
        <w:rPr>
          <w:sz w:val="20"/>
          <w:szCs w:val="20"/>
          <w:color w:val="auto"/>
        </w:rPr>
      </w:pPr>
    </w:p>
    <w:p>
      <w:pPr>
        <w:jc w:val="both"/>
        <w:ind w:left="2280" w:right="1920" w:hanging="1374"/>
        <w:spacing w:after="0" w:line="239" w:lineRule="auto"/>
        <w:tabs>
          <w:tab w:leader="none" w:pos="2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Frequency Electronics, Inc. Annual Report on Form 10-K for the fiscal year ended April 30, 2017 formatted in eXtensible Business Reporting Language (XBRL): (i) Consolidated Balance Sheets, (ii) Consolidated Statements of Operations and Comprehensive (Loss) Income, (iii) Consolidated Statements of Cash Flows, (iv) Consolidated Statements of Changes in Stockholders’ Equity and (v) Notes to Consolidated Financial Statements</w:t>
      </w: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NOTES:</w:t>
            </w:r>
          </w:p>
        </w:tc>
        <w:tc>
          <w:tcPr>
            <w:tcW w:w="10660" w:type="dxa"/>
            <w:vAlign w:val="bottom"/>
          </w:tcPr>
          <w:p>
            <w:pPr>
              <w:spacing w:after="0"/>
              <w:rPr>
                <w:sz w:val="16"/>
                <w:szCs w:val="16"/>
                <w:color w:val="auto"/>
              </w:rPr>
            </w:pP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registration statement of Registrant on Form S-1, File No. 2-29609, which</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registration statement of Registrant on Form S-1, File No. 2-71727, which</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annual report of Registrant on Form 10-K, File No. 1-8061 for the year</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ended April 30, 1981, 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registration statement of Registrant on Form S-1, File No. 2-69527, which</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annual report of Registrant on Form 10-K, File No. 1-8061, for the year</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ended April 30, 1985, 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exhibit, numbered as indicated above, to the annual report of Registrant on Form 10-K, File No. 1-8061, for the year ended</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30, 1986, 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annual report of Registrant on Form 10-K, File No. 1-8061, for the year</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ended April 30, 1987, 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annual report of Registrant on Form 10-K, File No. 1-8061, for the year</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ended April 30, 1989, 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annual report of Registrant on Form 10-K, File No. 1-8061, for the year</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ended April 30, 1990, 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registration statement of Registrant on Form S-8, File No. 333-42233,</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annual report of Registrant on Form 10-K, File No. 1-8061, for the year</w:t>
            </w:r>
          </w:p>
        </w:tc>
      </w:tr>
      <w:tr>
        <w:trPr>
          <w:trHeight w:val="216"/>
        </w:trPr>
        <w:tc>
          <w:tcPr>
            <w:tcW w:w="760" w:type="dxa"/>
            <w:vAlign w:val="bottom"/>
          </w:tcPr>
          <w:p>
            <w:pPr>
              <w:spacing w:after="0"/>
              <w:rPr>
                <w:sz w:val="18"/>
                <w:szCs w:val="18"/>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ended April 30, 1998, which exhibit is incorporated herein by reference.</w:t>
            </w:r>
          </w:p>
        </w:tc>
      </w:tr>
      <w:tr>
        <w:trPr>
          <w:trHeight w:val="216"/>
        </w:trPr>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w:t>
            </w: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with the SEC as an exhibit, numbered as indicated above, to the current report of Registrant on Form 8-K, File No. 1-8061, on February 27,</w:t>
            </w:r>
          </w:p>
        </w:tc>
      </w:tr>
      <w:tr>
        <w:trPr>
          <w:trHeight w:val="234"/>
        </w:trPr>
        <w:tc>
          <w:tcPr>
            <w:tcW w:w="760" w:type="dxa"/>
            <w:vAlign w:val="bottom"/>
          </w:tcPr>
          <w:p>
            <w:pPr>
              <w:spacing w:after="0"/>
              <w:rPr>
                <w:sz w:val="20"/>
                <w:szCs w:val="20"/>
                <w:color w:val="auto"/>
              </w:rPr>
            </w:pPr>
          </w:p>
        </w:tc>
        <w:tc>
          <w:tcPr>
            <w:tcW w:w="10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2012, which exhibit is incorporated herein by reference.</w:t>
            </w:r>
          </w:p>
        </w:tc>
      </w:tr>
      <w:tr>
        <w:trPr>
          <w:trHeight w:val="368"/>
        </w:trPr>
        <w:tc>
          <w:tcPr>
            <w:tcW w:w="760" w:type="dxa"/>
            <w:vAlign w:val="bottom"/>
          </w:tcPr>
          <w:p>
            <w:pPr>
              <w:spacing w:after="0"/>
              <w:rPr>
                <w:sz w:val="24"/>
                <w:szCs w:val="24"/>
                <w:color w:val="auto"/>
              </w:rPr>
            </w:pPr>
          </w:p>
        </w:tc>
        <w:tc>
          <w:tcPr>
            <w:tcW w:w="10660" w:type="dxa"/>
            <w:vAlign w:val="bottom"/>
          </w:tcPr>
          <w:p>
            <w:pPr>
              <w:ind w:left="4880"/>
              <w:spacing w:after="0"/>
              <w:rPr>
                <w:sz w:val="20"/>
                <w:szCs w:val="20"/>
                <w:color w:val="auto"/>
              </w:rPr>
            </w:pPr>
            <w:r>
              <w:rPr>
                <w:rFonts w:ascii="Times New Roman" w:cs="Times New Roman" w:eastAsia="Times New Roman" w:hAnsi="Times New Roman"/>
                <w:sz w:val="14"/>
                <w:szCs w:val="14"/>
                <w:color w:val="auto"/>
              </w:rPr>
              <w:t>50</w:t>
            </w:r>
          </w:p>
        </w:tc>
      </w:tr>
    </w:tbl>
    <w:p>
      <w:pPr>
        <w:sectPr>
          <w:pgSz w:w="11900" w:h="16838" w:orient="portrait"/>
          <w:cols w:equalWidth="0" w:num="1">
            <w:col w:w="11420"/>
          </w:cols>
          <w:pgMar w:left="240" w:top="108"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FREQUENCY ELECTRONICS, INC. and SUBSIDIARIES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List of Subsidiaries of Registrant</w:t>
            </w:r>
          </w:p>
        </w:tc>
      </w:tr>
      <w:tr>
        <w:trPr>
          <w:trHeight w:val="518"/>
        </w:trPr>
        <w:tc>
          <w:tcPr>
            <w:tcW w:w="424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Subsidiary &amp; Name under</w:t>
            </w:r>
          </w:p>
        </w:tc>
        <w:tc>
          <w:tcPr>
            <w:tcW w:w="7180" w:type="dxa"/>
            <w:vAlign w:val="bottom"/>
          </w:tcPr>
          <w:p>
            <w:pPr>
              <w:spacing w:after="0"/>
              <w:rPr>
                <w:sz w:val="24"/>
                <w:szCs w:val="24"/>
                <w:color w:val="auto"/>
              </w:rPr>
            </w:pPr>
          </w:p>
        </w:tc>
      </w:tr>
      <w:tr>
        <w:trPr>
          <w:trHeight w:val="245"/>
        </w:trPr>
        <w:tc>
          <w:tcPr>
            <w:tcW w:w="42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which business is performed</w:t>
            </w:r>
          </w:p>
        </w:tc>
        <w:tc>
          <w:tcPr>
            <w:tcW w:w="7180" w:type="dxa"/>
            <w:vAlign w:val="bottom"/>
            <w:tcBorders>
              <w:bottom w:val="single" w:sz="8" w:color="auto"/>
            </w:tcBorders>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Frequency Electronics, Inc.</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FEI Communications, Inc.</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FEI Government Systems, Inc.</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FEI Realty, Inc. (Inactive)</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Monitor Corp. (Inactive)</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FEI Zyfer, Inc.</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FEI-Elcom Tech, Inc.</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Gillam-FEI, s.a.</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Satel-FEI, s.a.</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France</w:t>
            </w:r>
          </w:p>
        </w:tc>
      </w:tr>
      <w:tr>
        <w:trPr>
          <w:trHeight w:val="432"/>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Frequency Electronics, Inc. Asia</w:t>
            </w:r>
          </w:p>
        </w:tc>
        <w:tc>
          <w:tcPr>
            <w:tcW w:w="71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People’s Republic of China</w:t>
            </w:r>
          </w:p>
        </w:tc>
      </w:tr>
    </w:tbl>
    <w:p>
      <w:pPr>
        <w:sectPr>
          <w:pgSz w:w="11900" w:h="16838" w:orient="portrait"/>
          <w:cols w:equalWidth="0" w:num="1">
            <w:col w:w="11420"/>
          </w:cols>
          <w:pgMar w:left="240" w:top="414"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Frequency Electronics, Inc. on Form S-8 (Nos. 333-08901, 333-40506, 333-140938, 333-156600, 333-42233 and 333-188952) of our report dated July 31, 2017 on our audits of the consolidated financial statements as of April 30, 2017 and 2016 and for each of the years then ended which report is included in this Annual Report on Form 10-K to be filed on or about July 31, 2017.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EisnerAmper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2017</w:t>
      </w:r>
    </w:p>
    <w:p>
      <w:pPr>
        <w:sectPr>
          <w:pgSz w:w="11900" w:h="16838" w:orient="portrait"/>
          <w:cols w:equalWidth="0" w:num="1">
            <w:col w:w="11420"/>
          </w:cols>
          <w:pgMar w:left="240" w:top="414"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Frequency Electronics, Inc.;</w:t>
      </w:r>
    </w:p>
    <w:p>
      <w:pPr>
        <w:spacing w:after="0" w:line="252" w:lineRule="exact"/>
        <w:rPr>
          <w:rFonts w:ascii="Times New Roman" w:cs="Times New Roman" w:eastAsia="Times New Roman" w:hAnsi="Times New Roman"/>
          <w:sz w:val="18"/>
          <w:szCs w:val="18"/>
          <w:color w:val="auto"/>
        </w:rPr>
      </w:pPr>
    </w:p>
    <w:p>
      <w:pPr>
        <w:ind w:right="20" w:firstLine="8"/>
        <w:spacing w:after="0" w:line="282" w:lineRule="auto"/>
        <w:tabs>
          <w:tab w:leader="none" w:pos="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ind w:firstLine="8"/>
        <w:spacing w:after="0" w:line="266" w:lineRule="auto"/>
        <w:tabs>
          <w:tab w:leader="none" w:pos="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firstLine="8"/>
        <w:spacing w:after="0" w:line="266" w:lineRule="auto"/>
        <w:tabs>
          <w:tab w:leader="none" w:pos="3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right="20" w:firstLine="8"/>
        <w:spacing w:after="0" w:line="282" w:lineRule="auto"/>
        <w:tabs>
          <w:tab w:leader="none" w:pos="3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3" w:lineRule="exact"/>
        <w:rPr>
          <w:sz w:val="20"/>
          <w:szCs w:val="20"/>
          <w:color w:val="auto"/>
        </w:rPr>
      </w:pPr>
    </w:p>
    <w:p>
      <w:pPr>
        <w:ind w:firstLine="8"/>
        <w:spacing w:after="0" w:line="282" w:lineRule="auto"/>
        <w:tabs>
          <w:tab w:leader="none" w:pos="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firstLine="8"/>
        <w:spacing w:after="0" w:line="282" w:lineRule="auto"/>
        <w:tabs>
          <w:tab w:leader="none" w:pos="3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3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Martin B. Bloch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B. Bloch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52"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Frequency Electronics, Inc.;</w:t>
      </w:r>
    </w:p>
    <w:p>
      <w:pPr>
        <w:spacing w:after="0" w:line="252" w:lineRule="exact"/>
        <w:rPr>
          <w:rFonts w:ascii="Times New Roman" w:cs="Times New Roman" w:eastAsia="Times New Roman" w:hAnsi="Times New Roman"/>
          <w:sz w:val="18"/>
          <w:szCs w:val="18"/>
          <w:color w:val="auto"/>
        </w:rPr>
      </w:pPr>
    </w:p>
    <w:p>
      <w:pPr>
        <w:ind w:right="20" w:firstLine="8"/>
        <w:spacing w:after="0" w:line="282"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ind w:firstLine="8"/>
        <w:spacing w:after="0" w:line="266" w:lineRule="auto"/>
        <w:tabs>
          <w:tab w:leader="none" w:pos="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firstLine="8"/>
        <w:spacing w:after="0" w:line="266" w:lineRule="auto"/>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right="20" w:firstLine="8"/>
        <w:spacing w:after="0" w:line="282" w:lineRule="auto"/>
        <w:tabs>
          <w:tab w:leader="none" w:pos="3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3" w:lineRule="exact"/>
        <w:rPr>
          <w:sz w:val="20"/>
          <w:szCs w:val="20"/>
          <w:color w:val="auto"/>
        </w:rPr>
      </w:pPr>
    </w:p>
    <w:p>
      <w:pPr>
        <w:ind w:firstLine="8"/>
        <w:spacing w:after="0" w:line="282" w:lineRule="auto"/>
        <w:tabs>
          <w:tab w:leader="none" w:pos="2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firstLine="8"/>
        <w:spacing w:after="0" w:line="282" w:lineRule="auto"/>
        <w:tabs>
          <w:tab w:leader="none" w:pos="3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3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Steven L. Bernstein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Frequency Electronics, Inc. (the “Company”) on Form 10-K for the year ended April 30, 2017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03"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Martin B. Bloch</w:t>
            </w:r>
          </w:p>
        </w:tc>
        <w:tc>
          <w:tcPr>
            <w:tcW w:w="234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8"/>
              </w:rPr>
              <w:t>July 31, 2017</w:t>
            </w:r>
          </w:p>
        </w:tc>
      </w:tr>
      <w:tr>
        <w:trPr>
          <w:trHeight w:val="20"/>
        </w:trPr>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8"/>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Martin B. Bloch</w:t>
            </w:r>
          </w:p>
        </w:tc>
        <w:tc>
          <w:tcPr>
            <w:tcW w:w="2340" w:type="dxa"/>
            <w:vAlign w:val="bottom"/>
          </w:tcPr>
          <w:p>
            <w:pPr>
              <w:spacing w:after="0"/>
              <w:rPr>
                <w:sz w:val="18"/>
                <w:szCs w:val="18"/>
                <w:color w:val="auto"/>
              </w:rPr>
            </w:pPr>
          </w:p>
        </w:tc>
      </w:tr>
      <w:tr>
        <w:trPr>
          <w:trHeight w:val="234"/>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Frequency Electronics, Inc. (the “Company”) on Form 10-K for the year ended April 30, 2017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203"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Steven L. Bernstein</w:t>
            </w:r>
          </w:p>
        </w:tc>
        <w:tc>
          <w:tcPr>
            <w:tcW w:w="1300" w:type="dxa"/>
            <w:vAlign w:val="bottom"/>
          </w:tcPr>
          <w:p>
            <w:pPr>
              <w:spacing w:after="0"/>
              <w:rPr>
                <w:sz w:val="18"/>
                <w:szCs w:val="18"/>
                <w:color w:val="auto"/>
              </w:rPr>
            </w:pPr>
          </w:p>
        </w:tc>
        <w:tc>
          <w:tcPr>
            <w:tcW w:w="22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July 31, 2017</w:t>
            </w:r>
          </w:p>
        </w:tc>
      </w:tr>
      <w:tr>
        <w:trPr>
          <w:trHeight w:val="218"/>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260" w:type="dxa"/>
            <w:vAlign w:val="bottom"/>
          </w:tcPr>
          <w:p>
            <w:pPr>
              <w:spacing w:after="0"/>
              <w:rPr>
                <w:sz w:val="18"/>
                <w:szCs w:val="18"/>
                <w:color w:val="auto"/>
              </w:rPr>
            </w:pPr>
          </w:p>
        </w:tc>
      </w:tr>
      <w:tr>
        <w:trPr>
          <w:trHeight w:val="234"/>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5"/>
    </w:lvl>
  </w:abstractNum>
  <w:abstractNum w:abstractNumId="11">
    <w:nsid w:val="2443A858"/>
    <w:multiLevelType w:val="hybridMultilevel"/>
    <w:lvl w:ilvl="0">
      <w:lvlJc w:val="left"/>
      <w:lvlText w:val="%1."/>
      <w:numFmt w:val="decimal"/>
      <w:start w:val="6"/>
    </w:lvl>
  </w:abstractNum>
  <w:abstractNum w:abstractNumId="12">
    <w:nsid w:val="2D1D5AE9"/>
    <w:multiLevelType w:val="hybridMultilevel"/>
    <w:lvl w:ilvl="0">
      <w:lvlJc w:val="left"/>
      <w:lvlText w:val="%1."/>
      <w:numFmt w:val="decimal"/>
      <w:start w:val="7"/>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11"/>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decimal"/>
      <w:start w:val="14"/>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6"/>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decimal"/>
      <w:start w:val="10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2019-12-29T05:25:10Z</dcterms:created>
  <dcterms:modified xsi:type="dcterms:W3CDTF">2019-12-29T05:25:10Z</dcterms:modified>
</cp:coreProperties>
</file>