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July 31, 2020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520" w:right="1780" w:hanging="2864"/>
        <w:spacing w:after="0" w:line="493" w:lineRule="auto"/>
        <w:tabs>
          <w:tab w:leader="none" w:pos="86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 to __________</w:t>
      </w:r>
    </w:p>
    <w:p>
      <w:pPr>
        <w:ind w:left="45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gridSpan w:val="2"/>
          </w:tcPr>
          <w:p>
            <w:pPr>
              <w:spacing w:after="0"/>
              <w:rPr>
                <w:sz w:val="17"/>
                <w:szCs w:val="17"/>
                <w:color w:val="auto"/>
              </w:rPr>
            </w:pPr>
          </w:p>
        </w:tc>
        <w:tc>
          <w:tcPr>
            <w:tcW w:w="1840" w:type="dxa"/>
            <w:vAlign w:val="bottom"/>
          </w:tcPr>
          <w:p>
            <w:pPr>
              <w:spacing w:after="0"/>
              <w:rPr>
                <w:sz w:val="17"/>
                <w:szCs w:val="17"/>
                <w:color w:val="auto"/>
              </w:rPr>
            </w:pPr>
          </w:p>
        </w:tc>
        <w:tc>
          <w:tcPr>
            <w:tcW w:w="174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w w:val="96"/>
              </w:rPr>
              <w:t>11-1986657</w:t>
            </w:r>
          </w:p>
        </w:tc>
      </w:tr>
      <w:tr>
        <w:trPr>
          <w:trHeight w:val="20"/>
        </w:trPr>
        <w:tc>
          <w:tcPr>
            <w:tcW w:w="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420" w:type="dxa"/>
            <w:vAlign w:val="bottom"/>
          </w:tcPr>
          <w:p>
            <w:pPr>
              <w:spacing w:after="0"/>
              <w:rPr>
                <w:sz w:val="18"/>
                <w:szCs w:val="18"/>
                <w:color w:val="auto"/>
              </w:rPr>
            </w:pPr>
          </w:p>
        </w:tc>
        <w:tc>
          <w:tcPr>
            <w:tcW w:w="574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80" w:type="dxa"/>
            <w:vAlign w:val="bottom"/>
            <w:gridSpan w:val="5"/>
          </w:tcPr>
          <w:p>
            <w:pPr>
              <w:jc w:val="center"/>
              <w:ind w:left="8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0" w:type="dxa"/>
            <w:vAlign w:val="bottom"/>
          </w:tcPr>
          <w:p>
            <w:pPr>
              <w:spacing w:after="0"/>
              <w:rPr>
                <w:sz w:val="20"/>
                <w:szCs w:val="20"/>
                <w:color w:val="auto"/>
              </w:rPr>
            </w:pPr>
          </w:p>
        </w:tc>
        <w:tc>
          <w:tcPr>
            <w:tcW w:w="574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420" w:type="dxa"/>
            <w:vAlign w:val="bottom"/>
          </w:tcPr>
          <w:p>
            <w:pPr>
              <w:spacing w:after="0"/>
              <w:rPr>
                <w:sz w:val="24"/>
                <w:szCs w:val="24"/>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940" w:type="dxa"/>
            <w:vAlign w:val="bottom"/>
          </w:tcPr>
          <w:p>
            <w:pPr>
              <w:spacing w:after="0"/>
              <w:rPr>
                <w:sz w:val="24"/>
                <w:szCs w:val="24"/>
                <w:color w:val="auto"/>
              </w:rPr>
            </w:pPr>
          </w:p>
        </w:tc>
        <w:tc>
          <w:tcPr>
            <w:tcW w:w="27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48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6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371" w:right="339" w:bottom="1440" w:gutter="0" w:footer="0" w:header="0"/>
        </w:sectPr>
      </w:pPr>
    </w:p>
    <w:p>
      <w:pPr>
        <w:spacing w:after="0" w:line="239"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6"/>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3"/>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FEIM</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-2625090</wp:posOffset>
            </wp:positionH>
            <wp:positionV relativeFrom="paragraph">
              <wp:posOffset>-301625</wp:posOffset>
            </wp:positionV>
            <wp:extent cx="7134225" cy="302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302260"/>
                    </a:xfrm>
                    <a:prstGeom prst="rect">
                      <a:avLst/>
                    </a:prstGeom>
                    <a:noFill/>
                  </pic:spPr>
                </pic:pic>
              </a:graphicData>
            </a:graphic>
          </wp:anchor>
        </w:drawing>
      </w:r>
    </w:p>
    <w:p>
      <w:pPr>
        <w:spacing w:after="0" w:line="194" w:lineRule="exact"/>
        <w:rPr>
          <w:sz w:val="24"/>
          <w:szCs w:val="24"/>
          <w:color w:val="auto"/>
        </w:rPr>
      </w:pPr>
    </w:p>
    <w:p>
      <w:pPr>
        <w:sectPr>
          <w:pgSz w:w="11900" w:h="16838" w:orient="portrait"/>
          <w:cols w:equalWidth="0" w:num="2">
            <w:col w:w="3740" w:space="400"/>
            <w:col w:w="7100"/>
          </w:cols>
          <w:pgMar w:left="320" w:top="371" w:right="339" w:bottom="1440" w:gutter="0" w:footer="0" w:header="0"/>
          <w:type w:val="continuous"/>
        </w:sect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p>
      <w:pPr>
        <w:spacing w:after="0" w:line="207" w:lineRule="exact"/>
        <w:tabs>
          <w:tab w:leader="none" w:pos="62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51" w:lineRule="exact"/>
        <w:rPr>
          <w:sz w:val="24"/>
          <w:szCs w:val="24"/>
          <w:color w:val="auto"/>
        </w:rPr>
      </w:pPr>
    </w:p>
    <w:p>
      <w:pPr>
        <w:spacing w:after="0" w:line="207" w:lineRule="exact"/>
        <w:tabs>
          <w:tab w:leader="none" w:pos="626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as of September 10, 2020 – 9,162,566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10"/>
        </w:trPr>
        <w:tc>
          <w:tcPr>
            <w:tcW w:w="10460" w:type="dxa"/>
            <w:vAlign w:val="bottom"/>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6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 Financial Statements:</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 July 31, 2020 (unaudited) and April 30, 2020</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88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Loss Three Months Ended July 31, 2020 and 2019</w:t>
              </w:r>
            </w:hyperlink>
          </w:p>
        </w:tc>
        <w:tc>
          <w:tcPr>
            <w:tcW w:w="8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(unaudited)</w:t>
              </w:r>
            </w:hyperlink>
          </w:p>
        </w:tc>
        <w:tc>
          <w:tcPr>
            <w:tcW w:w="96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4"/>
                <w:szCs w:val="24"/>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Cash Flows Three Months Ended July 31, 2020 and 2019 (unaudited)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Changes in Stockholders’ Equity Three Months Ended July 31, 2020 and 2019 (unaudited)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9640" w:type="dxa"/>
            <w:vAlign w:val="bottom"/>
            <w:gridSpan w:val="3"/>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432"/>
        </w:trPr>
        <w:tc>
          <w:tcPr>
            <w:tcW w:w="1046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Item 2 - 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17-22</w:t>
            </w:r>
          </w:p>
        </w:tc>
        <w:tc>
          <w:tcPr>
            <w:tcW w:w="0" w:type="dxa"/>
            <w:vAlign w:val="bottom"/>
          </w:tcPr>
          <w:p>
            <w:pPr>
              <w:spacing w:after="0"/>
              <w:rPr>
                <w:sz w:val="1"/>
                <w:szCs w:val="1"/>
                <w:color w:val="auto"/>
              </w:rPr>
            </w:pPr>
          </w:p>
        </w:tc>
      </w:tr>
      <w:tr>
        <w:trPr>
          <w:trHeight w:val="432"/>
        </w:trPr>
        <w:tc>
          <w:tcPr>
            <w:tcW w:w="1046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Item 3 - Quantitative and Qualitative Disclosures About Market Risk</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32"/>
        </w:trPr>
        <w:tc>
          <w:tcPr>
            <w:tcW w:w="1046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Item 4 - Controls and Procedures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432"/>
        </w:trPr>
        <w:tc>
          <w:tcPr>
            <w:tcW w:w="10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Item 1 – Legal Proceedings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432"/>
        </w:trPr>
        <w:tc>
          <w:tcPr>
            <w:tcW w:w="1046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Item 6 - Exhibits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432"/>
        </w:trPr>
        <w:tc>
          <w:tcPr>
            <w:tcW w:w="10460" w:type="dxa"/>
            <w:vAlign w:val="bottom"/>
            <w:gridSpan w:val="4"/>
          </w:tcPr>
          <w:p>
            <w:pPr>
              <w:ind w:left="500"/>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Signatures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790"/>
        </w:trPr>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00" w:type="dxa"/>
            <w:vAlign w:val="bottom"/>
            <w:vMerge w:val="restart"/>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2,431</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10,570</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$183 at July 31, 2020</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and April 30, 2020</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Costs and estimated earnings in excess of billings, net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22,958</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income taxes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51,235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88,944</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91,276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 trade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1,461</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provision accrual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debt</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and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37,040</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9,164 shares issued and 9,160 shares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outstanding at July 31, 2020; 9,121 shares outstanding at April 30, 2020</w:t>
            </w:r>
          </w:p>
        </w:tc>
        <w:tc>
          <w:tcPr>
            <w:tcW w:w="1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9,164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56,914</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(12,137)</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at cost (4 shares at July 31, 2020 and 43 shares at April 30, 2020)</w:t>
            </w:r>
          </w:p>
        </w:tc>
        <w:tc>
          <w:tcPr>
            <w:tcW w:w="12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91,276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July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7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12,951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12,554</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margin</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Operating loss</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Investment income</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5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Interest expense</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loss</w:t>
            </w:r>
          </w:p>
        </w:tc>
        <w:tc>
          <w:tcPr>
            <w:tcW w:w="37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7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197"/>
        </w:trPr>
        <w:tc>
          <w:tcPr>
            <w:tcW w:w="46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8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Basic and diluted</w:t>
            </w: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tc>
        <w:tc>
          <w:tcPr>
            <w:tcW w:w="2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7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80" w:type="dxa"/>
            <w:vAlign w:val="bottom"/>
            <w:gridSpan w:val="2"/>
          </w:tcPr>
          <w:p>
            <w:pPr>
              <w:ind w:left="66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 before</w:t>
            </w:r>
          </w:p>
        </w:tc>
        <w:tc>
          <w:tcPr>
            <w:tcW w:w="2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8"/>
        </w:trPr>
        <w:tc>
          <w:tcPr>
            <w:tcW w:w="5180" w:type="dxa"/>
            <w:vAlign w:val="bottom"/>
            <w:gridSpan w:val="2"/>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 included in</w:t>
            </w:r>
          </w:p>
        </w:tc>
        <w:tc>
          <w:tcPr>
            <w:tcW w:w="2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5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income, net of tax</w:t>
            </w:r>
          </w:p>
        </w:tc>
        <w:tc>
          <w:tcPr>
            <w:tcW w:w="2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unrealized gain on marketable securities, net of tax</w:t>
            </w:r>
          </w:p>
        </w:tc>
        <w:tc>
          <w:tcPr>
            <w:tcW w:w="28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Comprehensive loss</w:t>
            </w:r>
          </w:p>
        </w:tc>
        <w:tc>
          <w:tcPr>
            <w:tcW w:w="282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40" w:type="dxa"/>
            <w:vAlign w:val="bottom"/>
            <w:gridSpan w:val="4"/>
          </w:tcPr>
          <w:p>
            <w:pPr>
              <w:jc w:val="center"/>
              <w:ind w:left="221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 July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Non-cash charges to earnings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on redemption of marketable securities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Purchase of fixed assets and other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Repayment of PPP Loan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Proceeds from UBS line of credit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40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Condensed Consolidated Statements of Changes in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July 31, 2020 and July 31,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Balance at April 30, 2019 Contribution of stock to 401(k) plan</w:t>
      </w:r>
    </w:p>
    <w:p>
      <w:pPr>
        <w:spacing w:after="0" w:line="1"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Stock-based compensation expense</w:t>
      </w:r>
    </w:p>
    <w:p>
      <w:pPr>
        <w:spacing w:after="0" w:line="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Exercise of stock options and stock appreciation rights - net of shares tendered for exercise price</w:t>
      </w:r>
    </w:p>
    <w:p>
      <w:pPr>
        <w:spacing w:after="0" w:line="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Other comprehensive income, net of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July 31, 2019</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Treasury stock</w:t>
            </w: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0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paid in</w:t>
            </w:r>
          </w:p>
        </w:tc>
        <w:tc>
          <w:tcPr>
            <w:tcW w:w="100" w:type="dxa"/>
            <w:vAlign w:val="bottom"/>
          </w:tcPr>
          <w:p>
            <w:pPr>
              <w:spacing w:after="0"/>
              <w:rPr>
                <w:sz w:val="20"/>
                <w:szCs w:val="20"/>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920" w:type="dxa"/>
            <w:vAlign w:val="bottom"/>
            <w:gridSpan w:val="5"/>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10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104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18"/>
                <w:szCs w:val="18"/>
                <w:color w:val="auto"/>
              </w:rPr>
            </w:pPr>
          </w:p>
        </w:tc>
        <w:tc>
          <w:tcPr>
            <w:tcW w:w="130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8"/>
        </w:trPr>
        <w:tc>
          <w:tcPr>
            <w:tcW w:w="9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7"/>
              </w:rPr>
              <w:t>9,163,940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56,831</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183,661</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63,089</w:t>
            </w:r>
          </w:p>
        </w:tc>
        <w:tc>
          <w:tcPr>
            <w:tcW w:w="60" w:type="dxa"/>
            <w:vAlign w:val="bottom"/>
          </w:tcPr>
          <w:p>
            <w:pPr>
              <w:spacing w:after="0"/>
              <w:rPr>
                <w:sz w:val="19"/>
                <w:szCs w:val="19"/>
                <w:color w:val="auto"/>
              </w:rPr>
            </w:pPr>
          </w:p>
        </w:tc>
      </w:tr>
      <w:tr>
        <w:trPr>
          <w:trHeight w:val="414"/>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tcPr>
          <w:p>
            <w:pPr>
              <w:spacing w:after="0"/>
              <w:rPr>
                <w:sz w:val="24"/>
                <w:szCs w:val="24"/>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r>
      <w:tr>
        <w:trPr>
          <w:trHeight w:val="43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864"/>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(41,325)</w:t>
            </w:r>
          </w:p>
        </w:tc>
        <w:tc>
          <w:tcPr>
            <w:tcW w:w="100" w:type="dxa"/>
            <w:vAlign w:val="bottom"/>
          </w:tcPr>
          <w:p>
            <w:pPr>
              <w:spacing w:after="0"/>
              <w:rPr>
                <w:sz w:val="24"/>
                <w:szCs w:val="24"/>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10"/>
        </w:trPr>
        <w:tc>
          <w:tcPr>
            <w:tcW w:w="9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7"/>
              </w:rPr>
              <w:t>9,163,940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131,430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62,836</w:t>
            </w:r>
          </w:p>
        </w:tc>
        <w:tc>
          <w:tcPr>
            <w:tcW w:w="60" w:type="dxa"/>
            <w:vAlign w:val="bottom"/>
          </w:tcPr>
          <w:p>
            <w:pPr>
              <w:spacing w:after="0"/>
              <w:rPr>
                <w:sz w:val="18"/>
                <w:szCs w:val="18"/>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-1816735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-1405255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-582295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-162560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260" w:space="60"/>
            <w:col w:w="890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Balance at April 30, 2020 Contribution of stock to 401(k) plan</w:t>
      </w:r>
    </w:p>
    <w:p>
      <w:pPr>
        <w:spacing w:after="0" w:line="1"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Stock-based compensation expense</w:t>
      </w:r>
    </w:p>
    <w:p>
      <w:pPr>
        <w:spacing w:after="0" w:line="1"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Exercise of stock options and stock appreciation rights - net of shares tendered for exercise price</w:t>
      </w:r>
    </w:p>
    <w:p>
      <w:pPr>
        <w:spacing w:after="0" w:line="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Other comprehensive income, net of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July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96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0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940" w:type="dxa"/>
            <w:vAlign w:val="bottom"/>
            <w:gridSpan w:val="5"/>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(at cost)</w:t>
            </w:r>
          </w:p>
        </w:tc>
        <w:tc>
          <w:tcPr>
            <w:tcW w:w="120" w:type="dxa"/>
            <w:vAlign w:val="bottom"/>
          </w:tcPr>
          <w:p>
            <w:pPr>
              <w:spacing w:after="0"/>
              <w:rPr>
                <w:sz w:val="20"/>
                <w:szCs w:val="20"/>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18"/>
                <w:szCs w:val="18"/>
                <w:color w:val="auto"/>
              </w:rPr>
            </w:pP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4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8"/>
        </w:trPr>
        <w:tc>
          <w:tcPr>
            <w:tcW w:w="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7"/>
              </w:rPr>
              <w:t>9,163,940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56,914</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60" w:type="dxa"/>
            <w:vAlign w:val="bottom"/>
          </w:tcPr>
          <w:p>
            <w:pPr>
              <w:spacing w:after="0"/>
              <w:rPr>
                <w:sz w:val="19"/>
                <w:szCs w:val="19"/>
                <w:color w:val="auto"/>
              </w:rPr>
            </w:pPr>
          </w:p>
        </w:tc>
      </w:tr>
      <w:tr>
        <w:trPr>
          <w:trHeight w:val="414"/>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(14,926)</w:t>
            </w:r>
          </w:p>
        </w:tc>
        <w:tc>
          <w:tcPr>
            <w:tcW w:w="120" w:type="dxa"/>
            <w:vAlign w:val="bottom"/>
          </w:tcPr>
          <w:p>
            <w:pPr>
              <w:spacing w:after="0"/>
              <w:rPr>
                <w:sz w:val="24"/>
                <w:szCs w:val="24"/>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r>
      <w:tr>
        <w:trPr>
          <w:trHeight w:val="432"/>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864"/>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(23,808)</w:t>
            </w:r>
          </w:p>
        </w:tc>
        <w:tc>
          <w:tcPr>
            <w:tcW w:w="120" w:type="dxa"/>
            <w:vAlign w:val="bottom"/>
          </w:tcPr>
          <w:p>
            <w:pPr>
              <w:spacing w:after="0"/>
              <w:rPr>
                <w:sz w:val="24"/>
                <w:szCs w:val="24"/>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r>
      <w:tr>
        <w:trPr>
          <w:trHeight w:val="234"/>
        </w:trPr>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10"/>
        </w:trPr>
        <w:tc>
          <w:tcPr>
            <w:tcW w:w="9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7"/>
              </w:rPr>
              <w:t>9,163,940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56,927</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54,335</w:t>
            </w:r>
          </w:p>
        </w:tc>
        <w:tc>
          <w:tcPr>
            <w:tcW w:w="60" w:type="dxa"/>
            <w:vAlign w:val="bottom"/>
          </w:tcPr>
          <w:p>
            <w:pPr>
              <w:spacing w:after="0"/>
              <w:rPr>
                <w:sz w:val="18"/>
                <w:szCs w:val="18"/>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-1816735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-1405255</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-582295</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-161925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260" w:space="60"/>
            <w:col w:w="8900"/>
          </w:cols>
          <w:pgMar w:left="320" w:top="121" w:right="35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2020 and the results of its operations and cash flows for the three months ended July 31, 2020 and July 31, 2019. The April 30, 2020 condensed consolidated balance sheet was derived from audited financial statements. Certain information and footnote disclosures normally included in financial statements prepared in accordance with generally accepted accounting principles in the United States (“U.S. GAAP”) have been condensed or omitted. These condensed consolidated financial statements should be read in conjunction with the Company’s Annual Report on Form 10-K for the year ended April 30, 2020, filed on July 29, 2020 with the Securities and Exchange Commission, and the financial statements and notes thereto. The results of operations for such interim periods are not necessarily indicative of the operating results for the full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and the CARES Act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originating in Wuhan, China (the “COVID-19 outbreak”) and the risks to the international community as the virus spreads globally beyond its point of origin. In March 2020, the WHO classified the COVID-19 outbreak as a pandemic, based on the rapid increase in exposure globally.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full impact of the COVID-19 outbreak continues to evolve as of the date of this report. As such, it is uncertain as to the full magnitude that the pandemic may have on the Company’s financial condition, liquidity, and future results of operations. Management is actively monitoring the impact of the global situation on its financial condition, liquidity, operations, suppliers, industry, and workforce. Given the daily evolution of the COVID-19 outbreak and the global responses to curb its spread, the Company is not able to estimate the effects of the COVID-19 outbreak on its results of operations, financial condition, or liquidity for fiscal year 2021.</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faces various risks related to COVID-19 outbreak. The Company is dependent on its workforce to deliver its products primarily to the U.S. Government. If significant portions of the Company’s workforce are unable to work effectively, or if the U.S. Government and/or other customers’ operations are curtailed due to illness, quarantines, government actions, facility closures, or other restrictions in connection with the COVID-19 pandemic, the Company’s operations will likely be impacted. The Company may be unable to perform fully on its contracts and costs may increase as a result of the COVID-19 outbreak. These cost increases may not be fully recoverable or adequately covered by insurance. Since the COVID-19 outbreak began, no facilities have been fully shut down (other than temporarily for disinfecting) and such measures to disinfect facilities have not had a significant impact on production. Certain of the Company’s vendors have been unable to deliver materials on time due to the COVID-19 outbreak. Such delays have negatively impacted the Company’s production, and the Company plans to continue to monitor these and its other vendors and, if necessary, seek alternative suppliers.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this time, the Company’s management cannot predict the impact of the COVID-19 pandemic, but management continues to monitor the situation, to assess further possible implications to operations, the supply chain, and customers, and to take actions in an effort to mitigate adverse consequences. Further, the pandemic may have an adverse effect on the Company’s results of operations, financial position, and liquidity in fiscal year 2021.</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COVID-19.</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PER SHARE</w:t>
      </w:r>
    </w:p>
    <w:p>
      <w:pPr>
        <w:spacing w:after="0" w:line="225" w:lineRule="exact"/>
        <w:rPr>
          <w:sz w:val="20"/>
          <w:szCs w:val="20"/>
          <w:color w:val="auto"/>
        </w:rPr>
      </w:pPr>
    </w:p>
    <w:p>
      <w:pPr>
        <w:ind w:left="140" w:right="140" w:firstLine="648"/>
        <w:spacing w:after="0" w:line="282" w:lineRule="auto"/>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loss per share for the three months ended July 31, 2020 and 2019, respectively,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17145</wp:posOffset>
            </wp:positionV>
            <wp:extent cx="57003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Basic EPS Shares outstanding (weighted average)</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570039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Basic and Diluted EPS Shares outstanding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8"/>
                <w:szCs w:val="18"/>
                <w:color w:val="auto"/>
              </w:rPr>
            </w:pPr>
          </w:p>
        </w:tc>
      </w:tr>
      <w:tr>
        <w:trPr>
          <w:trHeight w:val="407"/>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9,139,130</w:t>
            </w:r>
          </w:p>
        </w:tc>
        <w:tc>
          <w:tcPr>
            <w:tcW w:w="18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9,001,324</w:t>
            </w:r>
          </w:p>
        </w:tc>
      </w:tr>
      <w:tr>
        <w:trPr>
          <w:trHeight w:val="234"/>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9,139,130</w:t>
            </w:r>
          </w:p>
        </w:tc>
        <w:tc>
          <w:tcPr>
            <w:tcW w:w="1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9,001,324</w:t>
            </w:r>
          </w:p>
        </w:tc>
        <w:tc>
          <w:tcPr>
            <w:tcW w:w="20" w:type="dxa"/>
            <w:vAlign w:val="bottom"/>
          </w:tcPr>
          <w:p>
            <w:pPr>
              <w:spacing w:after="0"/>
              <w:rPr>
                <w:sz w:val="18"/>
                <w:szCs w:val="18"/>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080" w:space="720"/>
            <w:col w:w="4440"/>
          </w:cols>
          <w:pgMar w:left="320" w:top="121" w:right="339" w:bottom="1440" w:gutter="0" w:footer="0" w:header="0"/>
          <w:type w:val="continuous"/>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three-month periods ended July 31, 2020 and 2019 dilutive securities are excluded from the calculation of earnings per share since the inclusion of such shares would be antidilutive due to the net loss for both periods. Basic and diluted shares outstanding for the three months ended July 31, 2020 and 2019 are 9,139,130 and 9,001,324, respectively. Additionally, there are anti-dilutive exercisable shares excluded in the above table for the three months ended July 31, 2020 and 2019 of 676,000 and 1,201,125,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July 31, 2020 and April 30, 2020, costs and estimated earnings in excess of billings, net,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10,460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18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(10,534)</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(3,507)</w:t>
            </w:r>
          </w:p>
        </w:tc>
      </w:tr>
      <w:tr>
        <w:trPr>
          <w:trHeight w:val="20"/>
        </w:trPr>
        <w:tc>
          <w:tcPr>
            <w:tcW w:w="5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6,953</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(“POC”) basis. During the three months ended July 31, 2020 and 2019, revenue recognized under POC contracts was approximately $11.7 million and $11.5 million, respectively. If contract losses are anticipated, costs and estimated earnings in excess of billings are reduced for the full amount of such losses when they are determinable. Contract losses of approximately $611,000 and $314,000 were recorded for the three months ended July 31, 2020 and July 31, 2019,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TREASURY STOCK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 period ended July 31, 2020, the Company made contributions of 14,926 shares of its common stock held in treasury to the Company’s profit-sharing plan and trust under Section 401(k) of the Internal Revenue Code. Such contributions are in accordance with the Company’s discretionary match of employee voluntary contributions to this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15,470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1,384</w:t>
            </w:r>
          </w:p>
        </w:tc>
      </w:tr>
      <w:tr>
        <w:trPr>
          <w:trHeight w:val="20"/>
        </w:trPr>
        <w:tc>
          <w:tcPr>
            <w:tcW w:w="5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21,683</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22,958</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above are net of reserves of $6.8 million and $6.6 million as of July 31, 2020 and April 30, 2020,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and manufacturing and research and development facilities which expire at various times through 2029 and are generally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Right-of-use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twelve months or less to be recorded on a straight-line basis over the lease term without being recognized on the balance 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May 1, 2019, the Company adopted ASU 2016-02. The table below presents ROU assets and liabilities recorded on the respective consolidated balance sheets, related to ASU 2016-02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1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0" w:type="dxa"/>
            <w:vAlign w:val="bottom"/>
          </w:tcPr>
          <w:p>
            <w:pPr>
              <w:spacing w:after="0"/>
              <w:rPr>
                <w:sz w:val="1"/>
                <w:szCs w:val="1"/>
                <w:color w:val="auto"/>
              </w:rPr>
            </w:pPr>
          </w:p>
        </w:tc>
      </w:tr>
      <w:tr>
        <w:trPr>
          <w:trHeight w:val="23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0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leases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10,864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9,444</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Total operating lease expense was $478,000 and $504,000 for the three months ended July 31, 2020 and July 31, 2019, the majority of which is included in cost of revenues and the remaining amount in selling and administrative expenses on the unaudited condensed consolidated statements of operations. There were no new leases entered into during the three months ended July 31,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unaudited consolidated balance sheet as of July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482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Fiscal Year Ending July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4820" w:type="dxa"/>
            <w:vAlign w:val="bottom"/>
            <w:gridSpan w:val="2"/>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in thousands</w:t>
            </w:r>
            <w:r>
              <w:rPr>
                <w:rFonts w:ascii="Times New Roman" w:cs="Times New Roman" w:eastAsia="Times New Roman" w:hAnsi="Times New Roman"/>
                <w:sz w:val="18"/>
                <w:szCs w:val="18"/>
                <w:b w:val="1"/>
                <w:bCs w:val="1"/>
                <w:color w:val="auto"/>
                <w:w w:val="99"/>
              </w:rPr>
              <w:t>)</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0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2021</w:t>
            </w:r>
          </w:p>
        </w:tc>
        <w:tc>
          <w:tcPr>
            <w:tcW w:w="4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1,815</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1,834</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1,723</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w:t>
            </w:r>
          </w:p>
        </w:tc>
        <w:tc>
          <w:tcPr>
            <w:tcW w:w="120" w:type="dxa"/>
            <w:vAlign w:val="bottom"/>
          </w:tcPr>
          <w:p>
            <w:pPr>
              <w:spacing w:after="0"/>
              <w:rPr>
                <w:sz w:val="18"/>
                <w:szCs w:val="18"/>
                <w:color w:val="auto"/>
              </w:rPr>
            </w:pP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14,062</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(3,068)</w:t>
            </w:r>
          </w:p>
        </w:tc>
      </w:tr>
      <w:tr>
        <w:trPr>
          <w:trHeight w:val="21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2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4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(1,822)</w:t>
            </w:r>
          </w:p>
        </w:tc>
      </w:tr>
      <w:tr>
        <w:trPr>
          <w:trHeight w:val="249"/>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4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July 31, 2020, the weighted-average remaining lease term for all operating leases was 8.1 years. The Company does not generally have access to the rate implicit in the leases and therefore utilized the Company’s borrowing rate as the discount rate. The weighted average discount rate for operating leases as of July 31, 2020 was 6.20%.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060" w:hanging="593"/>
        <w:spacing w:after="0" w:line="26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satellites (both commercial and U.S. Government-funded); terrestrial cellular telephone or other ground-based telecommunication stations; and other components and systems for the U.S. military.</w:t>
      </w:r>
    </w:p>
    <w:p>
      <w:pPr>
        <w:spacing w:after="0" w:line="175" w:lineRule="exact"/>
        <w:rPr>
          <w:rFonts w:ascii="Times New Roman" w:cs="Times New Roman" w:eastAsia="Times New Roman" w:hAnsi="Times New Roman"/>
          <w:sz w:val="18"/>
          <w:szCs w:val="18"/>
          <w:color w:val="auto"/>
        </w:rPr>
      </w:pPr>
    </w:p>
    <w:p>
      <w:pPr>
        <w:ind w:left="10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61" w:lineRule="exact"/>
        <w:rPr>
          <w:rFonts w:ascii="Times New Roman" w:cs="Times New Roman" w:eastAsia="Times New Roman" w:hAnsi="Times New Roman"/>
          <w:sz w:val="18"/>
          <w:szCs w:val="18"/>
          <w:color w:val="auto"/>
        </w:rPr>
      </w:pPr>
    </w:p>
    <w:p>
      <w:pPr>
        <w:jc w:val="both"/>
        <w:ind w:left="1060" w:hanging="593"/>
        <w:spacing w:after="0" w:line="258"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FEI-Zyfer’s products also incorporate precision time references for terrestrial secure communications and command and control, and frequency products that incorporate GPS. FEI-Zyfer’s GPS capability complements the Company’s existing technologies and permits the combined entities to provide a broader range of embedded systems for a variety of timing functions and anti-spoofing (“SAASM”) applications.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the “Summary of Significant Accounting Policies” in the Company’s Annual Report on Form 10-K for the year ended April 30, 2020, filed on July 29, 2020 with the Securities and Exchange Commission.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condensed consolidated statements of operations or the condensed consolidated balance sheets for each of the periods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FEI-NY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9,010</w:t>
            </w:r>
          </w:p>
        </w:tc>
        <w:tc>
          <w:tcPr>
            <w:tcW w:w="0" w:type="dxa"/>
            <w:vAlign w:val="bottom"/>
          </w:tcPr>
          <w:p>
            <w:pPr>
              <w:spacing w:after="0"/>
              <w:rPr>
                <w:sz w:val="1"/>
                <w:szCs w:val="1"/>
                <w:color w:val="auto"/>
              </w:rPr>
            </w:pPr>
          </w:p>
        </w:tc>
      </w:tr>
      <w:tr>
        <w:trPr>
          <w:trHeight w:val="216"/>
        </w:trPr>
        <w:tc>
          <w:tcPr>
            <w:tcW w:w="5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FEI-Zyfer</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3,922</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Consolidated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12,554</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profit: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FEI-NY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6"/>
        </w:trPr>
        <w:tc>
          <w:tcPr>
            <w:tcW w:w="5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FEI-Zyfer</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Consolidated operating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18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0" w:type="dxa"/>
            <w:vAlign w:val="bottom"/>
          </w:tcPr>
          <w:p>
            <w:pPr>
              <w:spacing w:after="0"/>
              <w:rPr>
                <w:sz w:val="1"/>
                <w:szCs w:val="1"/>
                <w:color w:val="auto"/>
              </w:rPr>
            </w:pPr>
          </w:p>
        </w:tc>
      </w:tr>
      <w:tr>
        <w:trPr>
          <w:trHeight w:val="209"/>
        </w:trPr>
        <w:tc>
          <w:tcPr>
            <w:tcW w:w="568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FEI-NY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42,732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44,599</w:t>
            </w:r>
          </w:p>
        </w:tc>
        <w:tc>
          <w:tcPr>
            <w:tcW w:w="0" w:type="dxa"/>
            <w:vAlign w:val="bottom"/>
          </w:tcPr>
          <w:p>
            <w:pPr>
              <w:spacing w:after="0"/>
              <w:rPr>
                <w:sz w:val="1"/>
                <w:szCs w:val="1"/>
                <w:color w:val="auto"/>
              </w:rPr>
            </w:pPr>
          </w:p>
        </w:tc>
      </w:tr>
      <w:tr>
        <w:trPr>
          <w:trHeight w:val="216"/>
        </w:trPr>
        <w:tc>
          <w:tcPr>
            <w:tcW w:w="5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FEI-Zyfer</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14,786</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13,344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(8,586)</w:t>
            </w:r>
          </w:p>
        </w:tc>
        <w:tc>
          <w:tcPr>
            <w:tcW w:w="0" w:type="dxa"/>
            <w:vAlign w:val="bottom"/>
          </w:tcPr>
          <w:p>
            <w:pPr>
              <w:spacing w:after="0"/>
              <w:rPr>
                <w:sz w:val="1"/>
                <w:szCs w:val="1"/>
                <w:color w:val="auto"/>
              </w:rPr>
            </w:pPr>
          </w:p>
        </w:tc>
      </w:tr>
      <w:tr>
        <w:trPr>
          <w:trHeight w:val="216"/>
        </w:trPr>
        <w:tc>
          <w:tcPr>
            <w:tcW w:w="5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31,426</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88,944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91,276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 recognized over time as POC and Passage of Title (“POT”) were approximately $11.7 million and $1.3 million, respectively, of the $13.0 million reported for the three months ended July 31, 2020. The amounts recognized over time as POC and POT were approximately $11.5 million and $1.1 million of the $12.6 million reported for the three months ended July 31, 2019. The amounts by segment and product line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 2020</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Three Months Ended July 31, 2019</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color w:val="auto"/>
                <w:w w:val="98"/>
              </w:rPr>
              <w:t>(In thousands)</w:t>
            </w: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30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POC Revenue</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POC Revenue</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Total Revenue</w:t>
            </w:r>
          </w:p>
        </w:tc>
        <w:tc>
          <w:tcPr>
            <w:tcW w:w="100" w:type="dxa"/>
            <w:vAlign w:val="bottom"/>
          </w:tcPr>
          <w:p>
            <w:pPr>
              <w:spacing w:after="0"/>
              <w:rPr>
                <w:sz w:val="20"/>
                <w:szCs w:val="20"/>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1,217</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9,839</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8,160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6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3,323</w:t>
            </w: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6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3,701</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(801 )</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(810 )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(183 )</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r>
      <w:tr>
        <w:trPr>
          <w:trHeight w:val="20"/>
        </w:trPr>
        <w:tc>
          <w:tcPr>
            <w:tcW w:w="3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12,951</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11,509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12,554</w:t>
            </w:r>
          </w:p>
        </w:tc>
      </w:tr>
      <w:tr>
        <w:trPr>
          <w:trHeight w:val="20"/>
        </w:trPr>
        <w:tc>
          <w:tcPr>
            <w:tcW w:w="3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30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by Product Line: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4"/>
              </w:rPr>
              <w:t>thousands)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Satellite Revenue</w:t>
            </w:r>
          </w:p>
        </w:tc>
        <w:tc>
          <w:tcPr>
            <w:tcW w:w="30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6,651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2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5,335</w:t>
            </w:r>
          </w:p>
        </w:tc>
        <w:tc>
          <w:tcPr>
            <w:tcW w:w="5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2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revenues</w:t>
            </w:r>
          </w:p>
        </w:tc>
        <w:tc>
          <w:tcPr>
            <w:tcW w:w="200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12,951</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Inc. (“Morion”), a privately-held Russian company, which manufactures high precision quartz resonators and crystal oscillators. The Company has also licensed certain technology to Morion.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accordingly, the Company accounts for its investment in Morion on the cost basis. This investment of approximately $800,000 is included in other assets in the accompanying condensed consolidated balance sheets. During the three months ended July 31, 2020 and 2019, the Company acquired product from Morion in the aggregate amount of approximately $150,000 and $245,000, respectively. There were no sales to Morion during the three months ended July 31, 2020. The Company sold product and training services to Morion in the aggregate amount of approximately $47,000 during the three months ended July 31, 2019, which is included in revenues in the unaudited condensed consolidated statements of operations as part of the FEI-NY segment. At July 31, 2020 there was approximately $34,000 payable to Morion. There were no amounts payable to Morion at April 30, 2020. There were no receivables related to Morion for either period ended July 31, 2020 and April</w:t>
      </w:r>
    </w:p>
    <w:p>
      <w:pPr>
        <w:spacing w:after="0" w:line="3" w:lineRule="exact"/>
        <w:rPr>
          <w:sz w:val="20"/>
          <w:szCs w:val="20"/>
          <w:color w:val="auto"/>
        </w:rPr>
      </w:pPr>
    </w:p>
    <w:p>
      <w:pPr>
        <w:jc w:val="both"/>
        <w:ind w:firstLine="8"/>
        <w:spacing w:after="0" w:line="255"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The Company did not receive dividends from Morion during the three months ended July 31, 2020. During the three months ended July 31, 2019, the Company received a dividend from Morion in the amount of approximately $125,000, which is included in other income, net in the condensed consolidated statements of operations as part of the FEI-NY segment.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light of Morion’s relationship with Gazprombank, the Company recently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relates solely to delays in collection of accounts receivable that exceeded then-applicable payment windows set forth in sanctions regulations and do not relate to any other type of payment or transaction. On July 22, 2020, OFAC informed the Company that it is conducting a civil investigation of the matter.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ongoing OFAC civil investigation subjects the Company to a number of financial and business risks. OFAC has broad enforcement discretion, and the imposition of sanctions, fines or remedial measures could have a material adverse effect on the Company’s business, prospects, reputation, financial condition, liquidity, results of operations or cash flows. Given the matter is in an early stage, however, the Company does not have sufficient information to (i) determine whether any liability (including penalties, sanctions, or remedial actions) as a result of the voluntary disclosure is probable or (ii) estimate the magnitude of any liability. While we are currently unable to predict what if any actions OFAC might take, or what the likely outcome of any such actions might be, or estimate the range of reasonably possible fines or penalties, such outcome may be material. Also, the Company is unable to predict the duration, scope, result or related costs of the investigation, including legal fees.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OF FINANCIAL INSTRUMENTS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cost, gross unrealized gains, gross unrealized losses, and fair market value of available-for-sale securities at July 31, 2020 and April 30, 2020, respectively,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580" w:type="dxa"/>
            <w:vAlign w:val="bottom"/>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Fair Market Value</w:t>
            </w:r>
          </w:p>
        </w:tc>
        <w:tc>
          <w:tcPr>
            <w:tcW w:w="100" w:type="dxa"/>
            <w:vAlign w:val="bottom"/>
          </w:tcPr>
          <w:p>
            <w:pPr>
              <w:spacing w:after="0"/>
              <w:rPr>
                <w:sz w:val="20"/>
                <w:szCs w:val="20"/>
                <w:color w:val="auto"/>
              </w:rPr>
            </w:pPr>
          </w:p>
        </w:tc>
      </w:tr>
      <w:tr>
        <w:trPr>
          <w:trHeight w:val="230"/>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income securities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10,011</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46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2020</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580" w:type="dxa"/>
            <w:vAlign w:val="bottom"/>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Fair Market Value</w:t>
            </w:r>
          </w:p>
        </w:tc>
        <w:tc>
          <w:tcPr>
            <w:tcW w:w="100" w:type="dxa"/>
            <w:vAlign w:val="bottom"/>
          </w:tcPr>
          <w:p>
            <w:pPr>
              <w:spacing w:after="0"/>
              <w:rPr>
                <w:sz w:val="20"/>
                <w:szCs w:val="20"/>
                <w:color w:val="auto"/>
              </w:rPr>
            </w:pPr>
          </w:p>
        </w:tc>
      </w:tr>
      <w:tr>
        <w:trPr>
          <w:trHeight w:val="229"/>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income securities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2220" w:type="dxa"/>
            <w:vAlign w:val="bottom"/>
            <w:gridSpan w:val="3"/>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5"/>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5"/>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July 31, 2020</w:t>
            </w:r>
          </w:p>
        </w:tc>
        <w:tc>
          <w:tcPr>
            <w:tcW w:w="12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3"/>
        </w:trPr>
        <w:tc>
          <w:tcPr>
            <w:tcW w:w="3160" w:type="dxa"/>
            <w:vAlign w:val="bottom"/>
            <w:tcBorders>
              <w:top w:val="single" w:sz="8" w:color="CCEEFF"/>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April 30, 2020</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line="210" w:lineRule="exact"/>
              <w:rPr>
                <w:sz w:val="20"/>
                <w:szCs w:val="20"/>
                <w:color w:val="auto"/>
              </w:rPr>
            </w:pPr>
            <w:r>
              <w:rPr>
                <w:rFonts w:ascii="Times New Roman" w:cs="Times New Roman" w:eastAsia="Times New Roman" w:hAnsi="Times New Roman"/>
                <w:sz w:val="14"/>
                <w:szCs w:val="14"/>
                <w:color w:val="auto"/>
              </w:rPr>
              <w:t>(6</w:t>
            </w:r>
            <w:r>
              <w:rPr>
                <w:rFonts w:ascii="Times New Roman" w:cs="Times New Roman" w:eastAsia="Times New Roman" w:hAnsi="Times New Roman"/>
                <w:sz w:val="24"/>
                <w:szCs w:val="24"/>
                <w:color w:val="auto"/>
                <w:vertAlign w:val="sub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(6</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2020, the Company sold or redeemed available-for-sale securities of approximately $725,000, realizing gains of approximately $3,000.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fixed income securities classified as available-for-sale at July 31, 2020 were as follows, at cost (in thousands):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w:t>
            </w: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38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8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levels of the fair value hierarchy are described below:</w:t>
      </w:r>
    </w:p>
    <w:p>
      <w:pPr>
        <w:spacing w:after="0" w:line="225" w:lineRule="exact"/>
        <w:rPr>
          <w:sz w:val="20"/>
          <w:szCs w:val="20"/>
          <w:color w:val="auto"/>
        </w:rPr>
      </w:pPr>
    </w:p>
    <w:p>
      <w:pPr>
        <w:ind w:left="1000" w:hanging="76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Level 1</w:t>
        <w:tab/>
        <w:t>Inputs to the valuation methodology are unadjusted quoted prices for identical assets or liabilities in active markets that the Company has the ability to access.</w:t>
      </w:r>
    </w:p>
    <w:p>
      <w:pPr>
        <w:spacing w:after="0" w:line="162" w:lineRule="exact"/>
        <w:rPr>
          <w:sz w:val="20"/>
          <w:szCs w:val="20"/>
          <w:color w:val="auto"/>
        </w:rPr>
      </w:pPr>
    </w:p>
    <w:p>
      <w:pPr>
        <w:ind w:left="220"/>
        <w:spacing w:after="0"/>
        <w:tabs>
          <w:tab w:leader="none" w:pos="98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to the valuation methodology include:</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07" w:lineRule="exact"/>
        <w:rPr>
          <w:sz w:val="20"/>
          <w:szCs w:val="20"/>
          <w:color w:val="auto"/>
        </w:rPr>
      </w:pPr>
    </w:p>
    <w:p>
      <w:pPr>
        <w:ind w:left="220"/>
        <w:spacing w:after="0"/>
        <w:tabs>
          <w:tab w:leader="none" w:pos="9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xml:space="preserve"> (“ASU 2017-04”), which simplifies how an entity is required to test goodwill 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which replaces the incurred loss impairment methodology in current U.S. GAAP with a methodology that reflects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CREDIT FACILITY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July 31, 2020, the Company had available credit with UBS Bank USA at variable terms based on its securities holdings under an advisory arrangement, under which the Company has borrowed $3 million. On April 12, 2020, the Company received proceeds from a loan in the amount of $4,964,810 (the “PPP Loan”) from JPMorgan Chase Bank, N.A. as the Lender, pursuant to the SBA Paycheck Protection Program under the CARES Act. The PPP Loan was repaid in full on May 6,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VALUATION ALLOWANCE ON DEFERRED TAX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realizability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July 31, 2020, and April 30, 2020, the Company maintained a full valuation allowance against its deferred tax assets. If these estimates and assumptions change in the future, the Company may be required to adjust its existing valuation allowance resulting in changes to deferred income tax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COMMITMENTS AND CONTINGENCIES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28, 2020, Martin B. Bloch, the former Chief Scientist of the Company and a former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Times New Roman" w:cs="Times New Roman" w:eastAsia="Times New Roman" w:hAnsi="Times New Roman"/>
          <w:sz w:val="18"/>
          <w:szCs w:val="18"/>
          <w:i w:val="1"/>
          <w:iCs w:val="1"/>
          <w:color w:val="auto"/>
        </w:rPr>
        <w:t>Bloch v. Frequency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Electronics, Inc., et al</w:t>
      </w:r>
      <w:r>
        <w:rPr>
          <w:rFonts w:ascii="Times New Roman" w:cs="Times New Roman" w:eastAsia="Times New Roman" w:hAnsi="Times New Roman"/>
          <w:sz w:val="18"/>
          <w:szCs w:val="18"/>
          <w:color w:val="auto"/>
        </w:rPr>
        <w:t>., Index No. 601369/2020 (N.Y. Sup. Ct. filed Jan. 28, 2020)). Mr. Bloch seeks compensatory damages and costs and attorney’s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based on allegations that he was wrongfully terminated “for cause” pursuant to his employment agreement, dated March 17, 2008,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seeks an order that the Company is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The Parties’ respective motions are pending. The Company and the Director Defendants believe that the Board was justified in its decision to terminate Mr. Bloch “for cause” and that Mr. Bloch’s complaint is entirely without merit. The Company intends to vigorously defend against all of Mr. Bloch’s allegations. At this time, the Company does not have sufficient information to determine whether liability, if any, arising out of these matters is probable or the possible loss, if any that could result from an unfavorable outcome arising out of these matters.</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addition, Mr. Bloch sought to initiate two arbitration proceedings under the AAA Rules (</w:t>
      </w:r>
      <w:r>
        <w:rPr>
          <w:rFonts w:ascii="Times New Roman" w:cs="Times New Roman" w:eastAsia="Times New Roman" w:hAnsi="Times New Roman"/>
          <w:sz w:val="18"/>
          <w:szCs w:val="18"/>
          <w:i w:val="1"/>
          <w:iCs w:val="1"/>
          <w:color w:val="auto"/>
        </w:rPr>
        <w:t>Bloch v. Frequency Electronics, Inc.,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Committee of the Board of Directors of Frequency Electronics, Inc., and the Deferred Compensation Plan Agreement Dated March 7, 2008</w:t>
      </w:r>
      <w:r>
        <w:rPr>
          <w:rFonts w:ascii="Times New Roman" w:cs="Times New Roman" w:eastAsia="Times New Roman" w:hAnsi="Times New Roman"/>
          <w:sz w:val="18"/>
          <w:szCs w:val="18"/>
          <w:color w:val="auto"/>
        </w:rPr>
        <w:t>). One arbitration is brought under a deferred compensation agreement dated March 27, 1980 and the other under a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compensation agreement, dated March 7, 2008. Bloch submitted his Statements of Claim in both arbitrations on May 4, 2020. In both proceedings, Mr. Bloch claims that defendants violated ERISA rules by denying him deferred compensation benefits. He seeks an award for allegedly past due deferred compensation benefits plus interest, clarification as to his future rights to deferred compensation benefits, and attorneys’ fees and costs.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 2020, the Company filed a petition for a stay of arbitration and related declaratory relief against Mr. Bloch, in the Supreme Court of the State of New York, New York County (</w:t>
      </w:r>
      <w:r>
        <w:rPr>
          <w:rFonts w:ascii="Times New Roman" w:cs="Times New Roman" w:eastAsia="Times New Roman" w:hAnsi="Times New Roman"/>
          <w:sz w:val="18"/>
          <w:szCs w:val="18"/>
          <w:i w:val="1"/>
          <w:iCs w:val="1"/>
          <w:color w:val="auto"/>
        </w:rPr>
        <w:t>Frequency Electronics, Inc. v. Martin B. Bloch</w:t>
      </w:r>
      <w:r>
        <w:rPr>
          <w:rFonts w:ascii="Times New Roman" w:cs="Times New Roman" w:eastAsia="Times New Roman" w:hAnsi="Times New Roman"/>
          <w:sz w:val="18"/>
          <w:szCs w:val="18"/>
          <w:color w:val="auto"/>
        </w:rPr>
        <w:t>, Index No. 652191/2020 (N.Y. Sup. Ct. filed June 2, 2020)). The Company claims that Mr. Bloch may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motion is currently pending. At this time, the Company does not have sufficient information to determine the likelihood of success of this petition.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June 5, 2020, Mr. Bloch filed a petition against the Company, the Compensation Committee of the Company’s Board of Directors, and the Deferred Compensation Plan Agreement Dated March 7, 2008, as amended, for the appointment of an arbitrator in one of the arbitration proceedings that Mr. Bloch sought to initiate. The petition was filed in the Supreme Court of the State of New York, County of Nassau </w:t>
      </w:r>
      <w:r>
        <w:rPr>
          <w:rFonts w:ascii="Times New Roman" w:cs="Times New Roman" w:eastAsia="Times New Roman" w:hAnsi="Times New Roman"/>
          <w:sz w:val="18"/>
          <w:szCs w:val="18"/>
          <w:i w:val="1"/>
          <w:iCs w:val="1"/>
          <w:color w:val="auto"/>
        </w:rPr>
        <w:t>(Bloch v. Frequency Electronics,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et al., </w:t>
      </w:r>
      <w:r>
        <w:rPr>
          <w:rFonts w:ascii="Times New Roman" w:cs="Times New Roman" w:eastAsia="Times New Roman" w:hAnsi="Times New Roman"/>
          <w:sz w:val="18"/>
          <w:szCs w:val="18"/>
          <w:color w:val="auto"/>
        </w:rPr>
        <w:t>Index No. 605380/2020 (N.Y. Sup. Ct. filed June 5, 2020)). On June 22, 2020, the Company moved to dismiss Mr. Bloch’s petition, and he opposed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motion on July 2, 2020. The motion is currently pending. Defendants dispute all of Bloch’s claims and intend to continue to vigorously defend the Company in this special proceeding. The likelihood of any outcome of this proceeding cannot be determined at this time.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10-Q and in the Company’s Annual Report on Form 10-K for the year ended April 30, 2020, filed on July 29, 2020 with the Securities and Exchange Commission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included in the Company’s Annual Report on Form 10-K for the year ended April 30, 2020, filed on July 29, 2020 with the Securities and Exchange Commission.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months ended July 31, 2020.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90" w:lineRule="exact"/>
        <w:rPr>
          <w:sz w:val="20"/>
          <w:szCs w:val="20"/>
          <w:color w:val="auto"/>
        </w:rPr>
      </w:pPr>
    </w:p>
    <w:p>
      <w:pPr>
        <w:jc w:val="both"/>
        <w:ind w:firstLine="646"/>
        <w:spacing w:after="0" w:line="261" w:lineRule="auto"/>
        <w:rPr>
          <w:sz w:val="20"/>
          <w:szCs w:val="20"/>
          <w:color w:val="auto"/>
        </w:rPr>
      </w:pPr>
      <w:r>
        <w:rPr>
          <w:rFonts w:ascii="Times New Roman" w:cs="Times New Roman" w:eastAsia="Times New Roman" w:hAnsi="Times New Roman"/>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costs include all direct material, direct labor costs, manufacturing overhead and other direct costs related to contract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costs are charged to expense as incurred.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Marketable Securities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Marketable securities consist of corporate debt securities, certificates-of-deposit, and debt securities of U.S. Government agencies. All marketable securities were held in the custody of one financial institution at July 31, 2020 and April 30, 2020. Investments in debt securities are categorized as available-for-sale and are carried at fair value, with unrealized gains and losses excluded from income and recorded directly to stockholders’ equity. The Company recognizes gains or losses when securities are sold using the specific identification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Outbreak Update</w:t>
      </w:r>
    </w:p>
    <w:p>
      <w:pPr>
        <w:spacing w:after="0" w:line="229" w:lineRule="exact"/>
        <w:rPr>
          <w:sz w:val="20"/>
          <w:szCs w:val="20"/>
          <w:color w:val="auto"/>
        </w:rPr>
      </w:pPr>
    </w:p>
    <w:p>
      <w:pPr>
        <w:jc w:val="both"/>
        <w:ind w:right="460" w:firstLine="648"/>
        <w:spacing w:after="0" w:line="289" w:lineRule="auto"/>
        <w:rPr>
          <w:sz w:val="20"/>
          <w:szCs w:val="20"/>
          <w:color w:val="auto"/>
        </w:rPr>
      </w:pPr>
      <w:r>
        <w:rPr>
          <w:rFonts w:ascii="Times New Roman" w:cs="Times New Roman" w:eastAsia="Times New Roman" w:hAnsi="Times New Roman"/>
          <w:sz w:val="17"/>
          <w:szCs w:val="17"/>
          <w:color w:val="auto"/>
        </w:rPr>
        <w:t>On January 30, 2020, the World Health Organization (“WHO”) announced a global health emergency because of a new strain of coronavirus originating in Wuhan, China (the “COVID-19 outbreak”) and the risks to the international community as the virus spread globally beyond its point of origin. In March 2020, the WHO classified the COVID-19 outbreak as a pandemic, based on the rapid increase in exposure globally.</w:t>
      </w:r>
    </w:p>
    <w:p>
      <w:pPr>
        <w:spacing w:after="0" w:line="1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priority during the COVID-19 outbreak has been to protect the health and safety of its employees while keeping its manufacturing sites open. Within the limitations imposed by governmental health and safety procedures, the Company has continued to manufacture its full range of products at its facilities. The Company has educated employees about COVID-19 symptoms and hygiene best practices. The Company’s policies also include taking an employee’s temperature before entering production facilities; mandating handwashing; requiring social distancing and, where social distancing is difficult, requiring face coverings; streamlining onsite personnel; encouraging, and in some cases, requiring remote work for those employees who can work from home; and disinfecting facilities.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of September 14, 2020, the Company was aware of two employees that have had confirmed cases of COVID-19 since the COVID-19 outbreak began, with no fatalities and both of those employees having returned to work. Additional employees have been absent or self-quarantined due to COVID-19; however, such absences have not had a significant impact on production. Additionally, since the COVID-19 outbreak began, no facilities have been fully shut down (other than temporarily for disinfecting) and such measures to disinfect facilities have not had a significant impact on production. Certain of the Company’s vendors have been unable to deliver materials on time due to the COVID-19 outbreak. Such delays have negatively impacted the Company’s production, and the Company plans to continue to monitor these and its other vendors and, if necessary, seek alternative suppliers.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full impact of the COVID-19 outbreak continues to evolve as of the date of this report. As such, it is uncertain as to the full magnitude that the pandemic may have on the Company’s financial condition, liquidity, and future results of operations. Management is actively monitoring the impact of the global situation on its financial condition, liquidity, operations, suppliers, industry, and workforce. Given the daily evolution of the COVID-19 outbreak and the global responses to curb its spread, the Company is not able to estimate the effects of the COVID-19 outbreak on its results of operations, financial condition, or liquidity for fiscal year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COVID-19.</w:t>
      </w:r>
    </w:p>
    <w:p>
      <w:pPr>
        <w:spacing w:after="0" w:line="18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Since the filing of the Company’s Annual Report on Form 10-K for the year ended April 30, 2020, filed on July 29, 2020, there have been no additional impacts to the Company related to COVID-19.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for the three months ended July 31, 2020 and 2019, respectively, the percentage of consolidated revenues represented by certain items in the Company’s condensed consolidated statements of operations or notes to the condensed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gridSpan w:val="9"/>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FEI-NY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76.0%</w:t>
            </w:r>
          </w:p>
        </w:tc>
        <w:tc>
          <w:tcPr>
            <w:tcW w:w="5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FEI-Zyfer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30.3</w:t>
            </w:r>
          </w:p>
        </w:tc>
        <w:tc>
          <w:tcPr>
            <w:tcW w:w="560" w:type="dxa"/>
            <w:vAlign w:val="bottom"/>
          </w:tcPr>
          <w:p>
            <w:pPr>
              <w:spacing w:after="0"/>
              <w:rPr>
                <w:sz w:val="18"/>
                <w:szCs w:val="18"/>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29.5</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5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spacing w:after="0"/>
              <w:rPr>
                <w:sz w:val="18"/>
                <w:szCs w:val="18"/>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68.4</w:t>
            </w:r>
          </w:p>
        </w:tc>
        <w:tc>
          <w:tcPr>
            <w:tcW w:w="5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31.6</w:t>
            </w:r>
          </w:p>
        </w:tc>
        <w:tc>
          <w:tcPr>
            <w:tcW w:w="560" w:type="dxa"/>
            <w:vAlign w:val="bottom"/>
          </w:tcPr>
          <w:p>
            <w:pPr>
              <w:spacing w:after="0"/>
              <w:rPr>
                <w:sz w:val="18"/>
                <w:szCs w:val="18"/>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31.5</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w:t>
            </w:r>
          </w:p>
        </w:tc>
        <w:tc>
          <w:tcPr>
            <w:tcW w:w="5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9.2</w:t>
            </w:r>
          </w:p>
        </w:tc>
        <w:tc>
          <w:tcPr>
            <w:tcW w:w="560" w:type="dxa"/>
            <w:vAlign w:val="bottom"/>
          </w:tcPr>
          <w:p>
            <w:pPr>
              <w:spacing w:after="0"/>
              <w:rPr>
                <w:sz w:val="18"/>
                <w:szCs w:val="18"/>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560" w:type="dxa"/>
            <w:vAlign w:val="bottom"/>
          </w:tcPr>
          <w:p>
            <w:pPr>
              <w:spacing w:after="0"/>
              <w:rPr>
                <w:sz w:val="18"/>
                <w:szCs w:val="18"/>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FEI-Zyfer</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20"/>
        </w:trPr>
        <w:tc>
          <w:tcPr>
            <w:tcW w:w="7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three months ended July 31, 2020 revenues from commercial and U.S. Government satellite programs increased approximately $2.8 million, as compared to the same period of fiscal year 2020 and accounted for approximately 51% of consolidated revenues compared to approximately 31% during this same period in fiscal year 2020. The change in revenue is related to product mix and timing of contract awards. Revenues on these contracts are recognized primarily under the POC method. Revenues from the satellite market are recorded in the FEI-NY segment. Revenues from non-space U.S. Government/Department of Defense (“DOD”) customers, which are recorded in both the FEI-NY and FEI-Zyfer segments, decreased $1.4 million over the same period of fiscal year 2020, and accounted for approximately 41% of consolidated revenues compared to approximately 54% during</w:t>
      </w:r>
    </w:p>
    <w:p>
      <w:pPr>
        <w:spacing w:after="0" w:line="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this same period in fiscal year 2020. Other commercial and industrial revenues for the three months ended July 31, 2020 were $1.0 million and represented approximately 8% of consolidated revenues compared to $1.9 million, or 15%, in the same period of the prior fiscal year.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Three months ended July 31</w:t>
            </w: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5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53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426"/>
        </w:trPr>
        <w:tc>
          <w:tcPr>
            <w:tcW w:w="454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55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4,088</w:t>
            </w:r>
          </w:p>
        </w:tc>
        <w:tc>
          <w:tcPr>
            <w:tcW w:w="10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3,953</w:t>
            </w: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135</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5520" w:type="dxa"/>
            <w:vAlign w:val="bottom"/>
            <w:gridSpan w:val="2"/>
          </w:tcPr>
          <w:p>
            <w:pPr>
              <w:jc w:val="right"/>
              <w:ind w:right="4750"/>
              <w:spacing w:after="0"/>
              <w:rPr>
                <w:sz w:val="20"/>
                <w:szCs w:val="20"/>
                <w:color w:val="auto"/>
              </w:rPr>
            </w:pPr>
            <w:r>
              <w:rPr>
                <w:rFonts w:ascii="Times New Roman" w:cs="Times New Roman" w:eastAsia="Times New Roman" w:hAnsi="Times New Roman"/>
                <w:sz w:val="18"/>
                <w:szCs w:val="18"/>
                <w:color w:val="auto"/>
                <w:w w:val="99"/>
              </w:rPr>
              <w:t>GM Rate</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three-month period ended July 31, 2020, gross margin and GM Rate increased marginally as compared to the same period in fiscal year 2020. The increase in gross margin and GM Rate was primarily due to product mix. Additionally, there were higher engineering costs incurred on several programs in both periods, but as these programs are completed, we expect margins to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and Administrative Expenses</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5632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1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3,228</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2,453</w:t>
            </w:r>
          </w:p>
        </w:tc>
        <w:tc>
          <w:tcPr>
            <w:tcW w:w="90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775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2020 and 2019, selling and administrative (“SG&amp;A”) expenses were approximately 25% and 20%, respectively, of consolidated revenues. The increase in SG&amp;A expenses is due to increase in professional fees (relating to litigation for which we expect to get insurance reimbursement for a portion of the legal fees), and additional insurance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5289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28945" cy="8890"/>
                    </a:xfrm>
                    <a:prstGeom prst="rect">
                      <a:avLst/>
                    </a:prstGeom>
                    <a:noFill/>
                  </pic:spPr>
                </pic:pic>
              </a:graphicData>
            </a:graphic>
          </wp:anchor>
        </w:drawing>
      </w:r>
    </w:p>
    <w:p>
      <w:pPr>
        <w:spacing w:after="0" w:line="1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1,197</w:t>
            </w:r>
          </w:p>
        </w:tc>
        <w:tc>
          <w:tcPr>
            <w:tcW w:w="138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2,280</w:t>
            </w:r>
          </w:p>
        </w:tc>
        <w:tc>
          <w:tcPr>
            <w:tcW w:w="82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(1,083)</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future competitiveness. The R&amp;D rate for the three-month period ended July 31, 2020 was 9% of sales compared to 18% of sales for the same period of the previous fiscal year. The Company’s R&amp;D expense decreased year over year as previous R&amp;D efforts have ended and turned into production; however, the Company plans to continue to invest in R&amp;D.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Loss</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19685</wp:posOffset>
            </wp:positionV>
            <wp:extent cx="55289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1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(780)</w:t>
            </w:r>
          </w:p>
        </w:tc>
        <w:tc>
          <w:tcPr>
            <w:tcW w:w="92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443</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results for the three-month period ended July 31, 2020 reflect improvements in revenues, gross margin and GM rate. The Company is pleased with this trend. Additionally, if certain current bids become contract wins, as anticipated by the Company, we would expect this improvement to continue.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222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87"/>
        </w:trPr>
        <w:tc>
          <w:tcPr>
            <w:tcW w:w="2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3"/>
          </w:tcPr>
          <w:p>
            <w:pPr>
              <w:jc w:val="right"/>
              <w:ind w:right="536"/>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22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06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0"/>
        </w:trPr>
        <w:tc>
          <w:tcPr>
            <w:tcW w:w="222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2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060" w:type="dxa"/>
            <w:vAlign w:val="bottom"/>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6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0"/>
        </w:trPr>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Investment income is derived primarily from the Company’s holdings of marketable securities. Earnings on securities may vary based on fluctuating interest rates, dividend payout levels, and the timing of purchases, sales, redemptions or maturities of securities. There were no dividends received from Morion for the three months ended July 31, 2020. For the three months ended July 31, 2019, investment income includes a dividend from Morion of $125,000.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 Provision</w:t>
      </w:r>
    </w:p>
    <w:p>
      <w:pPr>
        <w:spacing w:after="0" w:line="225"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19685</wp:posOffset>
            </wp:positionV>
            <wp:extent cx="41579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57980" cy="8255"/>
                    </a:xfrm>
                    <a:prstGeom prst="rect">
                      <a:avLst/>
                    </a:prstGeom>
                    <a:noFill/>
                  </pic:spPr>
                </pic:pic>
              </a:graphicData>
            </a:graphic>
          </wp:anchor>
        </w:drawing>
      </w:r>
    </w:p>
    <w:p>
      <w:pPr>
        <w:spacing w:after="0" w:line="11"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4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48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color w:val="auto"/>
                <w:w w:val="99"/>
              </w:rPr>
              <w:t>Effective tax rate on pre-tax book loss: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2021 is 2.8%. This calculation reflects estimated income tax expense based on our current year annual pretax income forecast which is offset by the estimated change in the current year valuation allowance. The Company maintains a full valuation allowance against its deferred tax assets.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2020, the Company recorded an income tax provision of $9,000, which includes a discrete income tax provision of $16,000 primarily related to an accrual of interest for unrecognized tax benefits. For the three months ended July 31, 2019, the Company recorded a discrete income tax provision of $20,000.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July 31, 2020 is an income tax provision of 3.6% on a pretax loss of $253,000 compared to an income tax provision of 3.5% on a pretax loss of $571,000 in the comparable prior fiscal year period. The effective tax rate for the three months ended July 31, 2020 differs from the U.S. statutory rate of 21% primarily due to state taxes, a discrete income tax provision related to the accrual of interest for unrecognized tax benefits, and domestic losses for which the Company is not recognizing an income tax benefit.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 continues to reflect a strong working capital position of $38.9 million at July 31, 2020 and $38.3 million at April 30, 2020. Included in working capital at July 31, 2020 and April 30 2020, is $12.4 million and $14.4 million, respectively, consisting of cash, cash equivalents, and marketable securities. The Company’s current ratio at July 31, 2020 is 4.6 to 1 compared to 3.9 to 1 as of April 30, 2020.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July 31, 2020 was $62,000 compared to $153,000 in the comparable prior fiscal year 2020 period. The decreased cash flow in the fiscal year 2021 period resulted primarily from an increase in accounts receivable balances offset by a decrease in inventory amounts. For the three-month periods ended July 31, 2020 and 2019, the Company incurred $1.2 million and $1.6 million, respectively, of non-cash operating expenses including right to use asset and liability for leases, depreciation and amortization, inventory reserve adjustments, and accruals for employee benefit programs.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July 31, 2020 was $514,000 compared to $1.6 million of cash used in investing activities for the three months ended July 31, 2019. During the three months ended July 31, 2020, marketable securities were sold or redeemed in the amount of $725,000 compared to $750,000 during the three months ended July 31, 2019. There were no purchases related to marketable securities during the three months ended July 31, 2020, while approximately $1.4 million of marketable securities were purchased during the three months ended July 31, 2019. The Company acquired property, plant and equipment in the amount of approximately $211,000 and $912,000 during the three months ended July 31, 2020 and 2019, respectively. The Company may continue to invest in cash equivalents as dictated by its investment strategy.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July 31, 2020 was approximately $2.0 million related to the repayment of the PPP loan and the amounts borrowed against the Company’s line of credit with UBS Bank USA. There was no cash used in financing activities for the three months ended July 31, 2019.</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 million worth of shares of its common stock when appropriate opportunities arise. As of July 31, 2020, the Company has repurchased approximately $4 million of its common stock out of the $5 million authorization. For the three months ended July 31, 2020 and 2019 there were no repurchases of shares.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July 31, 2020, the Company’s consolidated funded backlog was approximately $38 million compared to $36 million at April 30, 2020, the end of fiscal 2020. Approximately 81% of this backlog is expected to be realized in the next twelve months. As of July 31, 2020, there are no amounts included in backlog under cost-plus fixed-fee (“CPFF”) contracts that have not been funded.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operating and investment needs through at least September 14, 2021 and the foreseeable future.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July 31, 2020, the Company’s disclosure controls and procedures were effective.</w:t>
      </w:r>
    </w:p>
    <w:p>
      <w:pPr>
        <w:spacing w:after="0" w:line="1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during the three months ended July 31, 2020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28, 2020, Martin B. Bloch, the former Chief Scientist of the Company and a former member of the Company’s Board, filed a complaint against the Company and Jonathan Brolin, Lance W. Lord, Russell M. Sarachek, Richard Schwartz and Stanton D. Sloane, each in their capacity as members of the Board (collectively, the “Director Defendants”), in the Supreme Court of the State of New York, County of Nassau (</w:t>
      </w:r>
      <w:r>
        <w:rPr>
          <w:rFonts w:ascii="Times New Roman" w:cs="Times New Roman" w:eastAsia="Times New Roman" w:hAnsi="Times New Roman"/>
          <w:sz w:val="18"/>
          <w:szCs w:val="18"/>
          <w:i w:val="1"/>
          <w:iCs w:val="1"/>
          <w:color w:val="auto"/>
        </w:rPr>
        <w:t>Bloch v. Frequency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Electronics, Inc., et al</w:t>
      </w:r>
      <w:r>
        <w:rPr>
          <w:rFonts w:ascii="Times New Roman" w:cs="Times New Roman" w:eastAsia="Times New Roman" w:hAnsi="Times New Roman"/>
          <w:sz w:val="18"/>
          <w:szCs w:val="18"/>
          <w:color w:val="auto"/>
        </w:rPr>
        <w:t>., Index No. 601369/2020 (N.Y. Sup. Ct. filed Jan. 28, 2020)). Mr. Bloch seeks compensatory damages and costs and attorney’s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based on allegations that he was wrongfully terminated “for cause” pursuant to his employment agreement, dated March 17, 2008, and that the Company and the Director Defendants discriminated against him based on his age. Mr. Bloch had originally also sought a declaratory judgment and claims for damage to his reputation and a derivative claim on behalf of the Company alleging that the Director Defendants breached their fiduciary duty in rendering their decision to terminate Mr. Bloch’s employment with the Company. However, Mr. Bloch removed those claims from a subsequently filed amended complaint after the Company and the Director Defendants moved to dismiss them. On June 11, 2020, the Company and the Director Defendants filed their answer to the amended complaint. Mr. Bloch filed a motion for summary judgment on June 23, 2020, which the Company and the Director Defendants opposed on July 10, 2020. Mr. Bloch’s motion seeks an order that the Company is liable for breach of his employment agreement because he purportedly resigned from the Company before he was terminated. On July 10, 2020, the Company and the Director Defendants opposed Mr. Bloch’s motion and also filed a motion for summary judgment seeking the dismissal of all claims in Mr. Bloch’s amended complaint. The Parties’ respective motions are pending. The Company and the Director Defendants believe that the Board was justified in its decision to terminate Mr. Bloch “for cause” and that Mr. Bloch’s complaint is entirely without merit. The Company intends to vigorously defend against all of Mr. Bloch’s allegations. At this time, the Company does not have sufficient information to determine whether liability, if any, arising out of these matters is probable or the possible loss, if any, that could result from an unfavorable outcome arising out of these matters.</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addition, Mr. Bloch sought to initiate two arbitration proceedings under the AAA Rules (</w:t>
      </w:r>
      <w:r>
        <w:rPr>
          <w:rFonts w:ascii="Times New Roman" w:cs="Times New Roman" w:eastAsia="Times New Roman" w:hAnsi="Times New Roman"/>
          <w:sz w:val="18"/>
          <w:szCs w:val="18"/>
          <w:i w:val="1"/>
          <w:iCs w:val="1"/>
          <w:color w:val="auto"/>
        </w:rPr>
        <w:t>Bloch v. Frequency Electronics, Inc.,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Committee of the Board of Directors of Frequency Electronics, Inc., and the Deferred Compensation Plan Agreement Dated March 7, 2008</w:t>
      </w:r>
      <w:r>
        <w:rPr>
          <w:rFonts w:ascii="Times New Roman" w:cs="Times New Roman" w:eastAsia="Times New Roman" w:hAnsi="Times New Roman"/>
          <w:sz w:val="18"/>
          <w:szCs w:val="18"/>
          <w:color w:val="auto"/>
        </w:rPr>
        <w:t>). One arbitration is brought under a deferred compensation agreement dated March 27, 1980 and the other under a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compensation agreement, dated March 7, 2008. Bloch submitted his Statements of Claim in both arbitrations on May 4, 2020. In both proceedings, Mr. Bloch claims that defendants violated ERISA rules by denying him deferred compensation benefits. He seeks an award for allegedly past due deferred compensation benefits plus interest, clarification as to his future rights to deferred compensation benefits, and attorneys’ fees and costs.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 2020, the Company filed a petition for a stay of arbitration and related declaratory relief against Mr. Bloch, in the Supreme Court of the State of New York, New York County (</w:t>
      </w:r>
      <w:r>
        <w:rPr>
          <w:rFonts w:ascii="Times New Roman" w:cs="Times New Roman" w:eastAsia="Times New Roman" w:hAnsi="Times New Roman"/>
          <w:sz w:val="18"/>
          <w:szCs w:val="18"/>
          <w:i w:val="1"/>
          <w:iCs w:val="1"/>
          <w:color w:val="auto"/>
        </w:rPr>
        <w:t>Frequency Electronics, Inc. v. Martin B. Bloch</w:t>
      </w:r>
      <w:r>
        <w:rPr>
          <w:rFonts w:ascii="Times New Roman" w:cs="Times New Roman" w:eastAsia="Times New Roman" w:hAnsi="Times New Roman"/>
          <w:sz w:val="18"/>
          <w:szCs w:val="18"/>
          <w:color w:val="auto"/>
        </w:rPr>
        <w:t>, Index No. 652191/2020 (N.Y. Sup. Ct. filed June 2, 2020)). The Company claims that Mr. Bloch may not arbitrate his claims for deferred compensation because he did not timely appeal the Company’s denial of those claims, and because he failed to comply with the arbitration procedures in the applicable deferred compensation agreement. Mr. Bloch filed a motion on June 16, 2020 seeking a change of venue to the County of Nassau, which the Company opposed on July 7, 2020. The motion is currently pending. At this time, the Company does not have sufficient information to determine the likelihood of success of this petition.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June 5, 2020, Mr. Bloch filed a petition against the Company, the Compensation Committee of the Company’s Board of Directors, and the Deferred Compensation Plan Agreement Dated March 7, 2008, as amended, for the appointment of an arbitrator in one of the arbitration proceedings that Mr. Bloch sought to initiate. The petition was filed in the Supreme Court of the State of New York, County of Nassau </w:t>
      </w:r>
      <w:r>
        <w:rPr>
          <w:rFonts w:ascii="Times New Roman" w:cs="Times New Roman" w:eastAsia="Times New Roman" w:hAnsi="Times New Roman"/>
          <w:sz w:val="18"/>
          <w:szCs w:val="18"/>
          <w:i w:val="1"/>
          <w:iCs w:val="1"/>
          <w:color w:val="auto"/>
        </w:rPr>
        <w:t>(Bloch v. Frequency Electronics,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et al., </w:t>
      </w:r>
      <w:r>
        <w:rPr>
          <w:rFonts w:ascii="Times New Roman" w:cs="Times New Roman" w:eastAsia="Times New Roman" w:hAnsi="Times New Roman"/>
          <w:sz w:val="18"/>
          <w:szCs w:val="18"/>
          <w:color w:val="auto"/>
        </w:rPr>
        <w:t>Index No. 605380/2020 (N.Y. Sup. Ct. filed June 5, 2020)). On June 22, 2020, the Company moved to dismiss Mr. Bloch’s petition, and he opposed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motion on July 2, 2020. The motion is currently pending. Defendants dispute all of Bloch’s claims and intend to continue to vigorously defend the Company in this special proceeding. The likelihood of any outcome of this proceeding cannot be determined at this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jc w:val="both"/>
        <w:ind w:left="1360" w:hanging="701"/>
        <w:spacing w:after="0" w:line="282" w:lineRule="auto"/>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31.1 -</w:t>
      </w:r>
      <w:r>
        <w:rPr>
          <w:sz w:val="20"/>
          <w:szCs w:val="20"/>
          <w:color w:val="auto"/>
        </w:rPr>
        <w:tab/>
      </w:r>
      <w:hyperlink w:anchor="page27">
        <w:r>
          <w:rPr>
            <w:rFonts w:ascii="Times New Roman" w:cs="Times New Roman" w:eastAsia="Times New Roman" w:hAnsi="Times New Roman"/>
            <w:sz w:val="18"/>
            <w:szCs w:val="18"/>
            <w:u w:val="single" w:color="auto"/>
            <w:color w:val="0000EE"/>
          </w:rPr>
          <w:t>Certification by the Chief Executive Officer pursuant to Rule 13a-14(a) or 15d-14(a) under the Securities Exchange Act of 1934, as</w:t>
        </w:r>
      </w:hyperlink>
      <w:r>
        <w:rPr>
          <w:rFonts w:ascii="Times New Roman" w:cs="Times New Roman" w:eastAsia="Times New Roman" w:hAnsi="Times New Roman"/>
          <w:sz w:val="18"/>
          <w:szCs w:val="18"/>
          <w:u w:val="single" w:color="auto"/>
          <w:color w:val="0000EE"/>
        </w:rPr>
        <w:t xml:space="preserve"> </w:t>
      </w:r>
      <w:hyperlink w:anchor="page27">
        <w:r>
          <w:rPr>
            <w:rFonts w:ascii="Times New Roman" w:cs="Times New Roman" w:eastAsia="Times New Roman" w:hAnsi="Times New Roman"/>
            <w:sz w:val="18"/>
            <w:szCs w:val="18"/>
            <w:u w:val="single" w:color="auto"/>
            <w:color w:val="0000EE"/>
          </w:rPr>
          <w:t>adopted pursuant to Section 302 of the Sarbanes-Oxley Act of 2002.</w:t>
        </w:r>
      </w:hyperlink>
    </w:p>
    <w:p>
      <w:pPr>
        <w:spacing w:after="0" w:line="162" w:lineRule="exact"/>
        <w:rPr>
          <w:sz w:val="20"/>
          <w:szCs w:val="20"/>
          <w:color w:val="auto"/>
        </w:rPr>
      </w:pPr>
    </w:p>
    <w:p>
      <w:pPr>
        <w:jc w:val="both"/>
        <w:ind w:left="1360" w:hanging="701"/>
        <w:spacing w:after="0" w:line="282" w:lineRule="auto"/>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31.2 -</w:t>
      </w:r>
      <w:r>
        <w:rPr>
          <w:sz w:val="20"/>
          <w:szCs w:val="20"/>
          <w:color w:val="auto"/>
        </w:rPr>
        <w:tab/>
      </w:r>
      <w:hyperlink w:anchor="page28">
        <w:r>
          <w:rPr>
            <w:rFonts w:ascii="Times New Roman" w:cs="Times New Roman" w:eastAsia="Times New Roman" w:hAnsi="Times New Roman"/>
            <w:sz w:val="18"/>
            <w:szCs w:val="18"/>
            <w:u w:val="single" w:color="auto"/>
            <w:color w:val="0000EE"/>
          </w:rPr>
          <w:t>Certification by the Chief Financial Officer pursuant to Rule 13a-14(a) or 15d-14(a) under the Securities Exchange Act of 1934, as</w:t>
        </w:r>
      </w:hyperlink>
      <w:r>
        <w:rPr>
          <w:rFonts w:ascii="Times New Roman" w:cs="Times New Roman" w:eastAsia="Times New Roman" w:hAnsi="Times New Roman"/>
          <w:sz w:val="18"/>
          <w:szCs w:val="18"/>
          <w:u w:val="single" w:color="auto"/>
          <w:color w:val="0000EE"/>
        </w:rPr>
        <w:t xml:space="preserve"> </w:t>
      </w:r>
      <w:hyperlink w:anchor="page28">
        <w:r>
          <w:rPr>
            <w:rFonts w:ascii="Times New Roman" w:cs="Times New Roman" w:eastAsia="Times New Roman" w:hAnsi="Times New Roman"/>
            <w:sz w:val="18"/>
            <w:szCs w:val="18"/>
            <w:u w:val="single" w:color="auto"/>
            <w:color w:val="0000EE"/>
          </w:rPr>
          <w:t>adopted pursuant to Section 302 of the Sarbanes-Oxley Act of 2002.</w:t>
        </w:r>
      </w:hyperlink>
    </w:p>
    <w:p>
      <w:pPr>
        <w:spacing w:after="0" w:line="162" w:lineRule="exact"/>
        <w:rPr>
          <w:sz w:val="20"/>
          <w:szCs w:val="20"/>
          <w:color w:val="auto"/>
        </w:rPr>
      </w:pPr>
    </w:p>
    <w:p>
      <w:pPr>
        <w:jc w:val="both"/>
        <w:ind w:left="1360" w:hanging="701"/>
        <w:spacing w:after="0" w:line="282" w:lineRule="auto"/>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32 -</w:t>
      </w:r>
      <w:r>
        <w:rPr>
          <w:sz w:val="20"/>
          <w:szCs w:val="20"/>
          <w:color w:val="auto"/>
        </w:rPr>
        <w:tab/>
      </w:r>
      <w:hyperlink w:anchor="page29">
        <w:r>
          <w:rPr>
            <w:rFonts w:ascii="Times New Roman" w:cs="Times New Roman" w:eastAsia="Times New Roman" w:hAnsi="Times New Roman"/>
            <w:sz w:val="18"/>
            <w:szCs w:val="18"/>
            <w:u w:val="single" w:color="auto"/>
            <w:color w:val="0000EE"/>
          </w:rPr>
          <w:t>Certifications by the Chief Executive Officer and Chief Financial Officer pursuant to 18 U.S.C. Section 1350, as adopted pursuant to</w:t>
        </w:r>
      </w:hyperlink>
      <w:r>
        <w:rPr>
          <w:rFonts w:ascii="Times New Roman" w:cs="Times New Roman" w:eastAsia="Times New Roman" w:hAnsi="Times New Roman"/>
          <w:sz w:val="18"/>
          <w:szCs w:val="18"/>
          <w:u w:val="single" w:color="auto"/>
          <w:color w:val="0000EE"/>
        </w:rPr>
        <w:t xml:space="preserve"> </w:t>
      </w:r>
      <w:hyperlink w:anchor="page29">
        <w:r>
          <w:rPr>
            <w:rFonts w:ascii="Times New Roman" w:cs="Times New Roman" w:eastAsia="Times New Roman" w:hAnsi="Times New Roman"/>
            <w:sz w:val="18"/>
            <w:szCs w:val="18"/>
            <w:u w:val="single" w:color="auto"/>
            <w:color w:val="0000EE"/>
          </w:rPr>
          <w:t>Section 906 of the Sarbanes-Oxley Act of 2002.</w:t>
        </w:r>
      </w:hyperlink>
    </w:p>
    <w:p>
      <w:pPr>
        <w:spacing w:after="0" w:line="162" w:lineRule="exact"/>
        <w:rPr>
          <w:sz w:val="20"/>
          <w:szCs w:val="20"/>
          <w:color w:val="auto"/>
        </w:rPr>
      </w:pPr>
    </w:p>
    <w:p>
      <w:pPr>
        <w:jc w:val="both"/>
        <w:ind w:left="1360" w:hanging="701"/>
        <w:spacing w:after="0" w:line="258" w:lineRule="auto"/>
        <w:tabs>
          <w:tab w:leader="none" w:pos="13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Frequency Electronics, Inc. Quarterly Report on Form 10-Q for the quarter ended July 31, 2020 formatted in eXtensible Business Reporting Language (XBRL): (i) Condensed Consolidated Balance Sheets, (ii) Condensed Consolidated Statements of Operations and Comprehensive Loss, (iii) Condensed Consolidated Statements of Cash Flows, (iv) Condensed Consolidated Statements of Changes in Stockholders’ Equity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tcPr>
          <w:p>
            <w:pPr>
              <w:spacing w:after="0"/>
              <w:rPr>
                <w:sz w:val="19"/>
                <w:szCs w:val="19"/>
                <w:color w:val="auto"/>
              </w:rPr>
            </w:pPr>
          </w:p>
        </w:tc>
        <w:tc>
          <w:tcPr>
            <w:tcW w:w="6320" w:type="dxa"/>
            <w:vAlign w:val="bottom"/>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tc>
      </w:tr>
      <w:tr>
        <w:trPr>
          <w:trHeight w:val="234"/>
        </w:trPr>
        <w:tc>
          <w:tcPr>
            <w:tcW w:w="3320" w:type="dxa"/>
            <w:vAlign w:val="bottom"/>
          </w:tcPr>
          <w:p>
            <w:pPr>
              <w:spacing w:after="0"/>
              <w:rPr>
                <w:sz w:val="20"/>
                <w:szCs w:val="20"/>
                <w:color w:val="auto"/>
              </w:rPr>
            </w:pPr>
          </w:p>
        </w:tc>
        <w:tc>
          <w:tcPr>
            <w:tcW w:w="632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(Registrant)</w:t>
            </w:r>
          </w:p>
        </w:tc>
      </w:tr>
      <w:tr>
        <w:trPr>
          <w:trHeight w:val="39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14, 2020</w:t>
            </w:r>
          </w:p>
        </w:tc>
        <w:tc>
          <w:tcPr>
            <w:tcW w:w="632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By:  /s/  Steven L. Bernstein</w:t>
            </w:r>
          </w:p>
        </w:tc>
      </w:tr>
      <w:tr>
        <w:trPr>
          <w:trHeight w:val="20"/>
        </w:trPr>
        <w:tc>
          <w:tcPr>
            <w:tcW w:w="3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8"/>
        </w:trPr>
        <w:tc>
          <w:tcPr>
            <w:tcW w:w="3320" w:type="dxa"/>
            <w:vAlign w:val="bottom"/>
          </w:tcPr>
          <w:p>
            <w:pPr>
              <w:spacing w:after="0"/>
              <w:rPr>
                <w:sz w:val="18"/>
                <w:szCs w:val="18"/>
                <w:color w:val="auto"/>
              </w:rPr>
            </w:pPr>
          </w:p>
        </w:tc>
        <w:tc>
          <w:tcPr>
            <w:tcW w:w="632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Steven L. Bernstein</w:t>
            </w:r>
          </w:p>
        </w:tc>
      </w:tr>
      <w:tr>
        <w:trPr>
          <w:trHeight w:val="216"/>
        </w:trPr>
        <w:tc>
          <w:tcPr>
            <w:tcW w:w="3320" w:type="dxa"/>
            <w:vAlign w:val="bottom"/>
          </w:tcPr>
          <w:p>
            <w:pPr>
              <w:spacing w:after="0"/>
              <w:rPr>
                <w:sz w:val="18"/>
                <w:szCs w:val="18"/>
                <w:color w:val="auto"/>
              </w:rPr>
            </w:pPr>
          </w:p>
        </w:tc>
        <w:tc>
          <w:tcPr>
            <w:tcW w:w="632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r>
        <w:trPr>
          <w:trHeight w:val="234"/>
        </w:trPr>
        <w:tc>
          <w:tcPr>
            <w:tcW w:w="3320" w:type="dxa"/>
            <w:vAlign w:val="bottom"/>
          </w:tcPr>
          <w:p>
            <w:pPr>
              <w:spacing w:after="0"/>
              <w:rPr>
                <w:sz w:val="20"/>
                <w:szCs w:val="20"/>
                <w:color w:val="auto"/>
              </w:rPr>
            </w:pPr>
          </w:p>
        </w:tc>
        <w:tc>
          <w:tcPr>
            <w:tcW w:w="632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w w:val="99"/>
              </w:rPr>
              <w:t>Signing on behalf of the registrant and as principal financial officer</w:t>
            </w:r>
          </w:p>
        </w:tc>
      </w:tr>
      <w:tr>
        <w:trPr>
          <w:trHeight w:val="864"/>
        </w:trPr>
        <w:tc>
          <w:tcPr>
            <w:tcW w:w="3320" w:type="dxa"/>
            <w:vAlign w:val="bottom"/>
          </w:tcPr>
          <w:p>
            <w:pPr>
              <w:spacing w:after="0"/>
              <w:rPr>
                <w:sz w:val="24"/>
                <w:szCs w:val="24"/>
                <w:color w:val="auto"/>
              </w:rPr>
            </w:pPr>
          </w:p>
        </w:tc>
        <w:tc>
          <w:tcPr>
            <w:tcW w:w="50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3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Stanton Sloane</w:t>
            </w:r>
          </w:p>
        </w:tc>
        <w:tc>
          <w:tcPr>
            <w:tcW w:w="1800" w:type="dxa"/>
            <w:vAlign w:val="bottom"/>
          </w:tcPr>
          <w:p>
            <w:pPr>
              <w:spacing w:after="0"/>
              <w:rPr>
                <w:sz w:val="18"/>
                <w:szCs w:val="18"/>
                <w:color w:val="auto"/>
              </w:rPr>
            </w:pPr>
          </w:p>
        </w:tc>
        <w:tc>
          <w:tcPr>
            <w:tcW w:w="288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8"/>
              </w:rPr>
              <w:t>September 14, 2020</w:t>
            </w:r>
          </w:p>
        </w:tc>
      </w:tr>
      <w:tr>
        <w:trPr>
          <w:trHeight w:val="218"/>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Stanton Sloane</w:t>
            </w:r>
          </w:p>
        </w:tc>
        <w:tc>
          <w:tcPr>
            <w:tcW w:w="2880" w:type="dxa"/>
            <w:vAlign w:val="bottom"/>
          </w:tcPr>
          <w:p>
            <w:pPr>
              <w:spacing w:after="0"/>
              <w:rPr>
                <w:sz w:val="18"/>
                <w:szCs w:val="18"/>
                <w:color w:val="auto"/>
              </w:rPr>
            </w:pPr>
          </w:p>
        </w:tc>
      </w:tr>
      <w:tr>
        <w:trPr>
          <w:trHeight w:val="23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880" w:type="dxa"/>
            <w:vAlign w:val="bottom"/>
          </w:tcPr>
          <w:p>
            <w:pPr>
              <w:spacing w:after="0"/>
              <w:rPr>
                <w:sz w:val="20"/>
                <w:szCs w:val="20"/>
                <w:color w:val="auto"/>
              </w:rPr>
            </w:pPr>
          </w:p>
        </w:tc>
      </w:tr>
    </w:tbl>
    <w:p>
      <w:pPr>
        <w:sectPr>
          <w:pgSz w:w="11900" w:h="16838" w:orient="portrait"/>
          <w:cols w:equalWidth="0" w:num="1">
            <w:col w:w="11240"/>
          </w:cols>
          <w:pgMar w:left="320" w:top="33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Steven L. Bernstein</w:t>
            </w:r>
          </w:p>
        </w:tc>
        <w:tc>
          <w:tcPr>
            <w:tcW w:w="2020" w:type="dxa"/>
            <w:vAlign w:val="bottom"/>
          </w:tcPr>
          <w:p>
            <w:pPr>
              <w:spacing w:after="0"/>
              <w:rPr>
                <w:sz w:val="18"/>
                <w:szCs w:val="18"/>
                <w:color w:val="auto"/>
              </w:rPr>
            </w:pPr>
          </w:p>
        </w:tc>
        <w:tc>
          <w:tcPr>
            <w:tcW w:w="244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8"/>
              </w:rPr>
              <w:t>September 14, 2020</w:t>
            </w:r>
          </w:p>
        </w:tc>
      </w:tr>
      <w:tr>
        <w:trPr>
          <w:trHeight w:val="21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440" w:type="dxa"/>
            <w:vAlign w:val="bottom"/>
          </w:tcPr>
          <w:p>
            <w:pPr>
              <w:spacing w:after="0"/>
              <w:rPr>
                <w:sz w:val="18"/>
                <w:szCs w:val="18"/>
                <w:color w:val="auto"/>
              </w:rPr>
            </w:pPr>
          </w:p>
        </w:tc>
      </w:tr>
      <w:tr>
        <w:trPr>
          <w:trHeight w:val="23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44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July 31, 2020 as filed with the Securities and Exchange Commission on the date hereof (the “Report”), I, Stanton Sloane,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  Stanton Sloane</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14, 2020</w:t>
            </w:r>
          </w:p>
        </w:tc>
        <w:tc>
          <w:tcPr>
            <w:tcW w:w="0" w:type="dxa"/>
            <w:vAlign w:val="bottom"/>
          </w:tcPr>
          <w:p>
            <w:pPr>
              <w:spacing w:after="0"/>
              <w:rPr>
                <w:sz w:val="1"/>
                <w:szCs w:val="1"/>
                <w:color w:val="auto"/>
              </w:rPr>
            </w:pPr>
          </w:p>
        </w:tc>
      </w:tr>
      <w:tr>
        <w:trPr>
          <w:trHeight w:val="218"/>
        </w:trPr>
        <w:tc>
          <w:tcPr>
            <w:tcW w:w="37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Stanton Sloane</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Certification of CFO</w:t>
            </w:r>
          </w:p>
        </w:tc>
        <w:tc>
          <w:tcPr>
            <w:tcW w:w="400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3780" w:type="dxa"/>
            <w:vAlign w:val="bottom"/>
            <w:gridSpan w:val="3"/>
            <w:vMerge w:val="continue"/>
          </w:tcPr>
          <w:p>
            <w:pPr>
              <w:spacing w:after="0"/>
              <w:rPr>
                <w:sz w:val="15"/>
                <w:szCs w:val="15"/>
                <w:color w:val="auto"/>
              </w:rPr>
            </w:pP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July 31, 2020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Steven L. Bernstein</w:t>
            </w:r>
          </w:p>
        </w:tc>
        <w:tc>
          <w:tcPr>
            <w:tcW w:w="1620" w:type="dxa"/>
            <w:vAlign w:val="bottom"/>
          </w:tcPr>
          <w:p>
            <w:pPr>
              <w:spacing w:after="0"/>
              <w:rPr>
                <w:sz w:val="18"/>
                <w:szCs w:val="18"/>
                <w:color w:val="auto"/>
              </w:rPr>
            </w:pPr>
          </w:p>
        </w:tc>
        <w:tc>
          <w:tcPr>
            <w:tcW w:w="25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8"/>
              </w:rPr>
              <w:t>September 14, 2020</w:t>
            </w:r>
          </w:p>
        </w:tc>
      </w:tr>
      <w:tr>
        <w:trPr>
          <w:trHeight w:val="218"/>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520" w:type="dxa"/>
            <w:vAlign w:val="bottom"/>
          </w:tcPr>
          <w:p>
            <w:pPr>
              <w:spacing w:after="0"/>
              <w:rPr>
                <w:sz w:val="18"/>
                <w:szCs w:val="18"/>
                <w:color w:val="auto"/>
              </w:rPr>
            </w:pP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52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30"/>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2020-09-14T15:35:08Z</dcterms:created>
  <dcterms:modified xsi:type="dcterms:W3CDTF">2020-09-14T15:35:08Z</dcterms:modified>
</cp:coreProperties>
</file>