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245745</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83" w:lineRule="exact"/>
        <w:rPr>
          <w:sz w:val="24"/>
          <w:szCs w:val="24"/>
          <w:color w:val="auto"/>
        </w:rPr>
      </w:pPr>
    </w:p>
    <w:p>
      <w:pPr>
        <w:ind w:left="3940" w:right="1980" w:hanging="3287"/>
        <w:spacing w:after="0" w:line="530" w:lineRule="auto"/>
        <w:rPr>
          <w:sz w:val="20"/>
          <w:szCs w:val="20"/>
          <w:color w:val="auto"/>
        </w:rPr>
      </w:pPr>
      <w:r>
        <w:rPr>
          <w:rFonts w:ascii="Arial" w:cs="Arial" w:eastAsia="Arial" w:hAnsi="Arial"/>
          <w:sz w:val="18"/>
          <w:szCs w:val="18"/>
          <w:color w:val="auto"/>
        </w:rPr>
        <w:t>x QUARTERLY REPORT PURSUANT TO SECTION 13 or 15 (d) OF THE SECURITIES EXCHANGE ACT OF 1934 For the Quarterly Period ended October 31, 2014</w:t>
      </w:r>
    </w:p>
    <w:p>
      <w:pPr>
        <w:ind w:left="5580"/>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TRANSITION REPORT PURSUANT TO SECTION 13 or 15 (d) OF THE SECURITIES EXCHANGE ACT OF 1934</w:t>
      </w:r>
    </w:p>
    <w:p>
      <w:pPr>
        <w:spacing w:after="0" w:line="25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1-8061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40" w:type="dxa"/>
            <w:vAlign w:val="bottom"/>
            <w:gridSpan w:val="3"/>
          </w:tcPr>
          <w:p>
            <w:pPr>
              <w:jc w:val="center"/>
              <w:ind w:right="3320"/>
              <w:spacing w:after="0"/>
              <w:rPr>
                <w:sz w:val="20"/>
                <w:szCs w:val="20"/>
                <w:color w:val="auto"/>
              </w:rPr>
            </w:pPr>
            <w:r>
              <w:rPr>
                <w:rFonts w:ascii="Arial" w:cs="Arial" w:eastAsia="Arial" w:hAnsi="Arial"/>
                <w:sz w:val="18"/>
                <w:szCs w:val="18"/>
                <w:b w:val="1"/>
                <w:bCs w:val="1"/>
                <w:color w:val="auto"/>
                <w:w w:val="91"/>
              </w:rPr>
              <w:t>Delaware</w:t>
            </w:r>
          </w:p>
        </w:tc>
        <w:tc>
          <w:tcPr>
            <w:tcW w:w="39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180" w:type="dxa"/>
            <w:vAlign w:val="bottom"/>
          </w:tcPr>
          <w:p>
            <w:pPr>
              <w:spacing w:after="0"/>
              <w:rPr>
                <w:sz w:val="19"/>
                <w:szCs w:val="19"/>
                <w:color w:val="auto"/>
              </w:rPr>
            </w:pPr>
          </w:p>
        </w:tc>
        <w:tc>
          <w:tcPr>
            <w:tcW w:w="6080" w:type="dxa"/>
            <w:vAlign w:val="bottom"/>
            <w:gridSpan w:val="4"/>
          </w:tcPr>
          <w:p>
            <w:pPr>
              <w:jc w:val="center"/>
              <w:ind w:right="1320"/>
              <w:spacing w:after="0"/>
              <w:rPr>
                <w:sz w:val="20"/>
                <w:szCs w:val="20"/>
                <w:color w:val="auto"/>
              </w:rPr>
            </w:pPr>
            <w:r>
              <w:rPr>
                <w:rFonts w:ascii="Arial" w:cs="Arial" w:eastAsia="Arial" w:hAnsi="Arial"/>
                <w:sz w:val="18"/>
                <w:szCs w:val="18"/>
                <w:color w:val="auto"/>
                <w:w w:val="92"/>
              </w:rPr>
              <w:t>(State or other jurisdiction of</w:t>
            </w:r>
          </w:p>
        </w:tc>
        <w:tc>
          <w:tcPr>
            <w:tcW w:w="3900" w:type="dxa"/>
            <w:vAlign w:val="bottom"/>
            <w:gridSpan w:val="5"/>
          </w:tcPr>
          <w:p>
            <w:pPr>
              <w:jc w:val="center"/>
              <w:ind w:left="11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180" w:type="dxa"/>
            <w:vAlign w:val="bottom"/>
          </w:tcPr>
          <w:p>
            <w:pPr>
              <w:spacing w:after="0"/>
              <w:rPr>
                <w:sz w:val="20"/>
                <w:szCs w:val="20"/>
                <w:color w:val="auto"/>
              </w:rPr>
            </w:pPr>
          </w:p>
        </w:tc>
        <w:tc>
          <w:tcPr>
            <w:tcW w:w="608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incorporation or organization)</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18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1280" w:type="dxa"/>
            <w:vAlign w:val="bottom"/>
          </w:tcPr>
          <w:p>
            <w:pPr>
              <w:spacing w:after="0"/>
              <w:rPr>
                <w:sz w:val="24"/>
                <w:szCs w:val="24"/>
                <w:color w:val="auto"/>
              </w:rPr>
            </w:pPr>
          </w:p>
        </w:tc>
        <w:tc>
          <w:tcPr>
            <w:tcW w:w="30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80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(Address of principal executive offices)</w:t>
            </w:r>
          </w:p>
        </w:tc>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459"/>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97"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4">
            <w:col w:w="2160" w:space="720"/>
            <w:col w:w="1560" w:space="720"/>
            <w:col w:w="3300" w:space="120"/>
            <w:col w:w="2840"/>
          </w:cols>
          <w:pgMar w:left="240" w:top="297"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7"/>
          <w:szCs w:val="17"/>
          <w:color w:val="auto"/>
        </w:rPr>
        <w:t>Yes o No x</w:t>
      </w:r>
    </w:p>
    <w:p>
      <w:pPr>
        <w:spacing w:after="0" w:line="200" w:lineRule="exact"/>
        <w:rPr>
          <w:sz w:val="24"/>
          <w:szCs w:val="24"/>
          <w:color w:val="auto"/>
        </w:rPr>
      </w:pPr>
    </w:p>
    <w:p>
      <w:pPr>
        <w:sectPr>
          <w:pgSz w:w="11900" w:h="16838" w:orient="portrait"/>
          <w:cols w:equalWidth="0" w:num="2">
            <w:col w:w="8180" w:space="140"/>
            <w:col w:w="3100"/>
          </w:cols>
          <w:pgMar w:left="240" w:top="297" w:right="239" w:bottom="1440" w:gutter="0" w:footer="0" w:header="0"/>
          <w:type w:val="continuous"/>
        </w:sectPr>
      </w:pP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Registrant's Common Stock, par value $1.00 as of December 8, 2014 – 8,605,666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140" w:type="dxa"/>
            <w:vAlign w:val="bottom"/>
            <w:gridSpan w:val="1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53"/>
        </w:trPr>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20" w:type="dxa"/>
            <w:vAlign w:val="bottom"/>
            <w:gridSpan w:val="8"/>
          </w:tcPr>
          <w:p>
            <w:pPr>
              <w:jc w:val="center"/>
              <w:ind w:right="208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9"/>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20" w:type="dxa"/>
            <w:vAlign w:val="bottom"/>
            <w:gridSpan w:val="8"/>
          </w:tcPr>
          <w:p>
            <w:pPr>
              <w:jc w:val="center"/>
              <w:ind w:right="2080"/>
              <w:spacing w:after="0"/>
              <w:rPr>
                <w:sz w:val="20"/>
                <w:szCs w:val="20"/>
                <w:color w:val="auto"/>
              </w:rPr>
            </w:pPr>
            <w:r>
              <w:rPr>
                <w:rFonts w:ascii="Arial" w:cs="Arial" w:eastAsia="Arial" w:hAnsi="Arial"/>
                <w:sz w:val="18"/>
                <w:szCs w:val="18"/>
                <w:b w:val="1"/>
                <w:bCs w:val="1"/>
                <w:color w:val="auto"/>
                <w:w w:val="99"/>
              </w:rPr>
              <w:t>TABLE OF CONTENTS</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41"/>
        </w:trPr>
        <w:tc>
          <w:tcPr>
            <w:tcW w:w="10140" w:type="dxa"/>
            <w:vAlign w:val="bottom"/>
            <w:gridSpan w:val="16"/>
          </w:tcPr>
          <w:p>
            <w:pPr>
              <w:spacing w:after="0"/>
              <w:rPr>
                <w:sz w:val="20"/>
                <w:szCs w:val="20"/>
                <w:color w:val="auto"/>
              </w:rPr>
            </w:pPr>
            <w:r>
              <w:rPr>
                <w:rFonts w:ascii="Arial" w:cs="Arial" w:eastAsia="Arial" w:hAnsi="Arial"/>
                <w:sz w:val="18"/>
                <w:szCs w:val="18"/>
                <w:b w:val="1"/>
                <w:bCs w:val="1"/>
                <w:color w:val="auto"/>
              </w:rPr>
              <w:t>Part I. Financial Information:</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640" w:type="dxa"/>
            <w:vAlign w:val="bottom"/>
          </w:tcPr>
          <w:p>
            <w:pPr>
              <w:spacing w:after="0"/>
              <w:rPr>
                <w:sz w:val="24"/>
                <w:szCs w:val="24"/>
                <w:color w:val="auto"/>
              </w:rPr>
            </w:pPr>
          </w:p>
        </w:tc>
      </w:tr>
      <w:tr>
        <w:trPr>
          <w:trHeight w:val="241"/>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64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October 31, 2014 (unaudited) and April 30, 2014</w:t>
              </w:r>
            </w:hyperlink>
          </w:p>
        </w:tc>
        <w:tc>
          <w:tcPr>
            <w:tcW w:w="2860" w:type="dxa"/>
            <w:vAlign w:val="bottom"/>
            <w:gridSpan w:val="5"/>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6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80" w:type="dxa"/>
            <w:vAlign w:val="bottom"/>
            <w:gridSpan w:val="14"/>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Income and Comprehensive Income (unaudited) Six Months Ended October 31,</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640" w:type="dxa"/>
            <w:vAlign w:val="bottom"/>
          </w:tcPr>
          <w:p>
            <w:pPr>
              <w:spacing w:after="0"/>
              <w:rPr>
                <w:sz w:val="24"/>
                <w:szCs w:val="24"/>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2014 and 2013</w:t>
              </w:r>
            </w:hyperlink>
          </w:p>
        </w:tc>
        <w:tc>
          <w:tcPr>
            <w:tcW w:w="906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80" w:type="dxa"/>
            <w:vAlign w:val="bottom"/>
            <w:gridSpan w:val="14"/>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Income and Comprehensive Income (unaudited) Three Months Ended October 31,</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640" w:type="dxa"/>
            <w:vAlign w:val="bottom"/>
          </w:tcPr>
          <w:p>
            <w:pPr>
              <w:spacing w:after="0"/>
              <w:rPr>
                <w:sz w:val="24"/>
                <w:szCs w:val="24"/>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2014 and 2013</w:t>
              </w:r>
            </w:hyperlink>
          </w:p>
        </w:tc>
        <w:tc>
          <w:tcPr>
            <w:tcW w:w="906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8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Six Months Ended October 31, 2014 and 2013</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6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80" w:type="dxa"/>
            <w:vAlign w:val="bottom"/>
            <w:tcBorders>
              <w:top w:val="single" w:sz="8" w:color="0000EE"/>
            </w:tcBorders>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500" w:type="dxa"/>
            <w:vAlign w:val="bottom"/>
            <w:gridSpan w:val="3"/>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4"/>
              </w:rPr>
              <w:t>7-12</w:t>
            </w:r>
          </w:p>
        </w:tc>
        <w:tc>
          <w:tcPr>
            <w:tcW w:w="6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 Management's Discussion and Analysis of Financial Condition and Results of Operations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13-19</w:t>
            </w:r>
          </w:p>
        </w:tc>
        <w:tc>
          <w:tcPr>
            <w:tcW w:w="6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7040" w:type="dxa"/>
            <w:vAlign w:val="bottom"/>
            <w:tcBorders>
              <w:top w:val="single" w:sz="8" w:color="0000EE"/>
            </w:tcBorders>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3 - Quantitative and Qualitative Disclosures About Market Risk</w:t>
              </w:r>
            </w:hyperlink>
          </w:p>
        </w:tc>
        <w:tc>
          <w:tcPr>
            <w:tcW w:w="2760" w:type="dxa"/>
            <w:vAlign w:val="bottom"/>
            <w:gridSpan w:val="4"/>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6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4 - Controls and Procedures</w:t>
              </w:r>
            </w:hyperlink>
          </w:p>
        </w:tc>
        <w:tc>
          <w:tcPr>
            <w:tcW w:w="2580" w:type="dxa"/>
            <w:vAlign w:val="bottom"/>
            <w:tcBorders>
              <w:top w:val="single" w:sz="8" w:color="0000EE"/>
            </w:tcBorders>
          </w:tcPr>
          <w:p>
            <w:pPr>
              <w:spacing w:after="0"/>
              <w:rPr>
                <w:sz w:val="24"/>
                <w:szCs w:val="24"/>
                <w:color w:val="auto"/>
              </w:rPr>
            </w:pPr>
          </w:p>
        </w:tc>
        <w:tc>
          <w:tcPr>
            <w:tcW w:w="4840" w:type="dxa"/>
            <w:vAlign w:val="bottom"/>
            <w:gridSpan w:val="7"/>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640" w:type="dxa"/>
            <w:vAlign w:val="bottom"/>
          </w:tcPr>
          <w:p>
            <w:pPr>
              <w:spacing w:after="0"/>
              <w:rPr>
                <w:sz w:val="24"/>
                <w:szCs w:val="24"/>
                <w:color w:val="auto"/>
              </w:rPr>
            </w:pPr>
          </w:p>
        </w:tc>
      </w:tr>
      <w:tr>
        <w:trPr>
          <w:trHeight w:val="669"/>
        </w:trPr>
        <w:tc>
          <w:tcPr>
            <w:tcW w:w="10140" w:type="dxa"/>
            <w:vAlign w:val="bottom"/>
            <w:gridSpan w:val="16"/>
          </w:tcPr>
          <w:p>
            <w:pPr>
              <w:spacing w:after="0"/>
              <w:rPr>
                <w:sz w:val="20"/>
                <w:szCs w:val="20"/>
                <w:color w:val="auto"/>
              </w:rPr>
            </w:pPr>
            <w:r>
              <w:rPr>
                <w:rFonts w:ascii="Arial" w:cs="Arial" w:eastAsia="Arial" w:hAnsi="Arial"/>
                <w:sz w:val="18"/>
                <w:szCs w:val="18"/>
                <w:b w:val="1"/>
                <w:bCs w:val="1"/>
                <w:color w:val="auto"/>
              </w:rPr>
              <w:t>Part II. Other Information:</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6 - Exhibits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6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60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14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640" w:type="dxa"/>
            <w:vAlign w:val="bottom"/>
          </w:tcPr>
          <w:p>
            <w:pPr>
              <w:spacing w:after="0"/>
              <w:rPr>
                <w:sz w:val="24"/>
                <w:szCs w:val="24"/>
                <w:color w:val="auto"/>
              </w:rPr>
            </w:pPr>
          </w:p>
        </w:tc>
      </w:tr>
      <w:tr>
        <w:trPr>
          <w:trHeight w:val="868"/>
        </w:trPr>
        <w:tc>
          <w:tcPr>
            <w:tcW w:w="34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83185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October 31,</w:t>
            </w: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340" w:type="dxa"/>
            <w:vAlign w:val="bottom"/>
            <w:vMerge w:val="restart"/>
          </w:tcPr>
          <w:p>
            <w:pPr>
              <w:ind w:left="342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4"/>
                <w:szCs w:val="24"/>
                <w:color w:val="auto"/>
              </w:rPr>
            </w:pPr>
          </w:p>
        </w:tc>
        <w:tc>
          <w:tcPr>
            <w:tcW w:w="2980" w:type="dxa"/>
            <w:vAlign w:val="bottom"/>
            <w:gridSpan w:val="5"/>
          </w:tcPr>
          <w:p>
            <w:pPr>
              <w:jc w:val="right"/>
              <w:ind w:right="460"/>
              <w:spacing w:after="0"/>
              <w:rPr>
                <w:sz w:val="20"/>
                <w:szCs w:val="20"/>
                <w:color w:val="auto"/>
              </w:rPr>
            </w:pPr>
            <w:r>
              <w:rPr>
                <w:rFonts w:ascii="Arial" w:cs="Arial" w:eastAsia="Arial" w:hAnsi="Arial"/>
                <w:sz w:val="18"/>
                <w:szCs w:val="18"/>
                <w:color w:val="auto"/>
                <w:w w:val="99"/>
              </w:rPr>
              <w:t>(In thousands except par value)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13,830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 of $216 at October 31, 2014 and $234 at</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30, 2014</w:t>
            </w:r>
          </w:p>
        </w:tc>
        <w:tc>
          <w:tcPr>
            <w:tcW w:w="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12,861</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41,265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90,151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124,041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119,461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8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 trade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Long term debt- noncurrent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rent and other liabilities</w:t>
            </w: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33,140</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Preferred stock - $1.00 par value</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 $1.00 par value, issued 9,164 shares</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53,865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89,739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87,047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Common stock reacquired and held in treasury - at cost (561 shares at October 31, 2014 and 593 shares</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April 30, 2014)</w:t>
            </w:r>
          </w:p>
        </w:tc>
        <w:tc>
          <w:tcPr>
            <w:tcW w:w="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124,041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119,461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Condensed Consolidated Statements of Income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83185</wp:posOffset>
            </wp:positionV>
            <wp:extent cx="13804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Six Months Ended October 31,</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Condensed Consolidated Statements of Income</w:t>
            </w:r>
          </w:p>
        </w:tc>
        <w:tc>
          <w:tcPr>
            <w:tcW w:w="400" w:type="dxa"/>
            <w:vAlign w:val="bottom"/>
          </w:tcPr>
          <w:p>
            <w:pPr>
              <w:spacing w:after="0"/>
              <w:rPr>
                <w:sz w:val="20"/>
                <w:szCs w:val="20"/>
                <w:color w:val="auto"/>
              </w:rPr>
            </w:pPr>
          </w:p>
        </w:tc>
        <w:tc>
          <w:tcPr>
            <w:tcW w:w="3060" w:type="dxa"/>
            <w:vAlign w:val="bottom"/>
            <w:gridSpan w:val="6"/>
          </w:tcPr>
          <w:p>
            <w:pPr>
              <w:jc w:val="right"/>
              <w:ind w:right="280"/>
              <w:spacing w:after="0"/>
              <w:rPr>
                <w:sz w:val="20"/>
                <w:szCs w:val="20"/>
                <w:color w:val="auto"/>
              </w:rPr>
            </w:pPr>
            <w:r>
              <w:rPr>
                <w:rFonts w:ascii="Arial" w:cs="Arial" w:eastAsia="Arial" w:hAnsi="Arial"/>
                <w:sz w:val="18"/>
                <w:szCs w:val="18"/>
                <w:color w:val="auto"/>
                <w:w w:val="93"/>
              </w:rPr>
              <w:t>(In thousands except per share data)</w:t>
            </w:r>
          </w:p>
        </w:tc>
        <w:tc>
          <w:tcPr>
            <w:tcW w:w="0" w:type="dxa"/>
            <w:vAlign w:val="bottom"/>
          </w:tcPr>
          <w:p>
            <w:pPr>
              <w:spacing w:after="0"/>
              <w:rPr>
                <w:sz w:val="1"/>
                <w:szCs w:val="1"/>
                <w:color w:val="auto"/>
              </w:rPr>
            </w:pPr>
          </w:p>
        </w:tc>
      </w:tr>
      <w:tr>
        <w:trPr>
          <w:trHeight w:val="161"/>
        </w:trPr>
        <w:tc>
          <w:tcPr>
            <w:tcW w:w="796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600" w:type="dxa"/>
            <w:vAlign w:val="bottom"/>
            <w:tcBorders>
              <w:top w:val="single" w:sz="8" w:color="auto"/>
            </w:tcBorders>
          </w:tcPr>
          <w:p>
            <w:pPr>
              <w:spacing w:after="0"/>
              <w:rPr>
                <w:sz w:val="4"/>
                <w:szCs w:val="4"/>
                <w:color w:val="auto"/>
              </w:rPr>
            </w:pPr>
          </w:p>
        </w:tc>
        <w:tc>
          <w:tcPr>
            <w:tcW w:w="12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38,983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26,644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12,339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Selling and administrative expenses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6,970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3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4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32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Net income per common share</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3"/>
          </w:tcPr>
          <w:p>
            <w:pPr>
              <w:ind w:left="320"/>
              <w:spacing w:after="0"/>
              <w:rPr>
                <w:sz w:val="20"/>
                <w:szCs w:val="20"/>
                <w:color w:val="auto"/>
              </w:rPr>
            </w:pPr>
            <w:r>
              <w:rPr>
                <w:rFonts w:ascii="Arial" w:cs="Arial" w:eastAsia="Arial" w:hAnsi="Arial"/>
                <w:sz w:val="18"/>
                <w:szCs w:val="18"/>
                <w:color w:val="auto"/>
              </w:rPr>
              <w:t>Diluted</w:t>
            </w:r>
          </w:p>
        </w:tc>
        <w:tc>
          <w:tcPr>
            <w:tcW w:w="12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3"/>
          </w:tcPr>
          <w:p>
            <w:pPr>
              <w:ind w:left="32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Condensed Consolidated Statements of Comprehensive Income</w:t>
            </w:r>
          </w:p>
        </w:tc>
        <w:tc>
          <w:tcPr>
            <w:tcW w:w="3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Unrealized gain (loss) on marketable securities:</w:t>
            </w:r>
          </w:p>
        </w:tc>
        <w:tc>
          <w:tcPr>
            <w:tcW w:w="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3"/>
          </w:tcPr>
          <w:p>
            <w:pPr>
              <w:ind w:left="320"/>
              <w:spacing w:after="0" w:line="201" w:lineRule="exact"/>
              <w:rPr>
                <w:sz w:val="20"/>
                <w:szCs w:val="20"/>
                <w:color w:val="auto"/>
              </w:rPr>
            </w:pPr>
            <w:r>
              <w:rPr>
                <w:rFonts w:ascii="Arial" w:cs="Arial" w:eastAsia="Arial" w:hAnsi="Arial"/>
                <w:sz w:val="18"/>
                <w:szCs w:val="18"/>
                <w:color w:val="auto"/>
                <w:w w:val="99"/>
              </w:rPr>
              <w:t>Change in market value of marketable securities before reclassification, net of tax of ($186) and</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ind w:left="340"/>
              <w:spacing w:after="0"/>
              <w:rPr>
                <w:sz w:val="20"/>
                <w:szCs w:val="20"/>
                <w:color w:val="auto"/>
              </w:rPr>
            </w:pPr>
            <w:r>
              <w:rPr>
                <w:rFonts w:ascii="Arial" w:cs="Arial" w:eastAsia="Arial" w:hAnsi="Arial"/>
                <w:sz w:val="18"/>
                <w:szCs w:val="18"/>
                <w:color w:val="auto"/>
              </w:rPr>
              <w:t>$255</w:t>
            </w:r>
          </w:p>
        </w:tc>
        <w:tc>
          <w:tcPr>
            <w:tcW w:w="12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Reclassification adjustment for realized gains included in net income, net of tax of $128 and $25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Total unrealized gain (loss) on marketable securities, net of tax</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320"/>
              <w:spacing w:after="0"/>
              <w:rPr>
                <w:sz w:val="20"/>
                <w:szCs w:val="20"/>
                <w:color w:val="auto"/>
              </w:rPr>
            </w:pPr>
            <w:r>
              <w:rPr>
                <w:rFonts w:ascii="Arial" w:cs="Arial" w:eastAsia="Arial" w:hAnsi="Arial"/>
                <w:sz w:val="18"/>
                <w:szCs w:val="18"/>
                <w:color w:val="auto"/>
              </w:rPr>
              <w:t>Total other comprehensive (loss) income</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Condensed Consolidated Statements of Income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83185</wp:posOffset>
            </wp:positionV>
            <wp:extent cx="1380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Three Months Ended October 31,</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Condensed Consolidated Statements of Income</w:t>
            </w:r>
          </w:p>
        </w:tc>
        <w:tc>
          <w:tcPr>
            <w:tcW w:w="440" w:type="dxa"/>
            <w:vAlign w:val="bottom"/>
          </w:tcPr>
          <w:p>
            <w:pPr>
              <w:spacing w:after="0"/>
              <w:rPr>
                <w:sz w:val="20"/>
                <w:szCs w:val="20"/>
                <w:color w:val="auto"/>
              </w:rPr>
            </w:pPr>
          </w:p>
        </w:tc>
        <w:tc>
          <w:tcPr>
            <w:tcW w:w="3060" w:type="dxa"/>
            <w:vAlign w:val="bottom"/>
            <w:gridSpan w:val="6"/>
          </w:tcPr>
          <w:p>
            <w:pPr>
              <w:jc w:val="right"/>
              <w:ind w:right="280"/>
              <w:spacing w:after="0"/>
              <w:rPr>
                <w:sz w:val="20"/>
                <w:szCs w:val="20"/>
                <w:color w:val="auto"/>
              </w:rPr>
            </w:pPr>
            <w:r>
              <w:rPr>
                <w:rFonts w:ascii="Arial" w:cs="Arial" w:eastAsia="Arial" w:hAnsi="Arial"/>
                <w:sz w:val="18"/>
                <w:szCs w:val="18"/>
                <w:color w:val="auto"/>
                <w:w w:val="93"/>
              </w:rPr>
              <w:t>(In thousands except per share data)</w:t>
            </w:r>
          </w:p>
        </w:tc>
        <w:tc>
          <w:tcPr>
            <w:tcW w:w="0" w:type="dxa"/>
            <w:vAlign w:val="bottom"/>
          </w:tcPr>
          <w:p>
            <w:pPr>
              <w:spacing w:after="0"/>
              <w:rPr>
                <w:sz w:val="1"/>
                <w:szCs w:val="1"/>
                <w:color w:val="auto"/>
              </w:rPr>
            </w:pPr>
          </w:p>
        </w:tc>
      </w:tr>
      <w:tr>
        <w:trPr>
          <w:trHeight w:val="161"/>
        </w:trPr>
        <w:tc>
          <w:tcPr>
            <w:tcW w:w="79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600" w:type="dxa"/>
            <w:vAlign w:val="bottom"/>
            <w:tcBorders>
              <w:top w:val="single" w:sz="8" w:color="auto"/>
            </w:tcBorders>
          </w:tcPr>
          <w:p>
            <w:pPr>
              <w:spacing w:after="0"/>
              <w:rPr>
                <w:sz w:val="4"/>
                <w:szCs w:val="4"/>
                <w:color w:val="auto"/>
              </w:rPr>
            </w:pPr>
          </w:p>
        </w:tc>
        <w:tc>
          <w:tcPr>
            <w:tcW w:w="12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19,243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4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12,569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Research and development expense</w:t>
            </w:r>
          </w:p>
        </w:tc>
        <w:tc>
          <w:tcPr>
            <w:tcW w:w="4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Operating profit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16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4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1,289</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8,598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Condensed Consolidated Statements of Comprehensive Income</w:t>
            </w:r>
          </w:p>
        </w:tc>
        <w:tc>
          <w:tcPr>
            <w:tcW w:w="30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1,289</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3"/>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(597)</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Unrealized gain (loss) on marketable securities:</w:t>
            </w:r>
          </w:p>
        </w:tc>
        <w:tc>
          <w:tcPr>
            <w:tcW w:w="4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w w:val="96"/>
              </w:rPr>
              <w:t>Change in market value of marketable securities before reclassification, net of tax of ($47) and $66</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Reclassification adjustment for realized gains included in net income, net of tax of $33 and $25</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3"/>
          </w:tcPr>
          <w:p>
            <w:pPr>
              <w:ind w:left="160"/>
              <w:spacing w:after="0"/>
              <w:rPr>
                <w:sz w:val="20"/>
                <w:szCs w:val="20"/>
                <w:color w:val="auto"/>
              </w:rPr>
            </w:pPr>
            <w:r>
              <w:rPr>
                <w:rFonts w:ascii="Arial" w:cs="Arial" w:eastAsia="Arial" w:hAnsi="Arial"/>
                <w:sz w:val="18"/>
                <w:szCs w:val="18"/>
                <w:color w:val="auto"/>
              </w:rPr>
              <w:t>Total unrealized gain (loss) on marketable securities, net of tax</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Total other comprehensive (loss) income</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83185</wp:posOffset>
            </wp:positionV>
            <wp:extent cx="13804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Six Months Ended October 31,</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w w:val="71"/>
              </w:rPr>
              <w:t>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4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84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Non-cash charges to earnings</w:t>
            </w: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2,333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 of equipment</w:t>
            </w: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Net changes in operating assets and liabilities</w:t>
            </w: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(6,847)</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4"/>
              </w:rPr>
              <w:t>(2,506)</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Proceeds on redemption of marketable securities</w:t>
            </w: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4,130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marketable securities</w:t>
            </w: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4"/>
              </w:rPr>
              <w:t>(1,418)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Purchase of fixed assets and other assets</w:t>
            </w: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(3,120)</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(408)</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Proceeds from credit line borrowings</w:t>
            </w: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of credit line borrowings</w:t>
            </w: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4"/>
              </w:rPr>
              <w:t>(1,000)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Tax benefit from exercise of stock-based compensation</w:t>
            </w: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of lease obligations</w:t>
            </w:r>
          </w:p>
        </w:tc>
        <w:tc>
          <w:tcPr>
            <w:tcW w:w="1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960" w:type="dxa"/>
            <w:vAlign w:val="bottom"/>
            <w:tcBorders>
              <w:top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220" w:type="dxa"/>
            <w:vAlign w:val="bottom"/>
            <w:tcBorders>
              <w:top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Net (decrease) increase in cash and cash equivalents</w:t>
            </w:r>
          </w:p>
        </w:tc>
        <w:tc>
          <w:tcPr>
            <w:tcW w:w="1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before effect of exchange rate changes</w:t>
            </w:r>
          </w:p>
        </w:tc>
        <w:tc>
          <w:tcPr>
            <w:tcW w:w="1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(1,585)</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35"/>
              <w:spacing w:after="0"/>
              <w:rPr>
                <w:sz w:val="20"/>
                <w:szCs w:val="20"/>
                <w:color w:val="auto"/>
              </w:rPr>
            </w:pPr>
            <w:r>
              <w:rPr>
                <w:rFonts w:ascii="Arial" w:cs="Arial" w:eastAsia="Arial" w:hAnsi="Arial"/>
                <w:sz w:val="18"/>
                <w:szCs w:val="18"/>
                <w:color w:val="auto"/>
              </w:rPr>
              <w:t>302</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(1,283)</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7,698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8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6,415</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 paid during the period for: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36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r>
      <w:tr>
        <w:trPr>
          <w:trHeight w:val="21"/>
        </w:trPr>
        <w:tc>
          <w:tcPr>
            <w:tcW w:w="8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2014 and the results of its operations and cash flows for the six and three months ended October 31, 2014 and 2013. The April 30, 2014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Annual Report on Form 10-K for the year ended April 30, 2014, filed on July 29, 2014. The results of operations for such interim periods are not necessarily indicative of the operating results for the full fiscal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98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w w:val="92"/>
              </w:rPr>
              <w:t>Six months</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gridSpan w:val="5"/>
          </w:tcPr>
          <w:p>
            <w:pPr>
              <w:jc w:val="right"/>
              <w:ind w:right="1180"/>
              <w:spacing w:after="0" w:line="198" w:lineRule="exact"/>
              <w:rPr>
                <w:sz w:val="20"/>
                <w:szCs w:val="20"/>
                <w:color w:val="auto"/>
              </w:rPr>
            </w:pPr>
            <w:r>
              <w:rPr>
                <w:rFonts w:ascii="Arial" w:cs="Arial" w:eastAsia="Arial" w:hAnsi="Arial"/>
                <w:sz w:val="18"/>
                <w:szCs w:val="18"/>
                <w:b w:val="1"/>
                <w:bCs w:val="1"/>
                <w:color w:val="auto"/>
                <w:w w:val="91"/>
              </w:rPr>
              <w:t>Periods ended October 31,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8,588,594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8,504,810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8,598,456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8,519,718</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271,230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275,578</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278,516</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302,061</w:t>
            </w:r>
          </w:p>
        </w:tc>
      </w:tr>
      <w:tr>
        <w:trPr>
          <w:trHeight w:val="27"/>
        </w:trPr>
        <w:tc>
          <w:tcPr>
            <w:tcW w:w="51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8,859,824</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8,780,388</w:t>
            </w: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8,876,972</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8,821,779</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98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w w:val="92"/>
              </w:rPr>
              <w:t>Six months</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gridSpan w:val="5"/>
          </w:tcPr>
          <w:p>
            <w:pPr>
              <w:jc w:val="right"/>
              <w:ind w:right="1180"/>
              <w:spacing w:after="0" w:line="198" w:lineRule="exact"/>
              <w:rPr>
                <w:sz w:val="20"/>
                <w:szCs w:val="20"/>
                <w:color w:val="auto"/>
              </w:rPr>
            </w:pPr>
            <w:r>
              <w:rPr>
                <w:rFonts w:ascii="Arial" w:cs="Arial" w:eastAsia="Arial" w:hAnsi="Arial"/>
                <w:sz w:val="18"/>
                <w:szCs w:val="18"/>
                <w:b w:val="1"/>
                <w:bCs w:val="1"/>
                <w:color w:val="auto"/>
                <w:w w:val="91"/>
              </w:rPr>
              <w:t>Periods ended October 31,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and SARS excluded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274,000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290,375</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240,000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272,375</w:t>
            </w: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October 31, 2014 and April 30, 2014, costs and estimated earnings in excess of billings, net, consist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October 31, 2014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April 30, 2014</w:t>
            </w:r>
          </w:p>
        </w:tc>
        <w:tc>
          <w:tcPr>
            <w:tcW w:w="12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jc w:val="right"/>
              <w:ind w:right="87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4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12,351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55"/>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(1,526)</w:t>
            </w:r>
          </w:p>
        </w:tc>
      </w:tr>
      <w:tr>
        <w:trPr>
          <w:trHeight w:val="27"/>
        </w:trPr>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10,439</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six and three months ended October 31, 2014, revenue recognized under percentage of completion contracts was approximately $24.4 million and $11.5 million, respectively. During the six and three months ended October 31, 2013, such revenue was approximately $19.5 million and $9.8 million,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25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During the six and three month periods ended October 31, 2014, the Company made contributions of 22,432 shares and 10,569 shares, respectively, of its common stock held in treasury to the Company’s profit sharing plan and trust under section 401(k) of the Internal Revenue Code. Such contributions are in accordance with the Company’s discretionary match of employee voluntary contributions to this plan. During the same periods, the Company issued 9,653 shares and 8,294 shares, respectively, from treasury upon the exercise of SARs by certain officers and employees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NOTE E – INVENTORIES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900" w:type="dxa"/>
            <w:vAlign w:val="bottom"/>
            <w:gridSpan w:val="2"/>
          </w:tcPr>
          <w:p>
            <w:pPr>
              <w:ind w:left="500"/>
              <w:spacing w:after="0"/>
              <w:rPr>
                <w:sz w:val="20"/>
                <w:szCs w:val="20"/>
                <w:color w:val="auto"/>
              </w:rPr>
            </w:pPr>
            <w:r>
              <w:rPr>
                <w:rFonts w:ascii="Arial" w:cs="Arial" w:eastAsia="Arial" w:hAnsi="Arial"/>
                <w:sz w:val="18"/>
                <w:szCs w:val="18"/>
                <w:color w:val="auto"/>
                <w:w w:val="93"/>
              </w:rPr>
              <w:t>Inventories, which are reported at the lower of cost or market, consist of the following:</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14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rPr>
              <w:t>October 31, 2014</w:t>
            </w:r>
          </w:p>
        </w:tc>
        <w:tc>
          <w:tcPr>
            <w:tcW w:w="12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April 30, 2014</w:t>
            </w:r>
          </w:p>
        </w:tc>
      </w:tr>
      <w:tr>
        <w:trPr>
          <w:trHeight w:val="230"/>
        </w:trPr>
        <w:tc>
          <w:tcPr>
            <w:tcW w:w="14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0"/>
              </w:rPr>
              <w:t>(In thousands)</w:t>
            </w: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24,986</w:t>
            </w: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12,385</w:t>
            </w: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3,856</w:t>
            </w:r>
          </w:p>
        </w:tc>
      </w:tr>
      <w:tr>
        <w:trPr>
          <w:trHeight w:val="27"/>
        </w:trPr>
        <w:tc>
          <w:tcPr>
            <w:tcW w:w="144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41,265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41,227</w:t>
            </w:r>
          </w:p>
        </w:tc>
      </w:tr>
      <w:tr>
        <w:trPr>
          <w:trHeight w:val="21"/>
        </w:trPr>
        <w:tc>
          <w:tcPr>
            <w:tcW w:w="14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As of October 31, 2014 and April 30, 2014, approximately $32.6 million and $33.4 million, respectively, of total inventory is located in the United States, approximately $7.2 million and $7.1 million, respectively, is located in Belgium and $1.5 million and $0.7 million, respectively, is located in China.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52" w:lineRule="exact"/>
        <w:rPr>
          <w:sz w:val="20"/>
          <w:szCs w:val="20"/>
          <w:color w:val="auto"/>
        </w:rPr>
      </w:pPr>
    </w:p>
    <w:p>
      <w:pPr>
        <w:jc w:val="both"/>
        <w:ind w:left="1140" w:hanging="297"/>
        <w:spacing w:after="0" w:line="256"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140" w:hanging="297"/>
        <w:spacing w:after="0" w:line="250"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140" w:hanging="297"/>
        <w:spacing w:after="0" w:line="302" w:lineRule="auto"/>
        <w:tabs>
          <w:tab w:leader="none" w:pos="1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FEI-NY segment also includes the operations of the Company’s wholly-owned subsidiaries, FEI-Elcom Tech (“FEI-Elcom”) and FEI-Asia. FEI-Asia functions primarily as a manufacturing facility for the Company’s commercial product subsidiaries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 users. Consequently, the Company determined that the segments indicated above most appropriately reflect the way the Company’s management views the business.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tables below present information about reported segments with reconciliation of segment amounts to consolidated amounts as reported in the statement of income or the balance sheet for each of the periods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jc w:val="right"/>
              <w:ind w:right="720"/>
              <w:spacing w:after="0" w:line="198" w:lineRule="exact"/>
              <w:rPr>
                <w:sz w:val="20"/>
                <w:szCs w:val="20"/>
                <w:color w:val="auto"/>
              </w:rPr>
            </w:pPr>
            <w:r>
              <w:rPr>
                <w:rFonts w:ascii="Arial" w:cs="Arial" w:eastAsia="Arial" w:hAnsi="Arial"/>
                <w:sz w:val="18"/>
                <w:szCs w:val="18"/>
                <w:b w:val="1"/>
                <w:bCs w:val="1"/>
                <w:color w:val="auto"/>
                <w:w w:val="91"/>
              </w:rPr>
              <w:t>Periods ended October 31,</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31,937</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26,039</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14,680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4,547</w:t>
            </w:r>
          </w:p>
        </w:tc>
        <w:tc>
          <w:tcPr>
            <w:tcW w:w="3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4,568</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3,056</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4,352</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less intersegment revenues</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(1,681)</w:t>
            </w:r>
          </w:p>
        </w:tc>
        <w:tc>
          <w:tcPr>
            <w:tcW w:w="3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(1,125)</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(1,553)</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38,983</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33,834</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19,243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91"/>
              </w:rPr>
              <w:t>Periods ended October 31,</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3,279</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2,740</w:t>
            </w: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1,199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(513)</w:t>
            </w:r>
          </w:p>
        </w:tc>
        <w:tc>
          <w:tcPr>
            <w:tcW w:w="3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8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3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8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profit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1,796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October 31, 2014</w:t>
            </w:r>
          </w:p>
        </w:tc>
        <w:tc>
          <w:tcPr>
            <w:tcW w:w="1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April 30, 2014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Identifiable assets:</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FEI-NY (approximately $3.4 million in China)</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62,969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Gillam-FEI (all in Belgium or France)</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19,595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11,220</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less intersegment balances</w:t>
            </w:r>
          </w:p>
        </w:tc>
        <w:tc>
          <w:tcPr>
            <w:tcW w:w="4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(19,364)</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(19,819)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45,496</w:t>
            </w:r>
          </w:p>
        </w:tc>
      </w:tr>
      <w:tr>
        <w:trPr>
          <w:trHeight w:val="27"/>
        </w:trPr>
        <w:tc>
          <w:tcPr>
            <w:tcW w:w="54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Consolidated identifiable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124,041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119,461</w:t>
            </w:r>
          </w:p>
        </w:tc>
      </w:tr>
      <w:tr>
        <w:trPr>
          <w:trHeight w:val="21"/>
        </w:trPr>
        <w:tc>
          <w:tcPr>
            <w:tcW w:w="5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INVESTMENT IN MORION, INC.</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w:t>
      </w:r>
    </w:p>
    <w:p>
      <w:pPr>
        <w:spacing w:after="0" w:line="20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the six months ended October 31, 2014 and 2013, the Company acquired product from Morion in the aggregate amount of approximately $96,000 and $98,000, respectively, and the Company sold product and training services to Morion in the aggregate amount of approximately $289,000 and $652,000, respectively. (See discussion of revenues recognized under the license agreement in the paragraph below.) During the three months ended October 31, 2014 and 2013, the Company acquired product from Morion in the aggregate amount of approximately $20,000 and $68,000, respectively, and the Company sold product and training services to Morion in the aggregate amount of approximately $106,000 and $510,000, respectively. At October 31, 2014, approximately $1,400 was payable to Morion and accounts receivable from Morion was approximately $69,000.</w:t>
      </w:r>
    </w:p>
    <w:p>
      <w:pPr>
        <w:spacing w:after="0" w:line="20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On October 22, 2012, the Company entered into an agreement with respect to its licensing of rubidium oscillator production technology to Morion. The agreement requires the Company to supply production equipment and parts and to provide training to Morion employees to enable Morion to achieve certain levels of volume production of rubidium oscillators. Morion will pay the Company approximately $2.7 million for the license, the equipment, parts and training, plus 5% royalties on third party sales. For a 5-year period following an initial production run, the Company commits to purchase from Morion a minimum of approximately $400,000 worth of rubidium oscillators per year although Morion is not obligated to sell that amount to the Company. In November 2012, Morion paid the Company a $925,000 deposit under the agreement which amount had been recorded on the Company’s balance sheet as deferred revenue. In October 2013, after amending the original document to clarify certain billing events, the Company invoiced Morion for the equipment, certain component parts for the production of rubidium oscillators, training of certain Morion employees and transfer of the production technology and license to Morion. Accordingly, during the six and three-month periods ended October 31, 2013, the Company recorded revenues of $400,000 for the technology transfer, training and sale of parts and recognized a gain of approximately $736,000 upon the sale of fully-depreciated equipment. The $925,000 deposit previously recorded as deferred revenue was included in these revenues and gain. Additional revenues under the agreement will be recorded after the Company provides further on-site training for Morion personnel, delivers more component parts and obtains relief from certain U.S. Government limitations relating to the sales of items to be manufactured under the license. The United States Department of State has approved the technology transfer called for under the agreement.</w:t>
      </w:r>
    </w:p>
    <w:p>
      <w:pPr>
        <w:sectPr>
          <w:pgSz w:w="11900" w:h="16838" w:orient="portrait"/>
          <w:cols w:equalWidth="0" w:num="1">
            <w:col w:w="11420"/>
          </w:cols>
          <w:pgMar w:left="240" w:top="121" w:right="239" w:bottom="742"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9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742"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October 31, 2014 and April 30, 2014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8"/>
                <w:szCs w:val="18"/>
                <w:b w:val="1"/>
                <w:bCs w:val="1"/>
                <w:color w:val="auto"/>
              </w:rPr>
              <w:t>October 31, 2014</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5,965</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7,865</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12,825</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13,830</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8"/>
                <w:szCs w:val="18"/>
                <w:b w:val="1"/>
                <w:bCs w:val="1"/>
                <w:color w:val="auto"/>
              </w:rPr>
              <w:t>April 30, 2014</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9,007</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7,023</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15,194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16,030</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Less than 12 months</w:t>
            </w:r>
          </w:p>
        </w:tc>
        <w:tc>
          <w:tcPr>
            <w:tcW w:w="280" w:type="dxa"/>
            <w:vAlign w:val="bottom"/>
          </w:tcPr>
          <w:p>
            <w:pPr>
              <w:spacing w:after="0"/>
              <w:rPr>
                <w:sz w:val="20"/>
                <w:szCs w:val="20"/>
                <w:color w:val="auto"/>
              </w:rPr>
            </w:pPr>
          </w:p>
        </w:tc>
        <w:tc>
          <w:tcPr>
            <w:tcW w:w="29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12 Months or more</w:t>
            </w:r>
          </w:p>
        </w:tc>
        <w:tc>
          <w:tcPr>
            <w:tcW w:w="9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760"/>
              <w:spacing w:after="0" w:line="198" w:lineRule="exact"/>
              <w:rPr>
                <w:sz w:val="20"/>
                <w:szCs w:val="20"/>
                <w:color w:val="auto"/>
              </w:rPr>
            </w:pPr>
            <w:r>
              <w:rPr>
                <w:rFonts w:ascii="Arial" w:cs="Arial" w:eastAsia="Arial" w:hAnsi="Arial"/>
                <w:sz w:val="18"/>
                <w:szCs w:val="18"/>
                <w:b w:val="1"/>
                <w:bCs w:val="1"/>
                <w:color w:val="auto"/>
              </w:rPr>
              <w:t>Fair</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760"/>
              <w:spacing w:after="0" w:line="198" w:lineRule="exact"/>
              <w:rPr>
                <w:sz w:val="20"/>
                <w:szCs w:val="20"/>
                <w:color w:val="auto"/>
              </w:rPr>
            </w:pPr>
            <w:r>
              <w:rPr>
                <w:rFonts w:ascii="Arial" w:cs="Arial" w:eastAsia="Arial" w:hAnsi="Arial"/>
                <w:sz w:val="18"/>
                <w:szCs w:val="18"/>
                <w:b w:val="1"/>
                <w:bCs w:val="1"/>
                <w:color w:val="auto"/>
              </w:rPr>
              <w:t>Fair</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Fair</w:t>
            </w: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Losses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gridSpan w:val="3"/>
          </w:tcPr>
          <w:p>
            <w:pPr>
              <w:jc w:val="center"/>
              <w:spacing w:after="0" w:line="176" w:lineRule="exact"/>
              <w:rPr>
                <w:sz w:val="20"/>
                <w:szCs w:val="20"/>
                <w:color w:val="auto"/>
              </w:rPr>
            </w:pPr>
            <w:r>
              <w:rPr>
                <w:rFonts w:ascii="Arial" w:cs="Arial" w:eastAsia="Arial" w:hAnsi="Arial"/>
                <w:sz w:val="18"/>
                <w:szCs w:val="18"/>
                <w:b w:val="1"/>
                <w:bCs w:val="1"/>
                <w:color w:val="auto"/>
                <w:w w:val="90"/>
              </w:rPr>
              <w:t>October 31,</w:t>
            </w:r>
          </w:p>
        </w:tc>
        <w:tc>
          <w:tcPr>
            <w:tcW w:w="54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 w:type="dxa"/>
            <w:vAlign w:val="bottom"/>
            <w:gridSpan w:val="4"/>
          </w:tcPr>
          <w:p>
            <w:pPr>
              <w:jc w:val="center"/>
              <w:ind w:left="330"/>
              <w:spacing w:after="0" w:line="196" w:lineRule="exact"/>
              <w:rPr>
                <w:sz w:val="20"/>
                <w:szCs w:val="20"/>
                <w:color w:val="auto"/>
              </w:rPr>
            </w:pPr>
            <w:r>
              <w:rPr>
                <w:rFonts w:ascii="Arial" w:cs="Arial" w:eastAsia="Arial" w:hAnsi="Arial"/>
                <w:sz w:val="18"/>
                <w:szCs w:val="18"/>
                <w:b w:val="1"/>
                <w:bCs w:val="1"/>
                <w:color w:val="auto"/>
                <w:w w:val="89"/>
              </w:rPr>
              <w:t>2014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80" w:type="dxa"/>
            <w:vAlign w:val="bottom"/>
            <w:tcBorders>
              <w:left w:val="single" w:sz="8" w:color="CCEEFF"/>
            </w:tcBorders>
            <w:gridSpan w:val="6"/>
            <w:shd w:val="clear" w:color="auto" w:fill="CCEEFF"/>
          </w:tcPr>
          <w:p>
            <w:pPr>
              <w:spacing w:after="0" w:line="201" w:lineRule="exact"/>
              <w:rPr>
                <w:sz w:val="20"/>
                <w:szCs w:val="20"/>
                <w:color w:val="auto"/>
              </w:rPr>
            </w:pPr>
            <w:r>
              <w:rPr>
                <w:rFonts w:ascii="Arial" w:cs="Arial" w:eastAsia="Arial" w:hAnsi="Arial"/>
                <w:sz w:val="18"/>
                <w:szCs w:val="18"/>
                <w:color w:val="auto"/>
              </w:rPr>
              <w:t>Fixed   Income</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Securities</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gridSpan w:val="6"/>
          </w:tcPr>
          <w:p>
            <w:pPr>
              <w:spacing w:after="0" w:line="201" w:lineRule="exact"/>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0" w:type="dxa"/>
            <w:vAlign w:val="bottom"/>
            <w:gridSpan w:val="7"/>
          </w:tcPr>
          <w:p>
            <w:pPr>
              <w:spacing w:after="0"/>
              <w:rPr>
                <w:sz w:val="20"/>
                <w:szCs w:val="20"/>
                <w:color w:val="auto"/>
              </w:rPr>
            </w:pPr>
            <w:r>
              <w:rPr>
                <w:rFonts w:ascii="Arial" w:cs="Arial" w:eastAsia="Arial" w:hAnsi="Arial"/>
                <w:sz w:val="18"/>
                <w:szCs w:val="18"/>
                <w:color w:val="auto"/>
              </w:rPr>
              <w:t>Securities</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622</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2,782</w:t>
            </w: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40" w:type="dxa"/>
            <w:vAlign w:val="bottom"/>
            <w:tcBorders>
              <w:lef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3,436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tcBorders>
              <w:top w:val="single" w:sz="8" w:color="CCEEFF"/>
            </w:tcBorders>
            <w:gridSpan w:val="6"/>
          </w:tcPr>
          <w:p>
            <w:pPr>
              <w:jc w:val="center"/>
              <w:ind w:right="420"/>
              <w:spacing w:after="0" w:line="170" w:lineRule="exact"/>
              <w:rPr>
                <w:sz w:val="20"/>
                <w:szCs w:val="20"/>
                <w:color w:val="auto"/>
              </w:rPr>
            </w:pPr>
            <w:r>
              <w:rPr>
                <w:rFonts w:ascii="Arial" w:cs="Arial" w:eastAsia="Arial" w:hAnsi="Arial"/>
                <w:sz w:val="18"/>
                <w:szCs w:val="18"/>
                <w:b w:val="1"/>
                <w:bCs w:val="1"/>
                <w:color w:val="auto"/>
                <w:w w:val="93"/>
              </w:rPr>
              <w:t>April 30, 2014</w:t>
            </w:r>
          </w:p>
        </w:tc>
        <w:tc>
          <w:tcPr>
            <w:tcW w:w="36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80" w:type="dxa"/>
            <w:vAlign w:val="bottom"/>
            <w:tcBorders>
              <w:left w:val="single" w:sz="8" w:color="CCEEFF"/>
            </w:tcBorders>
            <w:gridSpan w:val="6"/>
            <w:shd w:val="clear" w:color="auto" w:fill="CCEEFF"/>
          </w:tcPr>
          <w:p>
            <w:pPr>
              <w:spacing w:after="0" w:line="201" w:lineRule="exact"/>
              <w:rPr>
                <w:sz w:val="20"/>
                <w:szCs w:val="20"/>
                <w:color w:val="auto"/>
              </w:rPr>
            </w:pPr>
            <w:r>
              <w:rPr>
                <w:rFonts w:ascii="Arial" w:cs="Arial" w:eastAsia="Arial" w:hAnsi="Arial"/>
                <w:sz w:val="18"/>
                <w:szCs w:val="18"/>
                <w:color w:val="auto"/>
              </w:rPr>
              <w:t>Fixed Income</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Securities</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6"/>
          </w:tcPr>
          <w:p>
            <w:pPr>
              <w:spacing w:after="0"/>
              <w:rPr>
                <w:sz w:val="20"/>
                <w:szCs w:val="20"/>
                <w:color w:val="auto"/>
              </w:rPr>
            </w:pPr>
            <w:r>
              <w:rPr>
                <w:rFonts w:ascii="Arial" w:cs="Arial" w:eastAsia="Arial" w:hAnsi="Arial"/>
                <w:sz w:val="18"/>
                <w:szCs w:val="18"/>
                <w:color w:val="auto"/>
              </w:rPr>
              <w:t>Equity Securities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9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1,291</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2,240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October 31, 2014 are other-than-temporary due to market volatility of the security’s fair value, analysts’ expectations and the Company’s ability to hold the securities for a period of time sufficient to allow for any anticipated recoveries in market value.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six months ended October 31, 2014 and 2013, the Company sold or redeemed available-for-sale securities in the amounts of $4.1 million and $1.8 million, respectively, realizing gains of approximately $377,000 and $74,000,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fixed income securities classified as available-for-sale at October 31, 2014 are as follows, at cost (in thousands):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5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May 2014, the FASB issued Accounting Standard Update (“ASU”) No. 2014-09</w:t>
      </w:r>
      <w:r>
        <w:rPr>
          <w:rFonts w:ascii="Arial" w:cs="Arial" w:eastAsia="Arial" w:hAnsi="Arial"/>
          <w:sz w:val="17"/>
          <w:szCs w:val="17"/>
          <w:i w:val="1"/>
          <w:iCs w:val="1"/>
          <w:color w:val="auto"/>
        </w:rPr>
        <w:t>, Revenue from Contracts with Customers (Topic 606)</w:t>
      </w:r>
      <w:r>
        <w:rPr>
          <w:rFonts w:ascii="Arial" w:cs="Arial" w:eastAsia="Arial" w:hAnsi="Arial"/>
          <w:sz w:val="17"/>
          <w:szCs w:val="17"/>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This ASU is effective for public companies for annual reporting periods beginning on or after December 15, 2016 and for the Company, must be adopted for its fiscal year 2018 beginning on May 1, 2017. The Company is in the process of determining the effect that ASU 2014-09 may have on its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 J – CREDIT FACILITY</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a credit facility (the “Facility”) with JPMorgan Chase Bank, N.A. (“JPMorgan”) pursuant to a credit agreement (the “Credit Agreement”) between the Company and JPMorgan. Under the Facility the Company may make borrowings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of $11.4 million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18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an interest charge coverage ratio. The calculation of both ratios is defined in the Credit Agreement. For the period ended October 31, 2014, the Company met the required covenants for its borrowings under Tranche 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K – VALUATION ALLOWANCE ON DEFERRED TAX ASSETS</w:t>
      </w:r>
    </w:p>
    <w:p>
      <w:pPr>
        <w:spacing w:after="0" w:line="25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prior fiscal years, the Company reduced the valuation allowance on the deferred tax assets of its U.S. subsidiaries. Consequently, for the six and three months ended October 31, 2014 and 2013, the Company recorded provisions for income taxes based on both current taxes due in the United States as well as the tax provision or benefit to be realized from temporary tax differences. As of October 31, 2014 and April 30, 2014, the remaining deferred tax asset valuation allowance is approximately $2.1 million and is primarily related to deferred tax assets of the Company’s non-U.S.-based subsidiaries.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2014.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Marketable Securities</w:t>
      </w:r>
    </w:p>
    <w:p>
      <w:pPr>
        <w:spacing w:after="0" w:line="25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Foreign Operations and Foreign Currency Adjustments</w:t>
      </w:r>
    </w:p>
    <w:p>
      <w:pPr>
        <w:spacing w:after="0" w:line="25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equity accounts which are translated at historical rates, are translated into U.S. dollars at the rates of exchange in effect on the date of the balance sheet. As a result, similar results in local currency can vary upon translation into U.S. dollars if exchange rates fluctuate significantly from one period to the next.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2015 and 2014 (which end on April 30, 2015 and 2014, respectively) the percentage of consolidated revenues represented by certain items in the Company’s consolidated statements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98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4"/>
              </w:rPr>
              <w:t>Six months</w:t>
            </w:r>
          </w:p>
        </w:tc>
        <w:tc>
          <w:tcPr>
            <w:tcW w:w="9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2"/>
              </w:rPr>
              <w:t>Three months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Periods ended October 31,</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Less intersegment revenues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Cost of revenues</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68.3</w:t>
            </w:r>
          </w:p>
        </w:tc>
        <w:tc>
          <w:tcPr>
            <w:tcW w:w="3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63.1</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65.3</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Gross margin</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600"/>
              <w:spacing w:after="0"/>
              <w:rPr>
                <w:sz w:val="20"/>
                <w:szCs w:val="20"/>
                <w:color w:val="auto"/>
              </w:rPr>
            </w:pPr>
            <w:r>
              <w:rPr>
                <w:rFonts w:ascii="Arial" w:cs="Arial" w:eastAsia="Arial" w:hAnsi="Arial"/>
                <w:sz w:val="18"/>
                <w:szCs w:val="18"/>
                <w:color w:val="auto"/>
              </w:rPr>
              <w:t>Operating profit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Pretax income</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4"/>
          </w:tcPr>
          <w:p>
            <w:pPr>
              <w:spacing w:after="0"/>
              <w:rPr>
                <w:sz w:val="20"/>
                <w:szCs w:val="20"/>
                <w:color w:val="auto"/>
              </w:rPr>
            </w:pPr>
            <w:r>
              <w:rPr>
                <w:rFonts w:ascii="Arial" w:cs="Arial" w:eastAsia="Arial" w:hAnsi="Arial"/>
                <w:sz w:val="18"/>
                <w:szCs w:val="18"/>
                <w:b w:val="1"/>
                <w:bCs w:val="1"/>
                <w:color w:val="auto"/>
              </w:rPr>
              <w:t>Revenues</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Six months</w:t>
            </w: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Three months</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7"/>
          </w:tcPr>
          <w:p>
            <w:pPr>
              <w:jc w:val="right"/>
              <w:ind w:right="380"/>
              <w:spacing w:after="0" w:line="198" w:lineRule="exact"/>
              <w:rPr>
                <w:sz w:val="20"/>
                <w:szCs w:val="20"/>
                <w:color w:val="auto"/>
              </w:rPr>
            </w:pPr>
            <w:r>
              <w:rPr>
                <w:rFonts w:ascii="Arial" w:cs="Arial" w:eastAsia="Arial" w:hAnsi="Arial"/>
                <w:sz w:val="18"/>
                <w:szCs w:val="18"/>
                <w:b w:val="1"/>
                <w:bCs w:val="1"/>
                <w:color w:val="auto"/>
                <w:w w:val="95"/>
              </w:rPr>
              <w:t>Periods ended October 31,</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4"/>
              </w:rPr>
              <w:t>Segment</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6"/>
                <w:szCs w:val="16"/>
                <w:color w:val="auto"/>
              </w:rPr>
            </w:pPr>
          </w:p>
        </w:tc>
        <w:tc>
          <w:tcPr>
            <w:tcW w:w="84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6"/>
                <w:szCs w:val="16"/>
                <w:color w:val="auto"/>
              </w:rPr>
            </w:pPr>
          </w:p>
        </w:tc>
        <w:tc>
          <w:tcPr>
            <w:tcW w:w="880" w:type="dxa"/>
            <w:vAlign w:val="bottom"/>
            <w:gridSpan w:val="2"/>
          </w:tcPr>
          <w:p>
            <w:pPr>
              <w:jc w:val="right"/>
              <w:ind w:right="40"/>
              <w:spacing w:after="0" w:line="194"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8"/>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FEI-NY</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31,937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26,039</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$5,898</w:t>
            </w: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14,680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12,865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$ 1,815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w:t>
            </w: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Gillam-FEI</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4,547</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4,568</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3,056</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1,873</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1,183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63%</w:t>
            </w:r>
          </w:p>
        </w:tc>
      </w:tr>
      <w:tr>
        <w:trPr>
          <w:trHeight w:val="216"/>
        </w:trPr>
        <w:tc>
          <w:tcPr>
            <w:tcW w:w="20" w:type="dxa"/>
            <w:vAlign w:val="bottom"/>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FEI-Zyfer</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4,180</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4,352</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3,060</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2,363</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29%</w:t>
            </w: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w w:val="98"/>
              </w:rPr>
              <w:t>Intersegment revenues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(1,681)</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(1,125)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(1,553)</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38,983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33,834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5,149</w:t>
            </w: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19,243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17,007</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$ 2,236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w:t>
            </w: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For the six and three months ended October 31, 2014, revenues from commercial and U.S. Government satellite programs accounted for approximately 60% of consolidated revenues and increased by 27% and 18%, respectively, over the same periods of fiscal year 2014. Revenues on these contracts are recognized primarily under the percentage of completion method. Revenues from the satellite market are recorded in the FEI-NY segment. Revenues from non-space U.S. Government/DOD customers, which are recorded in both the FEI-NY and FEI-Zyfer segments, accounted for approximately 15% of consolidated revenues for the six months of fiscal year 2015 as compared to approximately 20% of revenues during the same period of fiscal year 2014. For the three-month period ended October 31, 2014, such revenues were approximately 20% of consolidated revenues and increased by 30% over non-space government revenues for the second quarter of fiscal year 2014. The primary reason for this growth during the second quarter of fiscal year 2015 was due to additional funding received by the FEI-Zyfer segment on an U.S. Government initiative to protect secure communications from jamming and multi-path in GPS systems. Total revenues from U.S. Government satellite contracts and non-space programs were approximately 40% of consolidated revenues for the six months ended October 31, 2014 and were approximately 50% of revenues for the three-month period then ended. Network infrastructure and other industrial revenues in the fiscal year 2015 periods accounted for approximately 20% of consolidated revenues which is similar to their share of consolidated revenues in the prior year. These fiscal year 2015 commercial revenues increased by approximately 20% for the six month period and declined by approximately 10% for the three-month period ended October 31, 2014, as compared to the same periods of fiscal year 2014. The primary reason for growth in this commercial, non-space market area is due to increased third party revenues in the Company’s FEI-Asia subsidiary which is part of the FEI-NY segment. In prior periods, third party revenues for the FEI-Asia subsidiary were insignificant as most of its manufacturing capacity was applied to intersegment production. For the three-month period ended October 31, 2014, Gillam-FEI revenues increased over the prior year primarily due to higher intersegment sales which are eliminated in consolidation.</w:t>
      </w:r>
    </w:p>
    <w:p>
      <w:pPr>
        <w:spacing w:after="0" w:line="22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For the six and three months ended October 31, 2013, revenues from commercial and U.S. Government satellite programs accounted for more than 55% of consolidated revenues and increased by approximately 20% over the same periods of fiscal year 2013. Revenues on these contracts are recognized primarily under the percentage of completion method. Revenues from the satellite market are recorded in the FEI-NY segment. Revenues from non-space U.S. Government/DOD customers, which are recorded in both the FEI-NY and FEI-Zyfer segments, accounted for approximately 20% of fiscal year 2014 consolidated revenues. Such revenues decreased by 10% and 36%, respectively, from the same periods of fiscal year 2013. Total revenues from U.S. Government satellite contracts and non-space programs approached 60% of consolidated revenues for the six months ended October 31, 2013 and were approximately 55% of revenues for the three-month period then ended. Network infrastructure and other industrial revenues in the fiscal year 2014 periods accounted for approximately 20% of consolidated revenues and declined by approximately 25% and 10%, respectively, from the same periods of fiscal year 2013. These commercial, non-space revenues are recorded in all three segments although the largest network infrastructure sales volume is recorded in the Gillam-FEI and FEI-Zyfer segments and accounted for most of the year-over-year decline in FEI-Zyfer’s revenues. For the three-month period ended October 31, 2013, Gillam-FEI revenues decreased over the prior year primarily due to lower intersegment sales which are eliminated in consolidation.</w:t>
      </w:r>
    </w:p>
    <w:p>
      <w:pPr>
        <w:spacing w:after="0" w:line="200"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Based on the Company’s current backlog, over three-fourths of which represent satellite payload business, and the potential for additional new orders, revenues for fiscal year 2015 are expected to grow. Satellite payload revenues will continue to be the dominant portion of the Company’s business and represents the Company’s best growth opportunity. Revenues for non-space U.S. Government/DOD customers are also expected to increase, particularly for the FEI-Zyfer segment, as it receives additional orders on systems to protect secure communications from jamming and multi-path in GPS systems.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4"/>
          </w:tcPr>
          <w:p>
            <w:pPr>
              <w:spacing w:after="0"/>
              <w:rPr>
                <w:sz w:val="20"/>
                <w:szCs w:val="20"/>
                <w:color w:val="auto"/>
              </w:rPr>
            </w:pPr>
            <w:r>
              <w:rPr>
                <w:rFonts w:ascii="Arial" w:cs="Arial" w:eastAsia="Arial" w:hAnsi="Arial"/>
                <w:sz w:val="18"/>
                <w:szCs w:val="18"/>
                <w:b w:val="1"/>
                <w:bCs w:val="1"/>
                <w:color w:val="auto"/>
              </w:rPr>
              <w:t>Gross margin</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88"/>
              </w:rPr>
              <w:t>Six months</w:t>
            </w: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Three months</w:t>
            </w: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5"/>
              </w:rPr>
              <w:t>Periods ended October 31,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12,339</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12,498</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8"/>
              </w:rPr>
              <w:t>$ (159)</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 $</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6,674</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6,232</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  442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Gross margin for the six months ended October 31, 2014, decreased over the prior fiscal year due primarily to lower revenues in the first quarter on non-space U.S. Government business and at the Gillam-FEI segment. During the three month period ended October 31, 2014, gross margin increased as a result of higher revenues in all segments as compared to fiscal year 2014. The fiscal year 2015 gross margin rates were lower than fiscal year 2014 rates due to the effect of low sales volume in the first quarter and product mix.</w:t>
      </w:r>
    </w:p>
    <w:p>
      <w:pPr>
        <w:spacing w:after="0" w:line="21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Gross margin for the six and three month periods ended October 31, 2013, decreased due to lower revenues and lower gross margin rates. The gross margin rate was impacted by product mix as well as by unabsorbed overhead costs during fiscal year 2014.</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gross margin rates recorded in the fiscal year 2015 and 2014 periods were less than the Company’s targeted rate of 40%. As satellite payload sales volume increases and as the product mix changes, the Company anticipates that it will realize improved gross margin rates for the remainder of fiscal year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Six months</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0"/>
              </w:rPr>
              <w:t>Three months</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5"/>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Periods ended October 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7,045</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(75)</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  $</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3,472</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3,485</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(13)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For the six and three-month periods ended October 31, 2014 and 2013, selling and administrative expenses (“SG&amp;A”) were approximately 18% and 21%, respectively, of consolidated revenues. The fluctuation in expenses in the fiscal year 2015 periods compared to the same periods of fiscal year 2014 is due to lower selling expenses partially offset by increased incentive compensation expenses. For the remainder of fiscal year 2015, the Company expects SG&amp;A expenses to be incurred at approximately the same rate and to be less than 20% of consolidated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Six months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89"/>
              </w:rPr>
              <w:t>Three months</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left="130"/>
              <w:spacing w:after="0" w:line="198" w:lineRule="exact"/>
              <w:rPr>
                <w:sz w:val="20"/>
                <w:szCs w:val="20"/>
                <w:color w:val="auto"/>
              </w:rPr>
            </w:pPr>
            <w:r>
              <w:rPr>
                <w:rFonts w:ascii="Arial" w:cs="Arial" w:eastAsia="Arial" w:hAnsi="Arial"/>
                <w:sz w:val="18"/>
                <w:szCs w:val="18"/>
                <w:b w:val="1"/>
                <w:bCs w:val="1"/>
                <w:color w:val="auto"/>
                <w:w w:val="87"/>
              </w:rPr>
              <w:t>Periods</w:t>
            </w:r>
          </w:p>
        </w:tc>
        <w:tc>
          <w:tcPr>
            <w:tcW w:w="4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79"/>
              </w:rPr>
              <w:t>ended</w:t>
            </w:r>
          </w:p>
        </w:tc>
        <w:tc>
          <w:tcPr>
            <w:tcW w:w="126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4"/>
              </w:rPr>
              <w:t>October 31,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Change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20"/>
                <w:szCs w:val="20"/>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216"/>
        </w:trPr>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3,226</w:t>
            </w:r>
          </w:p>
        </w:tc>
        <w:tc>
          <w:tcPr>
            <w:tcW w:w="1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(581)  (18%)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1,483</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(77)   (5%)</w:t>
            </w:r>
          </w:p>
        </w:tc>
      </w:tr>
    </w:tbl>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Research and development (“R&amp;D”) expenditures represent investments intended to keep the Company’s products at the leading edge of time and frequency technology and enhance competitiveness for future revenues. R&amp;D spending for the six and three-month periods ended October 31, 2014, was approximately 7% of consolidated revenues compared to 9% for the same periods of the prior fiscal year. In the fiscal year 2015 periods, the Company continued the development of new satellite payload microwave receivers/converters from DC to Ka band. The rate of R&amp;D spending on such satellite payload products decreased in fiscal year 2015 as development is nearly complete and the products are ready for customer evaluation and new contract awards during fiscal year 2015. Internal R&amp;D spending also includes development and improvement of quartz-based and rubidium atomic clocks, development of new GPS-based synchronization products and further enhancement of the capabilities of the Company’s line of low g-sensitivity and ruggedized rubidium oscillators. Included in these efforts are product design and process improvements to enhance product manufacturability and reduce production costs.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internal R&amp;D efforts, the Company continues to conduct development activities on customer-funded programs the cost of which appears in cost of revenues. The Company will continue to devote significant resources to develop new products, enhance existing products and implement efficient manufacturing processes. For fiscal year 2015, the Company is targeting to spend less than 10% of revenues on internal R&amp;D projects. Internally generated cash and cash reserves are adequate to fund these development efforts.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52"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Six months</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7"/>
              </w:rPr>
              <w:t>Three months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gridSpan w:val="6"/>
          </w:tcPr>
          <w:p>
            <w:pPr>
              <w:ind w:left="200"/>
              <w:spacing w:after="0" w:line="198" w:lineRule="exact"/>
              <w:rPr>
                <w:sz w:val="20"/>
                <w:szCs w:val="20"/>
                <w:color w:val="auto"/>
              </w:rPr>
            </w:pPr>
            <w:r>
              <w:rPr>
                <w:rFonts w:ascii="Arial" w:cs="Arial" w:eastAsia="Arial" w:hAnsi="Arial"/>
                <w:sz w:val="18"/>
                <w:szCs w:val="18"/>
                <w:b w:val="1"/>
                <w:bCs w:val="1"/>
                <w:color w:val="auto"/>
              </w:rPr>
              <w:t>Periods ended October 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1"/>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w:t>
            </w:r>
          </w:p>
        </w:tc>
        <w:tc>
          <w:tcPr>
            <w:tcW w:w="9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  497</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22%  $</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1,796</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532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42%</w:t>
            </w: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Higher consolidated revenues and lower operating costs during the fiscal year 2015 periods resulted in increased operating profits. Fiscal year 2015’s six- and three-month operating profit was 7.0% and 9.4%, respectively, of consolidated revenues compared to 6.6% and 7.4%, respectively, of consolidated revenues in the same periods of the prior year.</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anticipates that for the full fiscal year 2015, increased revenues will enable it to generate an operating profit that exceeds that of fiscal year 2014.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b w:val="1"/>
                <w:bCs w:val="1"/>
                <w:color w:val="auto"/>
                <w:w w:val="92"/>
              </w:rPr>
              <w:t>Six months</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Three months</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5"/>
          </w:tcPr>
          <w:p>
            <w:pPr>
              <w:jc w:val="right"/>
              <w:spacing w:after="0" w:line="198" w:lineRule="exact"/>
              <w:rPr>
                <w:sz w:val="20"/>
                <w:szCs w:val="20"/>
                <w:color w:val="auto"/>
              </w:rPr>
            </w:pPr>
            <w:r>
              <w:rPr>
                <w:rFonts w:ascii="Arial" w:cs="Arial" w:eastAsia="Arial" w:hAnsi="Arial"/>
                <w:sz w:val="18"/>
                <w:szCs w:val="18"/>
                <w:b w:val="1"/>
                <w:bCs w:val="1"/>
                <w:color w:val="auto"/>
                <w:w w:val="88"/>
              </w:rPr>
              <w:t>Periods ended October 31,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211</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(736)</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7"/>
        </w:trPr>
        <w:tc>
          <w:tcPr>
            <w:tcW w:w="20" w:type="dxa"/>
            <w:vAlign w:val="bottom"/>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20"/>
                <w:szCs w:val="20"/>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(456)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153</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897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(744)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bl>
    <w:p>
      <w:pPr>
        <w:spacing w:after="0" w:line="21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Investment income is derived primarily from the Company’s holdings of marketable securities. Earnings on these securities may vary based on fluctuating interest rates and dividend payout levels and the timing of purchases or sales of securities. During the six months ended October 31, 2014 and 2013, the Company recorded gains of approximately $377,000 and $74,000, respectively, on the sale of certain marketable securities. Gains recorded during the three months ended October 31, 2014 and 2013, were approximately $97,000 and $74,000, respectively.</w:t>
      </w:r>
    </w:p>
    <w:p>
      <w:pPr>
        <w:spacing w:after="0" w:line="19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decrease in interest expense for the six months ended October 31, 2014 compared to the same period of fiscal year 2014 is due to the lower interest rate under the Company’s new credit facility from a bank. For the three month period ended October 31, 2014, the interest rate was higher than the same period of fiscal year 2014 due to a higher level of borrowing under the credit facility.</w:t>
      </w:r>
    </w:p>
    <w:p>
      <w:pPr>
        <w:spacing w:after="0" w:line="20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the fiscal year 2015 periods, other income consisted of insignificant non-operating expenses. Other income in the fiscal year 2014 periods consists primarily of a $736,000 gain recognized upon the sale of certain manufacturing equipment to Morion, Inc. under the terms of a license agreement related to the Company’s rubidium oscillator production technology. (See Note G to the accompanying condensed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8"/>
              </w:rPr>
              <w:t>Six months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6"/>
          </w:tcPr>
          <w:p>
            <w:pPr>
              <w:ind w:left="240"/>
              <w:spacing w:after="0"/>
              <w:rPr>
                <w:sz w:val="20"/>
                <w:szCs w:val="20"/>
                <w:color w:val="auto"/>
              </w:rPr>
            </w:pPr>
            <w:r>
              <w:rPr>
                <w:rFonts w:ascii="Arial" w:cs="Arial" w:eastAsia="Arial" w:hAnsi="Arial"/>
                <w:sz w:val="18"/>
                <w:szCs w:val="18"/>
                <w:b w:val="1"/>
                <w:bCs w:val="1"/>
                <w:color w:val="auto"/>
              </w:rPr>
              <w:t>Periods ended October 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6"/>
              </w:rPr>
              <w:t>Change</w:t>
            </w:r>
          </w:p>
        </w:tc>
        <w:tc>
          <w:tcPr>
            <w:tcW w:w="1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  100</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  $</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(110)   (14%)</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Effective tax rate on pre-tax book income:</w:t>
      </w:r>
    </w:p>
    <w:p>
      <w:pPr>
        <w:spacing w:after="0" w:line="200" w:lineRule="exact"/>
        <w:rPr>
          <w:sz w:val="20"/>
          <w:szCs w:val="20"/>
          <w:color w:val="auto"/>
        </w:rPr>
      </w:pPr>
    </w:p>
    <w:p>
      <w:pPr>
        <w:spacing w:after="0" w:line="268" w:lineRule="exact"/>
        <w:rPr>
          <w:sz w:val="20"/>
          <w:szCs w:val="20"/>
          <w:color w:val="auto"/>
        </w:rPr>
      </w:pPr>
    </w:p>
    <w:p>
      <w:pPr>
        <w:ind w:left="2260"/>
        <w:spacing w:after="0"/>
        <w:tabs>
          <w:tab w:leader="none" w:pos="3720" w:val="left"/>
          <w:tab w:leader="none" w:pos="7360" w:val="left"/>
          <w:tab w:leader="none" w:pos="8900"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8"/>
          <w:szCs w:val="18"/>
          <w:color w:val="auto"/>
        </w:rPr>
        <w:t>35.7%</w:t>
      </w:r>
      <w:r>
        <w:rPr>
          <w:sz w:val="20"/>
          <w:szCs w:val="20"/>
          <w:color w:val="auto"/>
        </w:rPr>
        <w:tab/>
      </w:r>
      <w:r>
        <w:rPr>
          <w:rFonts w:ascii="Arial" w:cs="Arial" w:eastAsia="Arial" w:hAnsi="Arial"/>
          <w:sz w:val="18"/>
          <w:szCs w:val="18"/>
          <w:color w:val="auto"/>
        </w:rPr>
        <w:t>33.9%</w:t>
      </w:r>
      <w:r>
        <w:rPr>
          <w:sz w:val="20"/>
          <w:szCs w:val="20"/>
          <w:color w:val="auto"/>
        </w:rPr>
        <w:tab/>
      </w:r>
      <w:r>
        <w:rPr>
          <w:rFonts w:ascii="Arial" w:cs="Arial" w:eastAsia="Arial" w:hAnsi="Arial"/>
          <w:sz w:val="16"/>
          <w:szCs w:val="16"/>
          <w:color w:val="auto"/>
        </w:rPr>
        <w:t>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-121920</wp:posOffset>
            </wp:positionV>
            <wp:extent cx="512000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20005" cy="137160"/>
                    </a:xfrm>
                    <a:prstGeom prst="rect">
                      <a:avLst/>
                    </a:prstGeom>
                    <a:noFill/>
                  </pic:spPr>
                </pic:pic>
              </a:graphicData>
            </a:graphic>
          </wp:anchor>
        </w:drawing>
      </w:r>
    </w:p>
    <w:p>
      <w:pPr>
        <w:spacing w:after="0" w:line="20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provision for income taxes for the six and three months ended October 31, 2014 differed from the provision recorded in the same periods of fiscal year 2014 due primarily to varying effective tax rates. The effective tax rate is impacted by pre-tax income or loss recorded at the Company’s foreign subsidiaries for which no net tax provision or benefit is recognized. During the quarter ended October 31, 2014, such subsidiaries recorded a combined pretax profit but for the six-month period then ended, recorded a combined pretax loss. For the full fiscal year 2015, the effective tax rate is expected to be in the range of 30% to 36% depending on the level of pretax income or loss recorded at the Company’s foreign subsidiaries.</w:t>
      </w:r>
    </w:p>
    <w:p>
      <w:pPr>
        <w:sectPr>
          <w:pgSz w:w="11900" w:h="16838" w:orient="portrait"/>
          <w:cols w:equalWidth="0" w:num="1">
            <w:col w:w="11420"/>
          </w:cols>
          <w:pgMar w:left="240" w:top="122" w:right="239" w:bottom="100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17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00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31, 2014 and April 30, 2014, the remaining deferred tax asset valuation allowance is approximately $2.1 million.</w:t>
      </w:r>
    </w:p>
    <w:p>
      <w:pPr>
        <w:spacing w:after="0" w:line="25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is subject to taxation in several countries as well as the states of New York, New Jersey and California. The statutory federal rates are 34% in the United States and Belgium. The effective rate is impacted by the income or loss of certain of the Company’s European and Asian subsidiaries for which no tax benefit is currently available. In addition, the Company utilizes the availability of research and development tax credits (“R&amp;D Credit”) and the Domestic Production Activity credit in the United States to lower its tax rate. The R&amp;D Credit expired on December 31, 2013 and the U.S. Congress has yet to reinstate it. As of April 30, 2014, the Company’s European subsidiaries had available net operating loss carryforwards of approximately $3.6 million, which will offset future taxable income. As a result of the FEI-Elcom acquisition, the Company has a federal net operating loss carryforward of $5.6 million that may be applied in annually limited amounts to offset future U.S.-sourced taxable income over the next 18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8"/>
              </w:rPr>
              <w:t>Six months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0"/>
              </w:rPr>
              <w:t>Three months</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98"/>
        </w:trPr>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6"/>
          </w:tcPr>
          <w:p>
            <w:pPr>
              <w:ind w:left="160"/>
              <w:spacing w:after="0" w:line="198" w:lineRule="exact"/>
              <w:rPr>
                <w:sz w:val="20"/>
                <w:szCs w:val="20"/>
                <w:color w:val="auto"/>
              </w:rPr>
            </w:pPr>
            <w:r>
              <w:rPr>
                <w:rFonts w:ascii="Arial" w:cs="Arial" w:eastAsia="Arial" w:hAnsi="Arial"/>
                <w:sz w:val="18"/>
                <w:szCs w:val="18"/>
                <w:b w:val="1"/>
                <w:bCs w:val="1"/>
                <w:color w:val="auto"/>
              </w:rPr>
              <w:t>Periods ended October 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41"/>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3"/>
              </w:rPr>
              <w:t>Change</w:t>
            </w:r>
          </w:p>
        </w:tc>
        <w:tc>
          <w:tcPr>
            <w:tcW w:w="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(59)</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  $</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1,391</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  (102)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bl>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detailed above, operating profit was higher in the fiscal year 2015 periods while other income was higher in the fiscal year 2014 periods. This resulted in similar pretax income and provisions for income taxes for both fiscal years resulting in nominal differences in net income between the comparable fiscal periods. Based on recent bookings and its backlog, the Company expects to record higher consolidated revenues and to realize improved gross margins and operating profits over the remainder of fiscal year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$79.8 million at October 31, 2014, compared to working capital of $78.2 million at April 30, 2014. Included in working capital at October 31, 2014 is $20.2 million consisting of cash, cash equivalents and marketable securities. The Company’s current ratio at October 31, 2014 is 8.7 to 1.</w:t>
      </w:r>
    </w:p>
    <w:p>
      <w:pPr>
        <w:spacing w:after="0" w:line="20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six months ended October 31, 2014 and 2013, the Company used cash from operations in the amount of $2.5 million each fiscal period. In both fiscal years the reduced cash resulted primarily from increased accounts receivables and increased inventory. For the six-month periods ended October 31, 2014 and 2013, the Company incurred approximately $2.3 million and $2.8 million, respectively, of non-cash operating expenses, such as depreciation and amortization and accruals for employee benefit programs. Net income in fiscal year 2014 also included a $736,000 gain on the sale of equipment and such gain is excluded from operating cash flow. For the balance of fiscal year 2015, as receivables are billed and collected, the Company expects to generate positive cash flow from operating activities.</w:t>
      </w:r>
    </w:p>
    <w:p>
      <w:pPr>
        <w:spacing w:after="0" w:line="22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used in investing activities for the six months ended October 31, 2014, was $408,000 compared to $1.1 million used in the same period of fiscal year 2014. During the fiscal year 2015 period, marketable securities were sold or redeemed in the amount of $4.1 million compared to $1.8 million of such redemptions during the fiscal year 2014 period. Some of these proceeds and other cash were reinvested in additional marketable securities for the periods ended October 31, 2014 and 2013 in the amount of $1.4 million and $67,000, respectively. In the fiscal periods ended October 31, 2014 and 2013, the Company acquired property, plant and equipment in the amount of approximately $3.1 million and $2.8 million, respectively.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between $4.0 million and $4.5 million on capital equipment during fiscal year 2015. Internally generated cash or additional borrowings under the Company’s credit facility will be used to acquire this level of capital equipment.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 cash provided by financing activities for the six months ended October 31, 2014 and 2013 was $1.3 million and $4.2 million, respectively. In the fiscal year 2015 period, the Company borrowed $2.3 million under its credit facility with a bank and also repaid $1.0 million of such borrowings. During the fiscal year 2014 period, the Company borrowed $4.1 million under the credit facility. In both fiscal years, such funds were used for working capital and to finance the acquisition of certain fixed assets. For the six months ended October 31, 2014 and 2013, the Company realized $29,000 and $157,000, respectively, from the tax benefits arising from the exercise of stock-based awards. During fiscal year 2014, the Company made payments of $15,000 against capital lease obligations.</w:t>
      </w:r>
    </w:p>
    <w:p>
      <w:pPr>
        <w:spacing w:after="0" w:line="22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October 31, 2014, the Company has repurchased approximately $4 million of its common stock out of the $5 million authorization.</w:t>
      </w:r>
    </w:p>
    <w:p>
      <w:pPr>
        <w:spacing w:after="0" w:line="19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2015,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9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October 31, 2014, the Company's consolidated funded backlog is approximately $52 million compared to $48 million at April 30, 2014, the end of fiscal year 2014. Approximately 70% of this backlog is expected to be realized in the next twelve months. Included in the backlog at October 31, 2014 is approximately $2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on fixed price contracts excludes any unfunded portion. The Company expects these contracts to become fully funded over time and will add to its backlog at that time.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October 31, 2015.</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5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October 31, 2014,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20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six months ended October 31, 2014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jc w:val="both"/>
        <w:ind w:left="980" w:right="20" w:hanging="485"/>
        <w:spacing w:after="0" w:line="277" w:lineRule="auto"/>
        <w:tabs>
          <w:tab w:leader="none" w:pos="96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8"/>
          <w:szCs w:val="18"/>
          <w:u w:val="single" w:color="auto"/>
          <w:color w:val="0000EE"/>
        </w:rPr>
        <w:t>Certification by the Chief Executive Officer pursuant to Rule 13a-14(a) or 15d-14(a) under the Securities Exchange Act of 1934, as adopted pursuant to Section 302 of the Sarbanes-Oxley Act of 2002.</w:t>
      </w:r>
    </w:p>
    <w:p>
      <w:pPr>
        <w:spacing w:after="0" w:line="197" w:lineRule="exact"/>
        <w:rPr>
          <w:sz w:val="20"/>
          <w:szCs w:val="20"/>
          <w:color w:val="auto"/>
        </w:rPr>
      </w:pPr>
    </w:p>
    <w:p>
      <w:pPr>
        <w:jc w:val="both"/>
        <w:ind w:left="980" w:hanging="485"/>
        <w:spacing w:after="0" w:line="277" w:lineRule="auto"/>
        <w:tabs>
          <w:tab w:leader="none" w:pos="96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8"/>
          <w:szCs w:val="18"/>
          <w:u w:val="single" w:color="auto"/>
          <w:color w:val="0000EE"/>
        </w:rPr>
        <w:t>Certification by the Chief Financial Officer pursuant to Rule 13a-14(a) or 15d-14(a) under the Securities Exchange Act of 1934, as adopted pursuant to Section 302 of the Sarbanes-Oxley Act of 2002.</w:t>
      </w:r>
    </w:p>
    <w:p>
      <w:pPr>
        <w:spacing w:after="0" w:line="224"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32 -</w:t>
      </w:r>
      <w:r>
        <w:rPr>
          <w:sz w:val="20"/>
          <w:szCs w:val="20"/>
          <w:color w:val="auto"/>
        </w:rPr>
        <w:tab/>
      </w:r>
      <w:r>
        <w:rPr>
          <w:rFonts w:ascii="Arial" w:cs="Arial" w:eastAsia="Arial" w:hAnsi="Arial"/>
          <w:sz w:val="16"/>
          <w:szCs w:val="16"/>
          <w:u w:val="single" w:color="auto"/>
          <w:color w:val="0000EE"/>
        </w:rPr>
        <w:t>Certifications by the Chief Executive Officer and Chief Financial Officer pursuant to 18 U.S.C. Section 1350, as adopted pursuant to Section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EE"/>
        </w:rPr>
        <w:t>906 of the Sarbanes-Oxley Act of 2002.</w:t>
      </w:r>
    </w:p>
    <w:p>
      <w:pPr>
        <w:spacing w:after="0" w:line="265" w:lineRule="exact"/>
        <w:rPr>
          <w:sz w:val="20"/>
          <w:szCs w:val="20"/>
          <w:color w:val="auto"/>
        </w:rPr>
      </w:pPr>
    </w:p>
    <w:p>
      <w:pPr>
        <w:jc w:val="both"/>
        <w:ind w:left="980" w:hanging="485"/>
        <w:spacing w:after="0" w:line="259" w:lineRule="auto"/>
        <w:tabs>
          <w:tab w:leader="none" w:pos="960" w:val="left"/>
        </w:tabs>
        <w:rPr>
          <w:sz w:val="20"/>
          <w:szCs w:val="20"/>
          <w:color w:val="auto"/>
        </w:rPr>
      </w:pPr>
      <w:r>
        <w:rPr>
          <w:rFonts w:ascii="Arial" w:cs="Arial" w:eastAsia="Arial" w:hAnsi="Arial"/>
          <w:sz w:val="18"/>
          <w:szCs w:val="18"/>
          <w:color w:val="auto"/>
        </w:rPr>
        <w:t>101 -</w:t>
        <w:tab/>
        <w:t>The following materials from the Frequency Electronics, Inc. Quarterly Report on Form 10-Q for the quarter ended October 31, 2014 formatted in eXtensible Business Reporting Language (XBRL): (i) Condensed Consolidated Balance Sheets, (ii) Condensed Consolidated Statements of Income and Comprehensive Income, (iii) Condensed Consolidated Statements of Cash Flows and (iv)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FREQUENCY ELECTRONICS,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20"/>
                <w:szCs w:val="20"/>
                <w:color w:val="auto"/>
              </w:rPr>
            </w:pPr>
            <w:r>
              <w:rPr>
                <w:rFonts w:ascii="Arial" w:cs="Arial" w:eastAsia="Arial" w:hAnsi="Arial"/>
                <w:sz w:val="18"/>
                <w:szCs w:val="18"/>
                <w:color w:val="auto"/>
              </w:rPr>
              <w:t>Date: December 15, 2014</w:t>
            </w:r>
          </w:p>
        </w:tc>
        <w:tc>
          <w:tcPr>
            <w:tcW w:w="7460" w:type="dxa"/>
            <w:vAlign w:val="bottom"/>
            <w:gridSpan w:val="3"/>
          </w:tcPr>
          <w:p>
            <w:pPr>
              <w:ind w:left="1640"/>
              <w:spacing w:after="0"/>
              <w:rPr>
                <w:sz w:val="20"/>
                <w:szCs w:val="20"/>
                <w:color w:val="auto"/>
              </w:rPr>
            </w:pPr>
            <w:r>
              <w:rPr>
                <w:rFonts w:ascii="Arial" w:cs="Arial" w:eastAsia="Arial" w:hAnsi="Arial"/>
                <w:sz w:val="18"/>
                <w:szCs w:val="18"/>
                <w:color w:val="auto"/>
              </w:rPr>
              <w:t>BY  /s/ Alan Miller</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vMerge w:val="restart"/>
          </w:tcPr>
          <w:p>
            <w:pPr>
              <w:spacing w:after="0"/>
              <w:rPr>
                <w:sz w:val="20"/>
                <w:szCs w:val="20"/>
                <w:color w:val="auto"/>
              </w:rPr>
            </w:pPr>
            <w:r>
              <w:rPr>
                <w:rFonts w:ascii="Arial" w:cs="Arial" w:eastAsia="Arial" w:hAnsi="Arial"/>
                <w:sz w:val="18"/>
                <w:szCs w:val="18"/>
                <w:color w:val="auto"/>
              </w:rPr>
              <w:t>Chief Financial Officer and Treasurer</w:t>
            </w:r>
          </w:p>
        </w:tc>
        <w:tc>
          <w:tcPr>
            <w:tcW w:w="7460" w:type="dxa"/>
            <w:vAlign w:val="bottom"/>
            <w:gridSpan w:val="3"/>
          </w:tcPr>
          <w:p>
            <w:pPr>
              <w:ind w:left="1720"/>
              <w:spacing w:after="0"/>
              <w:rPr>
                <w:sz w:val="20"/>
                <w:szCs w:val="20"/>
                <w:color w:val="auto"/>
              </w:rPr>
            </w:pPr>
            <w:r>
              <w:rPr>
                <w:rFonts w:ascii="Arial" w:cs="Arial" w:eastAsia="Arial" w:hAnsi="Arial"/>
                <w:sz w:val="18"/>
                <w:szCs w:val="18"/>
                <w:color w:val="auto"/>
              </w:rPr>
              <w:t>Alan Miller</w:t>
            </w:r>
          </w:p>
        </w:tc>
        <w:tc>
          <w:tcPr>
            <w:tcW w:w="0" w:type="dxa"/>
            <w:vAlign w:val="bottom"/>
          </w:tcPr>
          <w:p>
            <w:pPr>
              <w:spacing w:after="0"/>
              <w:rPr>
                <w:sz w:val="1"/>
                <w:szCs w:val="1"/>
                <w:color w:val="auto"/>
              </w:rPr>
            </w:pPr>
          </w:p>
        </w:tc>
      </w:tr>
      <w:tr>
        <w:trPr>
          <w:trHeight w:val="216"/>
        </w:trPr>
        <w:tc>
          <w:tcPr>
            <w:tcW w:w="3960" w:type="dxa"/>
            <w:vAlign w:val="bottom"/>
            <w:vMerge w:val="continue"/>
          </w:tcPr>
          <w:p>
            <w:pPr>
              <w:spacing w:after="0"/>
              <w:rPr>
                <w:sz w:val="18"/>
                <w:szCs w:val="18"/>
                <w:color w:val="auto"/>
              </w:rPr>
            </w:pPr>
          </w:p>
        </w:tc>
        <w:tc>
          <w:tcPr>
            <w:tcW w:w="7460" w:type="dxa"/>
            <w:vAlign w:val="bottom"/>
            <w:gridSpan w:val="3"/>
            <w:vMerge w:val="restart"/>
          </w:tcPr>
          <w:p>
            <w:pPr>
              <w:ind w:left="1400"/>
              <w:spacing w:after="0"/>
              <w:rPr>
                <w:sz w:val="20"/>
                <w:szCs w:val="20"/>
                <w:color w:val="auto"/>
              </w:rPr>
            </w:pPr>
            <w:r>
              <w:rPr>
                <w:rFonts w:ascii="Arial" w:cs="Arial" w:eastAsia="Arial" w:hAnsi="Arial"/>
                <w:sz w:val="18"/>
                <w:szCs w:val="18"/>
                <w:color w:val="auto"/>
              </w:rPr>
              <w:t>Signing on behalf of the registrant and as principal financial officer</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74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3960" w:type="dxa"/>
            <w:vAlign w:val="bottom"/>
          </w:tcPr>
          <w:p>
            <w:pPr>
              <w:spacing w:after="0"/>
              <w:rPr>
                <w:sz w:val="24"/>
                <w:szCs w:val="24"/>
                <w:color w:val="auto"/>
              </w:rPr>
            </w:pPr>
          </w:p>
        </w:tc>
        <w:tc>
          <w:tcPr>
            <w:tcW w:w="7460" w:type="dxa"/>
            <w:vAlign w:val="bottom"/>
            <w:gridSpan w:val="3"/>
          </w:tcPr>
          <w:p>
            <w:pPr>
              <w:ind w:left="1260"/>
              <w:spacing w:after="0"/>
              <w:rPr>
                <w:sz w:val="20"/>
                <w:szCs w:val="20"/>
                <w:color w:val="auto"/>
              </w:rPr>
            </w:pPr>
            <w:r>
              <w:rPr>
                <w:rFonts w:ascii="Arial" w:cs="Arial" w:eastAsia="Arial" w:hAnsi="Arial"/>
                <w:sz w:val="18"/>
                <w:szCs w:val="18"/>
                <w:color w:val="auto"/>
              </w:rPr>
              <w:t>Page 22 of 22</w:t>
            </w:r>
          </w:p>
        </w:tc>
        <w:tc>
          <w:tcPr>
            <w:tcW w:w="0" w:type="dxa"/>
            <w:vAlign w:val="bottom"/>
          </w:tcPr>
          <w:p>
            <w:pPr>
              <w:spacing w:after="0"/>
              <w:rPr>
                <w:sz w:val="1"/>
                <w:szCs w:val="1"/>
                <w:color w:val="auto"/>
              </w:rPr>
            </w:pPr>
          </w:p>
        </w:tc>
      </w:tr>
      <w:tr>
        <w:trPr>
          <w:trHeight w:val="118"/>
        </w:trPr>
        <w:tc>
          <w:tcPr>
            <w:tcW w:w="39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252"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Bloch</w:t>
            </w:r>
          </w:p>
        </w:tc>
        <w:tc>
          <w:tcPr>
            <w:tcW w:w="4160" w:type="dxa"/>
            <w:vAlign w:val="bottom"/>
          </w:tcPr>
          <w:p>
            <w:pPr>
              <w:ind w:left="2740"/>
              <w:spacing w:after="0"/>
              <w:rPr>
                <w:sz w:val="20"/>
                <w:szCs w:val="20"/>
                <w:color w:val="auto"/>
              </w:rPr>
            </w:pPr>
            <w:r>
              <w:rPr>
                <w:rFonts w:ascii="Arial" w:cs="Arial" w:eastAsia="Arial" w:hAnsi="Arial"/>
                <w:sz w:val="18"/>
                <w:szCs w:val="18"/>
                <w:color w:val="auto"/>
                <w:w w:val="88"/>
              </w:rPr>
              <w:t>December 15, 2014</w:t>
            </w:r>
          </w:p>
        </w:tc>
      </w:tr>
      <w:tr>
        <w:trPr>
          <w:trHeight w:val="222"/>
        </w:trPr>
        <w:tc>
          <w:tcPr>
            <w:tcW w:w="2840" w:type="dxa"/>
            <w:vAlign w:val="bottom"/>
          </w:tcPr>
          <w:p>
            <w:pPr>
              <w:ind w:left="280"/>
              <w:spacing w:after="0"/>
              <w:rPr>
                <w:sz w:val="20"/>
                <w:szCs w:val="20"/>
                <w:color w:val="auto"/>
              </w:rPr>
            </w:pPr>
            <w:r>
              <w:rPr>
                <w:rFonts w:ascii="Arial" w:cs="Arial" w:eastAsia="Arial" w:hAnsi="Arial"/>
                <w:sz w:val="18"/>
                <w:szCs w:val="18"/>
                <w:color w:val="auto"/>
              </w:rPr>
              <w:t>Martin Bloch</w:t>
            </w:r>
          </w:p>
        </w:tc>
        <w:tc>
          <w:tcPr>
            <w:tcW w:w="4160" w:type="dxa"/>
            <w:vAlign w:val="bottom"/>
          </w:tcPr>
          <w:p>
            <w:pPr>
              <w:spacing w:after="0"/>
              <w:rPr>
                <w:sz w:val="19"/>
                <w:szCs w:val="19"/>
                <w:color w:val="auto"/>
              </w:rPr>
            </w:pPr>
          </w:p>
        </w:tc>
      </w:tr>
      <w:tr>
        <w:trPr>
          <w:trHeight w:val="230"/>
        </w:trPr>
        <w:tc>
          <w:tcPr>
            <w:tcW w:w="2840" w:type="dxa"/>
            <w:vAlign w:val="bottom"/>
          </w:tcPr>
          <w:p>
            <w:pPr>
              <w:ind w:left="280"/>
              <w:spacing w:after="0"/>
              <w:rPr>
                <w:sz w:val="20"/>
                <w:szCs w:val="20"/>
                <w:color w:val="auto"/>
              </w:rPr>
            </w:pPr>
            <w:r>
              <w:rPr>
                <w:rFonts w:ascii="Arial" w:cs="Arial" w:eastAsia="Arial" w:hAnsi="Arial"/>
                <w:sz w:val="18"/>
                <w:szCs w:val="18"/>
                <w:color w:val="auto"/>
              </w:rPr>
              <w:t>Chief Executive Officer</w:t>
            </w:r>
          </w:p>
        </w:tc>
        <w:tc>
          <w:tcPr>
            <w:tcW w:w="416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Alan Miller, certify that</w:t>
      </w:r>
    </w:p>
    <w:p>
      <w:pPr>
        <w:spacing w:after="0" w:line="252"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Miller</w:t>
            </w:r>
          </w:p>
        </w:tc>
        <w:tc>
          <w:tcPr>
            <w:tcW w:w="3480" w:type="dxa"/>
            <w:vAlign w:val="bottom"/>
          </w:tcPr>
          <w:p>
            <w:pPr>
              <w:ind w:left="2080"/>
              <w:spacing w:after="0"/>
              <w:rPr>
                <w:sz w:val="20"/>
                <w:szCs w:val="20"/>
                <w:color w:val="auto"/>
              </w:rPr>
            </w:pPr>
            <w:r>
              <w:rPr>
                <w:rFonts w:ascii="Arial" w:cs="Arial" w:eastAsia="Arial" w:hAnsi="Arial"/>
                <w:sz w:val="18"/>
                <w:szCs w:val="18"/>
                <w:color w:val="auto"/>
                <w:w w:val="87"/>
              </w:rPr>
              <w:t>December 15, 2014</w:t>
            </w:r>
          </w:p>
        </w:tc>
      </w:tr>
      <w:tr>
        <w:trPr>
          <w:trHeight w:val="222"/>
        </w:trPr>
        <w:tc>
          <w:tcPr>
            <w:tcW w:w="2840" w:type="dxa"/>
            <w:vAlign w:val="bottom"/>
          </w:tcPr>
          <w:p>
            <w:pPr>
              <w:ind w:left="280"/>
              <w:spacing w:after="0"/>
              <w:rPr>
                <w:sz w:val="20"/>
                <w:szCs w:val="20"/>
                <w:color w:val="auto"/>
              </w:rPr>
            </w:pPr>
            <w:r>
              <w:rPr>
                <w:rFonts w:ascii="Arial" w:cs="Arial" w:eastAsia="Arial" w:hAnsi="Arial"/>
                <w:sz w:val="18"/>
                <w:szCs w:val="18"/>
                <w:color w:val="auto"/>
              </w:rPr>
              <w:t>Alan Miller</w:t>
            </w:r>
          </w:p>
        </w:tc>
        <w:tc>
          <w:tcPr>
            <w:tcW w:w="3480" w:type="dxa"/>
            <w:vAlign w:val="bottom"/>
          </w:tcPr>
          <w:p>
            <w:pPr>
              <w:spacing w:after="0"/>
              <w:rPr>
                <w:sz w:val="19"/>
                <w:szCs w:val="19"/>
                <w:color w:val="auto"/>
              </w:rPr>
            </w:pPr>
          </w:p>
        </w:tc>
      </w:tr>
      <w:tr>
        <w:trPr>
          <w:trHeight w:val="230"/>
        </w:trPr>
        <w:tc>
          <w:tcPr>
            <w:tcW w:w="284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348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32</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October 31, 2014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580" w:hanging="291"/>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80" w:hanging="291"/>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Bloch</w:t>
            </w:r>
          </w:p>
        </w:tc>
        <w:tc>
          <w:tcPr>
            <w:tcW w:w="3700" w:type="dxa"/>
            <w:vAlign w:val="bottom"/>
          </w:tcPr>
          <w:p>
            <w:pPr>
              <w:jc w:val="right"/>
              <w:ind w:right="530"/>
              <w:spacing w:after="0"/>
              <w:rPr>
                <w:sz w:val="20"/>
                <w:szCs w:val="20"/>
                <w:color w:val="auto"/>
              </w:rPr>
            </w:pPr>
            <w:r>
              <w:rPr>
                <w:rFonts w:ascii="Arial" w:cs="Arial" w:eastAsia="Arial" w:hAnsi="Arial"/>
                <w:sz w:val="18"/>
                <w:szCs w:val="18"/>
                <w:color w:val="auto"/>
              </w:rPr>
              <w:t>December 15, 2014</w:t>
            </w:r>
          </w:p>
        </w:tc>
      </w:tr>
      <w:tr>
        <w:trPr>
          <w:trHeight w:val="222"/>
        </w:trPr>
        <w:tc>
          <w:tcPr>
            <w:tcW w:w="2440" w:type="dxa"/>
            <w:vAlign w:val="bottom"/>
          </w:tcPr>
          <w:p>
            <w:pPr>
              <w:ind w:left="280"/>
              <w:spacing w:after="0"/>
              <w:rPr>
                <w:sz w:val="20"/>
                <w:szCs w:val="20"/>
                <w:color w:val="auto"/>
              </w:rPr>
            </w:pPr>
            <w:r>
              <w:rPr>
                <w:rFonts w:ascii="Arial" w:cs="Arial" w:eastAsia="Arial" w:hAnsi="Arial"/>
                <w:sz w:val="18"/>
                <w:szCs w:val="18"/>
                <w:color w:val="auto"/>
              </w:rPr>
              <w:t>Martin Bloch</w:t>
            </w:r>
          </w:p>
        </w:tc>
        <w:tc>
          <w:tcPr>
            <w:tcW w:w="3700" w:type="dxa"/>
            <w:vAlign w:val="bottom"/>
          </w:tcPr>
          <w:p>
            <w:pPr>
              <w:spacing w:after="0"/>
              <w:rPr>
                <w:sz w:val="19"/>
                <w:szCs w:val="19"/>
                <w:color w:val="auto"/>
              </w:rPr>
            </w:pPr>
          </w:p>
        </w:tc>
      </w:tr>
      <w:tr>
        <w:trPr>
          <w:trHeight w:val="230"/>
        </w:trPr>
        <w:tc>
          <w:tcPr>
            <w:tcW w:w="2440" w:type="dxa"/>
            <w:vAlign w:val="bottom"/>
          </w:tcPr>
          <w:p>
            <w:pPr>
              <w:ind w:left="280"/>
              <w:spacing w:after="0"/>
              <w:rPr>
                <w:sz w:val="20"/>
                <w:szCs w:val="20"/>
                <w:color w:val="auto"/>
              </w:rPr>
            </w:pPr>
            <w:r>
              <w:rPr>
                <w:rFonts w:ascii="Arial" w:cs="Arial" w:eastAsia="Arial" w:hAnsi="Arial"/>
                <w:sz w:val="18"/>
                <w:szCs w:val="18"/>
                <w:color w:val="auto"/>
              </w:rPr>
              <w:t>Chief Executive Officer</w:t>
            </w:r>
          </w:p>
        </w:tc>
        <w:tc>
          <w:tcPr>
            <w:tcW w:w="3700" w:type="dxa"/>
            <w:vAlign w:val="bottom"/>
          </w:tcPr>
          <w:p>
            <w:pPr>
              <w:spacing w:after="0"/>
              <w:rPr>
                <w:sz w:val="20"/>
                <w:szCs w:val="20"/>
                <w:color w:val="auto"/>
              </w:rPr>
            </w:pPr>
          </w:p>
        </w:tc>
      </w:tr>
      <w:tr>
        <w:trPr>
          <w:trHeight w:val="459"/>
        </w:trPr>
        <w:tc>
          <w:tcPr>
            <w:tcW w:w="2440" w:type="dxa"/>
            <w:vAlign w:val="bottom"/>
          </w:tcPr>
          <w:p>
            <w:pPr>
              <w:spacing w:after="0"/>
              <w:rPr>
                <w:sz w:val="24"/>
                <w:szCs w:val="24"/>
                <w:color w:val="auto"/>
              </w:rPr>
            </w:pPr>
          </w:p>
        </w:tc>
        <w:tc>
          <w:tcPr>
            <w:tcW w:w="3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October 31, 2014 as filed with the Securities and Exchange Commission on the date hereof (the “Report”), I, Alan Miller, Chief Financial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820" w:hanging="30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Miller</w:t>
            </w:r>
          </w:p>
        </w:tc>
        <w:tc>
          <w:tcPr>
            <w:tcW w:w="3040" w:type="dxa"/>
            <w:vAlign w:val="bottom"/>
          </w:tcPr>
          <w:p>
            <w:pPr>
              <w:ind w:left="1620"/>
              <w:spacing w:after="0"/>
              <w:rPr>
                <w:sz w:val="20"/>
                <w:szCs w:val="20"/>
                <w:color w:val="auto"/>
              </w:rPr>
            </w:pPr>
            <w:r>
              <w:rPr>
                <w:rFonts w:ascii="Arial" w:cs="Arial" w:eastAsia="Arial" w:hAnsi="Arial"/>
                <w:sz w:val="18"/>
                <w:szCs w:val="18"/>
                <w:color w:val="auto"/>
                <w:w w:val="88"/>
              </w:rPr>
              <w:t>December 15, 2014</w:t>
            </w:r>
          </w:p>
        </w:tc>
      </w:tr>
      <w:tr>
        <w:trPr>
          <w:trHeight w:val="222"/>
        </w:trPr>
        <w:tc>
          <w:tcPr>
            <w:tcW w:w="2480" w:type="dxa"/>
            <w:vAlign w:val="bottom"/>
          </w:tcPr>
          <w:p>
            <w:pPr>
              <w:ind w:left="280"/>
              <w:spacing w:after="0"/>
              <w:rPr>
                <w:sz w:val="20"/>
                <w:szCs w:val="20"/>
                <w:color w:val="auto"/>
              </w:rPr>
            </w:pPr>
            <w:r>
              <w:rPr>
                <w:rFonts w:ascii="Arial" w:cs="Arial" w:eastAsia="Arial" w:hAnsi="Arial"/>
                <w:sz w:val="18"/>
                <w:szCs w:val="18"/>
                <w:color w:val="auto"/>
              </w:rPr>
              <w:t>Alan Miller</w:t>
            </w:r>
          </w:p>
        </w:tc>
        <w:tc>
          <w:tcPr>
            <w:tcW w:w="3040" w:type="dxa"/>
            <w:vAlign w:val="bottom"/>
          </w:tcPr>
          <w:p>
            <w:pPr>
              <w:spacing w:after="0"/>
              <w:rPr>
                <w:sz w:val="19"/>
                <w:szCs w:val="19"/>
                <w:color w:val="auto"/>
              </w:rPr>
            </w:pPr>
          </w:p>
        </w:tc>
      </w:tr>
      <w:tr>
        <w:trPr>
          <w:trHeight w:val="230"/>
        </w:trPr>
        <w:tc>
          <w:tcPr>
            <w:tcW w:w="248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30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2019-12-05T09:45:27Z</dcterms:created>
  <dcterms:modified xsi:type="dcterms:W3CDTF">2019-12-05T09:45:27Z</dcterms:modified>
</cp:coreProperties>
</file>