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caps w:val="false"/>
          <w:smallCaps w:val="false"/>
          <w:bdr w:val="single" w:sz="16" w:space="1" w:color="000000"/>
        </w:rPr>
      </w:pPr>
      <w:bookmarkStart w:id="0" w:name="feim10q073126.htm"/>
      <w:bookmarkStart w:id="1" w:name="ksfeim10q073126"/>
      <w:bookmarkEnd w:id="0"/>
      <w:bookmarkEnd w:id="1"/>
      <w:r>
        <w:rPr>
          <w:caps w:val="false"/>
          <w:smallCaps w:val="false"/>
          <w:bdr w:val="single" w:sz="16" w:space="1" w:color="000000"/>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FORM 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REPORT PURSUANT TO SECTION 13 or 15(d) OF THE SECURITIES EXCHANGE ACT OF 1934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Quarterly Period ended July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 to 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No. 1-8061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FREQUENCY ELECTRONICS,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8410" w:type="dxa"/>
        <w:jc w:val="left"/>
        <w:tblInd w:w="0" w:type="dxa"/>
        <w:tblLayout w:type="fixed"/>
        <w:tblCellMar>
          <w:top w:w="0" w:type="dxa"/>
          <w:left w:w="0" w:type="dxa"/>
          <w:bottom w:w="28" w:type="dxa"/>
          <w:right w:w="0" w:type="dxa"/>
        </w:tblCellMar>
      </w:tblPr>
      <w:tblGrid>
        <w:gridCol w:w="6485"/>
        <w:gridCol w:w="90"/>
        <w:gridCol w:w="1835"/>
      </w:tblGrid>
      <w:tr>
        <w:trPr/>
        <w:tc>
          <w:tcPr>
            <w:tcW w:w="6485" w:type="dxa"/>
            <w:tcBorders>
              <w:bottom w:val="single" w:sz="8" w:space="0" w:color="000000"/>
            </w:tcBorders>
            <w:vAlign w:val="center"/>
          </w:tcPr>
          <w:p>
            <w:pPr>
              <w:pStyle w:val="TableContents"/>
              <w:bidi w:val="0"/>
              <w:spacing w:before="0" w:after="283"/>
              <w:jc w:val="center"/>
              <w:rPr>
                <w:b/>
              </w:rPr>
            </w:pPr>
            <w:r>
              <w:rPr>
                <w:b/>
              </w:rPr>
              <w:t>Delaware</w:t>
            </w:r>
          </w:p>
        </w:tc>
        <w:tc>
          <w:tcPr>
            <w:tcW w:w="9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center"/>
              <w:rPr>
                <w:b/>
              </w:rPr>
            </w:pPr>
            <w:r>
              <w:rPr>
                <w:b/>
              </w:rPr>
              <w:t>11-1986657</w:t>
            </w:r>
          </w:p>
        </w:tc>
      </w:tr>
      <w:tr>
        <w:trPr/>
        <w:tc>
          <w:tcPr>
            <w:tcW w:w="6485" w:type="dxa"/>
            <w:tcBorders/>
            <w:tcMar>
              <w:bottom w:w="0" w:type="dxa"/>
            </w:tcMar>
            <w:vAlign w:val="center"/>
          </w:tcPr>
          <w:p>
            <w:pPr>
              <w:pStyle w:val="TableContents"/>
              <w:bidi w:val="0"/>
              <w:spacing w:before="0" w:after="283"/>
              <w:jc w:val="center"/>
              <w:rPr/>
            </w:pPr>
            <w:r>
              <w:rPr/>
              <w:t xml:space="preserve">(State or other jurisdiction of </w:t>
              <w:br/>
              <w:t>incorporation or organization)</w:t>
            </w:r>
          </w:p>
        </w:tc>
        <w:tc>
          <w:tcPr>
            <w:tcW w:w="90" w:type="dxa"/>
            <w:tcBorders/>
            <w:tcMar>
              <w:bottom w:w="0" w:type="dxa"/>
            </w:tcMar>
            <w:vAlign w:val="center"/>
          </w:tcPr>
          <w:p>
            <w:pPr>
              <w:pStyle w:val="TableContents"/>
              <w:bidi w:val="0"/>
              <w:spacing w:before="0" w:after="283"/>
              <w:jc w:val="left"/>
              <w:rPr/>
            </w:pPr>
            <w:r>
              <w:rPr/>
              <w:t> </w:t>
            </w:r>
          </w:p>
        </w:tc>
        <w:tc>
          <w:tcPr>
            <w:tcW w:w="1835" w:type="dxa"/>
            <w:tcBorders/>
            <w:tcMar>
              <w:bottom w:w="0" w:type="dxa"/>
            </w:tcMar>
            <w:vAlign w:val="center"/>
          </w:tcPr>
          <w:p>
            <w:pPr>
              <w:pStyle w:val="TableContents"/>
              <w:bidi w:val="0"/>
              <w:spacing w:before="0" w:after="283"/>
              <w:jc w:val="center"/>
              <w:rPr/>
            </w:pPr>
            <w:r>
              <w:rPr/>
              <w:t xml:space="preserve">(I.R.S. Employer </w:t>
              <w:br/>
              <w:t>Identification No.)</w:t>
            </w:r>
          </w:p>
        </w:tc>
      </w:tr>
      <w:tr>
        <w:trPr/>
        <w:tc>
          <w:tcPr>
            <w:tcW w:w="648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835" w:type="dxa"/>
            <w:tcBorders/>
            <w:tcMar>
              <w:bottom w:w="0" w:type="dxa"/>
            </w:tcMar>
            <w:vAlign w:val="center"/>
          </w:tcPr>
          <w:p>
            <w:pPr>
              <w:pStyle w:val="TableContents"/>
              <w:bidi w:val="0"/>
              <w:spacing w:before="0" w:after="283"/>
              <w:jc w:val="left"/>
              <w:rPr/>
            </w:pPr>
            <w:r>
              <w:rPr/>
              <w:t> </w:t>
            </w:r>
          </w:p>
        </w:tc>
      </w:tr>
      <w:tr>
        <w:trPr/>
        <w:tc>
          <w:tcPr>
            <w:tcW w:w="6485" w:type="dxa"/>
            <w:tcBorders>
              <w:bottom w:val="single" w:sz="8" w:space="0" w:color="000000"/>
            </w:tcBorders>
            <w:vAlign w:val="center"/>
          </w:tcPr>
          <w:p>
            <w:pPr>
              <w:pStyle w:val="TableContents"/>
              <w:bidi w:val="0"/>
              <w:spacing w:before="0" w:after="283"/>
              <w:jc w:val="center"/>
              <w:rPr>
                <w:b/>
              </w:rPr>
            </w:pPr>
            <w:r>
              <w:rPr>
                <w:b/>
              </w:rPr>
              <w:t>55 CHARLES LINDBERGH BLVD., MITCHEL FIELD, NY</w:t>
            </w:r>
          </w:p>
        </w:tc>
        <w:tc>
          <w:tcPr>
            <w:tcW w:w="90" w:type="dxa"/>
            <w:tcBorders/>
            <w:tcMar>
              <w:bottom w:w="0" w:type="dxa"/>
            </w:tcMar>
            <w:vAlign w:val="center"/>
          </w:tcPr>
          <w:p>
            <w:pPr>
              <w:pStyle w:val="TableContents"/>
              <w:bidi w:val="0"/>
              <w:spacing w:before="0" w:after="283"/>
              <w:jc w:val="left"/>
              <w:rPr/>
            </w:pPr>
            <w:r>
              <w:rPr/>
              <w:t> </w:t>
            </w:r>
          </w:p>
        </w:tc>
        <w:tc>
          <w:tcPr>
            <w:tcW w:w="1835" w:type="dxa"/>
            <w:tcBorders>
              <w:bottom w:val="single" w:sz="8" w:space="0" w:color="000000"/>
            </w:tcBorders>
            <w:vAlign w:val="center"/>
          </w:tcPr>
          <w:p>
            <w:pPr>
              <w:pStyle w:val="TableContents"/>
              <w:bidi w:val="0"/>
              <w:spacing w:before="0" w:after="283"/>
              <w:jc w:val="center"/>
              <w:rPr>
                <w:b/>
              </w:rPr>
            </w:pPr>
            <w:r>
              <w:rPr>
                <w:b/>
              </w:rPr>
              <w:t>11553</w:t>
            </w:r>
          </w:p>
        </w:tc>
      </w:tr>
      <w:tr>
        <w:trPr/>
        <w:tc>
          <w:tcPr>
            <w:tcW w:w="6485" w:type="dxa"/>
            <w:tcBorders/>
            <w:tcMar>
              <w:bottom w:w="0" w:type="dxa"/>
            </w:tcMar>
            <w:vAlign w:val="center"/>
          </w:tcPr>
          <w:p>
            <w:pPr>
              <w:pStyle w:val="TableContents"/>
              <w:bidi w:val="0"/>
              <w:spacing w:before="0" w:after="283"/>
              <w:jc w:val="center"/>
              <w:rPr/>
            </w:pPr>
            <w:r>
              <w:rPr/>
              <w:t>(Address of principal executive offices)</w:t>
            </w:r>
          </w:p>
        </w:tc>
        <w:tc>
          <w:tcPr>
            <w:tcW w:w="90" w:type="dxa"/>
            <w:tcBorders/>
            <w:tcMar>
              <w:bottom w:w="0" w:type="dxa"/>
            </w:tcMar>
            <w:vAlign w:val="center"/>
          </w:tcPr>
          <w:p>
            <w:pPr>
              <w:pStyle w:val="TableContents"/>
              <w:bidi w:val="0"/>
              <w:spacing w:before="0" w:after="283"/>
              <w:jc w:val="left"/>
              <w:rPr/>
            </w:pPr>
            <w:r>
              <w:rPr/>
              <w:t> </w:t>
            </w:r>
          </w:p>
        </w:tc>
        <w:tc>
          <w:tcPr>
            <w:tcW w:w="183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516-794-4500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293"/>
        <w:gridCol w:w="90"/>
        <w:gridCol w:w="1563"/>
        <w:gridCol w:w="90"/>
        <w:gridCol w:w="4169"/>
      </w:tblGrid>
      <w:tr>
        <w:trPr/>
        <w:tc>
          <w:tcPr>
            <w:tcW w:w="4293" w:type="dxa"/>
            <w:tcBorders>
              <w:bottom w:val="single" w:sz="8" w:space="0" w:color="000000"/>
            </w:tcBorders>
            <w:vAlign w:val="center"/>
          </w:tcPr>
          <w:p>
            <w:pPr>
              <w:pStyle w:val="TableContents"/>
              <w:bidi w:val="0"/>
              <w:spacing w:before="0" w:after="283"/>
              <w:jc w:val="center"/>
              <w:rPr/>
            </w:pPr>
            <w:r>
              <w:rPr/>
              <w:t>Title of each class</w:t>
            </w:r>
          </w:p>
        </w:tc>
        <w:tc>
          <w:tcPr>
            <w:tcW w:w="90" w:type="dxa"/>
            <w:tcBorders/>
            <w:tcMar>
              <w:bottom w:w="0" w:type="dxa"/>
            </w:tcMar>
            <w:vAlign w:val="center"/>
          </w:tcPr>
          <w:p>
            <w:pPr>
              <w:pStyle w:val="TableContents"/>
              <w:bidi w:val="0"/>
              <w:spacing w:before="0" w:after="283"/>
              <w:jc w:val="left"/>
              <w:rPr/>
            </w:pPr>
            <w:r>
              <w:rPr/>
              <w:t> </w:t>
            </w:r>
          </w:p>
        </w:tc>
        <w:tc>
          <w:tcPr>
            <w:tcW w:w="1563" w:type="dxa"/>
            <w:tcBorders>
              <w:bottom w:val="single" w:sz="8" w:space="0" w:color="000000"/>
            </w:tcBorders>
            <w:vAlign w:val="center"/>
          </w:tcPr>
          <w:p>
            <w:pPr>
              <w:pStyle w:val="TableContents"/>
              <w:bidi w:val="0"/>
              <w:spacing w:before="0" w:after="283"/>
              <w:jc w:val="center"/>
              <w:rPr/>
            </w:pPr>
            <w:r>
              <w:rPr/>
              <w:t>Trading Symbol</w:t>
            </w:r>
          </w:p>
        </w:tc>
        <w:tc>
          <w:tcPr>
            <w:tcW w:w="90" w:type="dxa"/>
            <w:tcBorders/>
            <w:tcMar>
              <w:bottom w:w="0" w:type="dxa"/>
            </w:tcMar>
            <w:vAlign w:val="center"/>
          </w:tcPr>
          <w:p>
            <w:pPr>
              <w:pStyle w:val="TableContents"/>
              <w:bidi w:val="0"/>
              <w:spacing w:before="0" w:after="283"/>
              <w:jc w:val="left"/>
              <w:rPr/>
            </w:pPr>
            <w:r>
              <w:rPr/>
              <w:t> </w:t>
            </w:r>
          </w:p>
        </w:tc>
        <w:tc>
          <w:tcPr>
            <w:tcW w:w="4169" w:type="dxa"/>
            <w:tcBorders>
              <w:bottom w:val="single" w:sz="8" w:space="0" w:color="000000"/>
            </w:tcBorders>
            <w:vAlign w:val="center"/>
          </w:tcPr>
          <w:p>
            <w:pPr>
              <w:pStyle w:val="TableContents"/>
              <w:bidi w:val="0"/>
              <w:spacing w:before="0" w:after="283"/>
              <w:jc w:val="center"/>
              <w:rPr/>
            </w:pPr>
            <w:r>
              <w:rPr/>
              <w:t>Name of each exchange on which registered</w:t>
            </w:r>
          </w:p>
        </w:tc>
      </w:tr>
      <w:tr>
        <w:trPr/>
        <w:tc>
          <w:tcPr>
            <w:tcW w:w="4293" w:type="dxa"/>
            <w:tcBorders/>
            <w:tcMar>
              <w:bottom w:w="0" w:type="dxa"/>
            </w:tcMar>
            <w:vAlign w:val="center"/>
          </w:tcPr>
          <w:p>
            <w:pPr>
              <w:pStyle w:val="TableContents"/>
              <w:bidi w:val="0"/>
              <w:spacing w:before="0" w:after="283"/>
              <w:jc w:val="center"/>
              <w:rPr>
                <w:b/>
              </w:rPr>
            </w:pPr>
            <w:r>
              <w:rPr>
                <w:b/>
              </w:rPr>
              <w:t>Common Stock (par value $1.00 per share)</w:t>
            </w:r>
          </w:p>
        </w:tc>
        <w:tc>
          <w:tcPr>
            <w:tcW w:w="90" w:type="dxa"/>
            <w:tcBorders/>
            <w:tcMar>
              <w:bottom w:w="0" w:type="dxa"/>
            </w:tcMar>
            <w:vAlign w:val="center"/>
          </w:tcPr>
          <w:p>
            <w:pPr>
              <w:pStyle w:val="TableContents"/>
              <w:bidi w:val="0"/>
              <w:spacing w:before="0" w:after="283"/>
              <w:jc w:val="center"/>
              <w:rPr/>
            </w:pPr>
            <w:r>
              <w:rPr/>
              <w:t> </w:t>
            </w:r>
          </w:p>
        </w:tc>
        <w:tc>
          <w:tcPr>
            <w:tcW w:w="1563" w:type="dxa"/>
            <w:tcBorders/>
            <w:tcMar>
              <w:bottom w:w="0" w:type="dxa"/>
            </w:tcMar>
            <w:vAlign w:val="center"/>
          </w:tcPr>
          <w:p>
            <w:pPr>
              <w:pStyle w:val="TableContents"/>
              <w:bidi w:val="0"/>
              <w:spacing w:before="0" w:after="283"/>
              <w:jc w:val="center"/>
              <w:rPr>
                <w:b/>
              </w:rPr>
            </w:pPr>
            <w:r>
              <w:rPr>
                <w:b/>
              </w:rPr>
              <w:t>FEIM</w:t>
            </w:r>
          </w:p>
        </w:tc>
        <w:tc>
          <w:tcPr>
            <w:tcW w:w="90" w:type="dxa"/>
            <w:tcBorders/>
            <w:tcMar>
              <w:bottom w:w="0" w:type="dxa"/>
            </w:tcMar>
            <w:vAlign w:val="center"/>
          </w:tcPr>
          <w:p>
            <w:pPr>
              <w:pStyle w:val="TableContents"/>
              <w:bidi w:val="0"/>
              <w:spacing w:before="0" w:after="283"/>
              <w:jc w:val="center"/>
              <w:rPr/>
            </w:pPr>
            <w:r>
              <w:rPr/>
              <w:t> </w:t>
            </w:r>
          </w:p>
        </w:tc>
        <w:tc>
          <w:tcPr>
            <w:tcW w:w="4169" w:type="dxa"/>
            <w:tcBorders/>
            <w:tcMar>
              <w:bottom w:w="0" w:type="dxa"/>
            </w:tcMar>
            <w:vAlign w:val="center"/>
          </w:tcPr>
          <w:p>
            <w:pPr>
              <w:pStyle w:val="TableContents"/>
              <w:bidi w:val="0"/>
              <w:spacing w:before="0" w:after="283"/>
              <w:jc w:val="center"/>
              <w:rPr>
                <w:b/>
              </w:rPr>
            </w:pPr>
            <w:r>
              <w:rPr>
                <w:b/>
              </w:rPr>
              <w:t>NASDAQ Global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2495"/>
        <w:gridCol w:w="2525"/>
      </w:tblGrid>
      <w:tr>
        <w:trPr/>
        <w:tc>
          <w:tcPr>
            <w:tcW w:w="2495" w:type="dxa"/>
            <w:tcBorders/>
            <w:vAlign w:val="center"/>
          </w:tcPr>
          <w:p>
            <w:pPr>
              <w:pStyle w:val="TableContents"/>
              <w:bidi w:val="0"/>
              <w:spacing w:before="0" w:after="283"/>
              <w:jc w:val="left"/>
              <w:rPr>
                <w:sz w:val="20"/>
              </w:rPr>
            </w:pPr>
            <w:r>
              <w:rPr>
                <w:sz w:val="20"/>
              </w:rPr>
              <w:t>Large accelerated filer ☐</w:t>
            </w:r>
          </w:p>
        </w:tc>
        <w:tc>
          <w:tcPr>
            <w:tcW w:w="2525" w:type="dxa"/>
            <w:tcBorders/>
            <w:vAlign w:val="center"/>
          </w:tcPr>
          <w:p>
            <w:pPr>
              <w:pStyle w:val="TableContents"/>
              <w:bidi w:val="0"/>
              <w:spacing w:before="0" w:after="283"/>
              <w:jc w:val="left"/>
              <w:rPr>
                <w:sz w:val="20"/>
              </w:rPr>
            </w:pPr>
            <w:r>
              <w:rPr>
                <w:sz w:val="20"/>
              </w:rPr>
              <w:t>Accelerated filer ☐</w:t>
            </w:r>
          </w:p>
        </w:tc>
      </w:tr>
      <w:tr>
        <w:trPr/>
        <w:tc>
          <w:tcPr>
            <w:tcW w:w="2495" w:type="dxa"/>
            <w:tcBorders/>
            <w:vAlign w:val="center"/>
          </w:tcPr>
          <w:p>
            <w:pPr>
              <w:pStyle w:val="TableContents"/>
              <w:bidi w:val="0"/>
              <w:spacing w:before="0" w:after="283"/>
              <w:jc w:val="left"/>
              <w:rPr>
                <w:sz w:val="20"/>
              </w:rPr>
            </w:pPr>
            <w:r>
              <w:rPr>
                <w:sz w:val="20"/>
              </w:rPr>
              <w:t>Non-accelerated filer ☒ </w:t>
            </w:r>
          </w:p>
        </w:tc>
        <w:tc>
          <w:tcPr>
            <w:tcW w:w="2525" w:type="dxa"/>
            <w:tcBorders/>
            <w:vAlign w:val="center"/>
          </w:tcPr>
          <w:p>
            <w:pPr>
              <w:pStyle w:val="TableContents"/>
              <w:bidi w:val="0"/>
              <w:spacing w:before="0" w:after="283"/>
              <w:jc w:val="left"/>
              <w:rPr>
                <w:sz w:val="20"/>
              </w:rPr>
            </w:pPr>
            <w:r>
              <w:rPr>
                <w:sz w:val="20"/>
              </w:rPr>
              <w:t>Smaller reporting company ☒</w:t>
            </w:r>
          </w:p>
        </w:tc>
      </w:tr>
      <w:tr>
        <w:trPr/>
        <w:tc>
          <w:tcPr>
            <w:tcW w:w="2495" w:type="dxa"/>
            <w:tcBorders/>
            <w:vAlign w:val="center"/>
          </w:tcPr>
          <w:p>
            <w:pPr>
              <w:pStyle w:val="TableContents"/>
              <w:bidi w:val="0"/>
              <w:spacing w:before="0" w:after="283"/>
              <w:jc w:val="left"/>
              <w:rPr>
                <w:sz w:val="20"/>
              </w:rPr>
            </w:pPr>
            <w:r>
              <w:rPr>
                <w:sz w:val="20"/>
              </w:rPr>
              <w:t>Emerging growth company ☐</w:t>
            </w:r>
          </w:p>
        </w:tc>
        <w:tc>
          <w:tcPr>
            <w:tcW w:w="252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ONLY TO CORPORATE ISSUERS: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outstanding of registrant’s Common Stock, par value $1.00 per share, as of September 8, 2026 – 11,273,287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toc"/>
      <w:bookmarkEnd w:id="2"/>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294"/>
        <w:gridCol w:w="90"/>
        <w:gridCol w:w="821"/>
      </w:tblGrid>
      <w:tr>
        <w:trPr/>
        <w:tc>
          <w:tcPr>
            <w:tcW w:w="9294"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821" w:type="dxa"/>
            <w:tcBorders>
              <w:bottom w:val="single" w:sz="8" w:space="0" w:color="000000"/>
            </w:tcBorders>
            <w:tcMar>
              <w:bottom w:w="28" w:type="dxa"/>
            </w:tcMar>
            <w:vAlign w:val="center"/>
          </w:tcPr>
          <w:p>
            <w:pPr>
              <w:pStyle w:val="TableContents"/>
              <w:bidi w:val="0"/>
              <w:spacing w:before="0" w:after="283"/>
              <w:ind w:left="0" w:right="0" w:hanging="180"/>
              <w:jc w:val="center"/>
              <w:rPr>
                <w:b/>
              </w:rPr>
            </w:pPr>
            <w:r>
              <w:rPr>
                <w:b/>
              </w:rPr>
              <w:t>Page No.</w:t>
            </w:r>
          </w:p>
        </w:tc>
      </w:tr>
      <w:tr>
        <w:trPr/>
        <w:tc>
          <w:tcPr>
            <w:tcW w:w="9294" w:type="dxa"/>
            <w:tcBorders/>
            <w:vAlign w:val="center"/>
          </w:tcPr>
          <w:p>
            <w:pPr>
              <w:pStyle w:val="TableContents"/>
              <w:bidi w:val="0"/>
              <w:spacing w:before="0" w:after="283"/>
              <w:jc w:val="left"/>
              <w:rPr>
                <w:b/>
              </w:rPr>
            </w:pPr>
            <w:r>
              <w:rPr>
                <w:b/>
              </w:rPr>
              <w:t>Part I. Financial Information:</w:t>
            </w:r>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 </w:t>
            </w:r>
          </w:p>
        </w:tc>
      </w:tr>
      <w:tr>
        <w:trPr/>
        <w:tc>
          <w:tcPr>
            <w:tcW w:w="9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 </w:t>
            </w:r>
          </w:p>
        </w:tc>
      </w:tr>
      <w:tr>
        <w:trPr/>
        <w:tc>
          <w:tcPr>
            <w:tcW w:w="9294" w:type="dxa"/>
            <w:tcBorders/>
            <w:vAlign w:val="center"/>
          </w:tcPr>
          <w:p>
            <w:pPr>
              <w:pStyle w:val="TableContents"/>
              <w:bidi w:val="0"/>
              <w:spacing w:before="0" w:after="283"/>
              <w:jc w:val="left"/>
              <w:rPr/>
            </w:pPr>
            <w:hyperlink w:anchor="a_002">
              <w:r>
                <w:rPr>
                  <w:rStyle w:val="InternetLink"/>
                </w:rPr>
                <w:t>Item 1 - Financial Statements:</w:t>
              </w:r>
            </w:hyperlink>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1</w:t>
            </w:r>
          </w:p>
        </w:tc>
      </w:tr>
      <w:tr>
        <w:trPr/>
        <w:tc>
          <w:tcPr>
            <w:tcW w:w="9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 </w:t>
            </w:r>
          </w:p>
        </w:tc>
      </w:tr>
      <w:tr>
        <w:trPr/>
        <w:tc>
          <w:tcPr>
            <w:tcW w:w="9294" w:type="dxa"/>
            <w:tcBorders/>
            <w:vAlign w:val="center"/>
          </w:tcPr>
          <w:p>
            <w:pPr>
              <w:pStyle w:val="TableContents"/>
              <w:bidi w:val="0"/>
              <w:spacing w:before="0" w:after="283"/>
              <w:jc w:val="left"/>
              <w:rPr/>
            </w:pPr>
            <w:hyperlink w:anchor="a_001">
              <w:r>
                <w:rPr>
                  <w:rStyle w:val="InternetLink"/>
                  <w:sz w:val="20"/>
                </w:rPr>
                <w:t>Condensed Consolidated Balance Sheets – July 31, 2026 (unaudited) and April 30, 202</w:t>
              </w:r>
            </w:hyperlink>
            <w:hyperlink w:anchor="a_001">
              <w:r>
                <w:rPr>
                  <w:rStyle w:val="InternetLink"/>
                  <w:sz w:val="20"/>
                  <w:u w:val="single"/>
                </w:rPr>
                <w:t>6</w:t>
              </w:r>
            </w:hyperlink>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1</w:t>
            </w:r>
          </w:p>
        </w:tc>
      </w:tr>
      <w:tr>
        <w:trPr/>
        <w:tc>
          <w:tcPr>
            <w:tcW w:w="9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 </w:t>
            </w:r>
          </w:p>
        </w:tc>
      </w:tr>
      <w:tr>
        <w:trPr/>
        <w:tc>
          <w:tcPr>
            <w:tcW w:w="9294" w:type="dxa"/>
            <w:tcBorders/>
            <w:vAlign w:val="center"/>
          </w:tcPr>
          <w:p>
            <w:pPr>
              <w:pStyle w:val="TableContents"/>
              <w:bidi w:val="0"/>
              <w:spacing w:before="0" w:after="283"/>
              <w:jc w:val="left"/>
              <w:rPr/>
            </w:pPr>
            <w:hyperlink w:anchor="a_003">
              <w:r>
                <w:rPr>
                  <w:rStyle w:val="InternetLink"/>
                </w:rPr>
                <w:t>Condensed Consolidated Statements of Operations – Three Months Ended July 31, 2026 and 2025 (unaudited)</w:t>
              </w:r>
            </w:hyperlink>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2</w:t>
            </w:r>
          </w:p>
        </w:tc>
      </w:tr>
      <w:tr>
        <w:trPr/>
        <w:tc>
          <w:tcPr>
            <w:tcW w:w="9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 </w:t>
            </w:r>
          </w:p>
        </w:tc>
      </w:tr>
      <w:tr>
        <w:trPr/>
        <w:tc>
          <w:tcPr>
            <w:tcW w:w="9294" w:type="dxa"/>
            <w:tcBorders/>
            <w:vAlign w:val="center"/>
          </w:tcPr>
          <w:p>
            <w:pPr>
              <w:pStyle w:val="TableContents"/>
              <w:bidi w:val="0"/>
              <w:spacing w:before="0" w:after="283"/>
              <w:jc w:val="left"/>
              <w:rPr/>
            </w:pPr>
            <w:hyperlink w:anchor="a_004">
              <w:r>
                <w:rPr>
                  <w:rStyle w:val="InternetLink"/>
                </w:rPr>
                <w:t>Condensed Consolidated Statements of Cash Flows – Three Months Ended July 31, 2026 and 2025 (unaudited)</w:t>
              </w:r>
            </w:hyperlink>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3</w:t>
            </w:r>
          </w:p>
        </w:tc>
      </w:tr>
      <w:tr>
        <w:trPr/>
        <w:tc>
          <w:tcPr>
            <w:tcW w:w="9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 </w:t>
            </w:r>
          </w:p>
        </w:tc>
      </w:tr>
      <w:tr>
        <w:trPr/>
        <w:tc>
          <w:tcPr>
            <w:tcW w:w="9294" w:type="dxa"/>
            <w:tcBorders/>
            <w:vAlign w:val="center"/>
          </w:tcPr>
          <w:p>
            <w:pPr>
              <w:pStyle w:val="TableContents"/>
              <w:bidi w:val="0"/>
              <w:spacing w:before="0" w:after="283"/>
              <w:jc w:val="left"/>
              <w:rPr/>
            </w:pPr>
            <w:hyperlink w:anchor="a_005">
              <w:r>
                <w:rPr>
                  <w:rStyle w:val="InternetLink"/>
                </w:rPr>
                <w:t>Condensed Consolidated Statements of Changes in Stockholders’ Equity – Three Months Ended July 31, 2026 and 2025 (unaudited)</w:t>
              </w:r>
            </w:hyperlink>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4</w:t>
            </w:r>
          </w:p>
        </w:tc>
      </w:tr>
      <w:tr>
        <w:trPr/>
        <w:tc>
          <w:tcPr>
            <w:tcW w:w="9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 </w:t>
            </w:r>
          </w:p>
        </w:tc>
      </w:tr>
      <w:tr>
        <w:trPr/>
        <w:tc>
          <w:tcPr>
            <w:tcW w:w="9294" w:type="dxa"/>
            <w:tcBorders/>
            <w:vAlign w:val="center"/>
          </w:tcPr>
          <w:p>
            <w:pPr>
              <w:pStyle w:val="TableContents"/>
              <w:bidi w:val="0"/>
              <w:spacing w:before="0" w:after="283"/>
              <w:jc w:val="left"/>
              <w:rPr/>
            </w:pPr>
            <w:hyperlink w:anchor="a_006">
              <w:r>
                <w:rPr>
                  <w:rStyle w:val="InternetLink"/>
                </w:rPr>
                <w:t>Notes to Condensed Consolidated Financial Statements (unaudited)</w:t>
              </w:r>
            </w:hyperlink>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5-13</w:t>
            </w:r>
          </w:p>
        </w:tc>
      </w:tr>
      <w:tr>
        <w:trPr/>
        <w:tc>
          <w:tcPr>
            <w:tcW w:w="9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 </w:t>
            </w:r>
          </w:p>
        </w:tc>
      </w:tr>
      <w:tr>
        <w:trPr/>
        <w:tc>
          <w:tcPr>
            <w:tcW w:w="9294" w:type="dxa"/>
            <w:tcBorders/>
            <w:vAlign w:val="center"/>
          </w:tcPr>
          <w:p>
            <w:pPr>
              <w:pStyle w:val="TableContents"/>
              <w:bidi w:val="0"/>
              <w:spacing w:before="0" w:after="283"/>
              <w:jc w:val="left"/>
              <w:rPr/>
            </w:pPr>
            <w:hyperlink w:anchor="a_007">
              <w:r>
                <w:rPr>
                  <w:rStyle w:val="InternetLink"/>
                </w:rPr>
                <w:t>Item 2 - Management’s Discussion and Analysis of Financial Condition and Results of Operations</w:t>
              </w:r>
            </w:hyperlink>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14-19</w:t>
            </w:r>
          </w:p>
        </w:tc>
      </w:tr>
      <w:tr>
        <w:trPr/>
        <w:tc>
          <w:tcPr>
            <w:tcW w:w="9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 </w:t>
            </w:r>
          </w:p>
        </w:tc>
      </w:tr>
      <w:tr>
        <w:trPr/>
        <w:tc>
          <w:tcPr>
            <w:tcW w:w="9294" w:type="dxa"/>
            <w:tcBorders/>
            <w:vAlign w:val="center"/>
          </w:tcPr>
          <w:p>
            <w:pPr>
              <w:pStyle w:val="TableContents"/>
              <w:bidi w:val="0"/>
              <w:spacing w:before="0" w:after="283"/>
              <w:jc w:val="left"/>
              <w:rPr/>
            </w:pPr>
            <w:hyperlink w:anchor="a_008">
              <w:r>
                <w:rPr>
                  <w:rStyle w:val="InternetLink"/>
                </w:rPr>
                <w:t>Item 3 - Quantitative and Qualitative Disclosures About Market Risk</w:t>
              </w:r>
            </w:hyperlink>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20</w:t>
            </w:r>
          </w:p>
        </w:tc>
      </w:tr>
      <w:tr>
        <w:trPr/>
        <w:tc>
          <w:tcPr>
            <w:tcW w:w="9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 </w:t>
            </w:r>
          </w:p>
        </w:tc>
      </w:tr>
      <w:tr>
        <w:trPr/>
        <w:tc>
          <w:tcPr>
            <w:tcW w:w="9294" w:type="dxa"/>
            <w:tcBorders/>
            <w:vAlign w:val="center"/>
          </w:tcPr>
          <w:p>
            <w:pPr>
              <w:pStyle w:val="TableContents"/>
              <w:bidi w:val="0"/>
              <w:spacing w:before="0" w:after="283"/>
              <w:jc w:val="left"/>
              <w:rPr/>
            </w:pPr>
            <w:hyperlink w:anchor="a_009">
              <w:r>
                <w:rPr>
                  <w:rStyle w:val="InternetLink"/>
                </w:rPr>
                <w:t>Item 4 - Controls and Procedures</w:t>
              </w:r>
            </w:hyperlink>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20</w:t>
            </w:r>
          </w:p>
        </w:tc>
      </w:tr>
      <w:tr>
        <w:trPr/>
        <w:tc>
          <w:tcPr>
            <w:tcW w:w="9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 </w:t>
            </w:r>
          </w:p>
        </w:tc>
      </w:tr>
      <w:tr>
        <w:trPr/>
        <w:tc>
          <w:tcPr>
            <w:tcW w:w="9294" w:type="dxa"/>
            <w:tcBorders/>
            <w:vAlign w:val="center"/>
          </w:tcPr>
          <w:p>
            <w:pPr>
              <w:pStyle w:val="TableContents"/>
              <w:bidi w:val="0"/>
              <w:spacing w:before="0" w:after="283"/>
              <w:jc w:val="left"/>
              <w:rPr>
                <w:b/>
              </w:rPr>
            </w:pPr>
            <w:r>
              <w:rPr>
                <w:b/>
              </w:rPr>
              <w:t>Part II. Other Information:</w:t>
            </w:r>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 </w:t>
            </w:r>
          </w:p>
        </w:tc>
      </w:tr>
      <w:tr>
        <w:trPr/>
        <w:tc>
          <w:tcPr>
            <w:tcW w:w="9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 </w:t>
            </w:r>
          </w:p>
        </w:tc>
      </w:tr>
      <w:tr>
        <w:trPr/>
        <w:tc>
          <w:tcPr>
            <w:tcW w:w="9294" w:type="dxa"/>
            <w:tcBorders/>
            <w:vAlign w:val="center"/>
          </w:tcPr>
          <w:p>
            <w:pPr>
              <w:pStyle w:val="TableContents"/>
              <w:bidi w:val="0"/>
              <w:spacing w:before="0" w:after="283"/>
              <w:jc w:val="left"/>
              <w:rPr/>
            </w:pPr>
            <w:hyperlink w:anchor="a_010">
              <w:r>
                <w:rPr>
                  <w:rStyle w:val="InternetLink"/>
                </w:rPr>
                <w:t>Item 1A – Risk Factors</w:t>
              </w:r>
            </w:hyperlink>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21</w:t>
            </w:r>
          </w:p>
        </w:tc>
      </w:tr>
      <w:tr>
        <w:trPr/>
        <w:tc>
          <w:tcPr>
            <w:tcW w:w="9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 </w:t>
            </w:r>
          </w:p>
        </w:tc>
      </w:tr>
      <w:tr>
        <w:trPr/>
        <w:tc>
          <w:tcPr>
            <w:tcW w:w="9294" w:type="dxa"/>
            <w:tcBorders/>
            <w:vAlign w:val="center"/>
          </w:tcPr>
          <w:p>
            <w:pPr>
              <w:pStyle w:val="TableContents"/>
              <w:bidi w:val="0"/>
              <w:spacing w:before="0" w:after="283"/>
              <w:jc w:val="left"/>
              <w:rPr/>
            </w:pPr>
            <w:hyperlink w:anchor="a_011">
              <w:r>
                <w:rPr>
                  <w:rStyle w:val="InternetLink"/>
                </w:rPr>
                <w:t>Item 2 – Unregistered Sales of Equity Securities and Use of Proceeds</w:t>
              </w:r>
            </w:hyperlink>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21</w:t>
            </w:r>
          </w:p>
        </w:tc>
      </w:tr>
      <w:tr>
        <w:trPr/>
        <w:tc>
          <w:tcPr>
            <w:tcW w:w="9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 </w:t>
            </w:r>
          </w:p>
        </w:tc>
      </w:tr>
      <w:tr>
        <w:trPr/>
        <w:tc>
          <w:tcPr>
            <w:tcW w:w="9294" w:type="dxa"/>
            <w:tcBorders/>
            <w:vAlign w:val="center"/>
          </w:tcPr>
          <w:p>
            <w:pPr>
              <w:pStyle w:val="TableContents"/>
              <w:bidi w:val="0"/>
              <w:spacing w:before="0" w:after="283"/>
              <w:jc w:val="left"/>
              <w:rPr/>
            </w:pPr>
            <w:hyperlink w:anchor="a_012">
              <w:r>
                <w:rPr>
                  <w:rStyle w:val="InternetLink"/>
                </w:rPr>
                <w:t>Item 5 – Other Information</w:t>
              </w:r>
            </w:hyperlink>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22</w:t>
            </w:r>
          </w:p>
        </w:tc>
      </w:tr>
      <w:tr>
        <w:trPr/>
        <w:tc>
          <w:tcPr>
            <w:tcW w:w="9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 </w:t>
            </w:r>
          </w:p>
        </w:tc>
      </w:tr>
      <w:tr>
        <w:trPr/>
        <w:tc>
          <w:tcPr>
            <w:tcW w:w="9294" w:type="dxa"/>
            <w:tcBorders/>
            <w:vAlign w:val="center"/>
          </w:tcPr>
          <w:p>
            <w:pPr>
              <w:pStyle w:val="TableContents"/>
              <w:bidi w:val="0"/>
              <w:spacing w:before="0" w:after="283"/>
              <w:jc w:val="left"/>
              <w:rPr/>
            </w:pPr>
            <w:hyperlink w:anchor="a_013">
              <w:r>
                <w:rPr>
                  <w:rStyle w:val="InternetLink"/>
                </w:rPr>
                <w:t>Item 6 - Exhibits</w:t>
              </w:r>
            </w:hyperlink>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22</w:t>
            </w:r>
          </w:p>
        </w:tc>
      </w:tr>
      <w:tr>
        <w:trPr/>
        <w:tc>
          <w:tcPr>
            <w:tcW w:w="9294"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ind w:left="0" w:right="0" w:hanging="180"/>
              <w:jc w:val="center"/>
              <w:rPr/>
            </w:pPr>
            <w:r>
              <w:rPr/>
              <w:t> </w:t>
            </w:r>
          </w:p>
        </w:tc>
      </w:tr>
      <w:tr>
        <w:trPr/>
        <w:tc>
          <w:tcPr>
            <w:tcW w:w="9294" w:type="dxa"/>
            <w:tcBorders/>
            <w:vAlign w:val="center"/>
          </w:tcPr>
          <w:p>
            <w:pPr>
              <w:pStyle w:val="TableContents"/>
              <w:bidi w:val="0"/>
              <w:spacing w:before="0" w:after="283"/>
              <w:jc w:val="left"/>
              <w:rPr/>
            </w:pPr>
            <w:hyperlink w:anchor="a_014">
              <w:r>
                <w:rPr>
                  <w:rStyle w:val="InternetLink"/>
                </w:rPr>
                <w:t>Signatures</w:t>
              </w:r>
            </w:hyperlink>
          </w:p>
        </w:tc>
        <w:tc>
          <w:tcPr>
            <w:tcW w:w="90" w:type="dxa"/>
            <w:tcBorders/>
            <w:vAlign w:val="center"/>
          </w:tcPr>
          <w:p>
            <w:pPr>
              <w:pStyle w:val="TableContents"/>
              <w:bidi w:val="0"/>
              <w:spacing w:before="0" w:after="283"/>
              <w:jc w:val="left"/>
              <w:rPr/>
            </w:pPr>
            <w:r>
              <w:rPr/>
              <w:t> </w:t>
            </w:r>
          </w:p>
        </w:tc>
        <w:tc>
          <w:tcPr>
            <w:tcW w:w="821"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3" w:name="a_002"/>
      <w:bookmarkEnd w:id="3"/>
      <w:r>
        <w:rPr>
          <w:rFonts w:ascii="Times New Roman;Times;Serif" w:hAnsi="Times New Roman;Times;Serif"/>
          <w:b/>
          <w:i w:val="false"/>
          <w:caps w:val="false"/>
          <w:smallCaps w:val="false"/>
          <w:sz w:val="20"/>
        </w:rPr>
        <w:t>Item 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1"/>
      <w:bookmarkEnd w:id="4"/>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par value)</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0"/>
        <w:gridCol w:w="90"/>
        <w:gridCol w:w="271"/>
        <w:gridCol w:w="1331"/>
        <w:gridCol w:w="125"/>
        <w:gridCol w:w="90"/>
        <w:gridCol w:w="174"/>
        <w:gridCol w:w="727"/>
        <w:gridCol w:w="147"/>
      </w:tblGrid>
      <w:tr>
        <w:trPr/>
        <w:tc>
          <w:tcPr>
            <w:tcW w:w="725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602" w:type="dxa"/>
            <w:gridSpan w:val="2"/>
            <w:tcBorders/>
            <w:vAlign w:val="center"/>
          </w:tcPr>
          <w:p>
            <w:pPr>
              <w:pStyle w:val="TableContents"/>
              <w:bidi w:val="0"/>
              <w:spacing w:before="0" w:after="283"/>
              <w:jc w:val="center"/>
              <w:rPr>
                <w:b/>
              </w:rPr>
            </w:pPr>
            <w:r>
              <w:rPr>
                <w:b/>
              </w:rPr>
              <w:t>July 31,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1" w:type="dxa"/>
            <w:gridSpan w:val="2"/>
            <w:tcBorders/>
            <w:vAlign w:val="center"/>
          </w:tcPr>
          <w:p>
            <w:pPr>
              <w:pStyle w:val="TableContents"/>
              <w:bidi w:val="0"/>
              <w:spacing w:before="0" w:after="283"/>
              <w:jc w:val="center"/>
              <w:rPr>
                <w:b/>
              </w:rPr>
            </w:pPr>
            <w:r>
              <w:rPr>
                <w:b/>
              </w:rPr>
              <w:t>April 30,</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02" w:type="dxa"/>
            <w:gridSpan w:val="2"/>
            <w:tcBorders/>
            <w:vAlign w:val="center"/>
          </w:tcPr>
          <w:p>
            <w:pPr>
              <w:pStyle w:val="TableContents"/>
              <w:bidi w:val="0"/>
              <w:spacing w:before="0" w:after="283"/>
              <w:jc w:val="center"/>
              <w:rPr/>
            </w:pPr>
            <w:r>
              <w:rPr/>
              <w:t>(UNAUDITED)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1" w:type="dxa"/>
            <w:gridSpan w:val="2"/>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vAlign w:val="center"/>
          </w:tcPr>
          <w:p>
            <w:pPr>
              <w:pStyle w:val="TableContents"/>
              <w:bidi w:val="0"/>
              <w:spacing w:before="0" w:after="283"/>
              <w:jc w:val="center"/>
              <w:rPr>
                <w:b/>
              </w:rPr>
            </w:pPr>
            <w:r>
              <w:rPr>
                <w:b/>
              </w:rPr>
              <w:t>ASSETS:</w:t>
            </w:r>
          </w:p>
        </w:tc>
        <w:tc>
          <w:tcPr>
            <w:tcW w:w="90" w:type="dxa"/>
            <w:tcBorders/>
            <w:vAlign w:val="center"/>
          </w:tcPr>
          <w:p>
            <w:pPr>
              <w:pStyle w:val="TableContents"/>
              <w:bidi w:val="0"/>
              <w:spacing w:before="0" w:after="283"/>
              <w:jc w:val="left"/>
              <w:rPr/>
            </w:pPr>
            <w:r>
              <w:rPr/>
              <w:t> </w:t>
            </w:r>
          </w:p>
        </w:tc>
        <w:tc>
          <w:tcPr>
            <w:tcW w:w="1602"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1" w:type="dxa"/>
            <w:gridSpan w:val="2"/>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vAlign w:val="center"/>
          </w:tcPr>
          <w:p>
            <w:pPr>
              <w:pStyle w:val="TableContents"/>
              <w:bidi w:val="0"/>
              <w:spacing w:before="0" w:after="283"/>
              <w:jc w:val="left"/>
              <w:rPr/>
            </w:pPr>
            <w:r>
              <w:rPr/>
              <w:t>Current assets:</w:t>
            </w:r>
          </w:p>
        </w:tc>
        <w:tc>
          <w:tcPr>
            <w:tcW w:w="90" w:type="dxa"/>
            <w:tcBorders/>
            <w:vAlign w:val="center"/>
          </w:tcPr>
          <w:p>
            <w:pPr>
              <w:pStyle w:val="TableContents"/>
              <w:bidi w:val="0"/>
              <w:spacing w:before="0" w:after="283"/>
              <w:jc w:val="left"/>
              <w:rPr/>
            </w:pPr>
            <w:r>
              <w:rPr/>
              <w:t> </w:t>
            </w:r>
          </w:p>
        </w:tc>
        <w:tc>
          <w:tcPr>
            <w:tcW w:w="1602"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1" w:type="dxa"/>
            <w:gridSpan w:val="2"/>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331" w:type="dxa"/>
            <w:tcBorders/>
            <w:shd w:fill="CCEEFF" w:val="clear"/>
            <w:vAlign w:val="center"/>
          </w:tcPr>
          <w:p>
            <w:pPr>
              <w:pStyle w:val="TableContents"/>
              <w:bidi w:val="0"/>
              <w:spacing w:before="0" w:after="283"/>
              <w:jc w:val="right"/>
              <w:rPr/>
            </w:pPr>
            <w:r>
              <w:rPr/>
              <w:t>61,407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27" w:type="dxa"/>
            <w:tcBorders/>
            <w:shd w:fill="CCEEFF" w:val="clear"/>
            <w:vAlign w:val="center"/>
          </w:tcPr>
          <w:p>
            <w:pPr>
              <w:pStyle w:val="TableContents"/>
              <w:bidi w:val="0"/>
              <w:spacing w:before="0" w:after="283"/>
              <w:jc w:val="right"/>
              <w:rPr/>
            </w:pPr>
            <w:r>
              <w:rPr/>
              <w:t>1,603</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50" w:type="dxa"/>
            <w:tcBorders/>
            <w:vAlign w:val="center"/>
          </w:tcPr>
          <w:p>
            <w:pPr>
              <w:pStyle w:val="TableContents"/>
              <w:bidi w:val="0"/>
              <w:spacing w:before="0" w:after="283"/>
              <w:jc w:val="left"/>
              <w:rPr/>
            </w:pPr>
            <w:r>
              <w:rPr/>
              <w:t>Accounts receivable, net of allowances of $39 at July 31, 2026 and at April 30, 2026</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6,224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pPr>
            <w:r>
              <w:rPr/>
              <w:t>4,637</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shd w:fill="CCEEFF" w:val="clear"/>
            <w:vAlign w:val="center"/>
          </w:tcPr>
          <w:p>
            <w:pPr>
              <w:pStyle w:val="TableContents"/>
              <w:bidi w:val="0"/>
              <w:spacing w:before="0" w:after="283"/>
              <w:jc w:val="left"/>
              <w:rPr/>
            </w:pPr>
            <w:r>
              <w:rPr/>
              <w:t>Contract assets</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19,637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17,277</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50" w:type="dxa"/>
            <w:tcBorders/>
            <w:vAlign w:val="center"/>
          </w:tcPr>
          <w:p>
            <w:pPr>
              <w:pStyle w:val="TableContents"/>
              <w:bidi w:val="0"/>
              <w:spacing w:before="0" w:after="283"/>
              <w:jc w:val="left"/>
              <w:rPr/>
            </w:pPr>
            <w:r>
              <w:rPr/>
              <w:t>Inventories</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22,206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pPr>
            <w:r>
              <w:rPr/>
              <w:t>22,618</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shd w:fill="CCEEFF" w:val="clear"/>
            <w:vAlign w:val="center"/>
          </w:tcPr>
          <w:p>
            <w:pPr>
              <w:pStyle w:val="TableContents"/>
              <w:bidi w:val="0"/>
              <w:spacing w:before="0" w:after="283"/>
              <w:jc w:val="left"/>
              <w:rPr/>
            </w:pPr>
            <w:r>
              <w:rPr/>
              <w:t>Prepaid income taxes</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85</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221</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50" w:type="dxa"/>
            <w:tcBorders/>
            <w:vAlign w:val="center"/>
          </w:tcPr>
          <w:p>
            <w:pPr>
              <w:pStyle w:val="TableContents"/>
              <w:bidi w:val="0"/>
              <w:spacing w:before="0" w:after="283"/>
              <w:jc w:val="left"/>
              <w:rPr/>
            </w:pPr>
            <w:r>
              <w:rPr/>
              <w:t>Prepaid expenses and other</w:t>
            </w:r>
          </w:p>
        </w:tc>
        <w:tc>
          <w:tcPr>
            <w:tcW w:w="90" w:type="dxa"/>
            <w:tcBorders/>
            <w:vAlign w:val="center"/>
          </w:tcPr>
          <w:p>
            <w:pPr>
              <w:pStyle w:val="TableContents"/>
              <w:bidi w:val="0"/>
              <w:spacing w:before="0" w:after="283"/>
              <w:jc w:val="left"/>
              <w:rPr/>
            </w:pPr>
            <w:r>
              <w:rPr/>
              <w:t> </w:t>
            </w:r>
          </w:p>
        </w:tc>
        <w:tc>
          <w:tcPr>
            <w:tcW w:w="271" w:type="dxa"/>
            <w:tcBorders>
              <w:bottom w:val="single" w:sz="8" w:space="0" w:color="000000"/>
            </w:tcBorders>
            <w:tcMar>
              <w:bottom w:w="28" w:type="dxa"/>
            </w:tcMar>
            <w:vAlign w:val="center"/>
          </w:tcPr>
          <w:p>
            <w:pPr>
              <w:pStyle w:val="TableContents"/>
              <w:bidi w:val="0"/>
              <w:spacing w:before="0" w:after="283"/>
              <w:jc w:val="left"/>
              <w:rPr/>
            </w:pPr>
            <w:r>
              <w:rPr/>
              <w:t> </w:t>
            </w:r>
          </w:p>
        </w:tc>
        <w:tc>
          <w:tcPr>
            <w:tcW w:w="1331" w:type="dxa"/>
            <w:tcBorders>
              <w:bottom w:val="single" w:sz="8" w:space="0" w:color="000000"/>
            </w:tcBorders>
            <w:tcMar>
              <w:bottom w:w="28" w:type="dxa"/>
            </w:tcMar>
            <w:vAlign w:val="center"/>
          </w:tcPr>
          <w:p>
            <w:pPr>
              <w:pStyle w:val="TableContents"/>
              <w:bidi w:val="0"/>
              <w:spacing w:before="0" w:after="283"/>
              <w:jc w:val="right"/>
              <w:rPr/>
            </w:pPr>
            <w:r>
              <w:rPr/>
              <w:t>1,493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tcMar>
              <w:bottom w:w="28" w:type="dxa"/>
            </w:tcMar>
            <w:vAlign w:val="center"/>
          </w:tcPr>
          <w:p>
            <w:pPr>
              <w:pStyle w:val="TableContents"/>
              <w:bidi w:val="0"/>
              <w:spacing w:before="0" w:after="283"/>
              <w:jc w:val="right"/>
              <w:rPr/>
            </w:pPr>
            <w:r>
              <w:rPr/>
              <w:t>1,620</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shd w:fill="CCEEFF" w:val="clear"/>
            <w:vAlign w:val="center"/>
          </w:tcPr>
          <w:p>
            <w:pPr>
              <w:pStyle w:val="TableContents"/>
              <w:bidi w:val="0"/>
              <w:spacing w:before="0" w:after="283"/>
              <w:jc w:val="left"/>
              <w:rPr/>
            </w:pPr>
            <w:r>
              <w:rPr/>
              <w:t>Total current assets</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111,052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47,976</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50" w:type="dxa"/>
            <w:tcBorders/>
            <w:vAlign w:val="center"/>
          </w:tcPr>
          <w:p>
            <w:pPr>
              <w:pStyle w:val="TableContents"/>
              <w:bidi w:val="0"/>
              <w:spacing w:before="0" w:after="283"/>
              <w:jc w:val="left"/>
              <w:rPr/>
            </w:pPr>
            <w:r>
              <w:rPr/>
              <w:t>Property, plant, and equipment, net</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7,661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pPr>
            <w:r>
              <w:rPr/>
              <w:t>7,105</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shd w:fill="CCEEFF" w:val="clear"/>
            <w:vAlign w:val="center"/>
          </w:tcPr>
          <w:p>
            <w:pPr>
              <w:pStyle w:val="TableContents"/>
              <w:bidi w:val="0"/>
              <w:spacing w:before="0" w:after="283"/>
              <w:jc w:val="left"/>
              <w:rPr/>
            </w:pPr>
            <w:r>
              <w:rPr/>
              <w:t>Deferred taxes</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13,219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14,084</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50" w:type="dxa"/>
            <w:tcBorders/>
            <w:vAlign w:val="center"/>
          </w:tcPr>
          <w:p>
            <w:pPr>
              <w:pStyle w:val="TableContents"/>
              <w:bidi w:val="0"/>
              <w:spacing w:before="0" w:after="283"/>
              <w:jc w:val="left"/>
              <w:rPr/>
            </w:pPr>
            <w:r>
              <w:rPr/>
              <w:t>Goodwill</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218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pPr>
            <w:r>
              <w:rPr/>
              <w:t>218</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shd w:fill="CCEEFF" w:val="clear"/>
            <w:vAlign w:val="center"/>
          </w:tcPr>
          <w:p>
            <w:pPr>
              <w:pStyle w:val="TableContents"/>
              <w:bidi w:val="0"/>
              <w:spacing w:before="0" w:after="283"/>
              <w:jc w:val="left"/>
              <w:rPr/>
            </w:pPr>
            <w:r>
              <w:rPr/>
              <w:t>Cash surrender value of life insurance and assets held in trust</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11,797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11,744</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50" w:type="dxa"/>
            <w:tcBorders/>
            <w:vAlign w:val="center"/>
          </w:tcPr>
          <w:p>
            <w:pPr>
              <w:pStyle w:val="TableContents"/>
              <w:bidi w:val="0"/>
              <w:spacing w:before="0" w:after="283"/>
              <w:jc w:val="left"/>
              <w:rPr/>
            </w:pPr>
            <w:r>
              <w:rPr/>
              <w:t>Right-of-use assets – operating leases</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6,953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pPr>
            <w:r>
              <w:rPr/>
              <w:t>7,409</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shd w:fill="CCEEFF" w:val="clear"/>
            <w:vAlign w:val="center"/>
          </w:tcPr>
          <w:p>
            <w:pPr>
              <w:pStyle w:val="TableContents"/>
              <w:bidi w:val="0"/>
              <w:spacing w:before="0" w:after="283"/>
              <w:jc w:val="left"/>
              <w:rPr/>
            </w:pPr>
            <w:r>
              <w:rPr/>
              <w:t>Restricted cash</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1,338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1,331</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50" w:type="dxa"/>
            <w:tcBorders/>
            <w:vAlign w:val="center"/>
          </w:tcPr>
          <w:p>
            <w:pPr>
              <w:pStyle w:val="TableContents"/>
              <w:bidi w:val="0"/>
              <w:spacing w:before="0" w:after="283"/>
              <w:jc w:val="left"/>
              <w:rPr/>
            </w:pPr>
            <w:r>
              <w:rPr/>
              <w:t>Other assets</w:t>
            </w:r>
          </w:p>
        </w:tc>
        <w:tc>
          <w:tcPr>
            <w:tcW w:w="90" w:type="dxa"/>
            <w:tcBorders/>
            <w:vAlign w:val="center"/>
          </w:tcPr>
          <w:p>
            <w:pPr>
              <w:pStyle w:val="TableContents"/>
              <w:bidi w:val="0"/>
              <w:spacing w:before="0" w:after="283"/>
              <w:jc w:val="left"/>
              <w:rPr/>
            </w:pPr>
            <w:r>
              <w:rPr/>
              <w:t> </w:t>
            </w:r>
          </w:p>
        </w:tc>
        <w:tc>
          <w:tcPr>
            <w:tcW w:w="271" w:type="dxa"/>
            <w:tcBorders>
              <w:bottom w:val="single" w:sz="8" w:space="0" w:color="000000"/>
            </w:tcBorders>
            <w:tcMar>
              <w:bottom w:w="28" w:type="dxa"/>
            </w:tcMar>
            <w:vAlign w:val="center"/>
          </w:tcPr>
          <w:p>
            <w:pPr>
              <w:pStyle w:val="TableContents"/>
              <w:bidi w:val="0"/>
              <w:spacing w:before="0" w:after="283"/>
              <w:jc w:val="left"/>
              <w:rPr/>
            </w:pPr>
            <w:r>
              <w:rPr/>
              <w:t> </w:t>
            </w:r>
          </w:p>
        </w:tc>
        <w:tc>
          <w:tcPr>
            <w:tcW w:w="1331" w:type="dxa"/>
            <w:tcBorders>
              <w:bottom w:val="single" w:sz="8" w:space="0" w:color="000000"/>
            </w:tcBorders>
            <w:tcMar>
              <w:bottom w:w="28" w:type="dxa"/>
            </w:tcMar>
            <w:vAlign w:val="center"/>
          </w:tcPr>
          <w:p>
            <w:pPr>
              <w:pStyle w:val="TableContents"/>
              <w:bidi w:val="0"/>
              <w:spacing w:before="0" w:after="283"/>
              <w:jc w:val="right"/>
              <w:rPr/>
            </w:pPr>
            <w:r>
              <w:rPr/>
              <w:t>1,339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tcMar>
              <w:bottom w:w="28" w:type="dxa"/>
            </w:tcMar>
            <w:vAlign w:val="center"/>
          </w:tcPr>
          <w:p>
            <w:pPr>
              <w:pStyle w:val="TableContents"/>
              <w:bidi w:val="0"/>
              <w:spacing w:before="0" w:after="283"/>
              <w:jc w:val="right"/>
              <w:rPr/>
            </w:pPr>
            <w:r>
              <w:rPr/>
              <w:t>839</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shd w:fill="CCEEFF" w:val="clear"/>
            <w:vAlign w:val="center"/>
          </w:tcPr>
          <w:p>
            <w:pPr>
              <w:pStyle w:val="TableContents"/>
              <w:bidi w:val="0"/>
              <w:spacing w:before="0" w:after="283"/>
              <w:jc w:val="left"/>
              <w:rPr>
                <w:b/>
              </w:rPr>
            </w:pPr>
            <w:r>
              <w:rPr>
                <w:b/>
              </w:rPr>
              <w:t>Total assets</w:t>
            </w:r>
          </w:p>
        </w:tc>
        <w:tc>
          <w:tcPr>
            <w:tcW w:w="90" w:type="dxa"/>
            <w:tcBorders/>
            <w:shd w:fill="CCEEFF" w:val="clear"/>
            <w:vAlign w:val="center"/>
          </w:tcPr>
          <w:p>
            <w:pPr>
              <w:pStyle w:val="TableContents"/>
              <w:bidi w:val="0"/>
              <w:spacing w:before="0" w:after="283"/>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3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153,577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2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90,706</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shd w:fill="CCEEFF" w:val="clear"/>
            <w:vAlign w:val="center"/>
          </w:tcPr>
          <w:p>
            <w:pPr>
              <w:pStyle w:val="TableContents"/>
              <w:bidi w:val="0"/>
              <w:spacing w:before="0" w:after="283"/>
              <w:jc w:val="center"/>
              <w:rPr>
                <w:b/>
              </w:rPr>
            </w:pPr>
            <w:r>
              <w:rPr>
                <w:b/>
              </w:rPr>
              <w:t>LIABILITIES AND STOCKHOLDERS’ EQUITY:</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50" w:type="dxa"/>
            <w:tcBorders/>
            <w:vAlign w:val="center"/>
          </w:tcPr>
          <w:p>
            <w:pPr>
              <w:pStyle w:val="TableContents"/>
              <w:bidi w:val="0"/>
              <w:spacing w:before="0" w:after="283"/>
              <w:jc w:val="left"/>
              <w:rPr/>
            </w:pPr>
            <w:r>
              <w:rPr/>
              <w:t>Current liabilities:</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shd w:fill="CCEEFF" w:val="clear"/>
            <w:vAlign w:val="center"/>
          </w:tcPr>
          <w:p>
            <w:pPr>
              <w:pStyle w:val="TableContents"/>
              <w:bidi w:val="0"/>
              <w:spacing w:before="0" w:after="283"/>
              <w:jc w:val="left"/>
              <w:rPr/>
            </w:pPr>
            <w:r>
              <w:rPr/>
              <w:t>Accounts payable – trade</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w:t>
            </w:r>
          </w:p>
        </w:tc>
        <w:tc>
          <w:tcPr>
            <w:tcW w:w="1331" w:type="dxa"/>
            <w:tcBorders/>
            <w:shd w:fill="CCEEFF" w:val="clear"/>
            <w:vAlign w:val="center"/>
          </w:tcPr>
          <w:p>
            <w:pPr>
              <w:pStyle w:val="TableContents"/>
              <w:bidi w:val="0"/>
              <w:spacing w:before="0" w:after="283"/>
              <w:jc w:val="right"/>
              <w:rPr/>
            </w:pPr>
            <w:r>
              <w:rPr/>
              <w:t>1,593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727" w:type="dxa"/>
            <w:tcBorders/>
            <w:shd w:fill="CCEEFF" w:val="clear"/>
            <w:vAlign w:val="center"/>
          </w:tcPr>
          <w:p>
            <w:pPr>
              <w:pStyle w:val="TableContents"/>
              <w:bidi w:val="0"/>
              <w:spacing w:before="0" w:after="283"/>
              <w:jc w:val="right"/>
              <w:rPr/>
            </w:pPr>
            <w:r>
              <w:rPr/>
              <w:t>2,979</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50" w:type="dxa"/>
            <w:tcBorders/>
            <w:vAlign w:val="center"/>
          </w:tcPr>
          <w:p>
            <w:pPr>
              <w:pStyle w:val="TableContents"/>
              <w:bidi w:val="0"/>
              <w:spacing w:before="0" w:after="283"/>
              <w:jc w:val="left"/>
              <w:rPr/>
            </w:pPr>
            <w:r>
              <w:rPr/>
              <w:t>Accrued liabilities</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6,005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pPr>
            <w:r>
              <w:rPr/>
              <w:t>6,482</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shd w:fill="CCEEFF" w:val="clear"/>
            <w:vAlign w:val="center"/>
          </w:tcPr>
          <w:p>
            <w:pPr>
              <w:pStyle w:val="TableContents"/>
              <w:bidi w:val="0"/>
              <w:spacing w:before="0" w:after="283"/>
              <w:jc w:val="left"/>
              <w:rPr/>
            </w:pPr>
            <w:r>
              <w:rPr/>
              <w:t>Loss provision accrual</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103</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50" w:type="dxa"/>
            <w:tcBorders/>
            <w:vAlign w:val="center"/>
          </w:tcPr>
          <w:p>
            <w:pPr>
              <w:pStyle w:val="TableContents"/>
              <w:bidi w:val="0"/>
              <w:spacing w:before="0" w:after="283"/>
              <w:jc w:val="left"/>
              <w:rPr/>
            </w:pPr>
            <w:r>
              <w:rPr/>
              <w:t>Operating lease liability, current portion</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1,679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pPr>
            <w:r>
              <w:rPr/>
              <w:t>2,002</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shd w:fill="CCEEFF" w:val="clear"/>
            <w:vAlign w:val="center"/>
          </w:tcPr>
          <w:p>
            <w:pPr>
              <w:pStyle w:val="TableContents"/>
              <w:bidi w:val="0"/>
              <w:spacing w:before="0" w:after="283"/>
              <w:jc w:val="left"/>
              <w:rPr/>
            </w:pPr>
            <w:r>
              <w:rPr/>
              <w:t>Contract liabilities</w:t>
            </w:r>
          </w:p>
        </w:tc>
        <w:tc>
          <w:tcPr>
            <w:tcW w:w="90" w:type="dxa"/>
            <w:tcBorders/>
            <w:shd w:fill="CCEEFF" w:val="clear"/>
            <w:vAlign w:val="center"/>
          </w:tcPr>
          <w:p>
            <w:pPr>
              <w:pStyle w:val="TableContents"/>
              <w:bidi w:val="0"/>
              <w:spacing w:before="0" w:after="283"/>
              <w:jc w:val="left"/>
              <w:rPr/>
            </w:pPr>
            <w:r>
              <w:rPr/>
              <w:t> </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8" w:space="0" w:color="000000"/>
            </w:tcBorders>
            <w:shd w:fill="CCEEFF" w:val="clear"/>
            <w:tcMar>
              <w:bottom w:w="28" w:type="dxa"/>
            </w:tcMar>
            <w:vAlign w:val="center"/>
          </w:tcPr>
          <w:p>
            <w:pPr>
              <w:pStyle w:val="TableContents"/>
              <w:bidi w:val="0"/>
              <w:spacing w:before="0" w:after="283"/>
              <w:jc w:val="right"/>
              <w:rPr/>
            </w:pPr>
            <w:r>
              <w:rPr/>
              <w:t>11,519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pPr>
            <w:r>
              <w:rPr/>
              <w:t>9,418</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50" w:type="dxa"/>
            <w:tcBorders/>
            <w:vAlign w:val="center"/>
          </w:tcPr>
          <w:p>
            <w:pPr>
              <w:pStyle w:val="TableContents"/>
              <w:bidi w:val="0"/>
              <w:spacing w:before="0" w:after="283"/>
              <w:jc w:val="left"/>
              <w:rPr/>
            </w:pPr>
            <w:r>
              <w:rPr/>
              <w:t>Total current liabilities</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20,810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pPr>
            <w:r>
              <w:rPr/>
              <w:t>20,984</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shd w:fill="CCEEFF" w:val="clear"/>
            <w:vAlign w:val="center"/>
          </w:tcPr>
          <w:p>
            <w:pPr>
              <w:pStyle w:val="TableContents"/>
              <w:bidi w:val="0"/>
              <w:spacing w:before="0" w:after="283"/>
              <w:jc w:val="left"/>
              <w:rPr/>
            </w:pPr>
            <w:r>
              <w:rPr/>
              <w:t>Deferred compensation</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7,617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7,664</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50" w:type="dxa"/>
            <w:tcBorders/>
            <w:vAlign w:val="center"/>
          </w:tcPr>
          <w:p>
            <w:pPr>
              <w:pStyle w:val="TableContents"/>
              <w:bidi w:val="0"/>
              <w:spacing w:before="0" w:after="283"/>
              <w:jc w:val="left"/>
              <w:rPr/>
            </w:pPr>
            <w:r>
              <w:rPr/>
              <w:t>Operating lease liability, non-current portion</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5,283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pPr>
            <w:r>
              <w:rPr/>
              <w:t>5,648</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shd w:fill="CCEEFF" w:val="clear"/>
            <w:vAlign w:val="center"/>
          </w:tcPr>
          <w:p>
            <w:pPr>
              <w:pStyle w:val="TableContents"/>
              <w:bidi w:val="0"/>
              <w:spacing w:before="0" w:after="283"/>
              <w:jc w:val="left"/>
              <w:rPr/>
            </w:pPr>
            <w:r>
              <w:rPr/>
              <w:t>Other liabilities</w:t>
            </w:r>
          </w:p>
        </w:tc>
        <w:tc>
          <w:tcPr>
            <w:tcW w:w="90" w:type="dxa"/>
            <w:tcBorders/>
            <w:shd w:fill="CCEEFF" w:val="clear"/>
            <w:vAlign w:val="center"/>
          </w:tcPr>
          <w:p>
            <w:pPr>
              <w:pStyle w:val="TableContents"/>
              <w:bidi w:val="0"/>
              <w:spacing w:before="0" w:after="283"/>
              <w:jc w:val="left"/>
              <w:rPr/>
            </w:pPr>
            <w:r>
              <w:rPr/>
              <w:t> </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pPr>
            <w:r>
              <w:rPr/>
              <w:t>7</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50" w:type="dxa"/>
            <w:tcBorders/>
            <w:vAlign w:val="center"/>
          </w:tcPr>
          <w:p>
            <w:pPr>
              <w:pStyle w:val="TableContents"/>
              <w:bidi w:val="0"/>
              <w:spacing w:before="0" w:after="283"/>
              <w:jc w:val="left"/>
              <w:rPr/>
            </w:pPr>
            <w:r>
              <w:rPr/>
              <w:t>Total liabilities</w:t>
            </w:r>
          </w:p>
        </w:tc>
        <w:tc>
          <w:tcPr>
            <w:tcW w:w="90" w:type="dxa"/>
            <w:tcBorders/>
            <w:vAlign w:val="center"/>
          </w:tcPr>
          <w:p>
            <w:pPr>
              <w:pStyle w:val="TableContents"/>
              <w:bidi w:val="0"/>
              <w:spacing w:before="0" w:after="283"/>
              <w:jc w:val="left"/>
              <w:rPr/>
            </w:pPr>
            <w:r>
              <w:rPr/>
              <w:t> </w:t>
            </w:r>
          </w:p>
        </w:tc>
        <w:tc>
          <w:tcPr>
            <w:tcW w:w="271" w:type="dxa"/>
            <w:tcBorders>
              <w:bottom w:val="single" w:sz="8" w:space="0" w:color="000000"/>
            </w:tcBorders>
            <w:tcMar>
              <w:bottom w:w="28" w:type="dxa"/>
            </w:tcMar>
            <w:vAlign w:val="center"/>
          </w:tcPr>
          <w:p>
            <w:pPr>
              <w:pStyle w:val="TableContents"/>
              <w:bidi w:val="0"/>
              <w:spacing w:before="0" w:after="283"/>
              <w:jc w:val="left"/>
              <w:rPr/>
            </w:pPr>
            <w:r>
              <w:rPr/>
              <w:t> </w:t>
            </w:r>
          </w:p>
        </w:tc>
        <w:tc>
          <w:tcPr>
            <w:tcW w:w="1331" w:type="dxa"/>
            <w:tcBorders>
              <w:bottom w:val="single" w:sz="8" w:space="0" w:color="000000"/>
            </w:tcBorders>
            <w:tcMar>
              <w:bottom w:w="28" w:type="dxa"/>
            </w:tcMar>
            <w:vAlign w:val="center"/>
          </w:tcPr>
          <w:p>
            <w:pPr>
              <w:pStyle w:val="TableContents"/>
              <w:bidi w:val="0"/>
              <w:spacing w:before="0" w:after="283"/>
              <w:jc w:val="right"/>
              <w:rPr/>
            </w:pPr>
            <w:r>
              <w:rPr/>
              <w:t>33,740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tcMar>
              <w:bottom w:w="28" w:type="dxa"/>
            </w:tcMar>
            <w:vAlign w:val="center"/>
          </w:tcPr>
          <w:p>
            <w:pPr>
              <w:pStyle w:val="TableContents"/>
              <w:bidi w:val="0"/>
              <w:spacing w:before="0" w:after="283"/>
              <w:jc w:val="right"/>
              <w:rPr/>
            </w:pPr>
            <w:r>
              <w:rPr/>
              <w:t>34,303</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50" w:type="dxa"/>
            <w:tcBorders/>
            <w:vAlign w:val="center"/>
          </w:tcPr>
          <w:p>
            <w:pPr>
              <w:pStyle w:val="TableContents"/>
              <w:bidi w:val="0"/>
              <w:spacing w:before="0" w:after="283"/>
              <w:jc w:val="left"/>
              <w:rPr/>
            </w:pPr>
            <w:r>
              <w:rPr/>
              <w:t>Stockholders’ equity:</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shd w:fill="CCEEFF" w:val="clear"/>
            <w:vAlign w:val="center"/>
          </w:tcPr>
          <w:p>
            <w:pPr>
              <w:pStyle w:val="TableContents"/>
              <w:bidi w:val="0"/>
              <w:spacing w:before="0" w:after="283"/>
              <w:jc w:val="left"/>
              <w:rPr/>
            </w:pPr>
            <w:r>
              <w:rPr/>
              <w:t>Preferred stock - $1.00 par value; authorized 600 shares, no shares issued and outstanding</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50" w:type="dxa"/>
            <w:tcBorders/>
            <w:vAlign w:val="center"/>
          </w:tcPr>
          <w:p>
            <w:pPr>
              <w:pStyle w:val="TableContents"/>
              <w:bidi w:val="0"/>
              <w:spacing w:before="0" w:after="283"/>
              <w:jc w:val="left"/>
              <w:rPr/>
            </w:pPr>
            <w:r>
              <w:rPr/>
              <w:t>Common stock - $1.00 par value; authorized 20,000 shares, 11,017 shares issued and 10,961 shares outstanding at July 31, 2026; 9,925 shares issued and 9,869 shares outstanding at April 30, 2026</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11,017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pPr>
            <w:r>
              <w:rPr/>
              <w:t>9,925</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shd w:fill="CCEEFF" w:val="clear"/>
            <w:vAlign w:val="center"/>
          </w:tcPr>
          <w:p>
            <w:pPr>
              <w:pStyle w:val="TableContents"/>
              <w:bidi w:val="0"/>
              <w:spacing w:before="0" w:after="283"/>
              <w:jc w:val="left"/>
              <w:rPr/>
            </w:pPr>
            <w:r>
              <w:rPr/>
              <w:t>Additional paid-in capital</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103,632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45,506</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shd w:fill="CCEEFF" w:val="clear"/>
            <w:vAlign w:val="center"/>
          </w:tcPr>
          <w:p>
            <w:pPr>
              <w:pStyle w:val="TableContents"/>
              <w:bidi w:val="0"/>
              <w:spacing w:before="0" w:after="283"/>
              <w:jc w:val="left"/>
              <w:rPr/>
            </w:pPr>
            <w:r>
              <w:rPr/>
              <w:t>Retained earnings</w:t>
            </w:r>
          </w:p>
        </w:tc>
        <w:tc>
          <w:tcPr>
            <w:tcW w:w="90" w:type="dxa"/>
            <w:tcBorders/>
            <w:shd w:fill="CCEEFF" w:val="clear"/>
            <w:vAlign w:val="center"/>
          </w:tcPr>
          <w:p>
            <w:pPr>
              <w:pStyle w:val="TableContents"/>
              <w:bidi w:val="0"/>
              <w:spacing w:before="0" w:after="283"/>
              <w:jc w:val="left"/>
              <w:rPr/>
            </w:pPr>
            <w:r>
              <w:rPr/>
              <w:t> </w:t>
            </w:r>
          </w:p>
        </w:tc>
        <w:tc>
          <w:tcPr>
            <w:tcW w:w="271" w:type="dxa"/>
            <w:tcBorders/>
            <w:shd w:fill="CCEEFF" w:val="clear"/>
            <w:vAlign w:val="center"/>
          </w:tcPr>
          <w:p>
            <w:pPr>
              <w:pStyle w:val="TableContents"/>
              <w:bidi w:val="0"/>
              <w:spacing w:before="0" w:after="283"/>
              <w:jc w:val="left"/>
              <w:rPr/>
            </w:pPr>
            <w:r>
              <w:rPr/>
              <w:t> </w:t>
            </w:r>
          </w:p>
        </w:tc>
        <w:tc>
          <w:tcPr>
            <w:tcW w:w="1331" w:type="dxa"/>
            <w:tcBorders/>
            <w:shd w:fill="CCEEFF" w:val="clear"/>
            <w:vAlign w:val="center"/>
          </w:tcPr>
          <w:p>
            <w:pPr>
              <w:pStyle w:val="TableContents"/>
              <w:bidi w:val="0"/>
              <w:spacing w:before="0" w:after="283"/>
              <w:jc w:val="right"/>
              <w:rPr/>
            </w:pPr>
            <w:r>
              <w:rPr/>
              <w:t>6,972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727" w:type="dxa"/>
            <w:tcBorders/>
            <w:shd w:fill="CCEEFF" w:val="clear"/>
            <w:vAlign w:val="center"/>
          </w:tcPr>
          <w:p>
            <w:pPr>
              <w:pStyle w:val="TableContents"/>
              <w:bidi w:val="0"/>
              <w:spacing w:before="0" w:after="283"/>
              <w:jc w:val="right"/>
              <w:rPr/>
            </w:pPr>
            <w:r>
              <w:rPr/>
              <w:t>2,756</w:t>
            </w:r>
          </w:p>
        </w:tc>
        <w:tc>
          <w:tcPr>
            <w:tcW w:w="147" w:type="dxa"/>
            <w:tcBorders/>
            <w:shd w:fill="CCEEFF" w:val="clear"/>
            <w:vAlign w:val="center"/>
          </w:tcPr>
          <w:p>
            <w:pPr>
              <w:pStyle w:val="TableContents"/>
              <w:bidi w:val="0"/>
              <w:spacing w:before="0" w:after="283"/>
              <w:ind w:left="0" w:right="0" w:hanging="180"/>
              <w:jc w:val="left"/>
              <w:rPr/>
            </w:pPr>
            <w:r>
              <w:rPr/>
              <w:t> </w:t>
            </w:r>
          </w:p>
        </w:tc>
      </w:tr>
      <w:tr>
        <w:trPr/>
        <w:tc>
          <w:tcPr>
            <w:tcW w:w="72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 </w:t>
            </w:r>
          </w:p>
        </w:tc>
        <w:tc>
          <w:tcPr>
            <w:tcW w:w="133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27" w:type="dxa"/>
            <w:tcBorders/>
            <w:vAlign w:val="center"/>
          </w:tcPr>
          <w:p>
            <w:pPr>
              <w:pStyle w:val="TableContents"/>
              <w:bidi w:val="0"/>
              <w:spacing w:before="0" w:after="283"/>
              <w:jc w:val="right"/>
              <w:rPr/>
            </w:pPr>
            <w:r>
              <w:rPr/>
              <w:t> </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shd w:fill="CCEEFF" w:val="clear"/>
            <w:vAlign w:val="center"/>
          </w:tcPr>
          <w:p>
            <w:pPr>
              <w:pStyle w:val="TableContents"/>
              <w:bidi w:val="0"/>
              <w:spacing w:before="0" w:after="283"/>
              <w:jc w:val="left"/>
              <w:rPr/>
            </w:pPr>
            <w:r>
              <w:rPr/>
              <w:t>Common stock reacquired and held in treasury - at cost (56 shares at July 31, 2026 and at April 30, 2026)</w:t>
            </w:r>
          </w:p>
        </w:tc>
        <w:tc>
          <w:tcPr>
            <w:tcW w:w="90" w:type="dxa"/>
            <w:tcBorders/>
            <w:shd w:fill="CCEEFF" w:val="clear"/>
            <w:vAlign w:val="center"/>
          </w:tcPr>
          <w:p>
            <w:pPr>
              <w:pStyle w:val="TableContents"/>
              <w:bidi w:val="0"/>
              <w:spacing w:before="0" w:after="283"/>
              <w:jc w:val="left"/>
              <w:rPr/>
            </w:pPr>
            <w:r>
              <w:rPr/>
              <w:t> </w:t>
            </w:r>
          </w:p>
        </w:tc>
        <w:tc>
          <w:tcPr>
            <w:tcW w:w="2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1" w:type="dxa"/>
            <w:tcBorders>
              <w:bottom w:val="single" w:sz="8" w:space="0" w:color="000000"/>
            </w:tcBorders>
            <w:shd w:fill="CCEEFF" w:val="clear"/>
            <w:tcMar>
              <w:bottom w:w="28" w:type="dxa"/>
            </w:tcMar>
            <w:vAlign w:val="center"/>
          </w:tcPr>
          <w:p>
            <w:pPr>
              <w:pStyle w:val="TableContents"/>
              <w:bidi w:val="0"/>
              <w:spacing w:before="0" w:after="283"/>
              <w:jc w:val="right"/>
              <w:rPr/>
            </w:pPr>
            <w:r>
              <w:rPr/>
              <w:t>(1,784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shd w:fill="CCEEFF" w:val="clear"/>
            <w:tcMar>
              <w:bottom w:w="28" w:type="dxa"/>
            </w:tcMar>
            <w:vAlign w:val="center"/>
          </w:tcPr>
          <w:p>
            <w:pPr>
              <w:pStyle w:val="TableContents"/>
              <w:bidi w:val="0"/>
              <w:spacing w:before="0" w:after="283"/>
              <w:jc w:val="right"/>
              <w:rPr/>
            </w:pPr>
            <w:r>
              <w:rPr/>
              <w:t>(1,784</w:t>
            </w:r>
          </w:p>
        </w:tc>
        <w:tc>
          <w:tcPr>
            <w:tcW w:w="147" w:type="dxa"/>
            <w:tcBorders/>
            <w:shd w:fill="CCEEFF" w:val="clear"/>
            <w:vAlign w:val="center"/>
          </w:tcPr>
          <w:p>
            <w:pPr>
              <w:pStyle w:val="TableContents"/>
              <w:bidi w:val="0"/>
              <w:spacing w:before="0" w:after="283"/>
              <w:ind w:left="0" w:right="0" w:hanging="180"/>
              <w:jc w:val="left"/>
              <w:rPr/>
            </w:pPr>
            <w:r>
              <w:rPr/>
              <w:t>)</w:t>
            </w:r>
          </w:p>
        </w:tc>
      </w:tr>
      <w:tr>
        <w:trPr/>
        <w:tc>
          <w:tcPr>
            <w:tcW w:w="7250" w:type="dxa"/>
            <w:tcBorders/>
            <w:vAlign w:val="center"/>
          </w:tcPr>
          <w:p>
            <w:pPr>
              <w:pStyle w:val="TableContents"/>
              <w:bidi w:val="0"/>
              <w:spacing w:before="0" w:after="283"/>
              <w:jc w:val="left"/>
              <w:rPr/>
            </w:pPr>
            <w:r>
              <w:rPr/>
              <w:t>Total stockholders’ equity</w:t>
            </w:r>
          </w:p>
        </w:tc>
        <w:tc>
          <w:tcPr>
            <w:tcW w:w="90" w:type="dxa"/>
            <w:tcBorders/>
            <w:vAlign w:val="center"/>
          </w:tcPr>
          <w:p>
            <w:pPr>
              <w:pStyle w:val="TableContents"/>
              <w:bidi w:val="0"/>
              <w:spacing w:before="0" w:after="283"/>
              <w:jc w:val="left"/>
              <w:rPr/>
            </w:pPr>
            <w:r>
              <w:rPr/>
              <w:t> </w:t>
            </w:r>
          </w:p>
        </w:tc>
        <w:tc>
          <w:tcPr>
            <w:tcW w:w="271" w:type="dxa"/>
            <w:tcBorders>
              <w:bottom w:val="single" w:sz="8" w:space="0" w:color="000000"/>
            </w:tcBorders>
            <w:tcMar>
              <w:bottom w:w="28" w:type="dxa"/>
            </w:tcMar>
            <w:vAlign w:val="center"/>
          </w:tcPr>
          <w:p>
            <w:pPr>
              <w:pStyle w:val="TableContents"/>
              <w:bidi w:val="0"/>
              <w:spacing w:before="0" w:after="283"/>
              <w:jc w:val="left"/>
              <w:rPr/>
            </w:pPr>
            <w:r>
              <w:rPr/>
              <w:t> </w:t>
            </w:r>
          </w:p>
        </w:tc>
        <w:tc>
          <w:tcPr>
            <w:tcW w:w="1331" w:type="dxa"/>
            <w:tcBorders>
              <w:bottom w:val="single" w:sz="8" w:space="0" w:color="000000"/>
            </w:tcBorders>
            <w:tcMar>
              <w:bottom w:w="28" w:type="dxa"/>
            </w:tcMar>
            <w:vAlign w:val="center"/>
          </w:tcPr>
          <w:p>
            <w:pPr>
              <w:pStyle w:val="TableContents"/>
              <w:bidi w:val="0"/>
              <w:spacing w:before="0" w:after="283"/>
              <w:jc w:val="right"/>
              <w:rPr/>
            </w:pPr>
            <w:r>
              <w:rPr/>
              <w:t>119,837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4" w:type="dxa"/>
            <w:tcBorders>
              <w:bottom w:val="single" w:sz="8" w:space="0" w:color="000000"/>
            </w:tcBorders>
            <w:tcMar>
              <w:bottom w:w="28" w:type="dxa"/>
            </w:tcMar>
            <w:vAlign w:val="center"/>
          </w:tcPr>
          <w:p>
            <w:pPr>
              <w:pStyle w:val="TableContents"/>
              <w:bidi w:val="0"/>
              <w:spacing w:before="0" w:after="283"/>
              <w:jc w:val="left"/>
              <w:rPr/>
            </w:pPr>
            <w:r>
              <w:rPr/>
              <w:t> </w:t>
            </w:r>
          </w:p>
        </w:tc>
        <w:tc>
          <w:tcPr>
            <w:tcW w:w="727" w:type="dxa"/>
            <w:tcBorders>
              <w:bottom w:val="single" w:sz="8" w:space="0" w:color="000000"/>
            </w:tcBorders>
            <w:tcMar>
              <w:bottom w:w="28" w:type="dxa"/>
            </w:tcMar>
            <w:vAlign w:val="center"/>
          </w:tcPr>
          <w:p>
            <w:pPr>
              <w:pStyle w:val="TableContents"/>
              <w:bidi w:val="0"/>
              <w:spacing w:before="0" w:after="283"/>
              <w:jc w:val="right"/>
              <w:rPr/>
            </w:pPr>
            <w:r>
              <w:rPr/>
              <w:t>56,403</w:t>
            </w:r>
          </w:p>
        </w:tc>
        <w:tc>
          <w:tcPr>
            <w:tcW w:w="147" w:type="dxa"/>
            <w:tcBorders/>
            <w:vAlign w:val="center"/>
          </w:tcPr>
          <w:p>
            <w:pPr>
              <w:pStyle w:val="TableContents"/>
              <w:bidi w:val="0"/>
              <w:spacing w:before="0" w:after="283"/>
              <w:ind w:left="0" w:right="0" w:hanging="180"/>
              <w:jc w:val="left"/>
              <w:rPr/>
            </w:pPr>
            <w:r>
              <w:rPr/>
              <w:t> </w:t>
            </w:r>
          </w:p>
        </w:tc>
      </w:tr>
      <w:tr>
        <w:trPr/>
        <w:tc>
          <w:tcPr>
            <w:tcW w:w="7250" w:type="dxa"/>
            <w:tcBorders/>
            <w:shd w:fill="CCEEFF" w:val="clear"/>
            <w:vAlign w:val="center"/>
          </w:tcPr>
          <w:p>
            <w:pPr>
              <w:pStyle w:val="TableContents"/>
              <w:bidi w:val="0"/>
              <w:spacing w:before="0" w:after="283"/>
              <w:jc w:val="left"/>
              <w:rPr>
                <w:b/>
              </w:rPr>
            </w:pPr>
            <w:r>
              <w:rPr>
                <w:b/>
              </w:rPr>
              <w:t>Total liabilities and stockholders’ equity</w:t>
            </w:r>
          </w:p>
        </w:tc>
        <w:tc>
          <w:tcPr>
            <w:tcW w:w="90" w:type="dxa"/>
            <w:tcBorders/>
            <w:shd w:fill="CCEEFF" w:val="clear"/>
            <w:vAlign w:val="center"/>
          </w:tcPr>
          <w:p>
            <w:pPr>
              <w:pStyle w:val="TableContents"/>
              <w:bidi w:val="0"/>
              <w:spacing w:before="0" w:after="283"/>
              <w:jc w:val="left"/>
              <w:rPr/>
            </w:pPr>
            <w:r>
              <w:rPr/>
              <w:t> </w:t>
            </w:r>
          </w:p>
        </w:tc>
        <w:tc>
          <w:tcPr>
            <w:tcW w:w="271"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31"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153,577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2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90,706</w:t>
            </w:r>
          </w:p>
        </w:tc>
        <w:tc>
          <w:tcPr>
            <w:tcW w:w="14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3"/>
      <w:bookmarkEnd w:id="5"/>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202" w:type="dxa"/>
        <w:jc w:val="left"/>
        <w:tblInd w:w="0" w:type="dxa"/>
        <w:tblLayout w:type="fixed"/>
        <w:tblCellMar>
          <w:top w:w="0" w:type="dxa"/>
          <w:left w:w="0" w:type="dxa"/>
          <w:bottom w:w="0" w:type="dxa"/>
          <w:right w:w="0" w:type="dxa"/>
        </w:tblCellMar>
      </w:tblPr>
      <w:tblGrid>
        <w:gridCol w:w="4850"/>
        <w:gridCol w:w="90"/>
        <w:gridCol w:w="266"/>
        <w:gridCol w:w="1112"/>
        <w:gridCol w:w="195"/>
        <w:gridCol w:w="141"/>
        <w:gridCol w:w="266"/>
        <w:gridCol w:w="1112"/>
        <w:gridCol w:w="170"/>
      </w:tblGrid>
      <w:tr>
        <w:trPr/>
        <w:tc>
          <w:tcPr>
            <w:tcW w:w="485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309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July 31,</w:t>
            </w:r>
          </w:p>
        </w:tc>
        <w:tc>
          <w:tcPr>
            <w:tcW w:w="170" w:type="dxa"/>
            <w:tcBorders/>
            <w:vAlign w:val="center"/>
          </w:tcPr>
          <w:p>
            <w:pPr>
              <w:pStyle w:val="TableContents"/>
              <w:bidi w:val="0"/>
              <w:spacing w:before="0" w:after="283"/>
              <w:ind w:left="0" w:right="0" w:hanging="180"/>
              <w:jc w:val="left"/>
              <w:rPr/>
            </w:pPr>
            <w:r>
              <w:rPr/>
              <w:t> </w:t>
            </w:r>
          </w:p>
        </w:tc>
      </w:tr>
      <w:tr>
        <w:trPr/>
        <w:tc>
          <w:tcPr>
            <w:tcW w:w="48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9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37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ind w:left="0" w:right="0" w:hanging="180"/>
              <w:jc w:val="left"/>
              <w:rPr/>
            </w:pPr>
            <w:r>
              <w:rPr/>
              <w:t> </w:t>
            </w:r>
          </w:p>
        </w:tc>
      </w:tr>
      <w:tr>
        <w:trPr/>
        <w:tc>
          <w:tcPr>
            <w:tcW w:w="4850" w:type="dxa"/>
            <w:tcBorders/>
            <w:vAlign w:val="center"/>
          </w:tcPr>
          <w:p>
            <w:pPr>
              <w:pStyle w:val="TableContents"/>
              <w:bidi w:val="0"/>
              <w:spacing w:before="0" w:after="283"/>
              <w:jc w:val="left"/>
              <w:rPr>
                <w:b/>
                <w:u w:val="single"/>
              </w:rPr>
            </w:pPr>
            <w:r>
              <w:rPr>
                <w:b/>
                <w:u w:val="single"/>
              </w:rPr>
              <w:t>Consolidated Statements of Operations</w:t>
            </w:r>
          </w:p>
        </w:tc>
        <w:tc>
          <w:tcPr>
            <w:tcW w:w="90" w:type="dxa"/>
            <w:tcBorders/>
            <w:vAlign w:val="center"/>
          </w:tcPr>
          <w:p>
            <w:pPr>
              <w:pStyle w:val="TableContents"/>
              <w:bidi w:val="0"/>
              <w:spacing w:before="0" w:after="283"/>
              <w:jc w:val="left"/>
              <w:rPr/>
            </w:pPr>
            <w:r>
              <w:rPr/>
              <w:t> </w:t>
            </w:r>
          </w:p>
        </w:tc>
        <w:tc>
          <w:tcPr>
            <w:tcW w:w="1378" w:type="dxa"/>
            <w:gridSpan w:val="2"/>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378"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23,451</w:t>
            </w:r>
          </w:p>
        </w:tc>
        <w:tc>
          <w:tcPr>
            <w:tcW w:w="195"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13,812</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266" w:type="dxa"/>
            <w:tcBorders>
              <w:bottom w:val="single" w:sz="8" w:space="0" w:color="000000"/>
            </w:tcBorders>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tcMar>
              <w:bottom w:w="28" w:type="dxa"/>
            </w:tcMar>
            <w:vAlign w:val="center"/>
          </w:tcPr>
          <w:p>
            <w:pPr>
              <w:pStyle w:val="TableContents"/>
              <w:bidi w:val="0"/>
              <w:spacing w:before="0" w:after="283"/>
              <w:jc w:val="right"/>
              <w:rPr/>
            </w:pPr>
            <w:r>
              <w:rPr/>
              <w:t>12,701</w:t>
            </w:r>
          </w:p>
        </w:tc>
        <w:tc>
          <w:tcPr>
            <w:tcW w:w="19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6" w:type="dxa"/>
            <w:tcBorders>
              <w:bottom w:val="single" w:sz="8" w:space="0" w:color="000000"/>
            </w:tcBorders>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tcMar>
              <w:bottom w:w="28" w:type="dxa"/>
            </w:tcMar>
            <w:vAlign w:val="center"/>
          </w:tcPr>
          <w:p>
            <w:pPr>
              <w:pStyle w:val="TableContents"/>
              <w:bidi w:val="0"/>
              <w:spacing w:before="0" w:after="283"/>
              <w:jc w:val="right"/>
              <w:rPr/>
            </w:pPr>
            <w:r>
              <w:rPr/>
              <w:t>8,730</w:t>
            </w:r>
          </w:p>
        </w:tc>
        <w:tc>
          <w:tcPr>
            <w:tcW w:w="170" w:type="dxa"/>
            <w:tcBorders/>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Gross margin</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10,750</w:t>
            </w:r>
          </w:p>
        </w:tc>
        <w:tc>
          <w:tcPr>
            <w:tcW w:w="195"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5,082</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vAlign w:val="center"/>
          </w:tcPr>
          <w:p>
            <w:pPr>
              <w:pStyle w:val="TableContents"/>
              <w:bidi w:val="0"/>
              <w:spacing w:before="0" w:after="283"/>
              <w:jc w:val="left"/>
              <w:rPr/>
            </w:pPr>
            <w:r>
              <w:rPr/>
              <w:t>Selling, general, and administrative expenses</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4,105</w:t>
            </w:r>
          </w:p>
        </w:tc>
        <w:tc>
          <w:tcPr>
            <w:tcW w:w="19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3,585</w:t>
            </w:r>
          </w:p>
        </w:tc>
        <w:tc>
          <w:tcPr>
            <w:tcW w:w="170" w:type="dxa"/>
            <w:tcBorders/>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Research and development expenses</w:t>
            </w:r>
          </w:p>
        </w:tc>
        <w:tc>
          <w:tcPr>
            <w:tcW w:w="90" w:type="dxa"/>
            <w:tcBorders/>
            <w:shd w:fill="CCEEFF" w:val="clear"/>
            <w:vAlign w:val="center"/>
          </w:tcPr>
          <w:p>
            <w:pPr>
              <w:pStyle w:val="TableContents"/>
              <w:bidi w:val="0"/>
              <w:spacing w:before="0" w:after="283"/>
              <w:jc w:val="left"/>
              <w:rPr/>
            </w:pPr>
            <w:r>
              <w:rPr/>
              <w:t> </w:t>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1,445</w:t>
            </w:r>
          </w:p>
        </w:tc>
        <w:tc>
          <w:tcPr>
            <w:tcW w:w="195"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1,133</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vAlign w:val="center"/>
          </w:tcPr>
          <w:p>
            <w:pPr>
              <w:pStyle w:val="TableContents"/>
              <w:bidi w:val="0"/>
              <w:spacing w:before="0" w:after="283"/>
              <w:jc w:val="left"/>
              <w:rPr/>
            </w:pPr>
            <w:r>
              <w:rPr/>
              <w:t>Operating income</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5,200</w:t>
            </w:r>
          </w:p>
        </w:tc>
        <w:tc>
          <w:tcPr>
            <w:tcW w:w="19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364</w:t>
            </w:r>
          </w:p>
        </w:tc>
        <w:tc>
          <w:tcPr>
            <w:tcW w:w="170" w:type="dxa"/>
            <w:tcBorders/>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vAlign w:val="center"/>
          </w:tcPr>
          <w:p>
            <w:pPr>
              <w:pStyle w:val="TableContents"/>
              <w:bidi w:val="0"/>
              <w:spacing w:before="0" w:after="283"/>
              <w:jc w:val="left"/>
              <w:rPr/>
            </w:pPr>
            <w:r>
              <w:rPr/>
              <w:t>Other income (expense):</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 </w:t>
            </w:r>
          </w:p>
        </w:tc>
        <w:tc>
          <w:tcPr>
            <w:tcW w:w="19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Income on investments</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61</w:t>
            </w:r>
          </w:p>
        </w:tc>
        <w:tc>
          <w:tcPr>
            <w:tcW w:w="195"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218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(19</w:t>
            </w:r>
          </w:p>
        </w:tc>
        <w:tc>
          <w:tcPr>
            <w:tcW w:w="195" w:type="dxa"/>
            <w:tcBorders/>
            <w:vAlign w:val="center"/>
          </w:tcPr>
          <w:p>
            <w:pPr>
              <w:pStyle w:val="TableContents"/>
              <w:bidi w:val="0"/>
              <w:spacing w:before="0" w:after="283"/>
              <w:jc w:val="left"/>
              <w:rPr/>
            </w:pPr>
            <w:r>
              <w:rPr/>
              <w:t>)</w:t>
            </w:r>
          </w:p>
        </w:tc>
        <w:tc>
          <w:tcPr>
            <w:tcW w:w="141"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(23</w:t>
            </w:r>
          </w:p>
        </w:tc>
        <w:tc>
          <w:tcPr>
            <w:tcW w:w="170" w:type="dxa"/>
            <w:tcBorders/>
            <w:vAlign w:val="center"/>
          </w:tcPr>
          <w:p>
            <w:pPr>
              <w:pStyle w:val="TableContents"/>
              <w:bidi w:val="0"/>
              <w:spacing w:before="0" w:after="283"/>
              <w:ind w:left="0" w:right="0" w:hanging="180"/>
              <w:jc w:val="left"/>
              <w:rPr/>
            </w:pPr>
            <w:r>
              <w:rPr/>
              <w:t>)</w:t>
            </w:r>
          </w:p>
        </w:tc>
      </w:tr>
      <w:tr>
        <w:trPr/>
        <w:tc>
          <w:tcPr>
            <w:tcW w:w="4850" w:type="dxa"/>
            <w:tcBorders/>
            <w:shd w:fill="CCEEFF" w:val="clear"/>
            <w:vAlign w:val="center"/>
          </w:tcPr>
          <w:p>
            <w:pPr>
              <w:pStyle w:val="TableContents"/>
              <w:bidi w:val="0"/>
              <w:spacing w:before="0" w:after="283"/>
              <w:jc w:val="left"/>
              <w:rPr/>
            </w:pPr>
            <w:r>
              <w:rPr/>
              <w:t>Other expense, net</w:t>
            </w:r>
          </w:p>
        </w:tc>
        <w:tc>
          <w:tcPr>
            <w:tcW w:w="90" w:type="dxa"/>
            <w:tcBorders/>
            <w:shd w:fill="CCEEFF" w:val="clear"/>
            <w:vAlign w:val="center"/>
          </w:tcPr>
          <w:p>
            <w:pPr>
              <w:pStyle w:val="TableContents"/>
              <w:bidi w:val="0"/>
              <w:spacing w:before="0" w:after="283"/>
              <w:jc w:val="left"/>
              <w:rPr/>
            </w:pPr>
            <w:r>
              <w:rPr/>
              <w:t> </w:t>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95"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4850" w:type="dxa"/>
            <w:tcBorders/>
            <w:vAlign w:val="center"/>
          </w:tcPr>
          <w:p>
            <w:pPr>
              <w:pStyle w:val="TableContents"/>
              <w:bidi w:val="0"/>
              <w:spacing w:before="0" w:after="283"/>
              <w:jc w:val="left"/>
              <w:rPr/>
            </w:pPr>
            <w:r>
              <w:rPr/>
              <w:t>Income before provision (benefit) for income taxes</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5,242</w:t>
            </w:r>
          </w:p>
        </w:tc>
        <w:tc>
          <w:tcPr>
            <w:tcW w:w="19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557</w:t>
            </w:r>
          </w:p>
        </w:tc>
        <w:tc>
          <w:tcPr>
            <w:tcW w:w="170" w:type="dxa"/>
            <w:tcBorders/>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Provision (benefit) for income taxes</w:t>
            </w:r>
          </w:p>
        </w:tc>
        <w:tc>
          <w:tcPr>
            <w:tcW w:w="90" w:type="dxa"/>
            <w:tcBorders/>
            <w:shd w:fill="CCEEFF" w:val="clear"/>
            <w:vAlign w:val="center"/>
          </w:tcPr>
          <w:p>
            <w:pPr>
              <w:pStyle w:val="TableContents"/>
              <w:bidi w:val="0"/>
              <w:spacing w:before="0" w:after="283"/>
              <w:jc w:val="left"/>
              <w:rPr/>
            </w:pPr>
            <w:r>
              <w:rPr/>
              <w:t> </w:t>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1,026</w:t>
            </w:r>
          </w:p>
        </w:tc>
        <w:tc>
          <w:tcPr>
            <w:tcW w:w="195"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(77</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4850"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266" w:type="dxa"/>
            <w:tcBorders>
              <w:bottom w:val="double" w:sz="6" w:space="0" w:color="000000"/>
            </w:tcBorders>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tcMar>
              <w:bottom w:w="28" w:type="dxa"/>
            </w:tcMar>
            <w:vAlign w:val="center"/>
          </w:tcPr>
          <w:p>
            <w:pPr>
              <w:pStyle w:val="TableContents"/>
              <w:bidi w:val="0"/>
              <w:spacing w:before="0" w:after="283"/>
              <w:jc w:val="right"/>
              <w:rPr/>
            </w:pPr>
            <w:r>
              <w:rPr/>
              <w:t>4,216</w:t>
            </w:r>
          </w:p>
        </w:tc>
        <w:tc>
          <w:tcPr>
            <w:tcW w:w="19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6" w:type="dxa"/>
            <w:tcBorders>
              <w:bottom w:val="double" w:sz="6" w:space="0" w:color="000000"/>
            </w:tcBorders>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tcMar>
              <w:bottom w:w="28" w:type="dxa"/>
            </w:tcMar>
            <w:vAlign w:val="center"/>
          </w:tcPr>
          <w:p>
            <w:pPr>
              <w:pStyle w:val="TableContents"/>
              <w:bidi w:val="0"/>
              <w:spacing w:before="0" w:after="283"/>
              <w:jc w:val="right"/>
              <w:rPr/>
            </w:pPr>
            <w:r>
              <w:rPr/>
              <w:t>634</w:t>
            </w:r>
          </w:p>
        </w:tc>
        <w:tc>
          <w:tcPr>
            <w:tcW w:w="170" w:type="dxa"/>
            <w:tcBorders/>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vAlign w:val="center"/>
          </w:tcPr>
          <w:p>
            <w:pPr>
              <w:pStyle w:val="TableContents"/>
              <w:bidi w:val="0"/>
              <w:spacing w:before="0" w:after="283"/>
              <w:jc w:val="left"/>
              <w:rPr/>
            </w:pPr>
            <w:r>
              <w:rPr/>
              <w:t>Net income per common share:</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 </w:t>
            </w:r>
          </w:p>
        </w:tc>
        <w:tc>
          <w:tcPr>
            <w:tcW w:w="19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Basic and diluted income per share</w:t>
            </w:r>
          </w:p>
        </w:tc>
        <w:tc>
          <w:tcPr>
            <w:tcW w:w="90" w:type="dxa"/>
            <w:tcBorders/>
            <w:shd w:fill="CCEEFF" w:val="clear"/>
            <w:vAlign w:val="center"/>
          </w:tcPr>
          <w:p>
            <w:pPr>
              <w:pStyle w:val="TableContents"/>
              <w:bidi w:val="0"/>
              <w:spacing w:before="0" w:after="283"/>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0.41</w:t>
            </w:r>
          </w:p>
        </w:tc>
        <w:tc>
          <w:tcPr>
            <w:tcW w:w="195"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0.07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 </w:t>
            </w:r>
          </w:p>
        </w:tc>
        <w:tc>
          <w:tcPr>
            <w:tcW w:w="19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 </w:t>
            </w:r>
          </w:p>
        </w:tc>
        <w:tc>
          <w:tcPr>
            <w:tcW w:w="1112"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4850" w:type="dxa"/>
            <w:tcBorders/>
            <w:shd w:fill="CCEEFF" w:val="clear"/>
            <w:vAlign w:val="center"/>
          </w:tcPr>
          <w:p>
            <w:pPr>
              <w:pStyle w:val="TableContents"/>
              <w:bidi w:val="0"/>
              <w:spacing w:before="0" w:after="283"/>
              <w:jc w:val="left"/>
              <w:rPr/>
            </w:pPr>
            <w:r>
              <w:rPr/>
              <w:t>Weighted average shares outstanding:</w:t>
            </w:r>
          </w:p>
        </w:tc>
        <w:tc>
          <w:tcPr>
            <w:tcW w:w="9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95"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4850" w:type="dxa"/>
            <w:tcBorders/>
            <w:vAlign w:val="center"/>
          </w:tcPr>
          <w:p>
            <w:pPr>
              <w:pStyle w:val="TableContents"/>
              <w:bidi w:val="0"/>
              <w:spacing w:before="0" w:after="283"/>
              <w:jc w:val="left"/>
              <w:rPr/>
            </w:pPr>
            <w:r>
              <w:rPr/>
              <w:t>Basic and diluted</w:t>
            </w:r>
          </w:p>
        </w:tc>
        <w:tc>
          <w:tcPr>
            <w:tcW w:w="90" w:type="dxa"/>
            <w:tcBorders/>
            <w:vAlign w:val="center"/>
          </w:tcPr>
          <w:p>
            <w:pPr>
              <w:pStyle w:val="TableContents"/>
              <w:bidi w:val="0"/>
              <w:spacing w:before="0" w:after="283"/>
              <w:jc w:val="left"/>
              <w:rPr/>
            </w:pPr>
            <w:r>
              <w:rPr/>
              <w:t> </w:t>
            </w:r>
          </w:p>
        </w:tc>
        <w:tc>
          <w:tcPr>
            <w:tcW w:w="266" w:type="dxa"/>
            <w:tcBorders>
              <w:bottom w:val="double" w:sz="6" w:space="0" w:color="000000"/>
            </w:tcBorders>
            <w:tcMar>
              <w:bottom w:w="28" w:type="dxa"/>
            </w:tcMar>
            <w:vAlign w:val="center"/>
          </w:tcPr>
          <w:p>
            <w:pPr>
              <w:pStyle w:val="TableContents"/>
              <w:bidi w:val="0"/>
              <w:spacing w:before="0" w:after="283"/>
              <w:jc w:val="left"/>
              <w:rPr/>
            </w:pPr>
            <w:r>
              <w:rPr/>
              <w:t> </w:t>
            </w:r>
          </w:p>
        </w:tc>
        <w:tc>
          <w:tcPr>
            <w:tcW w:w="1112" w:type="dxa"/>
            <w:tcBorders>
              <w:bottom w:val="double" w:sz="6" w:space="0" w:color="000000"/>
            </w:tcBorders>
            <w:tcMar>
              <w:bottom w:w="28" w:type="dxa"/>
            </w:tcMar>
            <w:vAlign w:val="center"/>
          </w:tcPr>
          <w:p>
            <w:pPr>
              <w:pStyle w:val="TableContents"/>
              <w:bidi w:val="0"/>
              <w:spacing w:before="0" w:after="283"/>
              <w:jc w:val="right"/>
              <w:rPr/>
            </w:pPr>
            <w:r>
              <w:rPr/>
              <w:t>10,232</w:t>
            </w:r>
          </w:p>
        </w:tc>
        <w:tc>
          <w:tcPr>
            <w:tcW w:w="195"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266" w:type="dxa"/>
            <w:tcBorders>
              <w:bottom w:val="double" w:sz="6" w:space="0" w:color="000000"/>
            </w:tcBorders>
            <w:tcMar>
              <w:bottom w:w="28" w:type="dxa"/>
            </w:tcMar>
            <w:vAlign w:val="center"/>
          </w:tcPr>
          <w:p>
            <w:pPr>
              <w:pStyle w:val="TableContents"/>
              <w:bidi w:val="0"/>
              <w:spacing w:before="0" w:after="283"/>
              <w:jc w:val="left"/>
              <w:rPr/>
            </w:pPr>
            <w:r>
              <w:rPr/>
              <w:t> </w:t>
            </w:r>
          </w:p>
        </w:tc>
        <w:tc>
          <w:tcPr>
            <w:tcW w:w="1112" w:type="dxa"/>
            <w:tcBorders>
              <w:bottom w:val="double" w:sz="6" w:space="0" w:color="000000"/>
            </w:tcBorders>
            <w:tcMar>
              <w:bottom w:w="28" w:type="dxa"/>
            </w:tcMar>
            <w:vAlign w:val="center"/>
          </w:tcPr>
          <w:p>
            <w:pPr>
              <w:pStyle w:val="TableContents"/>
              <w:bidi w:val="0"/>
              <w:spacing w:before="0" w:after="283"/>
              <w:jc w:val="right"/>
              <w:rPr/>
            </w:pPr>
            <w:r>
              <w:rPr/>
              <w:t>9,723</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4"/>
      <w:bookmarkEnd w:id="6"/>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0063" w:type="dxa"/>
        <w:jc w:val="left"/>
        <w:tblInd w:w="0" w:type="dxa"/>
        <w:tblLayout w:type="fixed"/>
        <w:tblCellMar>
          <w:top w:w="0" w:type="dxa"/>
          <w:left w:w="0" w:type="dxa"/>
          <w:bottom w:w="0" w:type="dxa"/>
          <w:right w:w="0" w:type="dxa"/>
        </w:tblCellMar>
      </w:tblPr>
      <w:tblGrid>
        <w:gridCol w:w="7565"/>
        <w:gridCol w:w="90"/>
        <w:gridCol w:w="197"/>
        <w:gridCol w:w="824"/>
        <w:gridCol w:w="145"/>
        <w:gridCol w:w="104"/>
        <w:gridCol w:w="197"/>
        <w:gridCol w:w="771"/>
        <w:gridCol w:w="170"/>
      </w:tblGrid>
      <w:tr>
        <w:trPr/>
        <w:tc>
          <w:tcPr>
            <w:tcW w:w="75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July 31,</w:t>
            </w:r>
          </w:p>
        </w:tc>
        <w:tc>
          <w:tcPr>
            <w:tcW w:w="17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96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pPr>
            <w:r>
              <w:rPr/>
              <w:t>Cash flows from operating activities:</w:t>
            </w:r>
          </w:p>
        </w:tc>
        <w:tc>
          <w:tcPr>
            <w:tcW w:w="90" w:type="dxa"/>
            <w:tcBorders/>
            <w:vAlign w:val="center"/>
          </w:tcPr>
          <w:p>
            <w:pPr>
              <w:pStyle w:val="TableContents"/>
              <w:bidi w:val="0"/>
              <w:spacing w:before="0" w:after="283"/>
              <w:jc w:val="left"/>
              <w:rPr/>
            </w:pPr>
            <w:r>
              <w:rPr/>
              <w:t> </w:t>
            </w:r>
          </w:p>
        </w:tc>
        <w:tc>
          <w:tcPr>
            <w:tcW w:w="1021" w:type="dxa"/>
            <w:gridSpan w:val="2"/>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968"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565" w:type="dxa"/>
            <w:tcBorders/>
            <w:shd w:fill="CCEEFF" w:val="clear"/>
            <w:vAlign w:val="center"/>
          </w:tcPr>
          <w:p>
            <w:pPr>
              <w:pStyle w:val="TableContents"/>
              <w:bidi w:val="0"/>
              <w:spacing w:before="0" w:after="283"/>
              <w:jc w:val="left"/>
              <w:rPr/>
            </w:pPr>
            <w:r>
              <w:rPr/>
              <w:t>Net income</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824" w:type="dxa"/>
            <w:tcBorders/>
            <w:shd w:fill="CCEEFF" w:val="clear"/>
            <w:vAlign w:val="center"/>
          </w:tcPr>
          <w:p>
            <w:pPr>
              <w:pStyle w:val="TableContents"/>
              <w:bidi w:val="0"/>
              <w:spacing w:before="0" w:after="283"/>
              <w:jc w:val="right"/>
              <w:rPr/>
            </w:pPr>
            <w:r>
              <w:rPr/>
              <w:t>4,216</w:t>
            </w:r>
          </w:p>
        </w:tc>
        <w:tc>
          <w:tcPr>
            <w:tcW w:w="14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771" w:type="dxa"/>
            <w:tcBorders/>
            <w:shd w:fill="CCEEFF" w:val="clear"/>
            <w:vAlign w:val="center"/>
          </w:tcPr>
          <w:p>
            <w:pPr>
              <w:pStyle w:val="TableContents"/>
              <w:bidi w:val="0"/>
              <w:spacing w:before="0" w:after="283"/>
              <w:jc w:val="right"/>
              <w:rPr/>
            </w:pPr>
            <w:r>
              <w:rPr/>
              <w:t>634</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65" w:type="dxa"/>
            <w:tcBorders/>
            <w:vAlign w:val="center"/>
          </w:tcPr>
          <w:p>
            <w:pPr>
              <w:pStyle w:val="TableContents"/>
              <w:bidi w:val="0"/>
              <w:spacing w:before="0" w:after="283"/>
              <w:jc w:val="left"/>
              <w:rPr/>
            </w:pPr>
            <w:r>
              <w:rPr/>
              <w:t>Non-cash charges to earnings</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2,508</w:t>
            </w:r>
          </w:p>
        </w:tc>
        <w:tc>
          <w:tcPr>
            <w:tcW w:w="14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1,809</w:t>
            </w:r>
          </w:p>
        </w:tc>
        <w:tc>
          <w:tcPr>
            <w:tcW w:w="170" w:type="dxa"/>
            <w:tcBorders/>
            <w:vAlign w:val="center"/>
          </w:tcPr>
          <w:p>
            <w:pPr>
              <w:pStyle w:val="TableContents"/>
              <w:bidi w:val="0"/>
              <w:spacing w:before="0" w:after="283"/>
              <w:ind w:left="0" w:right="0" w:hanging="180"/>
              <w:jc w:val="left"/>
              <w:rPr/>
            </w:pPr>
            <w:r>
              <w:rPr/>
              <w:t> </w:t>
            </w:r>
          </w:p>
        </w:tc>
      </w:tr>
      <w:tr>
        <w:trPr/>
        <w:tc>
          <w:tcPr>
            <w:tcW w:w="7565" w:type="dxa"/>
            <w:tcBorders/>
            <w:shd w:fill="CCEEFF" w:val="clear"/>
            <w:vAlign w:val="center"/>
          </w:tcPr>
          <w:p>
            <w:pPr>
              <w:pStyle w:val="TableContents"/>
              <w:bidi w:val="0"/>
              <w:spacing w:before="0" w:after="283"/>
              <w:jc w:val="left"/>
              <w:rPr/>
            </w:pPr>
            <w:r>
              <w:rPr/>
              <w:t>Net 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pPr>
            <w:r>
              <w:rPr/>
              <w:t>(4,102</w:t>
            </w:r>
          </w:p>
        </w:tc>
        <w:tc>
          <w:tcPr>
            <w:tcW w:w="145" w:type="dxa"/>
            <w:tcBorders/>
            <w:shd w:fill="CCEEFF" w:val="clear"/>
            <w:vAlign w:val="center"/>
          </w:tcPr>
          <w:p>
            <w:pPr>
              <w:pStyle w:val="TableContents"/>
              <w:bidi w:val="0"/>
              <w:spacing w:before="0" w:after="283"/>
              <w:jc w:val="left"/>
              <w:rPr/>
            </w:pPr>
            <w:r>
              <w:rPr/>
              <w:t>)</w:t>
            </w:r>
          </w:p>
        </w:tc>
        <w:tc>
          <w:tcPr>
            <w:tcW w:w="104"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1" w:type="dxa"/>
            <w:tcBorders>
              <w:bottom w:val="single" w:sz="8" w:space="0" w:color="000000"/>
            </w:tcBorders>
            <w:shd w:fill="CCEEFF" w:val="clear"/>
            <w:tcMar>
              <w:bottom w:w="28" w:type="dxa"/>
            </w:tcMar>
            <w:vAlign w:val="center"/>
          </w:tcPr>
          <w:p>
            <w:pPr>
              <w:pStyle w:val="TableContents"/>
              <w:bidi w:val="0"/>
              <w:spacing w:before="0" w:after="283"/>
              <w:jc w:val="right"/>
              <w:rPr/>
            </w:pPr>
            <w:r>
              <w:rPr/>
              <w:t>(1,282</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7565" w:type="dxa"/>
            <w:tcBorders/>
            <w:vAlign w:val="center"/>
          </w:tcPr>
          <w:p>
            <w:pPr>
              <w:pStyle w:val="TableContents"/>
              <w:bidi w:val="0"/>
              <w:spacing w:before="0" w:after="283"/>
              <w:jc w:val="left"/>
              <w:rPr/>
            </w:pPr>
            <w:r>
              <w:rPr/>
              <w:t>Net cash provided by operating activities</w:t>
            </w:r>
          </w:p>
        </w:tc>
        <w:tc>
          <w:tcPr>
            <w:tcW w:w="90"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824" w:type="dxa"/>
            <w:tcBorders>
              <w:bottom w:val="single" w:sz="8" w:space="0" w:color="000000"/>
            </w:tcBorders>
            <w:tcMar>
              <w:bottom w:w="28" w:type="dxa"/>
            </w:tcMar>
            <w:vAlign w:val="center"/>
          </w:tcPr>
          <w:p>
            <w:pPr>
              <w:pStyle w:val="TableContents"/>
              <w:bidi w:val="0"/>
              <w:spacing w:before="0" w:after="283"/>
              <w:jc w:val="right"/>
              <w:rPr/>
            </w:pPr>
            <w:r>
              <w:rPr/>
              <w:t>2,622</w:t>
            </w:r>
          </w:p>
        </w:tc>
        <w:tc>
          <w:tcPr>
            <w:tcW w:w="14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771" w:type="dxa"/>
            <w:tcBorders>
              <w:bottom w:val="single" w:sz="8" w:space="0" w:color="000000"/>
            </w:tcBorders>
            <w:tcMar>
              <w:bottom w:w="28" w:type="dxa"/>
            </w:tcMar>
            <w:vAlign w:val="center"/>
          </w:tcPr>
          <w:p>
            <w:pPr>
              <w:pStyle w:val="TableContents"/>
              <w:bidi w:val="0"/>
              <w:spacing w:before="0" w:after="283"/>
              <w:jc w:val="right"/>
              <w:rPr/>
            </w:pPr>
            <w:r>
              <w:rPr/>
              <w:t>1,161</w:t>
            </w:r>
          </w:p>
        </w:tc>
        <w:tc>
          <w:tcPr>
            <w:tcW w:w="170" w:type="dxa"/>
            <w:tcBorders/>
            <w:vAlign w:val="center"/>
          </w:tcPr>
          <w:p>
            <w:pPr>
              <w:pStyle w:val="TableContents"/>
              <w:bidi w:val="0"/>
              <w:spacing w:before="0" w:after="283"/>
              <w:ind w:left="0" w:right="0" w:hanging="180"/>
              <w:jc w:val="left"/>
              <w:rPr/>
            </w:pPr>
            <w:r>
              <w:rPr/>
              <w:t> </w:t>
            </w:r>
          </w:p>
        </w:tc>
      </w:tr>
      <w:tr>
        <w:trPr/>
        <w:tc>
          <w:tcPr>
            <w:tcW w:w="756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65" w:type="dxa"/>
            <w:tcBorders/>
            <w:vAlign w:val="center"/>
          </w:tcPr>
          <w:p>
            <w:pPr>
              <w:pStyle w:val="TableContents"/>
              <w:bidi w:val="0"/>
              <w:spacing w:before="0" w:after="283"/>
              <w:jc w:val="left"/>
              <w:rPr/>
            </w:pPr>
            <w:r>
              <w:rPr/>
              <w:t>Cash flows from investing activities:</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 </w:t>
            </w:r>
          </w:p>
        </w:tc>
        <w:tc>
          <w:tcPr>
            <w:tcW w:w="14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565" w:type="dxa"/>
            <w:tcBorders/>
            <w:shd w:fill="CCEEFF" w:val="clear"/>
            <w:vAlign w:val="center"/>
          </w:tcPr>
          <w:p>
            <w:pPr>
              <w:pStyle w:val="TableContents"/>
              <w:bidi w:val="0"/>
              <w:spacing w:before="0" w:after="283"/>
              <w:jc w:val="left"/>
              <w:rPr/>
            </w:pPr>
            <w:r>
              <w:rPr/>
              <w:t>Purchase of fixed assets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(844</w:t>
            </w:r>
          </w:p>
        </w:tc>
        <w:tc>
          <w:tcPr>
            <w:tcW w:w="145" w:type="dxa"/>
            <w:tcBorders/>
            <w:shd w:fill="CCEEFF" w:val="clear"/>
            <w:vAlign w:val="center"/>
          </w:tcPr>
          <w:p>
            <w:pPr>
              <w:pStyle w:val="TableContents"/>
              <w:bidi w:val="0"/>
              <w:spacing w:before="0" w:after="283"/>
              <w:jc w:val="left"/>
              <w:rPr/>
            </w:pPr>
            <w:r>
              <w:rPr/>
              <w:t>)</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(776</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7565" w:type="dxa"/>
            <w:tcBorders/>
            <w:vAlign w:val="center"/>
          </w:tcPr>
          <w:p>
            <w:pPr>
              <w:pStyle w:val="TableContents"/>
              <w:bidi w:val="0"/>
              <w:spacing w:before="0" w:after="283"/>
              <w:jc w:val="left"/>
              <w:rPr/>
            </w:pPr>
            <w:r>
              <w:rPr/>
              <w:t>Acquisition of equity method investment</w:t>
            </w:r>
          </w:p>
        </w:tc>
        <w:tc>
          <w:tcPr>
            <w:tcW w:w="90"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824" w:type="dxa"/>
            <w:tcBorders>
              <w:bottom w:val="single" w:sz="8" w:space="0" w:color="000000"/>
            </w:tcBorders>
            <w:tcMar>
              <w:bottom w:w="28" w:type="dxa"/>
            </w:tcMar>
            <w:vAlign w:val="center"/>
          </w:tcPr>
          <w:p>
            <w:pPr>
              <w:pStyle w:val="TableContents"/>
              <w:bidi w:val="0"/>
              <w:spacing w:before="0" w:after="283"/>
              <w:jc w:val="right"/>
              <w:rPr/>
            </w:pPr>
            <w:r>
              <w:rPr/>
              <w:t>(100</w:t>
            </w:r>
          </w:p>
        </w:tc>
        <w:tc>
          <w:tcPr>
            <w:tcW w:w="145" w:type="dxa"/>
            <w:tcBorders/>
            <w:vAlign w:val="center"/>
          </w:tcPr>
          <w:p>
            <w:pPr>
              <w:pStyle w:val="TableContents"/>
              <w:bidi w:val="0"/>
              <w:spacing w:before="0" w:after="283"/>
              <w:jc w:val="left"/>
              <w:rPr/>
            </w:pPr>
            <w:r>
              <w:rPr/>
              <w:t>)</w:t>
            </w:r>
          </w:p>
        </w:tc>
        <w:tc>
          <w:tcPr>
            <w:tcW w:w="104"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771" w:type="dxa"/>
            <w:tcBorders>
              <w:bottom w:val="single" w:sz="8" w:space="0" w:color="000000"/>
            </w:tcBorders>
            <w:tcMar>
              <w:bottom w:w="28" w:type="dxa"/>
            </w:tcMar>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7565" w:type="dxa"/>
            <w:tcBorders/>
            <w:shd w:fill="CCEEFF" w:val="clear"/>
            <w:vAlign w:val="center"/>
          </w:tcPr>
          <w:p>
            <w:pPr>
              <w:pStyle w:val="TableContents"/>
              <w:bidi w:val="0"/>
              <w:spacing w:before="0" w:after="283"/>
              <w:jc w:val="left"/>
              <w:rPr/>
            </w:pPr>
            <w:r>
              <w:rPr/>
              <w:t>Net cash used in investing activities</w:t>
            </w:r>
          </w:p>
        </w:tc>
        <w:tc>
          <w:tcPr>
            <w:tcW w:w="9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pPr>
            <w:r>
              <w:rPr/>
              <w:t>(944</w:t>
            </w:r>
          </w:p>
        </w:tc>
        <w:tc>
          <w:tcPr>
            <w:tcW w:w="145" w:type="dxa"/>
            <w:tcBorders/>
            <w:shd w:fill="CCEEFF" w:val="clear"/>
            <w:vAlign w:val="center"/>
          </w:tcPr>
          <w:p>
            <w:pPr>
              <w:pStyle w:val="TableContents"/>
              <w:bidi w:val="0"/>
              <w:spacing w:before="0" w:after="283"/>
              <w:jc w:val="left"/>
              <w:rPr/>
            </w:pPr>
            <w:r>
              <w:rPr/>
              <w:t>)</w:t>
            </w:r>
          </w:p>
        </w:tc>
        <w:tc>
          <w:tcPr>
            <w:tcW w:w="104"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1" w:type="dxa"/>
            <w:tcBorders>
              <w:bottom w:val="single" w:sz="8" w:space="0" w:color="000000"/>
            </w:tcBorders>
            <w:shd w:fill="CCEEFF" w:val="clear"/>
            <w:tcMar>
              <w:bottom w:w="28" w:type="dxa"/>
            </w:tcMar>
            <w:vAlign w:val="center"/>
          </w:tcPr>
          <w:p>
            <w:pPr>
              <w:pStyle w:val="TableContents"/>
              <w:bidi w:val="0"/>
              <w:spacing w:before="0" w:after="283"/>
              <w:jc w:val="right"/>
              <w:rPr/>
            </w:pPr>
            <w:r>
              <w:rPr/>
              <w:t>(776</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75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 </w:t>
            </w:r>
          </w:p>
        </w:tc>
        <w:tc>
          <w:tcPr>
            <w:tcW w:w="14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565" w:type="dxa"/>
            <w:tcBorders/>
            <w:shd w:fill="CCEEFF" w:val="clear"/>
            <w:vAlign w:val="center"/>
          </w:tcPr>
          <w:p>
            <w:pPr>
              <w:pStyle w:val="TableContents"/>
              <w:bidi w:val="0"/>
              <w:spacing w:before="0" w:after="283"/>
              <w:jc w:val="left"/>
              <w:rPr/>
            </w:pPr>
            <w:r>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65" w:type="dxa"/>
            <w:tcBorders/>
            <w:vAlign w:val="center"/>
          </w:tcPr>
          <w:p>
            <w:pPr>
              <w:pStyle w:val="TableContents"/>
              <w:bidi w:val="0"/>
              <w:spacing w:before="0" w:after="283"/>
              <w:jc w:val="left"/>
              <w:rPr/>
            </w:pPr>
            <w:r>
              <w:rPr/>
              <w:t>Purchase of treasury stock</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w:t>
            </w:r>
          </w:p>
        </w:tc>
        <w:tc>
          <w:tcPr>
            <w:tcW w:w="14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(583</w:t>
            </w:r>
          </w:p>
        </w:tc>
        <w:tc>
          <w:tcPr>
            <w:tcW w:w="170" w:type="dxa"/>
            <w:tcBorders/>
            <w:vAlign w:val="center"/>
          </w:tcPr>
          <w:p>
            <w:pPr>
              <w:pStyle w:val="TableContents"/>
              <w:bidi w:val="0"/>
              <w:spacing w:before="0" w:after="283"/>
              <w:ind w:left="0" w:right="0" w:hanging="180"/>
              <w:jc w:val="left"/>
              <w:rPr/>
            </w:pPr>
            <w:r>
              <w:rPr/>
              <w:t>)</w:t>
            </w:r>
          </w:p>
        </w:tc>
      </w:tr>
      <w:tr>
        <w:trPr/>
        <w:tc>
          <w:tcPr>
            <w:tcW w:w="7565" w:type="dxa"/>
            <w:tcBorders/>
            <w:shd w:fill="CCEEFF" w:val="clear"/>
            <w:vAlign w:val="center"/>
          </w:tcPr>
          <w:p>
            <w:pPr>
              <w:pStyle w:val="TableContents"/>
              <w:bidi w:val="0"/>
              <w:spacing w:before="0" w:after="283"/>
              <w:jc w:val="left"/>
              <w:rPr/>
            </w:pPr>
            <w:r>
              <w:rPr/>
              <w:t>Payments for public offering issuance costs</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(617</w:t>
            </w:r>
          </w:p>
        </w:tc>
        <w:tc>
          <w:tcPr>
            <w:tcW w:w="145" w:type="dxa"/>
            <w:tcBorders/>
            <w:shd w:fill="CCEEFF" w:val="clear"/>
            <w:vAlign w:val="center"/>
          </w:tcPr>
          <w:p>
            <w:pPr>
              <w:pStyle w:val="TableContents"/>
              <w:bidi w:val="0"/>
              <w:spacing w:before="0" w:after="283"/>
              <w:jc w:val="left"/>
              <w:rPr/>
            </w:pPr>
            <w:r>
              <w:rPr/>
              <w:t>)</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65" w:type="dxa"/>
            <w:tcBorders/>
            <w:vAlign w:val="center"/>
          </w:tcPr>
          <w:p>
            <w:pPr>
              <w:pStyle w:val="TableContents"/>
              <w:bidi w:val="0"/>
              <w:spacing w:before="0" w:after="283"/>
              <w:jc w:val="left"/>
              <w:rPr/>
            </w:pPr>
            <w:r>
              <w:rPr/>
              <w:t>Proceeds from public offering, net</w:t>
            </w:r>
          </w:p>
        </w:tc>
        <w:tc>
          <w:tcPr>
            <w:tcW w:w="90"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824" w:type="dxa"/>
            <w:tcBorders>
              <w:bottom w:val="single" w:sz="8" w:space="0" w:color="000000"/>
            </w:tcBorders>
            <w:tcMar>
              <w:bottom w:w="28" w:type="dxa"/>
            </w:tcMar>
            <w:vAlign w:val="center"/>
          </w:tcPr>
          <w:p>
            <w:pPr>
              <w:pStyle w:val="TableContents"/>
              <w:bidi w:val="0"/>
              <w:spacing w:before="0" w:after="283"/>
              <w:jc w:val="right"/>
              <w:rPr/>
            </w:pPr>
            <w:r>
              <w:rPr/>
              <w:t>58,750</w:t>
            </w:r>
          </w:p>
        </w:tc>
        <w:tc>
          <w:tcPr>
            <w:tcW w:w="14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bottom w:val="single" w:sz="8" w:space="0" w:color="000000"/>
            </w:tcBorders>
            <w:tcMar>
              <w:bottom w:w="28" w:type="dxa"/>
            </w:tcMar>
            <w:vAlign w:val="center"/>
          </w:tcPr>
          <w:p>
            <w:pPr>
              <w:pStyle w:val="TableContents"/>
              <w:bidi w:val="0"/>
              <w:spacing w:before="0" w:after="283"/>
              <w:jc w:val="left"/>
              <w:rPr/>
            </w:pPr>
            <w:r>
              <w:rPr/>
              <w:t> </w:t>
            </w:r>
          </w:p>
        </w:tc>
        <w:tc>
          <w:tcPr>
            <w:tcW w:w="771" w:type="dxa"/>
            <w:tcBorders>
              <w:bottom w:val="single" w:sz="8" w:space="0" w:color="000000"/>
            </w:tcBorders>
            <w:tcMar>
              <w:bottom w:w="28" w:type="dxa"/>
            </w:tcMar>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ind w:left="0" w:right="0" w:hanging="180"/>
              <w:jc w:val="left"/>
              <w:rPr/>
            </w:pPr>
            <w:r>
              <w:rPr/>
              <w:t> </w:t>
            </w:r>
          </w:p>
        </w:tc>
      </w:tr>
      <w:tr>
        <w:trPr/>
        <w:tc>
          <w:tcPr>
            <w:tcW w:w="7565" w:type="dxa"/>
            <w:tcBorders/>
            <w:shd w:fill="CCEEFF" w:val="clear"/>
            <w:vAlign w:val="center"/>
          </w:tcPr>
          <w:p>
            <w:pPr>
              <w:pStyle w:val="TableContents"/>
              <w:bidi w:val="0"/>
              <w:spacing w:before="0" w:after="283"/>
              <w:jc w:val="left"/>
              <w:rPr/>
            </w:pPr>
            <w:r>
              <w:rPr/>
              <w:t>Net cash provided by (used in) financing activities</w:t>
            </w:r>
          </w:p>
        </w:tc>
        <w:tc>
          <w:tcPr>
            <w:tcW w:w="9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pPr>
            <w:r>
              <w:rPr/>
              <w:t>58,133</w:t>
            </w:r>
          </w:p>
        </w:tc>
        <w:tc>
          <w:tcPr>
            <w:tcW w:w="14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1" w:type="dxa"/>
            <w:tcBorders>
              <w:bottom w:val="single" w:sz="8" w:space="0" w:color="000000"/>
            </w:tcBorders>
            <w:shd w:fill="CCEEFF" w:val="clear"/>
            <w:tcMar>
              <w:bottom w:w="28" w:type="dxa"/>
            </w:tcMar>
            <w:vAlign w:val="center"/>
          </w:tcPr>
          <w:p>
            <w:pPr>
              <w:pStyle w:val="TableContents"/>
              <w:bidi w:val="0"/>
              <w:spacing w:before="0" w:after="283"/>
              <w:jc w:val="right"/>
              <w:rPr/>
            </w:pPr>
            <w:r>
              <w:rPr/>
              <w:t>(583</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75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 </w:t>
            </w:r>
          </w:p>
        </w:tc>
        <w:tc>
          <w:tcPr>
            <w:tcW w:w="14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565" w:type="dxa"/>
            <w:tcBorders/>
            <w:shd w:fill="CCEEFF" w:val="clear"/>
            <w:vAlign w:val="center"/>
          </w:tcPr>
          <w:p>
            <w:pPr>
              <w:pStyle w:val="TableContents"/>
              <w:bidi w:val="0"/>
              <w:spacing w:before="0" w:after="283"/>
              <w:jc w:val="left"/>
              <w:rPr/>
            </w:pPr>
            <w:r>
              <w:rPr/>
              <w:t>Net increase (decrease) in cash and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59,811</w:t>
            </w:r>
          </w:p>
        </w:tc>
        <w:tc>
          <w:tcPr>
            <w:tcW w:w="14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(198</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75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 </w:t>
            </w:r>
          </w:p>
        </w:tc>
        <w:tc>
          <w:tcPr>
            <w:tcW w:w="14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565" w:type="dxa"/>
            <w:tcBorders/>
            <w:shd w:fill="CCEEFF" w:val="clear"/>
            <w:vAlign w:val="center"/>
          </w:tcPr>
          <w:p>
            <w:pPr>
              <w:pStyle w:val="TableContents"/>
              <w:bidi w:val="0"/>
              <w:spacing w:before="0" w:after="283"/>
              <w:jc w:val="left"/>
              <w:rPr/>
            </w:pPr>
            <w:r>
              <w:rPr/>
              <w:t>Cash and cash equivalents and restricted cash at beginning of period</w:t>
            </w:r>
          </w:p>
        </w:tc>
        <w:tc>
          <w:tcPr>
            <w:tcW w:w="90"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4" w:type="dxa"/>
            <w:tcBorders>
              <w:bottom w:val="single" w:sz="8" w:space="0" w:color="000000"/>
            </w:tcBorders>
            <w:shd w:fill="CCEEFF" w:val="clear"/>
            <w:tcMar>
              <w:bottom w:w="28" w:type="dxa"/>
            </w:tcMar>
            <w:vAlign w:val="center"/>
          </w:tcPr>
          <w:p>
            <w:pPr>
              <w:pStyle w:val="TableContents"/>
              <w:bidi w:val="0"/>
              <w:spacing w:before="0" w:after="283"/>
              <w:jc w:val="right"/>
              <w:rPr/>
            </w:pPr>
            <w:r>
              <w:rPr/>
              <w:t>2,934</w:t>
            </w:r>
          </w:p>
        </w:tc>
        <w:tc>
          <w:tcPr>
            <w:tcW w:w="14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71" w:type="dxa"/>
            <w:tcBorders>
              <w:bottom w:val="single" w:sz="8" w:space="0" w:color="000000"/>
            </w:tcBorders>
            <w:shd w:fill="CCEEFF" w:val="clear"/>
            <w:tcMar>
              <w:bottom w:w="28" w:type="dxa"/>
            </w:tcMar>
            <w:vAlign w:val="center"/>
          </w:tcPr>
          <w:p>
            <w:pPr>
              <w:pStyle w:val="TableContents"/>
              <w:bidi w:val="0"/>
              <w:spacing w:before="0" w:after="283"/>
              <w:jc w:val="right"/>
              <w:rPr/>
            </w:pPr>
            <w:r>
              <w:rPr/>
              <w:t>6,085</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 </w:t>
            </w:r>
          </w:p>
        </w:tc>
        <w:tc>
          <w:tcPr>
            <w:tcW w:w="14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565" w:type="dxa"/>
            <w:tcBorders/>
            <w:shd w:fill="CCEEFF" w:val="clear"/>
            <w:vAlign w:val="center"/>
          </w:tcPr>
          <w:p>
            <w:pPr>
              <w:pStyle w:val="TableContents"/>
              <w:bidi w:val="0"/>
              <w:spacing w:before="0" w:after="283"/>
              <w:jc w:val="left"/>
              <w:rPr/>
            </w:pPr>
            <w:r>
              <w:rPr/>
              <w:t>Cash and cash equivalents and restricted cash at end of period</w:t>
            </w:r>
          </w:p>
        </w:tc>
        <w:tc>
          <w:tcPr>
            <w:tcW w:w="90"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4" w:type="dxa"/>
            <w:tcBorders>
              <w:bottom w:val="double" w:sz="6" w:space="0" w:color="000000"/>
            </w:tcBorders>
            <w:shd w:fill="CCEEFF" w:val="clear"/>
            <w:tcMar>
              <w:bottom w:w="28" w:type="dxa"/>
            </w:tcMar>
            <w:vAlign w:val="center"/>
          </w:tcPr>
          <w:p>
            <w:pPr>
              <w:pStyle w:val="TableContents"/>
              <w:bidi w:val="0"/>
              <w:spacing w:before="0" w:after="283"/>
              <w:jc w:val="right"/>
              <w:rPr/>
            </w:pPr>
            <w:r>
              <w:rPr/>
              <w:t>62,745</w:t>
            </w:r>
          </w:p>
        </w:tc>
        <w:tc>
          <w:tcPr>
            <w:tcW w:w="14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jc w:val="right"/>
              <w:rPr/>
            </w:pPr>
            <w:r>
              <w:rPr/>
              <w:t>5,887</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6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 </w:t>
            </w:r>
          </w:p>
        </w:tc>
        <w:tc>
          <w:tcPr>
            <w:tcW w:w="14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565" w:type="dxa"/>
            <w:tcBorders/>
            <w:shd w:fill="CCEEFF" w:val="clear"/>
            <w:vAlign w:val="center"/>
          </w:tcPr>
          <w:p>
            <w:pPr>
              <w:pStyle w:val="TableContents"/>
              <w:bidi w:val="0"/>
              <w:spacing w:before="0" w:after="283"/>
              <w:jc w:val="left"/>
              <w:rPr/>
            </w:pPr>
            <w:r>
              <w:rPr/>
              <w:t>Supplemental disclosures of cash flow information:</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824" w:type="dxa"/>
            <w:tcBorders/>
            <w:shd w:fill="CCEEFF" w:val="clear"/>
            <w:vAlign w:val="center"/>
          </w:tcPr>
          <w:p>
            <w:pPr>
              <w:pStyle w:val="TableContents"/>
              <w:bidi w:val="0"/>
              <w:spacing w:before="0" w:after="283"/>
              <w:jc w:val="right"/>
              <w:rPr/>
            </w:pPr>
            <w:r>
              <w:rPr/>
              <w:t> </w:t>
            </w:r>
          </w:p>
        </w:tc>
        <w:tc>
          <w:tcPr>
            <w:tcW w:w="14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771"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65" w:type="dxa"/>
            <w:tcBorders/>
            <w:vAlign w:val="center"/>
          </w:tcPr>
          <w:p>
            <w:pPr>
              <w:pStyle w:val="TableContents"/>
              <w:bidi w:val="0"/>
              <w:spacing w:before="0" w:after="283"/>
              <w:jc w:val="left"/>
              <w:rPr/>
            </w:pPr>
            <w:r>
              <w:rPr/>
              <w:t>Cash paid during the period for:</w:t>
            </w:r>
          </w:p>
        </w:tc>
        <w:tc>
          <w:tcPr>
            <w:tcW w:w="9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824" w:type="dxa"/>
            <w:tcBorders/>
            <w:vAlign w:val="center"/>
          </w:tcPr>
          <w:p>
            <w:pPr>
              <w:pStyle w:val="TableContents"/>
              <w:bidi w:val="0"/>
              <w:spacing w:before="0" w:after="283"/>
              <w:jc w:val="right"/>
              <w:rPr/>
            </w:pPr>
            <w:r>
              <w:rPr/>
              <w:t> </w:t>
            </w:r>
          </w:p>
        </w:tc>
        <w:tc>
          <w:tcPr>
            <w:tcW w:w="14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71"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7565" w:type="dxa"/>
            <w:tcBorders/>
            <w:shd w:fill="CCEEFF" w:val="clear"/>
            <w:vAlign w:val="center"/>
          </w:tcPr>
          <w:p>
            <w:pPr>
              <w:pStyle w:val="TableContents"/>
              <w:bidi w:val="0"/>
              <w:spacing w:before="0" w:after="283"/>
              <w:jc w:val="left"/>
              <w:rPr/>
            </w:pPr>
            <w:r>
              <w:rPr/>
              <w:t>Interest</w:t>
            </w:r>
          </w:p>
        </w:tc>
        <w:tc>
          <w:tcPr>
            <w:tcW w:w="90"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24" w:type="dxa"/>
            <w:tcBorders>
              <w:bottom w:val="double" w:sz="6" w:space="0" w:color="000000"/>
            </w:tcBorders>
            <w:shd w:fill="CCEEFF" w:val="clear"/>
            <w:tcMar>
              <w:bottom w:w="28" w:type="dxa"/>
            </w:tcMar>
            <w:vAlign w:val="center"/>
          </w:tcPr>
          <w:p>
            <w:pPr>
              <w:pStyle w:val="TableContents"/>
              <w:bidi w:val="0"/>
              <w:spacing w:before="0" w:after="283"/>
              <w:jc w:val="right"/>
              <w:rPr/>
            </w:pPr>
            <w:r>
              <w:rPr/>
              <w:t>19</w:t>
            </w:r>
          </w:p>
        </w:tc>
        <w:tc>
          <w:tcPr>
            <w:tcW w:w="14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9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71" w:type="dxa"/>
            <w:tcBorders>
              <w:bottom w:val="double" w:sz="6" w:space="0" w:color="000000"/>
            </w:tcBorders>
            <w:shd w:fill="CCEEFF" w:val="clear"/>
            <w:tcMar>
              <w:bottom w:w="28" w:type="dxa"/>
            </w:tcMar>
            <w:vAlign w:val="center"/>
          </w:tcPr>
          <w:p>
            <w:pPr>
              <w:pStyle w:val="TableContents"/>
              <w:bidi w:val="0"/>
              <w:spacing w:before="0" w:after="283"/>
              <w:jc w:val="right"/>
              <w:rPr/>
            </w:pPr>
            <w:r>
              <w:rPr/>
              <w:t>23</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7565" w:type="dxa"/>
            <w:tcBorders/>
            <w:vAlign w:val="center"/>
          </w:tcPr>
          <w:p>
            <w:pPr>
              <w:pStyle w:val="TableContents"/>
              <w:bidi w:val="0"/>
              <w:spacing w:before="0" w:after="283"/>
              <w:jc w:val="left"/>
              <w:rPr/>
            </w:pPr>
            <w:r>
              <w:rPr/>
              <w:t>Income Taxes</w:t>
            </w:r>
          </w:p>
        </w:tc>
        <w:tc>
          <w:tcPr>
            <w:tcW w:w="90" w:type="dxa"/>
            <w:tcBorders/>
            <w:vAlign w:val="center"/>
          </w:tcPr>
          <w:p>
            <w:pPr>
              <w:pStyle w:val="TableContents"/>
              <w:bidi w:val="0"/>
              <w:spacing w:before="0" w:after="283"/>
              <w:jc w:val="left"/>
              <w:rPr/>
            </w:pPr>
            <w:r>
              <w:rPr/>
              <w:t> </w:t>
            </w:r>
          </w:p>
        </w:tc>
        <w:tc>
          <w:tcPr>
            <w:tcW w:w="197" w:type="dxa"/>
            <w:tcBorders>
              <w:bottom w:val="double" w:sz="6" w:space="0" w:color="000000"/>
            </w:tcBorders>
            <w:tcMar>
              <w:bottom w:w="28" w:type="dxa"/>
            </w:tcMar>
            <w:vAlign w:val="center"/>
          </w:tcPr>
          <w:p>
            <w:pPr>
              <w:pStyle w:val="TableContents"/>
              <w:bidi w:val="0"/>
              <w:spacing w:before="0" w:after="283"/>
              <w:jc w:val="left"/>
              <w:rPr/>
            </w:pPr>
            <w:r>
              <w:rPr/>
              <w:t>$</w:t>
            </w:r>
          </w:p>
        </w:tc>
        <w:tc>
          <w:tcPr>
            <w:tcW w:w="824" w:type="dxa"/>
            <w:tcBorders>
              <w:bottom w:val="double" w:sz="6" w:space="0" w:color="000000"/>
            </w:tcBorders>
            <w:tcMar>
              <w:bottom w:w="28" w:type="dxa"/>
            </w:tcMar>
            <w:vAlign w:val="center"/>
          </w:tcPr>
          <w:p>
            <w:pPr>
              <w:pStyle w:val="TableContents"/>
              <w:bidi w:val="0"/>
              <w:spacing w:before="0" w:after="283"/>
              <w:jc w:val="right"/>
              <w:rPr/>
            </w:pPr>
            <w:r>
              <w:rPr/>
              <w:t>2</w:t>
            </w:r>
          </w:p>
        </w:tc>
        <w:tc>
          <w:tcPr>
            <w:tcW w:w="14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bottom w:val="double" w:sz="6" w:space="0" w:color="000000"/>
            </w:tcBorders>
            <w:tcMar>
              <w:bottom w:w="28" w:type="dxa"/>
            </w:tcMar>
            <w:vAlign w:val="center"/>
          </w:tcPr>
          <w:p>
            <w:pPr>
              <w:pStyle w:val="TableContents"/>
              <w:bidi w:val="0"/>
              <w:spacing w:before="0" w:after="283"/>
              <w:jc w:val="left"/>
              <w:rPr/>
            </w:pPr>
            <w:r>
              <w:rPr/>
              <w:t>$</w:t>
            </w:r>
          </w:p>
        </w:tc>
        <w:tc>
          <w:tcPr>
            <w:tcW w:w="771" w:type="dxa"/>
            <w:tcBorders>
              <w:bottom w:val="double" w:sz="6" w:space="0" w:color="000000"/>
            </w:tcBorders>
            <w:tcMar>
              <w:bottom w:w="28" w:type="dxa"/>
            </w:tcMar>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7565" w:type="dxa"/>
            <w:tcBorders/>
            <w:shd w:fill="CCEEFF" w:val="clear"/>
            <w:vAlign w:val="center"/>
          </w:tcPr>
          <w:p>
            <w:pPr>
              <w:pStyle w:val="TableContents"/>
              <w:bidi w:val="0"/>
              <w:spacing w:before="0" w:after="283"/>
              <w:jc w:val="left"/>
              <w:rPr/>
            </w:pPr>
            <w:r>
              <w:rPr/>
              <w:t>Non-cash investing and financing activities:</w:t>
            </w:r>
          </w:p>
        </w:tc>
        <w:tc>
          <w:tcPr>
            <w:tcW w:w="90" w:type="dxa"/>
            <w:tcBorders/>
            <w:shd w:fill="CCEEFF" w:val="clear"/>
            <w:vAlign w:val="center"/>
          </w:tcPr>
          <w:p>
            <w:pPr>
              <w:pStyle w:val="TableContents"/>
              <w:bidi w:val="0"/>
              <w:spacing w:before="0" w:after="283"/>
              <w:jc w:val="left"/>
              <w:rPr/>
            </w:pPr>
            <w:r>
              <w:rPr/>
              <w:t> </w:t>
            </w:r>
          </w:p>
        </w:tc>
        <w:tc>
          <w:tcPr>
            <w:tcW w:w="1021" w:type="dxa"/>
            <w:gridSpan w:val="2"/>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968" w:type="dxa"/>
            <w:gridSpan w:val="2"/>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7565" w:type="dxa"/>
            <w:tcBorders/>
            <w:vAlign w:val="center"/>
          </w:tcPr>
          <w:p>
            <w:pPr>
              <w:pStyle w:val="TableContents"/>
              <w:bidi w:val="0"/>
              <w:spacing w:before="0" w:after="283"/>
              <w:jc w:val="left"/>
              <w:rPr/>
            </w:pPr>
            <w:r>
              <w:rPr/>
              <w:t>Acquisition of an equity method investment through the incurrence of a liability</w:t>
            </w:r>
          </w:p>
        </w:tc>
        <w:tc>
          <w:tcPr>
            <w:tcW w:w="90" w:type="dxa"/>
            <w:tcBorders/>
            <w:vAlign w:val="center"/>
          </w:tcPr>
          <w:p>
            <w:pPr>
              <w:pStyle w:val="TableContents"/>
              <w:bidi w:val="0"/>
              <w:spacing w:before="0" w:after="283"/>
              <w:jc w:val="left"/>
              <w:rPr/>
            </w:pPr>
            <w:r>
              <w:rPr/>
              <w:t> </w:t>
            </w:r>
          </w:p>
        </w:tc>
        <w:tc>
          <w:tcPr>
            <w:tcW w:w="197" w:type="dxa"/>
            <w:tcBorders>
              <w:bottom w:val="double" w:sz="6" w:space="0" w:color="000000"/>
            </w:tcBorders>
            <w:tcMar>
              <w:bottom w:w="28" w:type="dxa"/>
            </w:tcMar>
            <w:vAlign w:val="center"/>
          </w:tcPr>
          <w:p>
            <w:pPr>
              <w:pStyle w:val="TableContents"/>
              <w:bidi w:val="0"/>
              <w:spacing w:before="0" w:after="283"/>
              <w:jc w:val="left"/>
              <w:rPr/>
            </w:pPr>
            <w:r>
              <w:rPr/>
              <w:t>$</w:t>
            </w:r>
          </w:p>
        </w:tc>
        <w:tc>
          <w:tcPr>
            <w:tcW w:w="824" w:type="dxa"/>
            <w:tcBorders>
              <w:bottom w:val="double" w:sz="6" w:space="0" w:color="000000"/>
            </w:tcBorders>
            <w:tcMar>
              <w:bottom w:w="28" w:type="dxa"/>
            </w:tcMar>
            <w:vAlign w:val="center"/>
          </w:tcPr>
          <w:p>
            <w:pPr>
              <w:pStyle w:val="TableContents"/>
              <w:bidi w:val="0"/>
              <w:spacing w:before="0" w:after="283"/>
              <w:jc w:val="right"/>
              <w:rPr/>
            </w:pPr>
            <w:r>
              <w:rPr/>
              <w:t>400</w:t>
            </w:r>
          </w:p>
        </w:tc>
        <w:tc>
          <w:tcPr>
            <w:tcW w:w="145"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7" w:type="dxa"/>
            <w:tcBorders>
              <w:bottom w:val="double" w:sz="6" w:space="0" w:color="000000"/>
            </w:tcBorders>
            <w:tcMar>
              <w:bottom w:w="28" w:type="dxa"/>
            </w:tcMar>
            <w:vAlign w:val="center"/>
          </w:tcPr>
          <w:p>
            <w:pPr>
              <w:pStyle w:val="TableContents"/>
              <w:bidi w:val="0"/>
              <w:spacing w:before="0" w:after="283"/>
              <w:jc w:val="left"/>
              <w:rPr/>
            </w:pPr>
            <w:r>
              <w:rPr/>
              <w:t>$</w:t>
            </w:r>
          </w:p>
        </w:tc>
        <w:tc>
          <w:tcPr>
            <w:tcW w:w="771" w:type="dxa"/>
            <w:tcBorders>
              <w:bottom w:val="double" w:sz="6" w:space="0" w:color="000000"/>
            </w:tcBorders>
            <w:tcMar>
              <w:bottom w:w="28" w:type="dxa"/>
            </w:tcMar>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5"/>
      <w:bookmarkEnd w:id="7"/>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Condensed Consolidated Statements of Changes in Stockholders’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 July 31, 2026 and 2025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data)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11350" w:type="dxa"/>
        <w:jc w:val="left"/>
        <w:tblInd w:w="0" w:type="dxa"/>
        <w:tblLayout w:type="fixed"/>
        <w:tblCellMar>
          <w:top w:w="0" w:type="dxa"/>
          <w:left w:w="0" w:type="dxa"/>
          <w:bottom w:w="0" w:type="dxa"/>
          <w:right w:w="0" w:type="dxa"/>
        </w:tblCellMar>
      </w:tblPr>
      <w:tblGrid>
        <w:gridCol w:w="1370"/>
        <w:gridCol w:w="90"/>
        <w:gridCol w:w="90"/>
        <w:gridCol w:w="1130"/>
        <w:gridCol w:w="90"/>
        <w:gridCol w:w="90"/>
        <w:gridCol w:w="171"/>
        <w:gridCol w:w="719"/>
        <w:gridCol w:w="90"/>
        <w:gridCol w:w="90"/>
        <w:gridCol w:w="192"/>
        <w:gridCol w:w="938"/>
        <w:gridCol w:w="90"/>
        <w:gridCol w:w="90"/>
        <w:gridCol w:w="215"/>
        <w:gridCol w:w="750"/>
        <w:gridCol w:w="90"/>
        <w:gridCol w:w="90"/>
        <w:gridCol w:w="90"/>
        <w:gridCol w:w="710"/>
        <w:gridCol w:w="90"/>
        <w:gridCol w:w="90"/>
        <w:gridCol w:w="181"/>
        <w:gridCol w:w="709"/>
        <w:gridCol w:w="125"/>
        <w:gridCol w:w="90"/>
        <w:gridCol w:w="407"/>
        <w:gridCol w:w="1158"/>
        <w:gridCol w:w="90"/>
        <w:gridCol w:w="90"/>
        <w:gridCol w:w="170"/>
        <w:gridCol w:w="830"/>
        <w:gridCol w:w="135"/>
      </w:tblGrid>
      <w:tr>
        <w:trPr/>
        <w:tc>
          <w:tcPr>
            <w:tcW w:w="137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Additional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0" w:type="dxa"/>
            <w:gridSpan w:val="6"/>
            <w:tcBorders/>
            <w:vAlign w:val="center"/>
          </w:tcPr>
          <w:p>
            <w:pPr>
              <w:pStyle w:val="TableContents"/>
              <w:bidi w:val="0"/>
              <w:spacing w:before="0" w:after="283"/>
              <w:jc w:val="center"/>
              <w:rPr>
                <w:b/>
              </w:rPr>
            </w:pPr>
            <w:r>
              <w:rPr>
                <w:b/>
              </w:rPr>
              <w:t>Treasury stock</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283"/>
              <w:jc w:val="center"/>
              <w:rPr>
                <w:b/>
              </w:rPr>
            </w:pPr>
            <w:r>
              <w:rPr>
                <w:b/>
              </w:rPr>
              <w:t>Accumulated other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paid 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Retained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(at cost)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283"/>
              <w:jc w:val="center"/>
              <w:rPr>
                <w:b/>
              </w:rPr>
            </w:pPr>
            <w:r>
              <w:rPr>
                <w:b/>
              </w:rPr>
              <w:t>comprehensive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earnings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Income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Balance at April 30, 2026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9,924,695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719" w:type="dxa"/>
            <w:tcBorders/>
            <w:shd w:fill="CCEEFF" w:val="clear"/>
            <w:vAlign w:val="center"/>
          </w:tcPr>
          <w:p>
            <w:pPr>
              <w:pStyle w:val="TableContents"/>
              <w:bidi w:val="0"/>
              <w:spacing w:before="0" w:after="283"/>
              <w:jc w:val="right"/>
              <w:rPr/>
            </w:pPr>
            <w:r>
              <w:rPr/>
              <w:t>9,925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45,506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750" w:type="dxa"/>
            <w:tcBorders/>
            <w:shd w:fill="CCEEFF" w:val="clear"/>
            <w:vAlign w:val="center"/>
          </w:tcPr>
          <w:p>
            <w:pPr>
              <w:pStyle w:val="TableContents"/>
              <w:bidi w:val="0"/>
              <w:spacing w:before="0" w:after="283"/>
              <w:jc w:val="right"/>
              <w:rPr/>
            </w:pPr>
            <w:r>
              <w:rPr/>
              <w:t>2,756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55,827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w:t>
            </w:r>
          </w:p>
        </w:tc>
        <w:tc>
          <w:tcPr>
            <w:tcW w:w="709" w:type="dxa"/>
            <w:tcBorders/>
            <w:shd w:fill="CCEEFF" w:val="clear"/>
            <w:vAlign w:val="center"/>
          </w:tcPr>
          <w:p>
            <w:pPr>
              <w:pStyle w:val="TableContents"/>
              <w:bidi w:val="0"/>
              <w:spacing w:before="0" w:after="283"/>
              <w:jc w:val="right"/>
              <w:rPr/>
            </w:pPr>
            <w:r>
              <w:rPr/>
              <w:t>(1,784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w:t>
            </w:r>
          </w:p>
        </w:tc>
        <w:tc>
          <w:tcPr>
            <w:tcW w:w="1158" w:type="dxa"/>
            <w:tcBorders/>
            <w:shd w:fill="CCEEFF" w:val="clear"/>
            <w:vAlign w:val="center"/>
          </w:tcPr>
          <w:p>
            <w:pPr>
              <w:pStyle w:val="TableContents"/>
              <w:bidi w:val="0"/>
              <w:spacing w:before="0" w:after="283"/>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56,403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Contribution of stock to 401(k) plan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5,303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right"/>
              <w:rPr/>
            </w:pPr>
            <w:r>
              <w:rPr/>
              <w:t>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347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352</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Stock-based compensation expense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733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709"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1158"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733</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Issuance of common stock from public offering, net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1,086,957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719" w:type="dxa"/>
            <w:tcBorders/>
            <w:vAlign w:val="center"/>
          </w:tcPr>
          <w:p>
            <w:pPr>
              <w:pStyle w:val="TableContents"/>
              <w:bidi w:val="0"/>
              <w:spacing w:before="0" w:after="283"/>
              <w:jc w:val="right"/>
              <w:rPr/>
            </w:pPr>
            <w:r>
              <w:rPr/>
              <w:t>1,087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938" w:type="dxa"/>
            <w:tcBorders/>
            <w:vAlign w:val="center"/>
          </w:tcPr>
          <w:p>
            <w:pPr>
              <w:pStyle w:val="TableContents"/>
              <w:bidi w:val="0"/>
              <w:spacing w:before="0" w:after="283"/>
              <w:jc w:val="right"/>
              <w:rPr/>
            </w:pPr>
            <w:r>
              <w:rPr/>
              <w:t>57,046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115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58,133</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Net income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CCEEFF" w:val="clear"/>
            <w:tcMar>
              <w:bottom w:w="28" w:type="dxa"/>
            </w:tcMar>
            <w:vAlign w:val="center"/>
          </w:tcPr>
          <w:p>
            <w:pPr>
              <w:pStyle w:val="TableContents"/>
              <w:bidi w:val="0"/>
              <w:spacing w:before="0" w:after="283"/>
              <w:jc w:val="right"/>
              <w:rPr/>
            </w:pPr>
            <w:r>
              <w:rPr/>
              <w:t>4,216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pPr>
            <w:r>
              <w:rPr/>
              <w:t>4,216</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Balance at July 31, 2026</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130" w:type="dxa"/>
            <w:tcBorders>
              <w:bottom w:val="double" w:sz="6" w:space="0" w:color="000000"/>
            </w:tcBorders>
            <w:tcMar>
              <w:bottom w:w="28" w:type="dxa"/>
            </w:tcMar>
            <w:vAlign w:val="center"/>
          </w:tcPr>
          <w:p>
            <w:pPr>
              <w:pStyle w:val="TableContents"/>
              <w:bidi w:val="0"/>
              <w:spacing w:before="0" w:after="283"/>
              <w:jc w:val="right"/>
              <w:rPr/>
            </w:pPr>
            <w:r>
              <w:rPr/>
              <w:t>11,016,955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1" w:type="dxa"/>
            <w:tcBorders>
              <w:bottom w:val="double" w:sz="6" w:space="0" w:color="000000"/>
            </w:tcBorders>
            <w:tcMar>
              <w:bottom w:w="28" w:type="dxa"/>
            </w:tcMar>
            <w:vAlign w:val="center"/>
          </w:tcPr>
          <w:p>
            <w:pPr>
              <w:pStyle w:val="TableContents"/>
              <w:bidi w:val="0"/>
              <w:spacing w:before="0" w:after="283"/>
              <w:jc w:val="left"/>
              <w:rPr/>
            </w:pPr>
            <w:r>
              <w:rPr/>
              <w:t>$</w:t>
            </w:r>
          </w:p>
        </w:tc>
        <w:tc>
          <w:tcPr>
            <w:tcW w:w="719" w:type="dxa"/>
            <w:tcBorders>
              <w:bottom w:val="double" w:sz="6" w:space="0" w:color="000000"/>
            </w:tcBorders>
            <w:tcMar>
              <w:bottom w:w="28" w:type="dxa"/>
            </w:tcMar>
            <w:vAlign w:val="center"/>
          </w:tcPr>
          <w:p>
            <w:pPr>
              <w:pStyle w:val="TableContents"/>
              <w:bidi w:val="0"/>
              <w:spacing w:before="0" w:after="283"/>
              <w:jc w:val="right"/>
              <w:rPr/>
            </w:pPr>
            <w:r>
              <w:rPr/>
              <w:t>11,017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2" w:type="dxa"/>
            <w:tcBorders>
              <w:bottom w:val="double" w:sz="6" w:space="0" w:color="000000"/>
            </w:tcBorders>
            <w:tcMar>
              <w:bottom w:w="28" w:type="dxa"/>
            </w:tcMar>
            <w:vAlign w:val="center"/>
          </w:tcPr>
          <w:p>
            <w:pPr>
              <w:pStyle w:val="TableContents"/>
              <w:bidi w:val="0"/>
              <w:spacing w:before="0" w:after="283"/>
              <w:jc w:val="left"/>
              <w:rPr/>
            </w:pPr>
            <w:r>
              <w:rPr/>
              <w:t>$</w:t>
            </w:r>
          </w:p>
        </w:tc>
        <w:tc>
          <w:tcPr>
            <w:tcW w:w="938" w:type="dxa"/>
            <w:tcBorders>
              <w:bottom w:val="double" w:sz="6" w:space="0" w:color="000000"/>
            </w:tcBorders>
            <w:tcMar>
              <w:bottom w:w="28" w:type="dxa"/>
            </w:tcMar>
            <w:vAlign w:val="center"/>
          </w:tcPr>
          <w:p>
            <w:pPr>
              <w:pStyle w:val="TableContents"/>
              <w:bidi w:val="0"/>
              <w:spacing w:before="0" w:after="283"/>
              <w:jc w:val="right"/>
              <w:rPr/>
            </w:pPr>
            <w:r>
              <w:rPr/>
              <w:t>103,632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bottom w:val="double" w:sz="6" w:space="0" w:color="000000"/>
            </w:tcBorders>
            <w:tcMar>
              <w:bottom w:w="28" w:type="dxa"/>
            </w:tcMar>
            <w:vAlign w:val="center"/>
          </w:tcPr>
          <w:p>
            <w:pPr>
              <w:pStyle w:val="TableContents"/>
              <w:bidi w:val="0"/>
              <w:spacing w:before="0" w:after="283"/>
              <w:jc w:val="left"/>
              <w:rPr/>
            </w:pPr>
            <w:r>
              <w:rPr/>
              <w:t>$</w:t>
            </w:r>
          </w:p>
        </w:tc>
        <w:tc>
          <w:tcPr>
            <w:tcW w:w="750" w:type="dxa"/>
            <w:tcBorders>
              <w:bottom w:val="double" w:sz="6" w:space="0" w:color="000000"/>
            </w:tcBorders>
            <w:tcMar>
              <w:bottom w:w="28" w:type="dxa"/>
            </w:tcMar>
            <w:vAlign w:val="center"/>
          </w:tcPr>
          <w:p>
            <w:pPr>
              <w:pStyle w:val="TableContents"/>
              <w:bidi w:val="0"/>
              <w:spacing w:before="0" w:after="283"/>
              <w:jc w:val="right"/>
              <w:rPr/>
            </w:pPr>
            <w:r>
              <w:rPr/>
              <w:t>6,972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710" w:type="dxa"/>
            <w:tcBorders>
              <w:bottom w:val="double" w:sz="6" w:space="0" w:color="000000"/>
            </w:tcBorders>
            <w:tcMar>
              <w:bottom w:w="28" w:type="dxa"/>
            </w:tcMar>
            <w:vAlign w:val="center"/>
          </w:tcPr>
          <w:p>
            <w:pPr>
              <w:pStyle w:val="TableContents"/>
              <w:bidi w:val="0"/>
              <w:spacing w:before="0" w:after="283"/>
              <w:jc w:val="right"/>
              <w:rPr/>
            </w:pPr>
            <w:r>
              <w:rPr/>
              <w:t>55,827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 w:type="dxa"/>
            <w:tcBorders>
              <w:bottom w:val="double" w:sz="6" w:space="0" w:color="000000"/>
            </w:tcBorders>
            <w:tcMar>
              <w:bottom w:w="28" w:type="dxa"/>
            </w:tcMar>
            <w:vAlign w:val="center"/>
          </w:tcPr>
          <w:p>
            <w:pPr>
              <w:pStyle w:val="TableContents"/>
              <w:bidi w:val="0"/>
              <w:spacing w:before="0" w:after="283"/>
              <w:jc w:val="left"/>
              <w:rPr/>
            </w:pPr>
            <w:r>
              <w:rPr/>
              <w:t>$</w:t>
            </w:r>
          </w:p>
        </w:tc>
        <w:tc>
          <w:tcPr>
            <w:tcW w:w="709" w:type="dxa"/>
            <w:tcBorders>
              <w:bottom w:val="double" w:sz="6" w:space="0" w:color="000000"/>
            </w:tcBorders>
            <w:tcMar>
              <w:bottom w:w="28" w:type="dxa"/>
            </w:tcMar>
            <w:vAlign w:val="center"/>
          </w:tcPr>
          <w:p>
            <w:pPr>
              <w:pStyle w:val="TableContents"/>
              <w:bidi w:val="0"/>
              <w:spacing w:before="0" w:after="283"/>
              <w:jc w:val="right"/>
              <w:rPr/>
            </w:pPr>
            <w:r>
              <w:rPr/>
              <w:t>(1,784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407" w:type="dxa"/>
            <w:tcBorders>
              <w:bottom w:val="double" w:sz="6" w:space="0" w:color="000000"/>
            </w:tcBorders>
            <w:tcMar>
              <w:bottom w:w="28" w:type="dxa"/>
            </w:tcMar>
            <w:vAlign w:val="center"/>
          </w:tcPr>
          <w:p>
            <w:pPr>
              <w:pStyle w:val="TableContents"/>
              <w:bidi w:val="0"/>
              <w:spacing w:before="0" w:after="283"/>
              <w:jc w:val="left"/>
              <w:rPr/>
            </w:pPr>
            <w:r>
              <w:rPr/>
              <w:t>$</w:t>
            </w:r>
          </w:p>
        </w:tc>
        <w:tc>
          <w:tcPr>
            <w:tcW w:w="1158" w:type="dxa"/>
            <w:tcBorders>
              <w:bottom w:val="double" w:sz="6"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tcMar>
              <w:bottom w:w="28" w:type="dxa"/>
            </w:tcMar>
            <w:vAlign w:val="center"/>
          </w:tcPr>
          <w:p>
            <w:pPr>
              <w:pStyle w:val="TableContents"/>
              <w:bidi w:val="0"/>
              <w:spacing w:before="0" w:after="283"/>
              <w:jc w:val="right"/>
              <w:rPr/>
            </w:pPr>
            <w:r>
              <w:rPr/>
              <w:t>119,837</w:t>
            </w:r>
          </w:p>
        </w:tc>
        <w:tc>
          <w:tcPr>
            <w:tcW w:w="13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1110" w:type="dxa"/>
        <w:jc w:val="left"/>
        <w:tblInd w:w="0" w:type="dxa"/>
        <w:tblLayout w:type="fixed"/>
        <w:tblCellMar>
          <w:top w:w="0" w:type="dxa"/>
          <w:left w:w="0" w:type="dxa"/>
          <w:bottom w:w="0" w:type="dxa"/>
          <w:right w:w="0" w:type="dxa"/>
        </w:tblCellMar>
      </w:tblPr>
      <w:tblGrid>
        <w:gridCol w:w="1370"/>
        <w:gridCol w:w="90"/>
        <w:gridCol w:w="90"/>
        <w:gridCol w:w="1010"/>
        <w:gridCol w:w="90"/>
        <w:gridCol w:w="90"/>
        <w:gridCol w:w="199"/>
        <w:gridCol w:w="691"/>
        <w:gridCol w:w="90"/>
        <w:gridCol w:w="90"/>
        <w:gridCol w:w="218"/>
        <w:gridCol w:w="912"/>
        <w:gridCol w:w="90"/>
        <w:gridCol w:w="90"/>
        <w:gridCol w:w="215"/>
        <w:gridCol w:w="750"/>
        <w:gridCol w:w="90"/>
        <w:gridCol w:w="90"/>
        <w:gridCol w:w="90"/>
        <w:gridCol w:w="710"/>
        <w:gridCol w:w="90"/>
        <w:gridCol w:w="90"/>
        <w:gridCol w:w="230"/>
        <w:gridCol w:w="660"/>
        <w:gridCol w:w="125"/>
        <w:gridCol w:w="90"/>
        <w:gridCol w:w="378"/>
        <w:gridCol w:w="1187"/>
        <w:gridCol w:w="90"/>
        <w:gridCol w:w="90"/>
        <w:gridCol w:w="170"/>
        <w:gridCol w:w="710"/>
        <w:gridCol w:w="135"/>
      </w:tblGrid>
      <w:tr>
        <w:trPr/>
        <w:tc>
          <w:tcPr>
            <w:tcW w:w="1370"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Additional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0" w:type="dxa"/>
            <w:gridSpan w:val="6"/>
            <w:tcBorders/>
            <w:vAlign w:val="center"/>
          </w:tcPr>
          <w:p>
            <w:pPr>
              <w:pStyle w:val="TableContents"/>
              <w:bidi w:val="0"/>
              <w:spacing w:before="0" w:after="283"/>
              <w:jc w:val="center"/>
              <w:rPr>
                <w:b/>
              </w:rPr>
            </w:pPr>
            <w:r>
              <w:rPr>
                <w:b/>
              </w:rPr>
              <w:t>Treasury stock</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283"/>
              <w:jc w:val="center"/>
              <w:rPr>
                <w:b/>
              </w:rPr>
            </w:pPr>
            <w:r>
              <w:rPr>
                <w:b/>
              </w:rPr>
              <w:t>Accumulated other</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paid in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vAlign w:val="center"/>
          </w:tcPr>
          <w:p>
            <w:pPr>
              <w:pStyle w:val="TableContents"/>
              <w:bidi w:val="0"/>
              <w:spacing w:before="0" w:after="283"/>
              <w:jc w:val="center"/>
              <w:rPr>
                <w:b/>
              </w:rPr>
            </w:pPr>
            <w:r>
              <w:rPr>
                <w:b/>
              </w:rPr>
              <w:t>Retained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(at cost)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5" w:type="dxa"/>
            <w:gridSpan w:val="2"/>
            <w:tcBorders/>
            <w:vAlign w:val="center"/>
          </w:tcPr>
          <w:p>
            <w:pPr>
              <w:pStyle w:val="TableContents"/>
              <w:bidi w:val="0"/>
              <w:spacing w:before="0" w:after="283"/>
              <w:jc w:val="center"/>
              <w:rPr>
                <w:b/>
              </w:rPr>
            </w:pPr>
            <w:r>
              <w:rPr>
                <w:b/>
              </w:rPr>
              <w:t>comprehensive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earnings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Income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Balance at April 30,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9,716,999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691" w:type="dxa"/>
            <w:tcBorders/>
            <w:shd w:fill="CCEEFF" w:val="clear"/>
            <w:vAlign w:val="center"/>
          </w:tcPr>
          <w:p>
            <w:pPr>
              <w:pStyle w:val="TableContents"/>
              <w:bidi w:val="0"/>
              <w:spacing w:before="0" w:after="283"/>
              <w:jc w:val="right"/>
              <w:rPr/>
            </w:pPr>
            <w:r>
              <w:rPr/>
              <w:t>9,717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w:t>
            </w:r>
          </w:p>
        </w:tc>
        <w:tc>
          <w:tcPr>
            <w:tcW w:w="912" w:type="dxa"/>
            <w:tcBorders/>
            <w:shd w:fill="CCEEFF" w:val="clear"/>
            <w:vAlign w:val="center"/>
          </w:tcPr>
          <w:p>
            <w:pPr>
              <w:pStyle w:val="TableContents"/>
              <w:bidi w:val="0"/>
              <w:spacing w:before="0" w:after="283"/>
              <w:jc w:val="right"/>
              <w:rPr/>
            </w:pPr>
            <w:r>
              <w:rPr/>
              <w:t>42,475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750" w:type="dxa"/>
            <w:tcBorders/>
            <w:shd w:fill="CCEEFF" w:val="clear"/>
            <w:vAlign w:val="center"/>
          </w:tcPr>
          <w:p>
            <w:pPr>
              <w:pStyle w:val="TableContents"/>
              <w:bidi w:val="0"/>
              <w:spacing w:before="0" w:after="283"/>
              <w:jc w:val="right"/>
              <w:rPr/>
            </w:pPr>
            <w:r>
              <w:rPr/>
              <w:t>3,659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13,088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660" w:type="dxa"/>
            <w:tcBorders/>
            <w:shd w:fill="CCEEFF" w:val="clear"/>
            <w:vAlign w:val="center"/>
          </w:tcPr>
          <w:p>
            <w:pPr>
              <w:pStyle w:val="TableContents"/>
              <w:bidi w:val="0"/>
              <w:spacing w:before="0" w:after="283"/>
              <w:jc w:val="right"/>
              <w:rPr/>
            </w:pPr>
            <w:r>
              <w:rPr/>
              <w:t>(231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1187" w:type="dxa"/>
            <w:tcBorders/>
            <w:shd w:fill="CCEEFF" w:val="clear"/>
            <w:vAlign w:val="center"/>
          </w:tcPr>
          <w:p>
            <w:pPr>
              <w:pStyle w:val="TableContents"/>
              <w:bidi w:val="0"/>
              <w:spacing w:before="0" w:after="283"/>
              <w:jc w:val="right"/>
              <w:rPr/>
            </w:pPr>
            <w:r>
              <w:rPr/>
              <w:t>          </w:t>
            </w: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55,620</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Contribution of stock to 401(k) plan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12,405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12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269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281</w:t>
            </w:r>
          </w:p>
        </w:tc>
        <w:tc>
          <w:tcPr>
            <w:tcW w:w="135" w:type="dxa"/>
            <w:tcBorders/>
            <w:vAlign w:val="center"/>
          </w:tcPr>
          <w:p>
            <w:pPr>
              <w:pStyle w:val="TableContents"/>
              <w:bidi w:val="0"/>
              <w:spacing w:before="0" w:after="283"/>
              <w:ind w:left="0" w:right="0" w:hanging="180"/>
              <w:jc w:val="left"/>
              <w:rPr/>
            </w:pPr>
            <w:r>
              <w:rPr/>
              <w:t> </w:t>
            </w:r>
          </w:p>
        </w:tc>
      </w:tr>
      <w:tr>
        <w:trPr/>
        <w:tc>
          <w:tcPr>
            <w:tcW w:w="1370" w:type="dxa"/>
            <w:tcBorders/>
            <w:shd w:fill="CCEEFF" w:val="clear"/>
            <w:vAlign w:val="center"/>
          </w:tcPr>
          <w:p>
            <w:pPr>
              <w:pStyle w:val="TableContents"/>
              <w:bidi w:val="0"/>
              <w:spacing w:before="0" w:after="283"/>
              <w:jc w:val="left"/>
              <w:rPr/>
            </w:pPr>
            <w:r>
              <w:rPr/>
              <w:t>Stock-based compensation expense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right"/>
              <w:rPr/>
            </w:pPr>
            <w:r>
              <w:rPr/>
              <w:t>54,866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691" w:type="dxa"/>
            <w:tcBorders/>
            <w:shd w:fill="CCEEFF" w:val="clear"/>
            <w:vAlign w:val="center"/>
          </w:tcPr>
          <w:p>
            <w:pPr>
              <w:pStyle w:val="TableContents"/>
              <w:bidi w:val="0"/>
              <w:spacing w:before="0" w:after="283"/>
              <w:jc w:val="right"/>
              <w:rPr/>
            </w:pPr>
            <w:r>
              <w:rPr/>
              <w:t>55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right"/>
              <w:rPr/>
            </w:pPr>
            <w:r>
              <w:rPr/>
              <w:t>312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75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 </w:t>
            </w:r>
          </w:p>
        </w:tc>
        <w:tc>
          <w:tcPr>
            <w:tcW w:w="660"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187" w:type="dxa"/>
            <w:tcBorders/>
            <w:shd w:fill="CCEEFF" w:val="cle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367</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Shares withheld on employee taxes on vested equity awards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 </w:t>
            </w:r>
          </w:p>
        </w:tc>
        <w:tc>
          <w:tcPr>
            <w:tcW w:w="691"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750"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21,910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60" w:type="dxa"/>
            <w:tcBorders/>
            <w:vAlign w:val="center"/>
          </w:tcPr>
          <w:p>
            <w:pPr>
              <w:pStyle w:val="TableContents"/>
              <w:bidi w:val="0"/>
              <w:spacing w:before="0" w:after="283"/>
              <w:jc w:val="right"/>
              <w:rPr/>
            </w:pPr>
            <w:r>
              <w:rPr/>
              <w:t>(583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78" w:type="dxa"/>
            <w:tcBorders/>
            <w:vAlign w:val="center"/>
          </w:tcPr>
          <w:p>
            <w:pPr>
              <w:pStyle w:val="TableContents"/>
              <w:bidi w:val="0"/>
              <w:spacing w:before="0" w:after="283"/>
              <w:jc w:val="left"/>
              <w:rPr/>
            </w:pPr>
            <w:r>
              <w:rPr/>
              <w:t> </w:t>
            </w:r>
          </w:p>
        </w:tc>
        <w:tc>
          <w:tcPr>
            <w:tcW w:w="1187" w:type="dxa"/>
            <w:tcBorders/>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(583</w:t>
            </w:r>
          </w:p>
        </w:tc>
        <w:tc>
          <w:tcPr>
            <w:tcW w:w="135" w:type="dxa"/>
            <w:tcBorders/>
            <w:vAlign w:val="center"/>
          </w:tcPr>
          <w:p>
            <w:pPr>
              <w:pStyle w:val="TableContents"/>
              <w:bidi w:val="0"/>
              <w:spacing w:before="0" w:after="283"/>
              <w:ind w:left="0" w:right="0" w:hanging="180"/>
              <w:jc w:val="left"/>
              <w:rPr/>
            </w:pPr>
            <w:r>
              <w:rPr/>
              <w:t>)</w:t>
            </w:r>
          </w:p>
        </w:tc>
      </w:tr>
      <w:tr>
        <w:trPr/>
        <w:tc>
          <w:tcPr>
            <w:tcW w:w="1370" w:type="dxa"/>
            <w:tcBorders/>
            <w:shd w:fill="CCEEFF" w:val="clear"/>
            <w:vAlign w:val="center"/>
          </w:tcPr>
          <w:p>
            <w:pPr>
              <w:pStyle w:val="TableContents"/>
              <w:bidi w:val="0"/>
              <w:spacing w:before="0" w:after="283"/>
              <w:jc w:val="left"/>
              <w:rPr/>
            </w:pPr>
            <w:r>
              <w:rPr/>
              <w:t>Net income</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1"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0" w:type="dxa"/>
            <w:tcBorders>
              <w:bottom w:val="single" w:sz="8" w:space="0" w:color="000000"/>
            </w:tcBorders>
            <w:shd w:fill="CCEEFF" w:val="clear"/>
            <w:tcMar>
              <w:bottom w:w="28" w:type="dxa"/>
            </w:tcMar>
            <w:vAlign w:val="center"/>
          </w:tcPr>
          <w:p>
            <w:pPr>
              <w:pStyle w:val="TableContents"/>
              <w:bidi w:val="0"/>
              <w:spacing w:before="0" w:after="283"/>
              <w:jc w:val="right"/>
              <w:rPr/>
            </w:pPr>
            <w:r>
              <w:rPr/>
              <w:t>634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0"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7"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634</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1370" w:type="dxa"/>
            <w:tcBorders/>
            <w:vAlign w:val="center"/>
          </w:tcPr>
          <w:p>
            <w:pPr>
              <w:pStyle w:val="TableContents"/>
              <w:bidi w:val="0"/>
              <w:spacing w:before="0" w:after="283"/>
              <w:jc w:val="left"/>
              <w:rPr/>
            </w:pPr>
            <w:r>
              <w:rPr/>
              <w:t>Balance at July 31, 2025</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1010" w:type="dxa"/>
            <w:tcBorders>
              <w:bottom w:val="double" w:sz="6" w:space="0" w:color="000000"/>
            </w:tcBorders>
            <w:tcMar>
              <w:bottom w:w="28" w:type="dxa"/>
            </w:tcMar>
            <w:vAlign w:val="center"/>
          </w:tcPr>
          <w:p>
            <w:pPr>
              <w:pStyle w:val="TableContents"/>
              <w:bidi w:val="0"/>
              <w:spacing w:before="0" w:after="283"/>
              <w:jc w:val="right"/>
              <w:rPr/>
            </w:pPr>
            <w:r>
              <w:rPr/>
              <w:t>9,784,270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99" w:type="dxa"/>
            <w:tcBorders>
              <w:bottom w:val="double" w:sz="6" w:space="0" w:color="000000"/>
            </w:tcBorders>
            <w:tcMar>
              <w:bottom w:w="28" w:type="dxa"/>
            </w:tcMar>
            <w:vAlign w:val="center"/>
          </w:tcPr>
          <w:p>
            <w:pPr>
              <w:pStyle w:val="TableContents"/>
              <w:bidi w:val="0"/>
              <w:spacing w:before="0" w:after="283"/>
              <w:jc w:val="left"/>
              <w:rPr/>
            </w:pPr>
            <w:r>
              <w:rPr/>
              <w:t>$</w:t>
            </w:r>
          </w:p>
        </w:tc>
        <w:tc>
          <w:tcPr>
            <w:tcW w:w="691" w:type="dxa"/>
            <w:tcBorders>
              <w:bottom w:val="double" w:sz="6" w:space="0" w:color="000000"/>
            </w:tcBorders>
            <w:tcMar>
              <w:bottom w:w="28" w:type="dxa"/>
            </w:tcMar>
            <w:vAlign w:val="center"/>
          </w:tcPr>
          <w:p>
            <w:pPr>
              <w:pStyle w:val="TableContents"/>
              <w:bidi w:val="0"/>
              <w:spacing w:before="0" w:after="283"/>
              <w:jc w:val="right"/>
              <w:rPr/>
            </w:pPr>
            <w:r>
              <w:rPr/>
              <w:t>9,784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8" w:type="dxa"/>
            <w:tcBorders>
              <w:bottom w:val="double" w:sz="6" w:space="0" w:color="000000"/>
            </w:tcBorders>
            <w:tcMar>
              <w:bottom w:w="28" w:type="dxa"/>
            </w:tcMar>
            <w:vAlign w:val="center"/>
          </w:tcPr>
          <w:p>
            <w:pPr>
              <w:pStyle w:val="TableContents"/>
              <w:bidi w:val="0"/>
              <w:spacing w:before="0" w:after="283"/>
              <w:jc w:val="left"/>
              <w:rPr/>
            </w:pPr>
            <w:r>
              <w:rPr/>
              <w:t>$</w:t>
            </w:r>
          </w:p>
        </w:tc>
        <w:tc>
          <w:tcPr>
            <w:tcW w:w="912" w:type="dxa"/>
            <w:tcBorders>
              <w:bottom w:val="double" w:sz="6" w:space="0" w:color="000000"/>
            </w:tcBorders>
            <w:tcMar>
              <w:bottom w:w="28" w:type="dxa"/>
            </w:tcMar>
            <w:vAlign w:val="center"/>
          </w:tcPr>
          <w:p>
            <w:pPr>
              <w:pStyle w:val="TableContents"/>
              <w:bidi w:val="0"/>
              <w:spacing w:before="0" w:after="283"/>
              <w:jc w:val="right"/>
              <w:rPr/>
            </w:pPr>
            <w:r>
              <w:rPr/>
              <w:t>43,056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5" w:type="dxa"/>
            <w:tcBorders>
              <w:bottom w:val="double" w:sz="6" w:space="0" w:color="000000"/>
            </w:tcBorders>
            <w:tcMar>
              <w:bottom w:w="28" w:type="dxa"/>
            </w:tcMar>
            <w:vAlign w:val="center"/>
          </w:tcPr>
          <w:p>
            <w:pPr>
              <w:pStyle w:val="TableContents"/>
              <w:bidi w:val="0"/>
              <w:spacing w:before="0" w:after="283"/>
              <w:jc w:val="left"/>
              <w:rPr/>
            </w:pPr>
            <w:r>
              <w:rPr/>
              <w:t>$</w:t>
            </w:r>
          </w:p>
        </w:tc>
        <w:tc>
          <w:tcPr>
            <w:tcW w:w="750" w:type="dxa"/>
            <w:tcBorders>
              <w:bottom w:val="double" w:sz="6" w:space="0" w:color="000000"/>
            </w:tcBorders>
            <w:tcMar>
              <w:bottom w:w="28" w:type="dxa"/>
            </w:tcMar>
            <w:vAlign w:val="center"/>
          </w:tcPr>
          <w:p>
            <w:pPr>
              <w:pStyle w:val="TableContents"/>
              <w:bidi w:val="0"/>
              <w:spacing w:before="0" w:after="283"/>
              <w:jc w:val="right"/>
              <w:rPr/>
            </w:pPr>
            <w:r>
              <w:rPr/>
              <w:t>4,293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710" w:type="dxa"/>
            <w:tcBorders>
              <w:bottom w:val="double" w:sz="6" w:space="0" w:color="000000"/>
            </w:tcBorders>
            <w:tcMar>
              <w:bottom w:w="28" w:type="dxa"/>
            </w:tcMar>
            <w:vAlign w:val="center"/>
          </w:tcPr>
          <w:p>
            <w:pPr>
              <w:pStyle w:val="TableContents"/>
              <w:bidi w:val="0"/>
              <w:spacing w:before="0" w:after="283"/>
              <w:jc w:val="right"/>
              <w:rPr/>
            </w:pPr>
            <w:r>
              <w:rPr/>
              <w:t>34,998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30" w:type="dxa"/>
            <w:tcBorders>
              <w:bottom w:val="double" w:sz="6" w:space="0" w:color="000000"/>
            </w:tcBorders>
            <w:tcMar>
              <w:bottom w:w="28" w:type="dxa"/>
            </w:tcMar>
            <w:vAlign w:val="center"/>
          </w:tcPr>
          <w:p>
            <w:pPr>
              <w:pStyle w:val="TableContents"/>
              <w:bidi w:val="0"/>
              <w:spacing w:before="0" w:after="283"/>
              <w:jc w:val="left"/>
              <w:rPr/>
            </w:pPr>
            <w:r>
              <w:rPr/>
              <w:t>$</w:t>
            </w:r>
          </w:p>
        </w:tc>
        <w:tc>
          <w:tcPr>
            <w:tcW w:w="660" w:type="dxa"/>
            <w:tcBorders>
              <w:bottom w:val="double" w:sz="6" w:space="0" w:color="000000"/>
            </w:tcBorders>
            <w:tcMar>
              <w:bottom w:w="28" w:type="dxa"/>
            </w:tcMar>
            <w:vAlign w:val="center"/>
          </w:tcPr>
          <w:p>
            <w:pPr>
              <w:pStyle w:val="TableContents"/>
              <w:bidi w:val="0"/>
              <w:spacing w:before="0" w:after="283"/>
              <w:jc w:val="right"/>
              <w:rPr/>
            </w:pPr>
            <w:r>
              <w:rPr/>
              <w:t>(814</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378" w:type="dxa"/>
            <w:tcBorders>
              <w:bottom w:val="double" w:sz="6" w:space="0" w:color="000000"/>
            </w:tcBorders>
            <w:tcMar>
              <w:bottom w:w="28" w:type="dxa"/>
            </w:tcMar>
            <w:vAlign w:val="center"/>
          </w:tcPr>
          <w:p>
            <w:pPr>
              <w:pStyle w:val="TableContents"/>
              <w:bidi w:val="0"/>
              <w:spacing w:before="0" w:after="283"/>
              <w:jc w:val="left"/>
              <w:rPr/>
            </w:pPr>
            <w:r>
              <w:rPr/>
              <w:t>$</w:t>
            </w:r>
          </w:p>
        </w:tc>
        <w:tc>
          <w:tcPr>
            <w:tcW w:w="1187" w:type="dxa"/>
            <w:tcBorders>
              <w:bottom w:val="double" w:sz="6"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56,319</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6"/>
      <w:bookmarkEnd w:id="8"/>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A –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of Frequency Electronics, Inc. (the “Company”), the accompanying unaudited condensed consolidated interim financial statements reflect all adjustments (which include only normal recurring adjustments) necessary to present fairly, in all material respects, the condensed consolidated financial position of the Company as of July 31, 2026 and the results of its operations, changes in stockholders’ equity for the three months ended July 31, 2026 and 2025, and cash flows for the three months ended July 31, 2026 and 2025. The April 30, 2026 condensed consolidated balance sheet was derived from audited financial statements. These financial statements are prepared in conformity with accounting principles generally accepted in the United States of America (“U.S. GAAP”).  Certain information and footnote disclosures normally included in financial statements prepared in accordance with U.S. GAAP have been condensed or omitted. These condensed consolidated interim financial statements should be read in conjunction with the annual consolidated financial statements included in the Company’s Annual Report on Form 10-K for the fiscal year ended April 30, 2026, filed on July 17, 2026 with the Securities and Exchange Commission (the “Form 10-K”). The results of operations for such interim periods are not necessarily indicative of the operating results for the full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amounts in prior years have been reclassified to conform to the current year presentation.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B – EARNINGS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 Average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of the weighted average shares outstanding for basic and diluted earnings per share (“EPS”) for the three months ended July 31, 2026 and 2025, respectively, were as follows:</w:t>
      </w:r>
    </w:p>
    <w:p>
      <w:pPr>
        <w:pStyle w:val="TextBody"/>
        <w:bidi w:val="0"/>
        <w:spacing w:before="0" w:after="0"/>
        <w:ind w:left="0" w:right="0" w:firstLine="720"/>
        <w:jc w:val="both"/>
        <w:rPr>
          <w:caps w:val="false"/>
          <w:smallCaps w:val="false"/>
        </w:rPr>
      </w:pPr>
      <w:r>
        <w:rPr>
          <w:caps w:val="false"/>
          <w:smallCaps w:val="false"/>
        </w:rPr>
        <w:t> </w:t>
      </w:r>
    </w:p>
    <w:tbl>
      <w:tblPr>
        <w:tblW w:w="7974" w:type="dxa"/>
        <w:jc w:val="left"/>
        <w:tblInd w:w="0" w:type="dxa"/>
        <w:tblLayout w:type="fixed"/>
        <w:tblCellMar>
          <w:top w:w="0" w:type="dxa"/>
          <w:left w:w="0" w:type="dxa"/>
          <w:bottom w:w="0" w:type="dxa"/>
          <w:right w:w="0" w:type="dxa"/>
        </w:tblCellMar>
      </w:tblPr>
      <w:tblGrid>
        <w:gridCol w:w="4745"/>
        <w:gridCol w:w="90"/>
        <w:gridCol w:w="108"/>
        <w:gridCol w:w="1358"/>
        <w:gridCol w:w="108"/>
        <w:gridCol w:w="108"/>
        <w:gridCol w:w="108"/>
        <w:gridCol w:w="1214"/>
        <w:gridCol w:w="135"/>
      </w:tblGrid>
      <w:tr>
        <w:trPr/>
        <w:tc>
          <w:tcPr>
            <w:tcW w:w="4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0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July 31,</w:t>
            </w:r>
          </w:p>
        </w:tc>
        <w:tc>
          <w:tcPr>
            <w:tcW w:w="13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2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Weighted average shares outstanding:</w:t>
            </w:r>
          </w:p>
        </w:tc>
        <w:tc>
          <w:tcPr>
            <w:tcW w:w="90" w:type="dxa"/>
            <w:tcBorders/>
            <w:vAlign w:val="center"/>
          </w:tcPr>
          <w:p>
            <w:pPr>
              <w:pStyle w:val="TableContents"/>
              <w:bidi w:val="0"/>
              <w:spacing w:before="0" w:after="283"/>
              <w:jc w:val="left"/>
              <w:rPr/>
            </w:pPr>
            <w:r>
              <w:rPr/>
              <w:t> </w:t>
            </w:r>
          </w:p>
        </w:tc>
        <w:tc>
          <w:tcPr>
            <w:tcW w:w="1466" w:type="dxa"/>
            <w:gridSpan w:val="2"/>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322"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Basic EPS shares outstanding (weighted average)</w:t>
            </w:r>
          </w:p>
        </w:tc>
        <w:tc>
          <w:tcPr>
            <w:tcW w:w="9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358" w:type="dxa"/>
            <w:tcBorders/>
            <w:shd w:fill="CCEEFF" w:val="clear"/>
            <w:vAlign w:val="center"/>
          </w:tcPr>
          <w:p>
            <w:pPr>
              <w:pStyle w:val="TableContents"/>
              <w:bidi w:val="0"/>
              <w:spacing w:before="0" w:after="283"/>
              <w:jc w:val="right"/>
              <w:rPr/>
            </w:pPr>
            <w:r>
              <w:rPr/>
              <w:t>10,231,992</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214" w:type="dxa"/>
            <w:tcBorders/>
            <w:shd w:fill="CCEEFF" w:val="clear"/>
            <w:vAlign w:val="center"/>
          </w:tcPr>
          <w:p>
            <w:pPr>
              <w:pStyle w:val="TableContents"/>
              <w:bidi w:val="0"/>
              <w:spacing w:before="0" w:after="283"/>
              <w:jc w:val="right"/>
              <w:rPr/>
            </w:pPr>
            <w:r>
              <w:rPr/>
              <w:t>9,723,165</w:t>
            </w:r>
          </w:p>
        </w:tc>
        <w:tc>
          <w:tcPr>
            <w:tcW w:w="135"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Effect of dilutive securities</w:t>
            </w:r>
          </w:p>
        </w:tc>
        <w:tc>
          <w:tcPr>
            <w:tcW w:w="90" w:type="dxa"/>
            <w:tcBorders/>
            <w:vAlign w:val="center"/>
          </w:tcPr>
          <w:p>
            <w:pPr>
              <w:pStyle w:val="TableContents"/>
              <w:bidi w:val="0"/>
              <w:spacing w:before="0" w:after="283"/>
              <w:jc w:val="left"/>
              <w:rPr/>
            </w:pPr>
            <w:r>
              <w:rPr/>
              <w:t> </w:t>
            </w:r>
          </w:p>
        </w:tc>
        <w:tc>
          <w:tcPr>
            <w:tcW w:w="108" w:type="dxa"/>
            <w:tcBorders>
              <w:bottom w:val="single" w:sz="8" w:space="0" w:color="000000"/>
            </w:tcBorders>
            <w:tcMar>
              <w:bottom w:w="28" w:type="dxa"/>
            </w:tcMar>
            <w:vAlign w:val="center"/>
          </w:tcPr>
          <w:p>
            <w:pPr>
              <w:pStyle w:val="TableContents"/>
              <w:bidi w:val="0"/>
              <w:spacing w:before="0" w:after="283"/>
              <w:jc w:val="left"/>
              <w:rPr/>
            </w:pPr>
            <w:r>
              <w:rPr/>
              <w:t> </w:t>
            </w:r>
          </w:p>
        </w:tc>
        <w:tc>
          <w:tcPr>
            <w:tcW w:w="1358" w:type="dxa"/>
            <w:tcBorders>
              <w:bottom w:val="single" w:sz="8" w:space="0" w:color="000000"/>
            </w:tcBorders>
            <w:tcMar>
              <w:bottom w:w="28" w:type="dxa"/>
            </w:tcMar>
            <w:vAlign w:val="center"/>
          </w:tcPr>
          <w:p>
            <w:pPr>
              <w:pStyle w:val="TableContents"/>
              <w:bidi w:val="0"/>
              <w:spacing w:before="0" w:after="283"/>
              <w:jc w:val="right"/>
              <w:rPr/>
            </w:pPr>
            <w:r>
              <w:rPr/>
              <w:t> </w:t>
            </w:r>
            <w:r>
              <w:rPr>
                <w:sz w:val="20"/>
              </w:rPr>
              <w:t xml:space="preserve">**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bottom w:val="single" w:sz="8" w:space="0" w:color="000000"/>
            </w:tcBorders>
            <w:tcMar>
              <w:bottom w:w="28" w:type="dxa"/>
            </w:tcMar>
            <w:vAlign w:val="center"/>
          </w:tcPr>
          <w:p>
            <w:pPr>
              <w:pStyle w:val="TableContents"/>
              <w:bidi w:val="0"/>
              <w:spacing w:before="0" w:after="283"/>
              <w:jc w:val="left"/>
              <w:rPr/>
            </w:pPr>
            <w:r>
              <w:rPr/>
              <w:t> </w:t>
            </w:r>
          </w:p>
        </w:tc>
        <w:tc>
          <w:tcPr>
            <w:tcW w:w="1214" w:type="dxa"/>
            <w:tcBorders>
              <w:bottom w:val="single" w:sz="8" w:space="0" w:color="000000"/>
            </w:tcBorders>
            <w:tcMar>
              <w:bottom w:w="28" w:type="dxa"/>
            </w:tcMar>
            <w:vAlign w:val="center"/>
          </w:tcPr>
          <w:p>
            <w:pPr>
              <w:pStyle w:val="TableContents"/>
              <w:bidi w:val="0"/>
              <w:spacing w:before="0" w:after="283"/>
              <w:jc w:val="right"/>
              <w:rPr/>
            </w:pPr>
            <w:r>
              <w:rPr/>
              <w:t> </w:t>
            </w:r>
            <w:r>
              <w:rPr>
                <w:sz w:val="20"/>
              </w:rPr>
              <w:t xml:space="preserve">** </w:t>
            </w:r>
          </w:p>
        </w:tc>
        <w:tc>
          <w:tcPr>
            <w:tcW w:w="135"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Diluted EPS shares outstanding</w:t>
            </w:r>
          </w:p>
        </w:tc>
        <w:tc>
          <w:tcPr>
            <w:tcW w:w="90" w:type="dxa"/>
            <w:tcBorders/>
            <w:shd w:fill="CCEEFF" w:val="clear"/>
            <w:vAlign w:val="center"/>
          </w:tcPr>
          <w:p>
            <w:pPr>
              <w:pStyle w:val="TableContents"/>
              <w:bidi w:val="0"/>
              <w:spacing w:before="0" w:after="283"/>
              <w:jc w:val="left"/>
              <w:rPr/>
            </w:pPr>
            <w:r>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58" w:type="dxa"/>
            <w:tcBorders>
              <w:bottom w:val="double" w:sz="6" w:space="0" w:color="000000"/>
            </w:tcBorders>
            <w:shd w:fill="CCEEFF" w:val="clear"/>
            <w:tcMar>
              <w:bottom w:w="28" w:type="dxa"/>
            </w:tcMar>
            <w:vAlign w:val="center"/>
          </w:tcPr>
          <w:p>
            <w:pPr>
              <w:pStyle w:val="TableContents"/>
              <w:bidi w:val="0"/>
              <w:spacing w:before="0" w:after="283"/>
              <w:jc w:val="right"/>
              <w:rPr/>
            </w:pPr>
            <w:r>
              <w:rPr/>
              <w:t>10,231,992</w:t>
            </w:r>
          </w:p>
        </w:tc>
        <w:tc>
          <w:tcPr>
            <w:tcW w:w="108"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0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4" w:type="dxa"/>
            <w:tcBorders>
              <w:bottom w:val="double" w:sz="6" w:space="0" w:color="000000"/>
            </w:tcBorders>
            <w:shd w:fill="CCEEFF" w:val="clear"/>
            <w:tcMar>
              <w:bottom w:w="28" w:type="dxa"/>
            </w:tcMar>
            <w:vAlign w:val="center"/>
          </w:tcPr>
          <w:p>
            <w:pPr>
              <w:pStyle w:val="TableContents"/>
              <w:bidi w:val="0"/>
              <w:spacing w:before="0" w:after="283"/>
              <w:jc w:val="right"/>
              <w:rPr/>
            </w:pPr>
            <w:r>
              <w:rPr/>
              <w:t>9,723,165</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66"/>
        <w:gridCol w:w="9871"/>
      </w:tblGrid>
      <w:tr>
        <w:trPr/>
        <w:tc>
          <w:tcPr>
            <w:tcW w:w="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w:t>
            </w:r>
          </w:p>
        </w:tc>
        <w:tc>
          <w:tcPr>
            <w:tcW w:w="9871" w:type="dxa"/>
            <w:tcBorders/>
            <w:vAlign w:val="center"/>
          </w:tcPr>
          <w:p>
            <w:pPr>
              <w:pStyle w:val="TableContents"/>
              <w:bidi w:val="0"/>
              <w:spacing w:before="0" w:after="283"/>
              <w:jc w:val="both"/>
              <w:rPr/>
            </w:pPr>
            <w:r>
              <w:rPr/>
              <w:t>For the three months ended July 31, 2026 and 2025, there were no shares to exclude from the calculation of dilutive securities.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30, 2026, the Company completed a public offering (the “Offering”) of 1,739,131 shares of the Company’s common stock, par value $1.00 per share (“common stock”). The Company offered and sold 1,086,957 shares of common stock, and certain selling stockholders offered and sold a total of 652,174 shares of common stock. The shares were sold to investors at $57.50 per share. The gross proceeds to the Company from the Offering were approximately $62.5 million. Net of underwriting discounts and commissions of approximately $3.8 million and offering expenses of approximately $0.6 million, the total proceeds received were approximately $58.1 million. The Company did not receive any proceeds from the sale of the shares by the selling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granted the underwriters to the Offering an option, exercisable for 30 days, to purchase up to 260,869 shares of common stock from the Company on the same terms (the “Option Shares”). On August 3, 2026, the underwriters exercised their option in full and on August 5, 2026, purchased the Option Shares from the Company. The gross proceeds to the Company from the sale of the Option Shares were approximately $15 million. Net of underwriting discounts and commissions of approximately $0.9 million, the total proceeds received were approximately $14.1 million in the second quarter of fiscal year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C – CONTRACT ASSETS AND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July 31, 2026, April 30, 2026, and April 30, 2025, contract assets, contract liabilities, and accounts receivable, net consisted of the following (in thousands):</w:t>
      </w:r>
    </w:p>
    <w:p>
      <w:pPr>
        <w:pStyle w:val="TextBody"/>
        <w:bidi w:val="0"/>
        <w:spacing w:before="0" w:after="0"/>
        <w:ind w:left="0" w:right="0" w:firstLine="720"/>
        <w:jc w:val="both"/>
        <w:rPr>
          <w:caps w:val="false"/>
          <w:smallCaps w:val="false"/>
        </w:rPr>
      </w:pPr>
      <w:r>
        <w:rPr>
          <w:caps w:val="false"/>
          <w:smallCaps w:val="false"/>
        </w:rPr>
        <w:t> </w:t>
      </w:r>
    </w:p>
    <w:tbl>
      <w:tblPr>
        <w:tblW w:w="5939" w:type="dxa"/>
        <w:jc w:val="left"/>
        <w:tblInd w:w="0" w:type="dxa"/>
        <w:tblLayout w:type="fixed"/>
        <w:tblCellMar>
          <w:top w:w="0" w:type="dxa"/>
          <w:left w:w="0" w:type="dxa"/>
          <w:bottom w:w="0" w:type="dxa"/>
          <w:right w:w="0" w:type="dxa"/>
        </w:tblCellMar>
      </w:tblPr>
      <w:tblGrid>
        <w:gridCol w:w="2390"/>
        <w:gridCol w:w="90"/>
        <w:gridCol w:w="170"/>
        <w:gridCol w:w="785"/>
        <w:gridCol w:w="125"/>
        <w:gridCol w:w="90"/>
        <w:gridCol w:w="183"/>
        <w:gridCol w:w="766"/>
        <w:gridCol w:w="125"/>
        <w:gridCol w:w="90"/>
        <w:gridCol w:w="170"/>
        <w:gridCol w:w="785"/>
        <w:gridCol w:w="170"/>
      </w:tblGrid>
      <w:tr>
        <w:trPr/>
        <w:tc>
          <w:tcPr>
            <w:tcW w:w="2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July 31,</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w:t>
              <w:br/>
              <w:t>2025</w:t>
            </w:r>
          </w:p>
        </w:tc>
        <w:tc>
          <w:tcPr>
            <w:tcW w:w="170" w:type="dxa"/>
            <w:tcBorders/>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Contract assets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19,637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17,277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17,914</w:t>
            </w:r>
          </w:p>
        </w:tc>
        <w:tc>
          <w:tcPr>
            <w:tcW w:w="170" w:type="dxa"/>
            <w:tcBorders/>
            <w:shd w:fill="CCEEFF" w:val="cle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283"/>
              <w:jc w:val="left"/>
              <w:rPr/>
            </w:pPr>
            <w:r>
              <w:rPr/>
              <w:t>Contract liabilities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(11,519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w:t>
            </w:r>
          </w:p>
        </w:tc>
        <w:tc>
          <w:tcPr>
            <w:tcW w:w="766" w:type="dxa"/>
            <w:tcBorders/>
            <w:vAlign w:val="center"/>
          </w:tcPr>
          <w:p>
            <w:pPr>
              <w:pStyle w:val="TableContents"/>
              <w:bidi w:val="0"/>
              <w:spacing w:before="0" w:after="283"/>
              <w:jc w:val="right"/>
              <w:rPr/>
            </w:pPr>
            <w:r>
              <w:rPr/>
              <w:t>(9,418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85" w:type="dxa"/>
            <w:tcBorders/>
            <w:vAlign w:val="center"/>
          </w:tcPr>
          <w:p>
            <w:pPr>
              <w:pStyle w:val="TableContents"/>
              <w:bidi w:val="0"/>
              <w:spacing w:before="0" w:after="283"/>
              <w:jc w:val="right"/>
              <w:rPr/>
            </w:pPr>
            <w:r>
              <w:rPr/>
              <w:t>(13,607</w:t>
            </w:r>
          </w:p>
        </w:tc>
        <w:tc>
          <w:tcPr>
            <w:tcW w:w="170" w:type="dxa"/>
            <w:tcBorders/>
            <w:vAlign w:val="center"/>
          </w:tcPr>
          <w:p>
            <w:pPr>
              <w:pStyle w:val="TableContents"/>
              <w:bidi w:val="0"/>
              <w:spacing w:before="0" w:after="283"/>
              <w:jc w:val="left"/>
              <w:rPr/>
            </w:pPr>
            <w:r>
              <w:rPr/>
              <w:t>)</w:t>
            </w:r>
          </w:p>
        </w:tc>
      </w:tr>
      <w:tr>
        <w:trPr/>
        <w:tc>
          <w:tcPr>
            <w:tcW w:w="2390" w:type="dxa"/>
            <w:tcBorders/>
            <w:shd w:fill="CCEEFF" w:val="clear"/>
            <w:vAlign w:val="center"/>
          </w:tcPr>
          <w:p>
            <w:pPr>
              <w:pStyle w:val="TableContents"/>
              <w:bidi w:val="0"/>
              <w:spacing w:before="0" w:after="283"/>
              <w:jc w:val="left"/>
              <w:rPr/>
            </w:pPr>
            <w:r>
              <w:rPr/>
              <w:t>Accounts receivable,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6,224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4,637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85" w:type="dxa"/>
            <w:tcBorders/>
            <w:shd w:fill="CCEEFF" w:val="clear"/>
            <w:vAlign w:val="center"/>
          </w:tcPr>
          <w:p>
            <w:pPr>
              <w:pStyle w:val="TableContents"/>
              <w:bidi w:val="0"/>
              <w:spacing w:before="0" w:after="283"/>
              <w:jc w:val="right"/>
              <w:rPr/>
            </w:pPr>
            <w:r>
              <w:rPr/>
              <w:t>5,914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primarily relate to the Company’s rights to consideration for work completed but not billed at the reporting date on contracts with customers. Contract assets are transferred to accounts receivable when the rights become unconditional. Contract liabilities primarily relate to contracts where advance payments or deposits have been received, but performance obligations have not yet been satisfied, and therefore, revenue has not been recognized. During the three months ended July 31, 2026, we recognized $4.0 million of our contract liabilities at April 30, 2026 as revenue. During the three months ended July 31, 2025, we recognized $4.1 million of our contract liabilities at April 30, 2025 as revenue. If contract losses are anticipated, a loss provision is recorded for the full amount of such losses when they are determinable.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D –EMPLOYEE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July 31, 2026, the Company made contributions of 5,303 shares of its common stock to the Company’s profit-sharing plan and trust under Section 401(k) of the Internal Revenue Code. During the three months ended July 31, 2025, the Company made contributions of 12,405 shares of its common stock to the Company’s profit-sharing plan and trust under Section 401(k) of the Internal Revenue Code. Such contributions are in accordance with the Company’s discretionary match of employee voluntary contributions to this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compensation expense charged to selling, general and administrative expenses during the three months ended July 31, 2026, was approximately $138,000, inclusive of approximately $19,000 of interest expense. Payments made related to deferred compensation were approximately $178,000 for the same period. Deferred compensation expense charged to selling, general and administrative expenses during the three months ended July 31, 2025, was approximately $133,000, inclusive of approximately $23,000 of interest expense. Payments made related to deferred compensation were approximately $183,000 for the same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whole-life insurance policies on the lives of certain participants covered by deferred compensation agreements have been placed in a trust. Upon the death of any insured participant, cash received from life insurance policies in excess of the Company’s deferred compensation obligations to the estate or beneficiaries of the deceased, are also placed in the trust. These assets belong to the Company until a change of control event, as defined in the trust agreement, should occur. At that time, the Company is required to add sufficient cash to the trust so as to match the deferred compensation liability described above. Such funds will be used to continue the deferred compensation arrangements following a change of control. The life insurance policies amounted to $7.3 million at July 31, 2026 and at April 30, 2026. The business account and U.S. debt securities within the trust are valued on a Level 1 basis and amounted to $4.0 million at July 31, 2026 and April 30, 2026. The fixed income corporate debt securities within the trust are valued on a Level 2 basis and amounted to $0.5 million at July 31, 2026 and $0.4 million at April 30, 2026. Level 2 securities are valued at the closing prices and are consistent with quoted prices of similar assets reported in active markets.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E – INVENTORIES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 which are reported at the lower of cost or net realizable value, consisted of the following (in thousands): </w:t>
      </w:r>
    </w:p>
    <w:p>
      <w:pPr>
        <w:pStyle w:val="TextBody"/>
        <w:bidi w:val="0"/>
        <w:spacing w:before="0" w:after="0"/>
        <w:ind w:left="0" w:right="0" w:firstLine="720"/>
        <w:jc w:val="both"/>
        <w:rPr>
          <w:caps w:val="false"/>
          <w:smallCaps w:val="false"/>
        </w:rPr>
      </w:pPr>
      <w:r>
        <w:rPr>
          <w:caps w:val="false"/>
          <w:smallCaps w:val="false"/>
        </w:rPr>
        <w:t> </w:t>
      </w:r>
    </w:p>
    <w:tbl>
      <w:tblPr>
        <w:tblW w:w="5674" w:type="dxa"/>
        <w:jc w:val="left"/>
        <w:tblInd w:w="0" w:type="dxa"/>
        <w:tblLayout w:type="fixed"/>
        <w:tblCellMar>
          <w:top w:w="0" w:type="dxa"/>
          <w:left w:w="0" w:type="dxa"/>
          <w:bottom w:w="0" w:type="dxa"/>
          <w:right w:w="0" w:type="dxa"/>
        </w:tblCellMar>
      </w:tblPr>
      <w:tblGrid>
        <w:gridCol w:w="3440"/>
        <w:gridCol w:w="90"/>
        <w:gridCol w:w="170"/>
        <w:gridCol w:w="710"/>
        <w:gridCol w:w="90"/>
        <w:gridCol w:w="90"/>
        <w:gridCol w:w="183"/>
        <w:gridCol w:w="766"/>
        <w:gridCol w:w="135"/>
      </w:tblGrid>
      <w:tr>
        <w:trPr/>
        <w:tc>
          <w:tcPr>
            <w:tcW w:w="34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July 31,</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w:t>
              <w:br/>
              <w:t>2026</w:t>
            </w:r>
          </w:p>
        </w:tc>
        <w:tc>
          <w:tcPr>
            <w:tcW w:w="13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Raw materials and component parts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14,109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13,026</w:t>
            </w:r>
          </w:p>
        </w:tc>
        <w:tc>
          <w:tcPr>
            <w:tcW w:w="13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Work in progress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7,659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9,205</w:t>
            </w:r>
          </w:p>
        </w:tc>
        <w:tc>
          <w:tcPr>
            <w:tcW w:w="135" w:type="dxa"/>
            <w:tcBorders/>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Finished goods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438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shd w:fill="CCEEFF" w:val="clear"/>
            <w:tcMar>
              <w:bottom w:w="28" w:type="dxa"/>
            </w:tcMar>
            <w:vAlign w:val="center"/>
          </w:tcPr>
          <w:p>
            <w:pPr>
              <w:pStyle w:val="TableContents"/>
              <w:bidi w:val="0"/>
              <w:spacing w:before="0" w:after="283"/>
              <w:jc w:val="right"/>
              <w:rPr/>
            </w:pPr>
            <w:r>
              <w:rPr/>
              <w:t>387</w:t>
            </w:r>
          </w:p>
        </w:tc>
        <w:tc>
          <w:tcPr>
            <w:tcW w:w="135" w:type="dxa"/>
            <w:tcBorders/>
            <w:shd w:fill="CCEEFF" w:val="clear"/>
            <w:vAlign w:val="center"/>
          </w:tcPr>
          <w:p>
            <w:pPr>
              <w:pStyle w:val="TableContents"/>
              <w:bidi w:val="0"/>
              <w:spacing w:before="0" w:after="283"/>
              <w:jc w:val="left"/>
              <w:rPr/>
            </w:pPr>
            <w:r>
              <w:rPr/>
              <w:t> </w:t>
            </w:r>
          </w:p>
        </w:tc>
      </w:tr>
      <w:tr>
        <w:trPr/>
        <w:tc>
          <w:tcPr>
            <w:tcW w:w="34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22,206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bottom w:val="double" w:sz="6" w:space="0" w:color="000000"/>
            </w:tcBorders>
            <w:tcMar>
              <w:bottom w:w="28" w:type="dxa"/>
            </w:tcMar>
            <w:vAlign w:val="center"/>
          </w:tcPr>
          <w:p>
            <w:pPr>
              <w:pStyle w:val="TableContents"/>
              <w:bidi w:val="0"/>
              <w:spacing w:before="0" w:after="283"/>
              <w:jc w:val="left"/>
              <w:rPr/>
            </w:pPr>
            <w:r>
              <w:rPr/>
              <w:t>$</w:t>
            </w:r>
          </w:p>
        </w:tc>
        <w:tc>
          <w:tcPr>
            <w:tcW w:w="766" w:type="dxa"/>
            <w:tcBorders>
              <w:bottom w:val="double" w:sz="6" w:space="0" w:color="000000"/>
            </w:tcBorders>
            <w:tcMar>
              <w:bottom w:w="28" w:type="dxa"/>
            </w:tcMar>
            <w:vAlign w:val="center"/>
          </w:tcPr>
          <w:p>
            <w:pPr>
              <w:pStyle w:val="TableContents"/>
              <w:bidi w:val="0"/>
              <w:spacing w:before="0" w:after="283"/>
              <w:jc w:val="right"/>
              <w:rPr/>
            </w:pPr>
            <w:r>
              <w:rPr/>
              <w:t>22,618</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F – RIGHT-OF-USE ASSETS AND LEASE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leases primarily represent offices, warehouses, vehicles, manufacturing and research and development (“R&amp;D”) facilities, which expire at various times through fiscal year 2031 and are operating leases. Contractual arrangements are evaluated at inception to determine if the agreement contains a lease. The leases contain renewal options, early termination, rent abatement, and escalation clauses that are factored into our determination of lease payments when appropriate. We include options to extend or terminate leases in the right-of-use (“ROU”) operating lease asset and liability when it is reasonably certain we will exercise these options. As of July 31, 2026, lease options were not included in the calculation of the ROU operating lease asset and liability. ROU assets and lease liabilities are recorded based on the present value of future lease payments which will factor in certain qualifying initial direct costs incurred as well as any lease incentives that may have been received. Lease expenses for operating lease payments are recognized on a straight-line basis over the lease term.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elected the practical expedient for short-term leases which allows leases with terms of twelve months or less to be recorded on a straight-line basis over the lease term without being recognized on the consolidated balance sheet. The Company has also elected the practical expedient to account for lease and non-lease components as a single component.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presents ROU assets and liabilities recorded on the respective consolidated balance sheets as follows (in thousands):</w:t>
      </w:r>
    </w:p>
    <w:p>
      <w:pPr>
        <w:pStyle w:val="TextBody"/>
        <w:bidi w:val="0"/>
        <w:spacing w:before="0" w:after="0"/>
        <w:ind w:left="0" w:right="0" w:firstLine="720"/>
        <w:jc w:val="both"/>
        <w:rPr>
          <w:caps w:val="false"/>
          <w:smallCaps w:val="false"/>
        </w:rPr>
      </w:pPr>
      <w:r>
        <w:rPr>
          <w:caps w:val="false"/>
          <w:smallCaps w:val="false"/>
        </w:rPr>
        <w:t> </w:t>
      </w:r>
    </w:p>
    <w:tbl>
      <w:tblPr>
        <w:tblW w:w="6583" w:type="dxa"/>
        <w:jc w:val="left"/>
        <w:tblInd w:w="0" w:type="dxa"/>
        <w:tblLayout w:type="fixed"/>
        <w:tblCellMar>
          <w:top w:w="0" w:type="dxa"/>
          <w:left w:w="0" w:type="dxa"/>
          <w:bottom w:w="0" w:type="dxa"/>
          <w:right w:w="0" w:type="dxa"/>
        </w:tblCellMar>
      </w:tblPr>
      <w:tblGrid>
        <w:gridCol w:w="4385"/>
        <w:gridCol w:w="90"/>
        <w:gridCol w:w="189"/>
        <w:gridCol w:w="655"/>
        <w:gridCol w:w="90"/>
        <w:gridCol w:w="90"/>
        <w:gridCol w:w="212"/>
        <w:gridCol w:w="737"/>
        <w:gridCol w:w="135"/>
      </w:tblGrid>
      <w:tr>
        <w:trPr/>
        <w:tc>
          <w:tcPr>
            <w:tcW w:w="4385" w:type="dxa"/>
            <w:tcBorders/>
            <w:vAlign w:val="center"/>
          </w:tcPr>
          <w:p>
            <w:pPr>
              <w:pStyle w:val="TableContents"/>
              <w:bidi w:val="0"/>
              <w:spacing w:before="0" w:after="283"/>
              <w:ind w:left="0" w:right="0" w:hanging="180"/>
              <w:jc w:val="left"/>
              <w:rPr/>
            </w:pPr>
            <w:r>
              <w:rPr/>
              <w:t> </w:t>
            </w:r>
          </w:p>
        </w:tc>
        <w:tc>
          <w:tcPr>
            <w:tcW w:w="90" w:type="dxa"/>
            <w:tcBorders/>
            <w:vAlign w:val="center"/>
          </w:tcPr>
          <w:p>
            <w:pPr>
              <w:pStyle w:val="TableContents"/>
              <w:bidi w:val="0"/>
              <w:spacing w:before="0" w:after="283"/>
              <w:jc w:val="left"/>
              <w:rPr/>
            </w:pPr>
            <w:r>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July 31,</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w:t>
              <w:br/>
              <w:t>2026</w:t>
            </w:r>
          </w:p>
        </w:tc>
        <w:tc>
          <w:tcPr>
            <w:tcW w:w="135" w:type="dxa"/>
            <w:tcBorders/>
            <w:vAlign w:val="center"/>
          </w:tcPr>
          <w:p>
            <w:pPr>
              <w:pStyle w:val="TableContents"/>
              <w:bidi w:val="0"/>
              <w:spacing w:before="0" w:after="283"/>
              <w:ind w:left="0" w:right="0" w:hanging="180"/>
              <w:jc w:val="left"/>
              <w:rPr/>
            </w:pPr>
            <w:r>
              <w:rPr/>
              <w:t> </w:t>
            </w:r>
          </w:p>
        </w:tc>
      </w:tr>
      <w:tr>
        <w:trPr/>
        <w:tc>
          <w:tcPr>
            <w:tcW w:w="4385" w:type="dxa"/>
            <w:tcBorders/>
            <w:vAlign w:val="center"/>
          </w:tcPr>
          <w:p>
            <w:pPr>
              <w:pStyle w:val="TableContents"/>
              <w:bidi w:val="0"/>
              <w:spacing w:before="0" w:after="283"/>
              <w:jc w:val="left"/>
              <w:rPr>
                <w:b/>
              </w:rPr>
            </w:pPr>
            <w:r>
              <w:rPr>
                <w:b/>
              </w:rPr>
              <w:t>Assets</w:t>
            </w:r>
          </w:p>
        </w:tc>
        <w:tc>
          <w:tcPr>
            <w:tcW w:w="90" w:type="dxa"/>
            <w:tcBorders/>
            <w:vAlign w:val="center"/>
          </w:tcPr>
          <w:p>
            <w:pPr>
              <w:pStyle w:val="TableContents"/>
              <w:bidi w:val="0"/>
              <w:spacing w:before="0" w:after="283"/>
              <w:jc w:val="left"/>
              <w:rPr/>
            </w:pPr>
            <w:r>
              <w:rPr/>
              <w:t> </w:t>
            </w:r>
          </w:p>
        </w:tc>
        <w:tc>
          <w:tcPr>
            <w:tcW w:w="84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385" w:type="dxa"/>
            <w:tcBorders/>
            <w:shd w:fill="CCEEFF" w:val="clear"/>
            <w:vAlign w:val="center"/>
          </w:tcPr>
          <w:p>
            <w:pPr>
              <w:pStyle w:val="TableContents"/>
              <w:bidi w:val="0"/>
              <w:spacing w:before="0" w:after="283"/>
              <w:jc w:val="left"/>
              <w:rPr/>
            </w:pPr>
            <w:r>
              <w:rPr/>
              <w:t>Right-of-use assets - operating leases</w:t>
            </w:r>
          </w:p>
        </w:tc>
        <w:tc>
          <w:tcPr>
            <w:tcW w:w="90" w:type="dxa"/>
            <w:tcBorders/>
            <w:shd w:fill="CCEEFF" w:val="clear"/>
            <w:vAlign w:val="center"/>
          </w:tcPr>
          <w:p>
            <w:pPr>
              <w:pStyle w:val="TableContents"/>
              <w:bidi w:val="0"/>
              <w:spacing w:before="0" w:after="283"/>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55" w:type="dxa"/>
            <w:tcBorders>
              <w:bottom w:val="double" w:sz="6" w:space="0" w:color="000000"/>
            </w:tcBorders>
            <w:shd w:fill="CCEEFF" w:val="clear"/>
            <w:tcMar>
              <w:bottom w:w="28" w:type="dxa"/>
            </w:tcMar>
            <w:vAlign w:val="center"/>
          </w:tcPr>
          <w:p>
            <w:pPr>
              <w:pStyle w:val="TableContents"/>
              <w:bidi w:val="0"/>
              <w:spacing w:before="0" w:after="283"/>
              <w:jc w:val="right"/>
              <w:rPr/>
            </w:pPr>
            <w:r>
              <w:rPr/>
              <w:t>6,953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7" w:type="dxa"/>
            <w:tcBorders>
              <w:bottom w:val="double" w:sz="6" w:space="0" w:color="000000"/>
            </w:tcBorders>
            <w:shd w:fill="CCEEFF" w:val="clear"/>
            <w:tcMar>
              <w:bottom w:w="28" w:type="dxa"/>
            </w:tcMar>
            <w:vAlign w:val="center"/>
          </w:tcPr>
          <w:p>
            <w:pPr>
              <w:pStyle w:val="TableContents"/>
              <w:bidi w:val="0"/>
              <w:spacing w:before="0" w:after="283"/>
              <w:jc w:val="right"/>
              <w:rPr/>
            </w:pPr>
            <w:r>
              <w:rPr/>
              <w:t>7,409</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3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ind w:left="0" w:right="0" w:hanging="180"/>
              <w:jc w:val="left"/>
              <w:rPr/>
            </w:pPr>
            <w:r>
              <w:rPr/>
              <w:t> </w:t>
            </w:r>
          </w:p>
        </w:tc>
      </w:tr>
      <w:tr>
        <w:trPr/>
        <w:tc>
          <w:tcPr>
            <w:tcW w:w="4385" w:type="dxa"/>
            <w:tcBorders/>
            <w:shd w:fill="CCEEFF" w:val="clear"/>
            <w:vAlign w:val="center"/>
          </w:tcPr>
          <w:p>
            <w:pPr>
              <w:pStyle w:val="TableContents"/>
              <w:bidi w:val="0"/>
              <w:spacing w:before="0" w:after="283"/>
              <w:jc w:val="left"/>
              <w:rPr>
                <w:b/>
              </w:rPr>
            </w:pPr>
            <w:r>
              <w:rPr>
                <w:b/>
              </w:rPr>
              <w:t>Liabilities</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655"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737" w:type="dxa"/>
            <w:tcBorders/>
            <w:shd w:fill="CCEEFF" w:val="clear"/>
            <w:vAlign w:val="center"/>
          </w:tcPr>
          <w:p>
            <w:pPr>
              <w:pStyle w:val="TableContents"/>
              <w:bidi w:val="0"/>
              <w:spacing w:before="0" w:after="283"/>
              <w:jc w:val="right"/>
              <w:rPr/>
            </w:pPr>
            <w:r>
              <w:rPr/>
              <w:t> </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385" w:type="dxa"/>
            <w:tcBorders/>
            <w:vAlign w:val="center"/>
          </w:tcPr>
          <w:p>
            <w:pPr>
              <w:pStyle w:val="TableContents"/>
              <w:bidi w:val="0"/>
              <w:spacing w:before="0" w:after="283"/>
              <w:jc w:val="left"/>
              <w:rPr/>
            </w:pPr>
            <w:r>
              <w:rPr/>
              <w:t>Operating lease liabilities, current portion</w:t>
            </w:r>
          </w:p>
        </w:tc>
        <w:tc>
          <w:tcPr>
            <w:tcW w:w="90" w:type="dxa"/>
            <w:tcBorders/>
            <w:vAlign w:val="center"/>
          </w:tcPr>
          <w:p>
            <w:pPr>
              <w:pStyle w:val="TableContents"/>
              <w:bidi w:val="0"/>
              <w:spacing w:before="0" w:after="283"/>
              <w:jc w:val="left"/>
              <w:rPr/>
            </w:pPr>
            <w:r>
              <w:rPr/>
              <w:t> </w:t>
            </w:r>
          </w:p>
        </w:tc>
        <w:tc>
          <w:tcPr>
            <w:tcW w:w="189" w:type="dxa"/>
            <w:tcBorders/>
            <w:vAlign w:val="center"/>
          </w:tcPr>
          <w:p>
            <w:pPr>
              <w:pStyle w:val="TableContents"/>
              <w:bidi w:val="0"/>
              <w:spacing w:before="0" w:after="283"/>
              <w:jc w:val="left"/>
              <w:rPr/>
            </w:pPr>
            <w:r>
              <w:rPr/>
              <w:t> </w:t>
            </w:r>
          </w:p>
        </w:tc>
        <w:tc>
          <w:tcPr>
            <w:tcW w:w="655" w:type="dxa"/>
            <w:tcBorders/>
            <w:vAlign w:val="center"/>
          </w:tcPr>
          <w:p>
            <w:pPr>
              <w:pStyle w:val="TableContents"/>
              <w:bidi w:val="0"/>
              <w:spacing w:before="0" w:after="283"/>
              <w:jc w:val="right"/>
              <w:rPr/>
            </w:pPr>
            <w:r>
              <w:rPr/>
              <w:t>1,679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right"/>
              <w:rPr/>
            </w:pPr>
            <w:r>
              <w:rPr/>
              <w:t>2,002</w:t>
            </w:r>
          </w:p>
        </w:tc>
        <w:tc>
          <w:tcPr>
            <w:tcW w:w="135" w:type="dxa"/>
            <w:tcBorders/>
            <w:vAlign w:val="center"/>
          </w:tcPr>
          <w:p>
            <w:pPr>
              <w:pStyle w:val="TableContents"/>
              <w:bidi w:val="0"/>
              <w:spacing w:before="0" w:after="283"/>
              <w:ind w:left="0" w:right="0" w:hanging="180"/>
              <w:jc w:val="left"/>
              <w:rPr/>
            </w:pPr>
            <w:r>
              <w:rPr/>
              <w:t> </w:t>
            </w:r>
          </w:p>
        </w:tc>
      </w:tr>
      <w:tr>
        <w:trPr/>
        <w:tc>
          <w:tcPr>
            <w:tcW w:w="4385" w:type="dxa"/>
            <w:tcBorders/>
            <w:shd w:fill="CCEEFF" w:val="clear"/>
            <w:vAlign w:val="center"/>
          </w:tcPr>
          <w:p>
            <w:pPr>
              <w:pStyle w:val="TableContents"/>
              <w:bidi w:val="0"/>
              <w:spacing w:before="0" w:after="283"/>
              <w:jc w:val="left"/>
              <w:rPr/>
            </w:pPr>
            <w:r>
              <w:rPr/>
              <w:t>Operating lease liabilities, non-current portion</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5" w:type="dxa"/>
            <w:tcBorders>
              <w:bottom w:val="single" w:sz="8" w:space="0" w:color="000000"/>
            </w:tcBorders>
            <w:shd w:fill="CCEEFF" w:val="clear"/>
            <w:tcMar>
              <w:bottom w:w="28" w:type="dxa"/>
            </w:tcMar>
            <w:vAlign w:val="center"/>
          </w:tcPr>
          <w:p>
            <w:pPr>
              <w:pStyle w:val="TableContents"/>
              <w:bidi w:val="0"/>
              <w:spacing w:before="0" w:after="283"/>
              <w:jc w:val="right"/>
              <w:rPr/>
            </w:pPr>
            <w:r>
              <w:rPr/>
              <w:t>5,283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shd w:fill="CCEEFF" w:val="clear"/>
            <w:tcMar>
              <w:bottom w:w="28" w:type="dxa"/>
            </w:tcMar>
            <w:vAlign w:val="center"/>
          </w:tcPr>
          <w:p>
            <w:pPr>
              <w:pStyle w:val="TableContents"/>
              <w:bidi w:val="0"/>
              <w:spacing w:before="0" w:after="283"/>
              <w:jc w:val="right"/>
              <w:rPr/>
            </w:pPr>
            <w:r>
              <w:rPr/>
              <w:t>5,648</w:t>
            </w:r>
          </w:p>
        </w:tc>
        <w:tc>
          <w:tcPr>
            <w:tcW w:w="135" w:type="dxa"/>
            <w:tcBorders/>
            <w:shd w:fill="CCEEFF" w:val="clear"/>
            <w:vAlign w:val="center"/>
          </w:tcPr>
          <w:p>
            <w:pPr>
              <w:pStyle w:val="TableContents"/>
              <w:bidi w:val="0"/>
              <w:spacing w:before="0" w:after="283"/>
              <w:ind w:left="0" w:right="0" w:hanging="180"/>
              <w:jc w:val="left"/>
              <w:rPr/>
            </w:pPr>
            <w:r>
              <w:rPr/>
              <w:t> </w:t>
            </w:r>
          </w:p>
        </w:tc>
      </w:tr>
      <w:tr>
        <w:trPr/>
        <w:tc>
          <w:tcPr>
            <w:tcW w:w="4385" w:type="dxa"/>
            <w:tcBorders/>
            <w:vAlign w:val="center"/>
          </w:tcPr>
          <w:p>
            <w:pPr>
              <w:pStyle w:val="TableContents"/>
              <w:bidi w:val="0"/>
              <w:spacing w:before="0" w:after="283"/>
              <w:jc w:val="left"/>
              <w:rPr/>
            </w:pPr>
            <w:r>
              <w:rPr/>
              <w:t>Total lease liabilities</w:t>
            </w:r>
          </w:p>
        </w:tc>
        <w:tc>
          <w:tcPr>
            <w:tcW w:w="90" w:type="dxa"/>
            <w:tcBorders/>
            <w:vAlign w:val="center"/>
          </w:tcPr>
          <w:p>
            <w:pPr>
              <w:pStyle w:val="TableContents"/>
              <w:bidi w:val="0"/>
              <w:spacing w:before="0" w:after="283"/>
              <w:jc w:val="left"/>
              <w:rPr/>
            </w:pPr>
            <w:r>
              <w:rPr/>
              <w:t> </w:t>
            </w:r>
          </w:p>
        </w:tc>
        <w:tc>
          <w:tcPr>
            <w:tcW w:w="189" w:type="dxa"/>
            <w:tcBorders>
              <w:bottom w:val="double" w:sz="6" w:space="0" w:color="000000"/>
            </w:tcBorders>
            <w:tcMar>
              <w:bottom w:w="28" w:type="dxa"/>
            </w:tcMar>
            <w:vAlign w:val="center"/>
          </w:tcPr>
          <w:p>
            <w:pPr>
              <w:pStyle w:val="TableContents"/>
              <w:bidi w:val="0"/>
              <w:spacing w:before="0" w:after="283"/>
              <w:jc w:val="left"/>
              <w:rPr/>
            </w:pPr>
            <w:r>
              <w:rPr/>
              <w:t>$</w:t>
            </w:r>
          </w:p>
        </w:tc>
        <w:tc>
          <w:tcPr>
            <w:tcW w:w="655" w:type="dxa"/>
            <w:tcBorders>
              <w:bottom w:val="double" w:sz="6" w:space="0" w:color="000000"/>
            </w:tcBorders>
            <w:tcMar>
              <w:bottom w:w="28" w:type="dxa"/>
            </w:tcMar>
            <w:vAlign w:val="center"/>
          </w:tcPr>
          <w:p>
            <w:pPr>
              <w:pStyle w:val="TableContents"/>
              <w:bidi w:val="0"/>
              <w:spacing w:before="0" w:after="283"/>
              <w:jc w:val="right"/>
              <w:rPr/>
            </w:pPr>
            <w:r>
              <w:rPr/>
              <w:t>6,962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double" w:sz="6" w:space="0" w:color="000000"/>
            </w:tcBorders>
            <w:tcMar>
              <w:bottom w:w="28" w:type="dxa"/>
            </w:tcMar>
            <w:vAlign w:val="center"/>
          </w:tcPr>
          <w:p>
            <w:pPr>
              <w:pStyle w:val="TableContents"/>
              <w:bidi w:val="0"/>
              <w:spacing w:before="0" w:after="283"/>
              <w:jc w:val="left"/>
              <w:rPr/>
            </w:pPr>
            <w:r>
              <w:rPr/>
              <w:t>$</w:t>
            </w:r>
          </w:p>
        </w:tc>
        <w:tc>
          <w:tcPr>
            <w:tcW w:w="737" w:type="dxa"/>
            <w:tcBorders>
              <w:bottom w:val="double" w:sz="6" w:space="0" w:color="000000"/>
            </w:tcBorders>
            <w:tcMar>
              <w:bottom w:w="28" w:type="dxa"/>
            </w:tcMar>
            <w:vAlign w:val="center"/>
          </w:tcPr>
          <w:p>
            <w:pPr>
              <w:pStyle w:val="TableContents"/>
              <w:bidi w:val="0"/>
              <w:spacing w:before="0" w:after="283"/>
              <w:jc w:val="right"/>
              <w:rPr/>
            </w:pPr>
            <w:r>
              <w:rPr/>
              <w:t>7,650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lease expense was $0.6 million for both the three months ended July 31, 2026 and 2025, the majority of which is included in cost of revenues and the remaining amount in selling, general and administrative expenses on the unaudited condensed consolidated statements of operations. During the three months ended July 31, 2026 and 2025, the Company did not record any incremental ROU assets and lease liabilities as there were no leases that commenced during these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maturities of lease liabilities at July 31, 2026 are as follows:</w:t>
      </w:r>
    </w:p>
    <w:p>
      <w:pPr>
        <w:pStyle w:val="TextBody"/>
        <w:bidi w:val="0"/>
        <w:spacing w:before="0" w:after="0"/>
        <w:ind w:left="0" w:right="0" w:firstLine="720"/>
        <w:jc w:val="both"/>
        <w:rPr>
          <w:caps w:val="false"/>
          <w:smallCaps w:val="false"/>
        </w:rPr>
      </w:pPr>
      <w:r>
        <w:rPr>
          <w:caps w:val="false"/>
          <w:smallCaps w:val="false"/>
        </w:rPr>
        <w:t> </w:t>
      </w:r>
    </w:p>
    <w:tbl>
      <w:tblPr>
        <w:tblW w:w="4775" w:type="dxa"/>
        <w:jc w:val="left"/>
        <w:tblInd w:w="0" w:type="dxa"/>
        <w:tblLayout w:type="fixed"/>
        <w:tblCellMar>
          <w:top w:w="0" w:type="dxa"/>
          <w:left w:w="0" w:type="dxa"/>
          <w:bottom w:w="0" w:type="dxa"/>
          <w:right w:w="0" w:type="dxa"/>
        </w:tblCellMar>
      </w:tblPr>
      <w:tblGrid>
        <w:gridCol w:w="3680"/>
        <w:gridCol w:w="90"/>
        <w:gridCol w:w="170"/>
        <w:gridCol w:w="665"/>
        <w:gridCol w:w="170"/>
      </w:tblGrid>
      <w:tr>
        <w:trPr/>
        <w:tc>
          <w:tcPr>
            <w:tcW w:w="4775" w:type="dxa"/>
            <w:gridSpan w:val="5"/>
            <w:tcBorders/>
            <w:vAlign w:val="center"/>
          </w:tcPr>
          <w:p>
            <w:pPr>
              <w:pStyle w:val="TableContents"/>
              <w:bidi w:val="0"/>
              <w:spacing w:before="0" w:after="283"/>
              <w:jc w:val="center"/>
              <w:rPr>
                <w:b/>
              </w:rPr>
            </w:pPr>
            <w:r>
              <w:rPr>
                <w:b/>
              </w:rPr>
              <w:t>Fiscal Year Ending April 30,</w:t>
            </w:r>
          </w:p>
        </w:tc>
      </w:tr>
      <w:tr>
        <w:trPr/>
        <w:tc>
          <w:tcPr>
            <w:tcW w:w="4775" w:type="dxa"/>
            <w:gridSpan w:val="5"/>
            <w:tcBorders/>
            <w:vAlign w:val="center"/>
          </w:tcPr>
          <w:p>
            <w:pPr>
              <w:pStyle w:val="TableContents"/>
              <w:bidi w:val="0"/>
              <w:spacing w:before="0" w:after="283"/>
              <w:jc w:val="center"/>
              <w:rPr>
                <w:b w:val="false"/>
                <w:i w:val="false"/>
                <w:caps w:val="false"/>
                <w:smallCaps w:val="false"/>
              </w:rPr>
            </w:pPr>
            <w:r>
              <w:rPr>
                <w:b w:val="false"/>
                <w:i w:val="false"/>
                <w:caps w:val="false"/>
                <w:smallCaps w:val="false"/>
              </w:rPr>
              <w:t>(in thousands)</w:t>
            </w:r>
          </w:p>
        </w:tc>
      </w:tr>
      <w:tr>
        <w:trPr/>
        <w:tc>
          <w:tcPr>
            <w:tcW w:w="36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3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pPr>
            <w:r>
              <w:rPr/>
              <w:t>Remainder of 2027</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665" w:type="dxa"/>
            <w:tcBorders/>
            <w:shd w:fill="CCEEFF" w:val="clear"/>
            <w:vAlign w:val="center"/>
          </w:tcPr>
          <w:p>
            <w:pPr>
              <w:pStyle w:val="TableContents"/>
              <w:bidi w:val="0"/>
              <w:spacing w:before="0" w:after="283"/>
              <w:jc w:val="right"/>
              <w:rPr/>
            </w:pPr>
            <w:r>
              <w:rPr/>
              <w:t>1,248</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both"/>
              <w:rPr/>
            </w:pPr>
            <w:r>
              <w:rPr/>
              <w:t>2028</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2,388</w:t>
            </w:r>
          </w:p>
        </w:tc>
        <w:tc>
          <w:tcPr>
            <w:tcW w:w="17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pPr>
            <w:r>
              <w:rPr/>
              <w:t>2029</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2,535</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both"/>
              <w:rPr/>
            </w:pPr>
            <w:r>
              <w:rPr/>
              <w:t>2030</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1,658</w:t>
            </w:r>
          </w:p>
        </w:tc>
        <w:tc>
          <w:tcPr>
            <w:tcW w:w="17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pPr>
            <w:r>
              <w:rPr/>
              <w:t>2031</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45</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both"/>
              <w:rPr/>
            </w:pPr>
            <w:r>
              <w:rPr/>
              <w:t>Thereafter</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3680" w:type="dxa"/>
            <w:tcBorders/>
            <w:shd w:fill="CCEEFF" w:val="clear"/>
            <w:vAlign w:val="center"/>
          </w:tcPr>
          <w:p>
            <w:pPr>
              <w:pStyle w:val="TableContents"/>
              <w:bidi w:val="0"/>
              <w:spacing w:before="0" w:after="283"/>
              <w:jc w:val="both"/>
              <w:rPr/>
            </w:pPr>
            <w:r>
              <w:rPr/>
              <w:t>Total lease payments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7,874</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both"/>
              <w:rPr/>
            </w:pPr>
            <w:r>
              <w:rPr/>
              <w:t>Less imputed interest</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pPr>
            <w:r>
              <w:rPr/>
              <w:t>(912</w:t>
            </w:r>
          </w:p>
        </w:tc>
        <w:tc>
          <w:tcPr>
            <w:tcW w:w="170" w:type="dxa"/>
            <w:tcBorders/>
            <w:vAlign w:val="center"/>
          </w:tcPr>
          <w:p>
            <w:pPr>
              <w:pStyle w:val="TableContents"/>
              <w:bidi w:val="0"/>
              <w:spacing w:before="0" w:after="283"/>
              <w:jc w:val="left"/>
              <w:rPr/>
            </w:pPr>
            <w:r>
              <w:rPr/>
              <w:t>)</w:t>
            </w:r>
          </w:p>
        </w:tc>
      </w:tr>
      <w:tr>
        <w:trPr/>
        <w:tc>
          <w:tcPr>
            <w:tcW w:w="3680" w:type="dxa"/>
            <w:tcBorders/>
            <w:shd w:fill="CCEEFF" w:val="clear"/>
            <w:vAlign w:val="center"/>
          </w:tcPr>
          <w:p>
            <w:pPr>
              <w:pStyle w:val="TableContents"/>
              <w:bidi w:val="0"/>
              <w:spacing w:before="0" w:after="283"/>
              <w:jc w:val="both"/>
              <w:rPr/>
            </w:pPr>
            <w:r>
              <w:rPr/>
              <w:t>Present value of future lease payments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6,962</w:t>
            </w:r>
          </w:p>
        </w:tc>
        <w:tc>
          <w:tcPr>
            <w:tcW w:w="170" w:type="dxa"/>
            <w:tcBorders/>
            <w:shd w:fill="CCEEFF" w:val="clear"/>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both"/>
              <w:rPr/>
            </w:pPr>
            <w:r>
              <w:rPr/>
              <w:t>Less current obligations under leases</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tcMar>
              <w:bottom w:w="28" w:type="dxa"/>
            </w:tcMar>
            <w:vAlign w:val="center"/>
          </w:tcPr>
          <w:p>
            <w:pPr>
              <w:pStyle w:val="TableContents"/>
              <w:bidi w:val="0"/>
              <w:spacing w:before="0" w:after="283"/>
              <w:jc w:val="right"/>
              <w:rPr/>
            </w:pPr>
            <w:r>
              <w:rPr/>
              <w:t>(1,679</w:t>
            </w:r>
          </w:p>
        </w:tc>
        <w:tc>
          <w:tcPr>
            <w:tcW w:w="170" w:type="dxa"/>
            <w:tcBorders/>
            <w:vAlign w:val="center"/>
          </w:tcPr>
          <w:p>
            <w:pPr>
              <w:pStyle w:val="TableContents"/>
              <w:bidi w:val="0"/>
              <w:spacing w:before="0" w:after="283"/>
              <w:jc w:val="left"/>
              <w:rPr/>
            </w:pPr>
            <w:r>
              <w:rPr/>
              <w:t>)</w:t>
            </w:r>
          </w:p>
        </w:tc>
      </w:tr>
      <w:tr>
        <w:trPr/>
        <w:tc>
          <w:tcPr>
            <w:tcW w:w="3680" w:type="dxa"/>
            <w:tcBorders/>
            <w:shd w:fill="CCEEFF" w:val="clear"/>
            <w:vAlign w:val="center"/>
          </w:tcPr>
          <w:p>
            <w:pPr>
              <w:pStyle w:val="TableContents"/>
              <w:bidi w:val="0"/>
              <w:spacing w:before="0" w:after="283"/>
              <w:jc w:val="both"/>
              <w:rPr/>
            </w:pPr>
            <w:r>
              <w:rPr/>
              <w:t>Long-term lease obligations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pPr>
            <w:r>
              <w:rPr/>
              <w:t>5,283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2026 and 2025, the weighted-average remaining lease term for all operating leases was 3.57 years and 4.30 years, respectively. The Company does not generally have access to the rate implicit in the leases and therefore selected a rate that is reflective of companies with similar credit ratings for secured debt as the discount rate. The weighted average discount rate for operating leases as of July 31, 2026 and 2025, was 7.09% and 6.86%,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future operating lease payments of approximately $0.8 million related to a lease that has not yet commenced and was entered into as of July 20, 2026. Such lease payments are not included in the table above or the Company’s condensed consolidated financial position as operating lease ROU assets and operating lease liabilities. The operating lease payments are anticipated to commence in the second quarter of 2027 and continue for approximately 7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G –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under two reportable segments based on the geographic locations of its subsidiaries: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28"/>
        <w:gridCol w:w="9872"/>
      </w:tblGrid>
      <w:tr>
        <w:trPr/>
        <w:tc>
          <w:tcPr>
            <w:tcW w:w="10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both"/>
              <w:rPr>
                <w:sz w:val="20"/>
              </w:rPr>
            </w:pPr>
            <w:r>
              <w:rPr>
                <w:sz w:val="20"/>
              </w:rPr>
              <w:t>(1)</w:t>
            </w:r>
          </w:p>
        </w:tc>
        <w:tc>
          <w:tcPr>
            <w:tcW w:w="9872"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FEI-NY segment also includes the operations of the Company’s former wholly owned subsidiary, FEI-Elcom, Inc. FEI-Elcom, in addition to its own product line, provided design and technical support for the FEI-NY segment’s communication satellite business. Effective as of April 30, 2026, FEI-Elcom was converted into a Delaware limited liability company. The ongoing business operations of FEI-Elcom remained within the FEI-NY reporting segment.</w:t>
            </w:r>
          </w:p>
          <w:p>
            <w:pPr>
              <w:pStyle w:val="TableContents"/>
              <w:bidi w:val="0"/>
              <w:spacing w:before="0" w:after="0"/>
              <w:ind w:left="0" w:right="0" w:hanging="0"/>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105"/>
        <w:gridCol w:w="230"/>
        <w:gridCol w:w="9870"/>
      </w:tblGrid>
      <w:tr>
        <w:trPr/>
        <w:tc>
          <w:tcPr>
            <w:tcW w:w="10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sz w:val="20"/>
              </w:rPr>
            </w:pPr>
            <w:r>
              <w:rPr>
                <w:sz w:val="20"/>
              </w:rPr>
              <w:t>(2)</w:t>
            </w:r>
          </w:p>
        </w:tc>
        <w:tc>
          <w:tcPr>
            <w:tcW w:w="9870" w:type="dxa"/>
            <w:tcBorders/>
            <w:vAlign w:val="center"/>
          </w:tcPr>
          <w:p>
            <w:pPr>
              <w:pStyle w:val="TableContents"/>
              <w:bidi w:val="0"/>
              <w:spacing w:before="0" w:after="283"/>
              <w:jc w:val="both"/>
              <w:rPr>
                <w:sz w:val="20"/>
              </w:rPr>
            </w:pPr>
            <w:r>
              <w:rPr>
                <w:sz w:val="20"/>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U.S. market.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chief operating decision maker (“CODM”) views the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policies of the two segments are the same as those described in “Note 1. Summary of Accounting Policies” to the consolidated financial statements included in the Form 10-K. Our Chief Executive Officer (“CEO”) serves as our CODM who evaluates the segment performance and allocates resources to them based on operating income which is defined as income before investment income, interest expense, other expenses, and income taxes. Operating income by segment is used to monitor segment results compared to prior periods, forecasted results, and the annual plan. Additionally, operating income by segment is used to determine areas of business process improvement and potential profitable market opportunities. All acquired assets, including intangible assets, are included in the assets of both reporting segments.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present segment revenues, significant segment expenses, which consist of segment cost of revenues and segment R&amp;D costs, and segment operating income for each reportable segment and on a consolidated basis as reported in the condensed consolidated statements of operations for the three months ended July 31, 2026 and 2025 (in thousands):</w:t>
      </w:r>
    </w:p>
    <w:p>
      <w:pPr>
        <w:pStyle w:val="TextBody"/>
        <w:bidi w:val="0"/>
        <w:spacing w:before="0" w:after="0"/>
        <w:ind w:left="0" w:right="0" w:firstLine="720"/>
        <w:jc w:val="both"/>
        <w:rPr>
          <w:caps w:val="false"/>
          <w:smallCaps w:val="false"/>
        </w:rPr>
      </w:pPr>
      <w:r>
        <w:rPr>
          <w:caps w:val="false"/>
          <w:smallCaps w:val="false"/>
        </w:rPr>
        <w:t> </w:t>
      </w:r>
    </w:p>
    <w:tbl>
      <w:tblPr>
        <w:tblW w:w="5157" w:type="dxa"/>
        <w:jc w:val="left"/>
        <w:tblInd w:w="0" w:type="dxa"/>
        <w:tblLayout w:type="fixed"/>
        <w:tblCellMar>
          <w:top w:w="0" w:type="dxa"/>
          <w:left w:w="0" w:type="dxa"/>
          <w:bottom w:w="0" w:type="dxa"/>
          <w:right w:w="0" w:type="dxa"/>
        </w:tblCellMar>
      </w:tblPr>
      <w:tblGrid>
        <w:gridCol w:w="2660"/>
        <w:gridCol w:w="90"/>
        <w:gridCol w:w="192"/>
        <w:gridCol w:w="805"/>
        <w:gridCol w:w="141"/>
        <w:gridCol w:w="102"/>
        <w:gridCol w:w="192"/>
        <w:gridCol w:w="805"/>
        <w:gridCol w:w="170"/>
      </w:tblGrid>
      <w:tr>
        <w:trPr/>
        <w:tc>
          <w:tcPr>
            <w:tcW w:w="26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July 31,</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1"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70"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Revenues:</w:t>
            </w:r>
          </w:p>
        </w:tc>
        <w:tc>
          <w:tcPr>
            <w:tcW w:w="90" w:type="dxa"/>
            <w:tcBorders/>
            <w:vAlign w:val="center"/>
          </w:tcPr>
          <w:p>
            <w:pPr>
              <w:pStyle w:val="TableContents"/>
              <w:bidi w:val="0"/>
              <w:spacing w:before="0" w:after="283"/>
              <w:jc w:val="left"/>
              <w:rPr/>
            </w:pPr>
            <w:r>
              <w:rPr/>
              <w:t> </w:t>
            </w:r>
          </w:p>
        </w:tc>
        <w:tc>
          <w:tcPr>
            <w:tcW w:w="997" w:type="dxa"/>
            <w:gridSpan w:val="2"/>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997"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FEI-NY</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805" w:type="dxa"/>
            <w:tcBorders/>
            <w:shd w:fill="CCEEFF" w:val="clear"/>
            <w:vAlign w:val="center"/>
          </w:tcPr>
          <w:p>
            <w:pPr>
              <w:pStyle w:val="TableContents"/>
              <w:bidi w:val="0"/>
              <w:spacing w:before="0" w:after="283"/>
              <w:jc w:val="right"/>
              <w:rPr/>
            </w:pPr>
            <w:r>
              <w:rPr/>
              <w:t>17,594</w:t>
            </w:r>
          </w:p>
        </w:tc>
        <w:tc>
          <w:tcPr>
            <w:tcW w:w="14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805" w:type="dxa"/>
            <w:tcBorders/>
            <w:shd w:fill="CCEEFF" w:val="clear"/>
            <w:vAlign w:val="center"/>
          </w:tcPr>
          <w:p>
            <w:pPr>
              <w:pStyle w:val="TableContents"/>
              <w:bidi w:val="0"/>
              <w:spacing w:before="0" w:after="283"/>
              <w:jc w:val="right"/>
              <w:rPr/>
            </w:pPr>
            <w:r>
              <w:rPr/>
              <w:t>10,354</w:t>
            </w:r>
          </w:p>
        </w:tc>
        <w:tc>
          <w:tcPr>
            <w:tcW w:w="170" w:type="dxa"/>
            <w:tcBorders/>
            <w:shd w:fill="CCEEFF" w:val="clear"/>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FEI-Zyfer</w:t>
            </w:r>
          </w:p>
        </w:tc>
        <w:tc>
          <w:tcPr>
            <w:tcW w:w="9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6,957</w:t>
            </w:r>
          </w:p>
        </w:tc>
        <w:tc>
          <w:tcPr>
            <w:tcW w:w="141"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3,718</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Less intersegment revenues</w:t>
            </w:r>
          </w:p>
        </w:tc>
        <w:tc>
          <w:tcPr>
            <w:tcW w:w="9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CCEEFF" w:val="clear"/>
            <w:tcMar>
              <w:bottom w:w="28" w:type="dxa"/>
            </w:tcMar>
            <w:vAlign w:val="center"/>
          </w:tcPr>
          <w:p>
            <w:pPr>
              <w:pStyle w:val="TableContents"/>
              <w:bidi w:val="0"/>
              <w:spacing w:before="0" w:after="283"/>
              <w:jc w:val="right"/>
              <w:rPr/>
            </w:pPr>
            <w:r>
              <w:rPr/>
              <w:t>(1,100</w:t>
            </w:r>
          </w:p>
        </w:tc>
        <w:tc>
          <w:tcPr>
            <w:tcW w:w="141" w:type="dxa"/>
            <w:tcBorders/>
            <w:shd w:fill="CCEEFF" w:val="clear"/>
            <w:vAlign w:val="center"/>
          </w:tcPr>
          <w:p>
            <w:pPr>
              <w:pStyle w:val="TableContents"/>
              <w:bidi w:val="0"/>
              <w:spacing w:before="0" w:after="283"/>
              <w:jc w:val="left"/>
              <w:rPr/>
            </w:pPr>
            <w:r>
              <w:rPr/>
              <w:t>)</w:t>
            </w:r>
          </w:p>
        </w:tc>
        <w:tc>
          <w:tcPr>
            <w:tcW w:w="102"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5" w:type="dxa"/>
            <w:tcBorders>
              <w:bottom w:val="single" w:sz="8" w:space="0" w:color="000000"/>
            </w:tcBorders>
            <w:shd w:fill="CCEEFF" w:val="clear"/>
            <w:tcMar>
              <w:bottom w:w="28" w:type="dxa"/>
            </w:tcMar>
            <w:vAlign w:val="center"/>
          </w:tcPr>
          <w:p>
            <w:pPr>
              <w:pStyle w:val="TableContents"/>
              <w:bidi w:val="0"/>
              <w:spacing w:before="0" w:after="283"/>
              <w:jc w:val="right"/>
              <w:rPr/>
            </w:pPr>
            <w:r>
              <w:rPr/>
              <w:t>(260</w:t>
            </w:r>
          </w:p>
        </w:tc>
        <w:tc>
          <w:tcPr>
            <w:tcW w:w="170" w:type="dxa"/>
            <w:tcBorders/>
            <w:shd w:fill="CCEEFF" w:val="clear"/>
            <w:vAlign w:val="center"/>
          </w:tcPr>
          <w:p>
            <w:pPr>
              <w:pStyle w:val="TableContents"/>
              <w:bidi w:val="0"/>
              <w:spacing w:before="0" w:after="283"/>
              <w:jc w:val="left"/>
              <w:rPr/>
            </w:pPr>
            <w:r>
              <w:rPr/>
              <w:t>)</w:t>
            </w:r>
          </w:p>
        </w:tc>
      </w:tr>
      <w:tr>
        <w:trPr/>
        <w:tc>
          <w:tcPr>
            <w:tcW w:w="2660" w:type="dxa"/>
            <w:tcBorders/>
            <w:vAlign w:val="center"/>
          </w:tcPr>
          <w:p>
            <w:pPr>
              <w:pStyle w:val="TableContents"/>
              <w:bidi w:val="0"/>
              <w:spacing w:before="0" w:after="283"/>
              <w:jc w:val="left"/>
              <w:rPr/>
            </w:pPr>
            <w:r>
              <w:rPr/>
              <w:t>Consolidated revenues</w:t>
            </w:r>
          </w:p>
        </w:tc>
        <w:tc>
          <w:tcPr>
            <w:tcW w:w="90" w:type="dxa"/>
            <w:tcBorders/>
            <w:vAlign w:val="center"/>
          </w:tcPr>
          <w:p>
            <w:pPr>
              <w:pStyle w:val="TableContents"/>
              <w:bidi w:val="0"/>
              <w:spacing w:before="0" w:after="283"/>
              <w:jc w:val="left"/>
              <w:rPr/>
            </w:pPr>
            <w:r>
              <w:rPr/>
              <w:t> </w:t>
            </w:r>
          </w:p>
        </w:tc>
        <w:tc>
          <w:tcPr>
            <w:tcW w:w="192" w:type="dxa"/>
            <w:tcBorders>
              <w:bottom w:val="double" w:sz="6" w:space="0" w:color="000000"/>
            </w:tcBorders>
            <w:tcMar>
              <w:bottom w:w="28" w:type="dxa"/>
            </w:tcMar>
            <w:vAlign w:val="center"/>
          </w:tcPr>
          <w:p>
            <w:pPr>
              <w:pStyle w:val="TableContents"/>
              <w:bidi w:val="0"/>
              <w:spacing w:before="0" w:after="283"/>
              <w:jc w:val="left"/>
              <w:rPr/>
            </w:pPr>
            <w:r>
              <w:rPr/>
              <w:t>$</w:t>
            </w:r>
          </w:p>
        </w:tc>
        <w:tc>
          <w:tcPr>
            <w:tcW w:w="805" w:type="dxa"/>
            <w:tcBorders>
              <w:bottom w:val="double" w:sz="6" w:space="0" w:color="000000"/>
            </w:tcBorders>
            <w:tcMar>
              <w:bottom w:w="28" w:type="dxa"/>
            </w:tcMar>
            <w:vAlign w:val="center"/>
          </w:tcPr>
          <w:p>
            <w:pPr>
              <w:pStyle w:val="TableContents"/>
              <w:bidi w:val="0"/>
              <w:spacing w:before="0" w:after="283"/>
              <w:jc w:val="right"/>
              <w:rPr/>
            </w:pPr>
            <w:r>
              <w:rPr/>
              <w:t>23,451</w:t>
            </w:r>
          </w:p>
        </w:tc>
        <w:tc>
          <w:tcPr>
            <w:tcW w:w="141" w:type="dxa"/>
            <w:tcBorders/>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jc w:val="left"/>
              <w:rPr/>
            </w:pPr>
            <w:r>
              <w:rPr/>
              <w:t> </w:t>
            </w:r>
          </w:p>
        </w:tc>
        <w:tc>
          <w:tcPr>
            <w:tcW w:w="192" w:type="dxa"/>
            <w:tcBorders>
              <w:bottom w:val="double" w:sz="6" w:space="0" w:color="000000"/>
            </w:tcBorders>
            <w:tcMar>
              <w:bottom w:w="28" w:type="dxa"/>
            </w:tcMar>
            <w:vAlign w:val="center"/>
          </w:tcPr>
          <w:p>
            <w:pPr>
              <w:pStyle w:val="TableContents"/>
              <w:bidi w:val="0"/>
              <w:spacing w:before="0" w:after="283"/>
              <w:jc w:val="left"/>
              <w:rPr/>
            </w:pPr>
            <w:r>
              <w:rPr/>
              <w:t>$</w:t>
            </w:r>
          </w:p>
        </w:tc>
        <w:tc>
          <w:tcPr>
            <w:tcW w:w="805" w:type="dxa"/>
            <w:tcBorders>
              <w:bottom w:val="double" w:sz="6" w:space="0" w:color="000000"/>
            </w:tcBorders>
            <w:tcMar>
              <w:bottom w:w="28" w:type="dxa"/>
            </w:tcMar>
            <w:vAlign w:val="center"/>
          </w:tcPr>
          <w:p>
            <w:pPr>
              <w:pStyle w:val="TableContents"/>
              <w:bidi w:val="0"/>
              <w:spacing w:before="0" w:after="283"/>
              <w:jc w:val="right"/>
              <w:rPr/>
            </w:pPr>
            <w:r>
              <w:rPr/>
              <w:t>13,812</w:t>
            </w:r>
          </w:p>
        </w:tc>
        <w:tc>
          <w:tcPr>
            <w:tcW w:w="170" w:type="dxa"/>
            <w:tcBorders/>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141"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0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bl>
    <w:tbl>
      <w:tblPr>
        <w:tblW w:w="5465" w:type="dxa"/>
        <w:jc w:val="left"/>
        <w:tblInd w:w="0" w:type="dxa"/>
        <w:tblLayout w:type="fixed"/>
        <w:tblCellMar>
          <w:top w:w="0" w:type="dxa"/>
          <w:left w:w="0" w:type="dxa"/>
          <w:bottom w:w="0" w:type="dxa"/>
          <w:right w:w="0" w:type="dxa"/>
        </w:tblCellMar>
      </w:tblPr>
      <w:tblGrid>
        <w:gridCol w:w="3350"/>
        <w:gridCol w:w="90"/>
        <w:gridCol w:w="170"/>
        <w:gridCol w:w="710"/>
        <w:gridCol w:w="125"/>
        <w:gridCol w:w="90"/>
        <w:gridCol w:w="170"/>
        <w:gridCol w:w="590"/>
        <w:gridCol w:w="170"/>
      </w:tblGrid>
      <w:tr>
        <w:trPr/>
        <w:tc>
          <w:tcPr>
            <w:tcW w:w="3350" w:type="dxa"/>
            <w:tcBorders/>
            <w:vAlign w:val="center"/>
          </w:tcPr>
          <w:p>
            <w:pPr>
              <w:pStyle w:val="TableContents"/>
              <w:bidi w:val="0"/>
              <w:spacing w:before="0" w:after="283"/>
              <w:jc w:val="left"/>
              <w:rPr/>
            </w:pPr>
            <w:r>
              <w:rPr/>
              <w:t>Cost of revenues: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FEI-NY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9,297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6,947</w:t>
            </w:r>
          </w:p>
        </w:tc>
        <w:tc>
          <w:tcPr>
            <w:tcW w:w="170" w:type="dxa"/>
            <w:tcBorders/>
            <w:shd w:fill="CCEEFF" w:val="clear"/>
            <w:vAlign w:val="center"/>
          </w:tcPr>
          <w:p>
            <w:pPr>
              <w:pStyle w:val="TableContents"/>
              <w:bidi w:val="0"/>
              <w:spacing w:before="0" w:after="283"/>
              <w:jc w:val="left"/>
              <w:rPr/>
            </w:pPr>
            <w:r>
              <w:rPr/>
              <w:t> </w:t>
            </w:r>
          </w:p>
        </w:tc>
      </w:tr>
      <w:tr>
        <w:trPr/>
        <w:tc>
          <w:tcPr>
            <w:tcW w:w="3350" w:type="dxa"/>
            <w:tcBorders/>
            <w:vAlign w:val="center"/>
          </w:tcPr>
          <w:p>
            <w:pPr>
              <w:pStyle w:val="TableContents"/>
              <w:bidi w:val="0"/>
              <w:spacing w:before="0" w:after="283"/>
              <w:jc w:val="left"/>
              <w:rPr/>
            </w:pPr>
            <w:r>
              <w:rPr/>
              <w:t>FEI-Zyfer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4,668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2,091</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Less intersegment cost of revenues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(1,264</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(308</w:t>
            </w:r>
          </w:p>
        </w:tc>
        <w:tc>
          <w:tcPr>
            <w:tcW w:w="170" w:type="dxa"/>
            <w:tcBorders/>
            <w:shd w:fill="CCEEFF" w:val="clear"/>
            <w:vAlign w:val="center"/>
          </w:tcPr>
          <w:p>
            <w:pPr>
              <w:pStyle w:val="TableContents"/>
              <w:bidi w:val="0"/>
              <w:spacing w:before="0" w:after="283"/>
              <w:jc w:val="left"/>
              <w:rPr/>
            </w:pPr>
            <w:r>
              <w:rPr/>
              <w:t>)</w:t>
            </w:r>
          </w:p>
        </w:tc>
      </w:tr>
      <w:tr>
        <w:trPr/>
        <w:tc>
          <w:tcPr>
            <w:tcW w:w="3350" w:type="dxa"/>
            <w:tcBorders/>
            <w:vAlign w:val="center"/>
          </w:tcPr>
          <w:p>
            <w:pPr>
              <w:pStyle w:val="TableContents"/>
              <w:bidi w:val="0"/>
              <w:spacing w:before="0" w:after="283"/>
              <w:jc w:val="left"/>
              <w:rPr/>
            </w:pPr>
            <w:r>
              <w:rPr/>
              <w:t>Consolidated cost of revenues</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12,701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8,730</w:t>
            </w:r>
          </w:p>
        </w:tc>
        <w:tc>
          <w:tcPr>
            <w:tcW w:w="170" w:type="dxa"/>
            <w:tcBorders/>
            <w:vAlign w:val="center"/>
          </w:tcPr>
          <w:p>
            <w:pPr>
              <w:pStyle w:val="TableContents"/>
              <w:bidi w:val="0"/>
              <w:spacing w:before="0" w:after="283"/>
              <w:jc w:val="left"/>
              <w:rPr/>
            </w:pPr>
            <w:r>
              <w:rPr/>
              <w:t> </w:t>
            </w:r>
          </w:p>
        </w:tc>
      </w:tr>
      <w:tr>
        <w:trPr/>
        <w:tc>
          <w:tcPr>
            <w:tcW w:w="33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71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bl>
    <w:tbl>
      <w:tblPr>
        <w:tblW w:w="6670" w:type="dxa"/>
        <w:jc w:val="left"/>
        <w:tblInd w:w="0" w:type="dxa"/>
        <w:tblLayout w:type="fixed"/>
        <w:tblCellMar>
          <w:top w:w="0" w:type="dxa"/>
          <w:left w:w="0" w:type="dxa"/>
          <w:bottom w:w="0" w:type="dxa"/>
          <w:right w:w="0" w:type="dxa"/>
        </w:tblCellMar>
      </w:tblPr>
      <w:tblGrid>
        <w:gridCol w:w="4745"/>
        <w:gridCol w:w="90"/>
        <w:gridCol w:w="170"/>
        <w:gridCol w:w="590"/>
        <w:gridCol w:w="90"/>
        <w:gridCol w:w="90"/>
        <w:gridCol w:w="170"/>
        <w:gridCol w:w="590"/>
        <w:gridCol w:w="135"/>
      </w:tblGrid>
      <w:tr>
        <w:trPr/>
        <w:tc>
          <w:tcPr>
            <w:tcW w:w="4745" w:type="dxa"/>
            <w:tcBorders/>
            <w:vAlign w:val="center"/>
          </w:tcPr>
          <w:p>
            <w:pPr>
              <w:pStyle w:val="TableContents"/>
              <w:bidi w:val="0"/>
              <w:spacing w:before="0" w:after="283"/>
              <w:jc w:val="left"/>
              <w:rPr/>
            </w:pPr>
            <w:r>
              <w:rPr/>
              <w:t>Research and development expenses: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FEI-NY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1,125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550</w:t>
            </w:r>
          </w:p>
        </w:tc>
        <w:tc>
          <w:tcPr>
            <w:tcW w:w="135"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FEI-Zyfer</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pPr>
            <w:r>
              <w:rPr/>
              <w:t>320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tcMar>
              <w:bottom w:w="28" w:type="dxa"/>
            </w:tcMar>
            <w:vAlign w:val="center"/>
          </w:tcPr>
          <w:p>
            <w:pPr>
              <w:pStyle w:val="TableContents"/>
              <w:bidi w:val="0"/>
              <w:spacing w:before="0" w:after="283"/>
              <w:jc w:val="right"/>
              <w:rPr/>
            </w:pPr>
            <w:r>
              <w:rPr/>
              <w:t>583</w:t>
            </w:r>
          </w:p>
        </w:tc>
        <w:tc>
          <w:tcPr>
            <w:tcW w:w="135" w:type="dxa"/>
            <w:tcBorders/>
            <w:vAlign w:val="center"/>
          </w:tcPr>
          <w:p>
            <w:pPr>
              <w:pStyle w:val="TableContents"/>
              <w:bidi w:val="0"/>
              <w:spacing w:before="0" w:after="283"/>
              <w:jc w:val="left"/>
              <w:rPr/>
            </w:pPr>
            <w:r>
              <w:rPr/>
              <w:t> </w:t>
            </w:r>
          </w:p>
        </w:tc>
      </w:tr>
      <w:tr>
        <w:trPr/>
        <w:tc>
          <w:tcPr>
            <w:tcW w:w="4745" w:type="dxa"/>
            <w:tcBorders/>
            <w:shd w:fill="CCEEFF" w:val="clear"/>
            <w:vAlign w:val="center"/>
          </w:tcPr>
          <w:p>
            <w:pPr>
              <w:pStyle w:val="TableContents"/>
              <w:bidi w:val="0"/>
              <w:spacing w:before="0" w:after="283"/>
              <w:jc w:val="left"/>
              <w:rPr/>
            </w:pPr>
            <w:r>
              <w:rPr/>
              <w:t>Consolidated research and development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pPr>
            <w:r>
              <w:rPr/>
              <w:t>1,445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pPr>
            <w:r>
              <w:rPr/>
              <w:t>1,133</w:t>
            </w:r>
          </w:p>
        </w:tc>
        <w:tc>
          <w:tcPr>
            <w:tcW w:w="135" w:type="dxa"/>
            <w:tcBorders/>
            <w:shd w:fill="CCEEFF" w:val="clear"/>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bl>
    <w:tbl>
      <w:tblPr>
        <w:tblW w:w="4895" w:type="dxa"/>
        <w:jc w:val="left"/>
        <w:tblInd w:w="0" w:type="dxa"/>
        <w:tblLayout w:type="fixed"/>
        <w:tblCellMar>
          <w:top w:w="0" w:type="dxa"/>
          <w:left w:w="0" w:type="dxa"/>
          <w:bottom w:w="0" w:type="dxa"/>
          <w:right w:w="0" w:type="dxa"/>
        </w:tblCellMar>
      </w:tblPr>
      <w:tblGrid>
        <w:gridCol w:w="3005"/>
        <w:gridCol w:w="90"/>
        <w:gridCol w:w="170"/>
        <w:gridCol w:w="590"/>
        <w:gridCol w:w="125"/>
        <w:gridCol w:w="90"/>
        <w:gridCol w:w="170"/>
        <w:gridCol w:w="485"/>
        <w:gridCol w:w="170"/>
      </w:tblGrid>
      <w:tr>
        <w:trPr/>
        <w:tc>
          <w:tcPr>
            <w:tcW w:w="3005" w:type="dxa"/>
            <w:tcBorders/>
            <w:shd w:fill="CCEEFF" w:val="clear"/>
            <w:vAlign w:val="center"/>
          </w:tcPr>
          <w:p>
            <w:pPr>
              <w:pStyle w:val="TableContents"/>
              <w:bidi w:val="0"/>
              <w:spacing w:before="0" w:after="283"/>
              <w:jc w:val="left"/>
              <w:rPr/>
            </w:pPr>
            <w:r>
              <w:rPr/>
              <w:t>Operating income: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FEI-NY</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90" w:type="dxa"/>
            <w:tcBorders/>
            <w:vAlign w:val="center"/>
          </w:tcPr>
          <w:p>
            <w:pPr>
              <w:pStyle w:val="TableContents"/>
              <w:bidi w:val="0"/>
              <w:spacing w:before="0" w:after="283"/>
              <w:jc w:val="right"/>
              <w:rPr/>
            </w:pPr>
            <w:r>
              <w:rPr/>
              <w:t>4,264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85" w:type="dxa"/>
            <w:tcBorders/>
            <w:vAlign w:val="center"/>
          </w:tcPr>
          <w:p>
            <w:pPr>
              <w:pStyle w:val="TableContents"/>
              <w:bidi w:val="0"/>
              <w:spacing w:before="0" w:after="283"/>
              <w:jc w:val="right"/>
              <w:rPr/>
            </w:pPr>
            <w:r>
              <w:rPr/>
              <w:t>166</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FEI-Zyfer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972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300</w:t>
            </w:r>
          </w:p>
        </w:tc>
        <w:tc>
          <w:tcPr>
            <w:tcW w:w="170" w:type="dxa"/>
            <w:tcBorders/>
            <w:shd w:fill="CCEEFF" w:val="clear"/>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283"/>
              <w:jc w:val="left"/>
              <w:rPr/>
            </w:pPr>
            <w:r>
              <w:rPr/>
              <w:t>Less intersegment margin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164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48</w:t>
            </w:r>
          </w:p>
        </w:tc>
        <w:tc>
          <w:tcPr>
            <w:tcW w:w="170" w:type="dxa"/>
            <w:tcBorders/>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283"/>
              <w:jc w:val="left"/>
              <w:rPr/>
            </w:pPr>
            <w:r>
              <w:rPr/>
              <w:t>Corporate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(200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(150</w:t>
            </w:r>
          </w:p>
        </w:tc>
        <w:tc>
          <w:tcPr>
            <w:tcW w:w="170" w:type="dxa"/>
            <w:tcBorders/>
            <w:shd w:fill="CCEEFF" w:val="clear"/>
            <w:vAlign w:val="center"/>
          </w:tcPr>
          <w:p>
            <w:pPr>
              <w:pStyle w:val="TableContents"/>
              <w:bidi w:val="0"/>
              <w:spacing w:before="0" w:after="283"/>
              <w:jc w:val="left"/>
              <w:rPr/>
            </w:pPr>
            <w:r>
              <w:rPr/>
              <w:t>)</w:t>
            </w:r>
          </w:p>
        </w:tc>
      </w:tr>
      <w:tr>
        <w:trPr/>
        <w:tc>
          <w:tcPr>
            <w:tcW w:w="3005" w:type="dxa"/>
            <w:tcBorders/>
            <w:vAlign w:val="center"/>
          </w:tcPr>
          <w:p>
            <w:pPr>
              <w:pStyle w:val="TableContents"/>
              <w:bidi w:val="0"/>
              <w:spacing w:before="0" w:after="283"/>
              <w:jc w:val="left"/>
              <w:rPr/>
            </w:pPr>
            <w:r>
              <w:rPr/>
              <w:t>Consolidated operating income</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5,200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485" w:type="dxa"/>
            <w:tcBorders>
              <w:bottom w:val="double" w:sz="6" w:space="0" w:color="000000"/>
            </w:tcBorders>
            <w:tcMar>
              <w:bottom w:w="28" w:type="dxa"/>
            </w:tcMar>
            <w:vAlign w:val="center"/>
          </w:tcPr>
          <w:p>
            <w:pPr>
              <w:pStyle w:val="TableContents"/>
              <w:bidi w:val="0"/>
              <w:spacing w:before="0" w:after="283"/>
              <w:jc w:val="right"/>
              <w:rPr/>
            </w:pPr>
            <w:r>
              <w:rPr/>
              <w:t>364</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the determination of operating income is selling, general, and administrative expenses of $2.9 million and $2.7 million for the three months ended July 31, 2026 and 2025, respectively, for the FEI-NY segment, and $1.0 million and $0.7 million for the three months ended July 31, 2026 and 2025, respectively, for the FEI-Zyfer segment.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tables below present the identifiable assets of each reportable segment and on a consolidated basis as reported in the consolidated balance sheets as of July 31, 2026 and April 30, 2026 and the depreciation and amortization charges related to these identifiable assets for the three months then ended (in thousands):</w:t>
      </w:r>
    </w:p>
    <w:p>
      <w:pPr>
        <w:pStyle w:val="TextBody"/>
        <w:bidi w:val="0"/>
        <w:spacing w:before="0" w:after="0"/>
        <w:ind w:left="0" w:right="0" w:firstLine="720"/>
        <w:jc w:val="both"/>
        <w:rPr>
          <w:caps w:val="false"/>
          <w:smallCaps w:val="false"/>
        </w:rPr>
      </w:pPr>
      <w:r>
        <w:rPr>
          <w:caps w:val="false"/>
          <w:smallCaps w:val="false"/>
        </w:rPr>
        <w:t> </w:t>
      </w:r>
    </w:p>
    <w:tbl>
      <w:tblPr>
        <w:tblW w:w="5444" w:type="dxa"/>
        <w:jc w:val="left"/>
        <w:tblInd w:w="0" w:type="dxa"/>
        <w:tblLayout w:type="fixed"/>
        <w:tblCellMar>
          <w:top w:w="0" w:type="dxa"/>
          <w:left w:w="0" w:type="dxa"/>
          <w:bottom w:w="0" w:type="dxa"/>
          <w:right w:w="0" w:type="dxa"/>
        </w:tblCellMar>
      </w:tblPr>
      <w:tblGrid>
        <w:gridCol w:w="3020"/>
        <w:gridCol w:w="90"/>
        <w:gridCol w:w="170"/>
        <w:gridCol w:w="830"/>
        <w:gridCol w:w="125"/>
        <w:gridCol w:w="90"/>
        <w:gridCol w:w="183"/>
        <w:gridCol w:w="766"/>
        <w:gridCol w:w="170"/>
      </w:tblGrid>
      <w:tr>
        <w:trPr/>
        <w:tc>
          <w:tcPr>
            <w:tcW w:w="30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July 31,</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w:t>
              <w:br/>
              <w:t>2026</w:t>
            </w:r>
          </w:p>
        </w:tc>
        <w:tc>
          <w:tcPr>
            <w:tcW w:w="170"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Identifiable assets:</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FEI-NY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36,988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w:t>
            </w:r>
          </w:p>
        </w:tc>
        <w:tc>
          <w:tcPr>
            <w:tcW w:w="766" w:type="dxa"/>
            <w:tcBorders/>
            <w:shd w:fill="CCEEFF" w:val="clear"/>
            <w:vAlign w:val="center"/>
          </w:tcPr>
          <w:p>
            <w:pPr>
              <w:pStyle w:val="TableContents"/>
              <w:bidi w:val="0"/>
              <w:spacing w:before="0" w:after="283"/>
              <w:jc w:val="right"/>
              <w:rPr/>
            </w:pPr>
            <w:r>
              <w:rPr/>
              <w:t>40,849</w:t>
            </w:r>
          </w:p>
        </w:tc>
        <w:tc>
          <w:tcPr>
            <w:tcW w:w="170" w:type="dxa"/>
            <w:tcBorders/>
            <w:shd w:fill="CCEEFF" w:val="clear"/>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FEI-Zyfer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26,865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right"/>
              <w:rPr/>
            </w:pPr>
            <w:r>
              <w:rPr/>
              <w:t>23,759</w:t>
            </w:r>
          </w:p>
        </w:tc>
        <w:tc>
          <w:tcPr>
            <w:tcW w:w="17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Less intersegment balances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(649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766" w:type="dxa"/>
            <w:tcBorders/>
            <w:shd w:fill="CCEEFF" w:val="clear"/>
            <w:vAlign w:val="center"/>
          </w:tcPr>
          <w:p>
            <w:pPr>
              <w:pStyle w:val="TableContents"/>
              <w:bidi w:val="0"/>
              <w:spacing w:before="0" w:after="283"/>
              <w:jc w:val="right"/>
              <w:rPr/>
            </w:pPr>
            <w:r>
              <w:rPr/>
              <w:t>(814</w:t>
            </w:r>
          </w:p>
        </w:tc>
        <w:tc>
          <w:tcPr>
            <w:tcW w:w="170" w:type="dxa"/>
            <w:tcBorders/>
            <w:shd w:fill="CCEEFF" w:val="clear"/>
            <w:vAlign w:val="center"/>
          </w:tcPr>
          <w:p>
            <w:pPr>
              <w:pStyle w:val="TableContents"/>
              <w:bidi w:val="0"/>
              <w:spacing w:before="0" w:after="283"/>
              <w:jc w:val="left"/>
              <w:rPr/>
            </w:pPr>
            <w:r>
              <w:rPr/>
              <w:t>)</w:t>
            </w:r>
          </w:p>
        </w:tc>
      </w:tr>
      <w:tr>
        <w:trPr/>
        <w:tc>
          <w:tcPr>
            <w:tcW w:w="3020" w:type="dxa"/>
            <w:tcBorders/>
            <w:vAlign w:val="center"/>
          </w:tcPr>
          <w:p>
            <w:pPr>
              <w:pStyle w:val="TableContents"/>
              <w:bidi w:val="0"/>
              <w:spacing w:before="0" w:after="283"/>
              <w:jc w:val="left"/>
              <w:rPr/>
            </w:pPr>
            <w:r>
              <w:rPr/>
              <w:t>Corporate</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830" w:type="dxa"/>
            <w:tcBorders>
              <w:bottom w:val="single" w:sz="8" w:space="0" w:color="000000"/>
            </w:tcBorders>
            <w:tcMar>
              <w:bottom w:w="28" w:type="dxa"/>
            </w:tcMar>
            <w:vAlign w:val="center"/>
          </w:tcPr>
          <w:p>
            <w:pPr>
              <w:pStyle w:val="TableContents"/>
              <w:bidi w:val="0"/>
              <w:spacing w:before="0" w:after="283"/>
              <w:jc w:val="right"/>
              <w:rPr/>
            </w:pPr>
            <w:r>
              <w:rPr/>
              <w:t>90,373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3" w:type="dxa"/>
            <w:tcBorders>
              <w:bottom w:val="single" w:sz="8" w:space="0" w:color="000000"/>
            </w:tcBorders>
            <w:tcMar>
              <w:bottom w:w="28" w:type="dxa"/>
            </w:tcMar>
            <w:vAlign w:val="center"/>
          </w:tcPr>
          <w:p>
            <w:pPr>
              <w:pStyle w:val="TableContents"/>
              <w:bidi w:val="0"/>
              <w:spacing w:before="0" w:after="283"/>
              <w:jc w:val="left"/>
              <w:rPr/>
            </w:pPr>
            <w:r>
              <w:rPr/>
              <w:t> </w:t>
            </w:r>
          </w:p>
        </w:tc>
        <w:tc>
          <w:tcPr>
            <w:tcW w:w="766" w:type="dxa"/>
            <w:tcBorders>
              <w:bottom w:val="single" w:sz="8" w:space="0" w:color="000000"/>
            </w:tcBorders>
            <w:tcMar>
              <w:bottom w:w="28" w:type="dxa"/>
            </w:tcMar>
            <w:vAlign w:val="center"/>
          </w:tcPr>
          <w:p>
            <w:pPr>
              <w:pStyle w:val="TableContents"/>
              <w:bidi w:val="0"/>
              <w:spacing w:before="0" w:after="283"/>
              <w:jc w:val="right"/>
              <w:rPr/>
            </w:pPr>
            <w:r>
              <w:rPr/>
              <w:t>26,912</w:t>
            </w:r>
          </w:p>
        </w:tc>
        <w:tc>
          <w:tcPr>
            <w:tcW w:w="170"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Consolidated identifiable assets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6" w:space="0" w:color="000000"/>
            </w:tcBorders>
            <w:shd w:fill="CCEEFF" w:val="clear"/>
            <w:tcMar>
              <w:bottom w:w="28" w:type="dxa"/>
            </w:tcMar>
            <w:vAlign w:val="center"/>
          </w:tcPr>
          <w:p>
            <w:pPr>
              <w:pStyle w:val="TableContents"/>
              <w:bidi w:val="0"/>
              <w:spacing w:before="0" w:after="283"/>
              <w:jc w:val="right"/>
              <w:rPr/>
            </w:pPr>
            <w:r>
              <w:rPr/>
              <w:t>153,577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66" w:type="dxa"/>
            <w:tcBorders>
              <w:bottom w:val="double" w:sz="6" w:space="0" w:color="000000"/>
            </w:tcBorders>
            <w:shd w:fill="CCEEFF" w:val="clear"/>
            <w:tcMar>
              <w:bottom w:w="28" w:type="dxa"/>
            </w:tcMar>
            <w:vAlign w:val="center"/>
          </w:tcPr>
          <w:p>
            <w:pPr>
              <w:pStyle w:val="TableContents"/>
              <w:bidi w:val="0"/>
              <w:spacing w:before="0" w:after="283"/>
              <w:jc w:val="right"/>
              <w:rPr/>
            </w:pPr>
            <w:r>
              <w:rPr/>
              <w:t>90,706</w:t>
            </w:r>
          </w:p>
        </w:tc>
        <w:tc>
          <w:tcPr>
            <w:tcW w:w="170" w:type="dxa"/>
            <w:tcBorders/>
            <w:shd w:fill="CCEE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7448" w:type="dxa"/>
        <w:jc w:val="left"/>
        <w:tblInd w:w="0" w:type="dxa"/>
        <w:tblLayout w:type="fixed"/>
        <w:tblCellMar>
          <w:top w:w="0" w:type="dxa"/>
          <w:left w:w="0" w:type="dxa"/>
          <w:bottom w:w="0" w:type="dxa"/>
          <w:right w:w="0" w:type="dxa"/>
        </w:tblCellMar>
      </w:tblPr>
      <w:tblGrid>
        <w:gridCol w:w="4985"/>
        <w:gridCol w:w="90"/>
        <w:gridCol w:w="284"/>
        <w:gridCol w:w="685"/>
        <w:gridCol w:w="150"/>
        <w:gridCol w:w="150"/>
        <w:gridCol w:w="284"/>
        <w:gridCol w:w="685"/>
        <w:gridCol w:w="135"/>
      </w:tblGrid>
      <w:tr>
        <w:trPr/>
        <w:tc>
          <w:tcPr>
            <w:tcW w:w="49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July 31,</w:t>
            </w:r>
          </w:p>
        </w:tc>
        <w:tc>
          <w:tcPr>
            <w:tcW w:w="13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969" w:type="dxa"/>
            <w:gridSpan w:val="2"/>
            <w:tcBorders/>
            <w:vAlign w:val="center"/>
          </w:tcPr>
          <w:p>
            <w:pPr>
              <w:pStyle w:val="TableContents"/>
              <w:bidi w:val="0"/>
              <w:spacing w:before="0" w:after="283"/>
              <w:jc w:val="right"/>
              <w:rPr/>
            </w:pPr>
            <w:r>
              <w:rPr/>
              <w:t> </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969" w:type="dxa"/>
            <w:gridSpan w:val="2"/>
            <w:tcBorders/>
            <w:vAlign w:val="center"/>
          </w:tcPr>
          <w:p>
            <w:pPr>
              <w:pStyle w:val="TableContents"/>
              <w:bidi w:val="0"/>
              <w:spacing w:before="0" w:after="283"/>
              <w:jc w:val="right"/>
              <w:rPr/>
            </w:pPr>
            <w:r>
              <w:rPr/>
              <w:t> </w:t>
            </w:r>
          </w:p>
        </w:tc>
        <w:tc>
          <w:tcPr>
            <w:tcW w:w="13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FEI-NY</w:t>
            </w:r>
          </w:p>
        </w:tc>
        <w:tc>
          <w:tcPr>
            <w:tcW w:w="9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685" w:type="dxa"/>
            <w:tcBorders/>
            <w:shd w:fill="CCEEFF" w:val="clear"/>
            <w:vAlign w:val="center"/>
          </w:tcPr>
          <w:p>
            <w:pPr>
              <w:pStyle w:val="TableContents"/>
              <w:bidi w:val="0"/>
              <w:spacing w:before="0" w:after="283"/>
              <w:jc w:val="right"/>
              <w:rPr/>
            </w:pPr>
            <w:r>
              <w:rPr/>
              <w:t>278</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w:t>
            </w:r>
          </w:p>
        </w:tc>
        <w:tc>
          <w:tcPr>
            <w:tcW w:w="685" w:type="dxa"/>
            <w:tcBorders/>
            <w:shd w:fill="CCEEFF" w:val="clear"/>
            <w:vAlign w:val="center"/>
          </w:tcPr>
          <w:p>
            <w:pPr>
              <w:pStyle w:val="TableContents"/>
              <w:bidi w:val="0"/>
              <w:spacing w:before="0" w:after="283"/>
              <w:jc w:val="right"/>
              <w:rPr/>
            </w:pPr>
            <w:r>
              <w:rPr/>
              <w:t>432</w:t>
            </w:r>
          </w:p>
        </w:tc>
        <w:tc>
          <w:tcPr>
            <w:tcW w:w="135" w:type="dxa"/>
            <w:tcBorders/>
            <w:shd w:fill="CCEEFF" w:val="clear"/>
            <w:vAlign w:val="center"/>
          </w:tcPr>
          <w:p>
            <w:pPr>
              <w:pStyle w:val="TableContents"/>
              <w:bidi w:val="0"/>
              <w:spacing w:before="0" w:after="283"/>
              <w:jc w:val="left"/>
              <w:rPr/>
            </w:pPr>
            <w:r>
              <w:rPr/>
              <w:t> </w:t>
            </w:r>
          </w:p>
        </w:tc>
      </w:tr>
      <w:tr>
        <w:trPr/>
        <w:tc>
          <w:tcPr>
            <w:tcW w:w="4985" w:type="dxa"/>
            <w:tcBorders/>
            <w:vAlign w:val="center"/>
          </w:tcPr>
          <w:p>
            <w:pPr>
              <w:pStyle w:val="TableContents"/>
              <w:bidi w:val="0"/>
              <w:spacing w:before="0" w:after="283"/>
              <w:jc w:val="left"/>
              <w:rPr/>
            </w:pPr>
            <w:r>
              <w:rPr/>
              <w:t>FEI-Zyfer</w:t>
            </w:r>
          </w:p>
        </w:tc>
        <w:tc>
          <w:tcPr>
            <w:tcW w:w="90" w:type="dxa"/>
            <w:tcBorders/>
            <w:vAlign w:val="center"/>
          </w:tcPr>
          <w:p>
            <w:pPr>
              <w:pStyle w:val="TableContents"/>
              <w:bidi w:val="0"/>
              <w:spacing w:before="0" w:after="283"/>
              <w:jc w:val="left"/>
              <w:rPr/>
            </w:pPr>
            <w:r>
              <w:rPr/>
              <w:t> </w:t>
            </w:r>
          </w:p>
        </w:tc>
        <w:tc>
          <w:tcPr>
            <w:tcW w:w="284" w:type="dxa"/>
            <w:tcBorders>
              <w:bottom w:val="single" w:sz="8" w:space="0" w:color="000000"/>
            </w:tcBorders>
            <w:tcMar>
              <w:bottom w:w="28" w:type="dxa"/>
            </w:tcMar>
            <w:vAlign w:val="center"/>
          </w:tcPr>
          <w:p>
            <w:pPr>
              <w:pStyle w:val="TableContents"/>
              <w:bidi w:val="0"/>
              <w:spacing w:before="0" w:after="283"/>
              <w:jc w:val="left"/>
              <w:rPr/>
            </w:pPr>
            <w:r>
              <w:rPr/>
              <w:t> </w:t>
            </w:r>
          </w:p>
        </w:tc>
        <w:tc>
          <w:tcPr>
            <w:tcW w:w="685" w:type="dxa"/>
            <w:tcBorders>
              <w:bottom w:val="single" w:sz="8" w:space="0" w:color="000000"/>
            </w:tcBorders>
            <w:tcMar>
              <w:bottom w:w="28" w:type="dxa"/>
            </w:tcMar>
            <w:vAlign w:val="center"/>
          </w:tcPr>
          <w:p>
            <w:pPr>
              <w:pStyle w:val="TableContents"/>
              <w:bidi w:val="0"/>
              <w:spacing w:before="0" w:after="283"/>
              <w:jc w:val="right"/>
              <w:rPr/>
            </w:pPr>
            <w:r>
              <w:rPr/>
              <w:t>9</w:t>
            </w:r>
          </w:p>
        </w:tc>
        <w:tc>
          <w:tcPr>
            <w:tcW w:w="15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284" w:type="dxa"/>
            <w:tcBorders>
              <w:bottom w:val="single" w:sz="8" w:space="0" w:color="000000"/>
            </w:tcBorders>
            <w:tcMar>
              <w:bottom w:w="28" w:type="dxa"/>
            </w:tcMar>
            <w:vAlign w:val="center"/>
          </w:tcPr>
          <w:p>
            <w:pPr>
              <w:pStyle w:val="TableContents"/>
              <w:bidi w:val="0"/>
              <w:spacing w:before="0" w:after="283"/>
              <w:jc w:val="left"/>
              <w:rPr/>
            </w:pPr>
            <w:r>
              <w:rPr/>
              <w:t> </w:t>
            </w:r>
          </w:p>
        </w:tc>
        <w:tc>
          <w:tcPr>
            <w:tcW w:w="685" w:type="dxa"/>
            <w:tcBorders>
              <w:bottom w:val="single" w:sz="8" w:space="0" w:color="000000"/>
            </w:tcBorders>
            <w:tcMar>
              <w:bottom w:w="28" w:type="dxa"/>
            </w:tcMar>
            <w:vAlign w:val="center"/>
          </w:tcPr>
          <w:p>
            <w:pPr>
              <w:pStyle w:val="TableContents"/>
              <w:bidi w:val="0"/>
              <w:spacing w:before="0" w:after="283"/>
              <w:jc w:val="right"/>
              <w:rPr/>
            </w:pPr>
            <w:r>
              <w:rPr/>
              <w:t>38</w:t>
            </w:r>
          </w:p>
        </w:tc>
        <w:tc>
          <w:tcPr>
            <w:tcW w:w="135" w:type="dxa"/>
            <w:tcBorders/>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pPr>
            <w:r>
              <w:rPr/>
              <w:t>Consolidated depreciation and amortization expense</w:t>
            </w:r>
          </w:p>
        </w:tc>
        <w:tc>
          <w:tcPr>
            <w:tcW w:w="90"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jc w:val="right"/>
              <w:rPr/>
            </w:pPr>
            <w:r>
              <w:rPr/>
              <w:t>287</w:t>
            </w:r>
          </w:p>
        </w:tc>
        <w:tc>
          <w:tcPr>
            <w:tcW w:w="15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5" w:type="dxa"/>
            <w:tcBorders>
              <w:bottom w:val="double" w:sz="6" w:space="0" w:color="000000"/>
            </w:tcBorders>
            <w:shd w:fill="CCEEFF" w:val="clear"/>
            <w:tcMar>
              <w:bottom w:w="28" w:type="dxa"/>
            </w:tcMar>
            <w:vAlign w:val="center"/>
          </w:tcPr>
          <w:p>
            <w:pPr>
              <w:pStyle w:val="TableContents"/>
              <w:bidi w:val="0"/>
              <w:spacing w:before="0" w:after="283"/>
              <w:jc w:val="right"/>
              <w:rPr/>
            </w:pPr>
            <w:r>
              <w:rPr/>
              <w:t>470</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 recognized over time as Percentage of Completion (“POC”) and at a point in time as Passage of Title (“POT”) was approximately $22.4 million and $1.0 million, respectively, of the $23.5 million reported for the three months ended July 31, 2026. Total revenue recognized over time as POC and at a point in time as POT was approximately $12.4 million and $1.4 million, respectively, of the $13.8 million reported for the three months ended July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amounts by segment and product line were as follows (in thousands):</w:t>
      </w:r>
    </w:p>
    <w:p>
      <w:pPr>
        <w:pStyle w:val="TextBody"/>
        <w:bidi w:val="0"/>
        <w:spacing w:before="0" w:after="0"/>
        <w:ind w:left="0" w:right="0" w:firstLine="720"/>
        <w:jc w:val="both"/>
        <w:rPr>
          <w:caps w:val="false"/>
          <w:smallCaps w:val="false"/>
        </w:rPr>
      </w:pPr>
      <w:r>
        <w:rPr>
          <w:caps w:val="false"/>
          <w:smallCaps w:val="false"/>
        </w:rPr>
        <w:t> </w:t>
      </w:r>
    </w:p>
    <w:tbl>
      <w:tblPr>
        <w:tblW w:w="7465" w:type="dxa"/>
        <w:jc w:val="left"/>
        <w:tblInd w:w="0" w:type="dxa"/>
        <w:tblLayout w:type="fixed"/>
        <w:tblCellMar>
          <w:top w:w="0" w:type="dxa"/>
          <w:left w:w="0" w:type="dxa"/>
          <w:bottom w:w="0" w:type="dxa"/>
          <w:right w:w="0" w:type="dxa"/>
        </w:tblCellMar>
      </w:tblPr>
      <w:tblGrid>
        <w:gridCol w:w="1115"/>
        <w:gridCol w:w="90"/>
        <w:gridCol w:w="155"/>
        <w:gridCol w:w="620"/>
        <w:gridCol w:w="90"/>
        <w:gridCol w:w="90"/>
        <w:gridCol w:w="178"/>
        <w:gridCol w:w="592"/>
        <w:gridCol w:w="110"/>
        <w:gridCol w:w="90"/>
        <w:gridCol w:w="155"/>
        <w:gridCol w:w="620"/>
        <w:gridCol w:w="110"/>
        <w:gridCol w:w="90"/>
        <w:gridCol w:w="155"/>
        <w:gridCol w:w="620"/>
        <w:gridCol w:w="90"/>
        <w:gridCol w:w="90"/>
        <w:gridCol w:w="178"/>
        <w:gridCol w:w="592"/>
        <w:gridCol w:w="110"/>
        <w:gridCol w:w="90"/>
        <w:gridCol w:w="256"/>
        <w:gridCol w:w="1024"/>
        <w:gridCol w:w="155"/>
      </w:tblGrid>
      <w:tr>
        <w:trPr/>
        <w:tc>
          <w:tcPr>
            <w:tcW w:w="11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105" w:type="dxa"/>
            <w:gridSpan w:val="2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 July 31,</w:t>
            </w:r>
          </w:p>
        </w:tc>
        <w:tc>
          <w:tcPr>
            <w:tcW w:w="15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0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20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55" w:type="dxa"/>
            <w:tcBorders/>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POC</w:t>
              <w:br/>
              <w:t>Revenue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POT</w:t>
              <w:br/>
              <w:t>Revenue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br/>
              <w:t>Revenue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POC</w:t>
              <w:br/>
              <w:t>Revenue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POT</w:t>
              <w:br/>
              <w:t>Revenue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 Revenue</w:t>
            </w:r>
          </w:p>
        </w:tc>
        <w:tc>
          <w:tcPr>
            <w:tcW w:w="15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FEI-NY</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17,594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9,748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10,354</w:t>
            </w:r>
          </w:p>
        </w:tc>
        <w:tc>
          <w:tcPr>
            <w:tcW w:w="155" w:type="dxa"/>
            <w:tcBorders/>
            <w:shd w:fill="CCEEFF" w:val="clear"/>
            <w:vAlign w:val="center"/>
          </w:tcPr>
          <w:p>
            <w:pPr>
              <w:pStyle w:val="TableContents"/>
              <w:bidi w:val="0"/>
              <w:spacing w:before="0" w:after="283"/>
              <w:jc w:val="left"/>
              <w:rPr/>
            </w:pPr>
            <w:r>
              <w:rPr/>
              <w:t> </w:t>
            </w:r>
          </w:p>
        </w:tc>
      </w:tr>
      <w:tr>
        <w:trPr/>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FEI-Zyfer</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6,395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562</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6,957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62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 </w:t>
            </w:r>
          </w:p>
        </w:tc>
        <w:tc>
          <w:tcPr>
            <w:tcW w:w="592"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02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3,718</w:t>
            </w:r>
          </w:p>
        </w:tc>
        <w:tc>
          <w:tcPr>
            <w:tcW w:w="155" w:type="dxa"/>
            <w:tcBorders/>
            <w:vAlign w:val="center"/>
          </w:tcPr>
          <w:p>
            <w:pPr>
              <w:pStyle w:val="TableContents"/>
              <w:bidi w:val="0"/>
              <w:spacing w:before="0" w:after="283"/>
              <w:jc w:val="left"/>
              <w:rPr/>
            </w:pPr>
            <w:r>
              <w:rPr/>
              <w:t> </w:t>
            </w:r>
          </w:p>
        </w:tc>
      </w:tr>
      <w:tr>
        <w:trPr/>
        <w:tc>
          <w:tcPr>
            <w:tcW w:w="11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Intersegment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(926</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(260</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1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Revenue</w:t>
            </w:r>
          </w:p>
        </w:tc>
        <w:tc>
          <w:tcPr>
            <w:tcW w:w="90" w:type="dxa"/>
            <w:tcBorders/>
            <w:vAlign w:val="center"/>
          </w:tcPr>
          <w:p>
            <w:pPr>
              <w:pStyle w:val="TableContents"/>
              <w:bidi w:val="0"/>
              <w:spacing w:before="0" w:after="283"/>
              <w:jc w:val="left"/>
              <w:rPr/>
            </w:pPr>
            <w:r>
              <w:rPr/>
              <w:t> </w:t>
            </w:r>
          </w:p>
        </w:tc>
        <w:tc>
          <w:tcPr>
            <w:tcW w:w="155"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22,424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2"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1,027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23,451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0"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12,428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8"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92"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6" w:type="dxa"/>
            <w:tcBorders>
              <w:bottom w:val="double" w:sz="6"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4" w:type="dxa"/>
            <w:tcBorders>
              <w:bottom w:val="double" w:sz="6"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13,812</w:t>
            </w:r>
          </w:p>
        </w:tc>
        <w:tc>
          <w:tcPr>
            <w:tcW w:w="155"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6201" w:type="dxa"/>
        <w:jc w:val="left"/>
        <w:tblInd w:w="0" w:type="dxa"/>
        <w:tblLayout w:type="fixed"/>
        <w:tblCellMar>
          <w:top w:w="0" w:type="dxa"/>
          <w:left w:w="0" w:type="dxa"/>
          <w:bottom w:w="0" w:type="dxa"/>
          <w:right w:w="0" w:type="dxa"/>
        </w:tblCellMar>
      </w:tblPr>
      <w:tblGrid>
        <w:gridCol w:w="3740"/>
        <w:gridCol w:w="90"/>
        <w:gridCol w:w="196"/>
        <w:gridCol w:w="819"/>
        <w:gridCol w:w="103"/>
        <w:gridCol w:w="103"/>
        <w:gridCol w:w="196"/>
        <w:gridCol w:w="819"/>
        <w:gridCol w:w="135"/>
      </w:tblGrid>
      <w:tr>
        <w:trPr/>
        <w:tc>
          <w:tcPr>
            <w:tcW w:w="3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3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July 31,</w:t>
            </w:r>
          </w:p>
        </w:tc>
        <w:tc>
          <w:tcPr>
            <w:tcW w:w="13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35" w:type="dxa"/>
            <w:tcBorders/>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Revenues by product line:</w:t>
            </w:r>
          </w:p>
        </w:tc>
        <w:tc>
          <w:tcPr>
            <w:tcW w:w="90"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015"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Satellite revenue</w:t>
            </w:r>
          </w:p>
        </w:tc>
        <w:tc>
          <w:tcPr>
            <w:tcW w:w="9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819" w:type="dxa"/>
            <w:tcBorders/>
            <w:shd w:fill="CCEEFF" w:val="clear"/>
            <w:vAlign w:val="center"/>
          </w:tcPr>
          <w:p>
            <w:pPr>
              <w:pStyle w:val="TableContents"/>
              <w:bidi w:val="0"/>
              <w:spacing w:before="0" w:after="283"/>
              <w:jc w:val="right"/>
              <w:rPr/>
            </w:pPr>
            <w:r>
              <w:rPr/>
              <w:t>11,780</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w:t>
            </w:r>
          </w:p>
        </w:tc>
        <w:tc>
          <w:tcPr>
            <w:tcW w:w="819" w:type="dxa"/>
            <w:tcBorders/>
            <w:shd w:fill="CCEEFF" w:val="clear"/>
            <w:vAlign w:val="center"/>
          </w:tcPr>
          <w:p>
            <w:pPr>
              <w:pStyle w:val="TableContents"/>
              <w:bidi w:val="0"/>
              <w:spacing w:before="0" w:after="283"/>
              <w:jc w:val="right"/>
              <w:rPr/>
            </w:pPr>
            <w:r>
              <w:rPr/>
              <w:t>6,514</w:t>
            </w:r>
          </w:p>
        </w:tc>
        <w:tc>
          <w:tcPr>
            <w:tcW w:w="135"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Government non-space revenue</w:t>
            </w:r>
          </w:p>
        </w:tc>
        <w:tc>
          <w:tcPr>
            <w:tcW w:w="9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right"/>
              <w:rPr/>
            </w:pPr>
            <w:r>
              <w:rPr/>
              <w:t>11,066</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 </w:t>
            </w:r>
          </w:p>
        </w:tc>
        <w:tc>
          <w:tcPr>
            <w:tcW w:w="819" w:type="dxa"/>
            <w:tcBorders/>
            <w:vAlign w:val="center"/>
          </w:tcPr>
          <w:p>
            <w:pPr>
              <w:pStyle w:val="TableContents"/>
              <w:bidi w:val="0"/>
              <w:spacing w:before="0" w:after="283"/>
              <w:jc w:val="right"/>
              <w:rPr/>
            </w:pPr>
            <w:r>
              <w:rPr/>
              <w:t>6,859</w:t>
            </w:r>
          </w:p>
        </w:tc>
        <w:tc>
          <w:tcPr>
            <w:tcW w:w="135" w:type="dxa"/>
            <w:tcBorders/>
            <w:vAlign w:val="center"/>
          </w:tcPr>
          <w:p>
            <w:pPr>
              <w:pStyle w:val="TableContents"/>
              <w:bidi w:val="0"/>
              <w:spacing w:before="0" w:after="283"/>
              <w:jc w:val="left"/>
              <w:rPr/>
            </w:pPr>
            <w:r>
              <w:rPr/>
              <w:t> </w:t>
            </w:r>
          </w:p>
        </w:tc>
      </w:tr>
      <w:tr>
        <w:trPr/>
        <w:tc>
          <w:tcPr>
            <w:tcW w:w="3740" w:type="dxa"/>
            <w:tcBorders/>
            <w:shd w:fill="CCEEFF" w:val="clear"/>
            <w:vAlign w:val="center"/>
          </w:tcPr>
          <w:p>
            <w:pPr>
              <w:pStyle w:val="TableContents"/>
              <w:bidi w:val="0"/>
              <w:spacing w:before="0" w:after="283"/>
              <w:jc w:val="left"/>
              <w:rPr/>
            </w:pPr>
            <w:r>
              <w:rPr/>
              <w:t>Other commercial &amp; industrial revenue</w:t>
            </w:r>
          </w:p>
        </w:tc>
        <w:tc>
          <w:tcPr>
            <w:tcW w:w="90"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9" w:type="dxa"/>
            <w:tcBorders>
              <w:bottom w:val="single" w:sz="8" w:space="0" w:color="000000"/>
            </w:tcBorders>
            <w:shd w:fill="CCEEFF" w:val="clear"/>
            <w:tcMar>
              <w:bottom w:w="28" w:type="dxa"/>
            </w:tcMar>
            <w:vAlign w:val="center"/>
          </w:tcPr>
          <w:p>
            <w:pPr>
              <w:pStyle w:val="TableContents"/>
              <w:bidi w:val="0"/>
              <w:spacing w:before="0" w:after="283"/>
              <w:jc w:val="right"/>
              <w:rPr/>
            </w:pPr>
            <w:r>
              <w:rPr/>
              <w:t>605</w:t>
            </w:r>
          </w:p>
        </w:tc>
        <w:tc>
          <w:tcPr>
            <w:tcW w:w="103" w:type="dxa"/>
            <w:tcBorders/>
            <w:shd w:fill="CCEEFF" w:val="clear"/>
            <w:vAlign w:val="center"/>
          </w:tcPr>
          <w:p>
            <w:pPr>
              <w:pStyle w:val="TableContents"/>
              <w:bidi w:val="0"/>
              <w:spacing w:before="0" w:after="283"/>
              <w:jc w:val="left"/>
              <w:rPr/>
            </w:pPr>
            <w:r>
              <w:rPr/>
              <w:t> </w:t>
            </w:r>
          </w:p>
        </w:tc>
        <w:tc>
          <w:tcPr>
            <w:tcW w:w="103" w:type="dxa"/>
            <w:tcBorders/>
            <w:shd w:fill="CCEEFF" w:val="clear"/>
            <w:vAlign w:val="center"/>
          </w:tcPr>
          <w:p>
            <w:pPr>
              <w:pStyle w:val="TableContents"/>
              <w:bidi w:val="0"/>
              <w:spacing w:before="0" w:after="283"/>
              <w:jc w:val="left"/>
              <w:rPr/>
            </w:pPr>
            <w:r>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9" w:type="dxa"/>
            <w:tcBorders>
              <w:bottom w:val="single" w:sz="8" w:space="0" w:color="000000"/>
            </w:tcBorders>
            <w:shd w:fill="CCEEFF" w:val="clear"/>
            <w:tcMar>
              <w:bottom w:w="28" w:type="dxa"/>
            </w:tcMar>
            <w:vAlign w:val="center"/>
          </w:tcPr>
          <w:p>
            <w:pPr>
              <w:pStyle w:val="TableContents"/>
              <w:bidi w:val="0"/>
              <w:spacing w:before="0" w:after="283"/>
              <w:jc w:val="right"/>
              <w:rPr/>
            </w:pPr>
            <w:r>
              <w:rPr/>
              <w:t>439</w:t>
            </w:r>
          </w:p>
        </w:tc>
        <w:tc>
          <w:tcPr>
            <w:tcW w:w="135" w:type="dxa"/>
            <w:tcBorders/>
            <w:shd w:fill="CCEEFF" w:val="clear"/>
            <w:vAlign w:val="center"/>
          </w:tcPr>
          <w:p>
            <w:pPr>
              <w:pStyle w:val="TableContents"/>
              <w:bidi w:val="0"/>
              <w:spacing w:before="0" w:after="283"/>
              <w:jc w:val="left"/>
              <w:rPr/>
            </w:pPr>
            <w:r>
              <w:rPr/>
              <w:t> </w:t>
            </w:r>
          </w:p>
        </w:tc>
      </w:tr>
      <w:tr>
        <w:trPr/>
        <w:tc>
          <w:tcPr>
            <w:tcW w:w="3740" w:type="dxa"/>
            <w:tcBorders/>
            <w:vAlign w:val="center"/>
          </w:tcPr>
          <w:p>
            <w:pPr>
              <w:pStyle w:val="TableContents"/>
              <w:bidi w:val="0"/>
              <w:spacing w:before="0" w:after="283"/>
              <w:jc w:val="left"/>
              <w:rPr/>
            </w:pPr>
            <w:r>
              <w:rPr/>
              <w:t>Consolidated revenues</w:t>
            </w:r>
          </w:p>
        </w:tc>
        <w:tc>
          <w:tcPr>
            <w:tcW w:w="90" w:type="dxa"/>
            <w:tcBorders/>
            <w:vAlign w:val="center"/>
          </w:tcPr>
          <w:p>
            <w:pPr>
              <w:pStyle w:val="TableContents"/>
              <w:bidi w:val="0"/>
              <w:spacing w:before="0" w:after="283"/>
              <w:jc w:val="left"/>
              <w:rPr/>
            </w:pPr>
            <w:r>
              <w:rPr/>
              <w:t> </w:t>
            </w:r>
          </w:p>
        </w:tc>
        <w:tc>
          <w:tcPr>
            <w:tcW w:w="196" w:type="dxa"/>
            <w:tcBorders>
              <w:bottom w:val="double" w:sz="6" w:space="0" w:color="000000"/>
            </w:tcBorders>
            <w:tcMar>
              <w:bottom w:w="28" w:type="dxa"/>
            </w:tcMar>
            <w:vAlign w:val="center"/>
          </w:tcPr>
          <w:p>
            <w:pPr>
              <w:pStyle w:val="TableContents"/>
              <w:bidi w:val="0"/>
              <w:spacing w:before="0" w:after="283"/>
              <w:jc w:val="left"/>
              <w:rPr/>
            </w:pPr>
            <w:r>
              <w:rPr/>
              <w:t>$</w:t>
            </w:r>
          </w:p>
        </w:tc>
        <w:tc>
          <w:tcPr>
            <w:tcW w:w="819" w:type="dxa"/>
            <w:tcBorders>
              <w:bottom w:val="double" w:sz="6" w:space="0" w:color="000000"/>
            </w:tcBorders>
            <w:tcMar>
              <w:bottom w:w="28" w:type="dxa"/>
            </w:tcMar>
            <w:vAlign w:val="center"/>
          </w:tcPr>
          <w:p>
            <w:pPr>
              <w:pStyle w:val="TableContents"/>
              <w:bidi w:val="0"/>
              <w:spacing w:before="0" w:after="283"/>
              <w:jc w:val="right"/>
              <w:rPr/>
            </w:pPr>
            <w:r>
              <w:rPr/>
              <w:t>23,451</w:t>
            </w:r>
          </w:p>
        </w:tc>
        <w:tc>
          <w:tcPr>
            <w:tcW w:w="103" w:type="dxa"/>
            <w:tcBorders/>
            <w:vAlign w:val="center"/>
          </w:tcPr>
          <w:p>
            <w:pPr>
              <w:pStyle w:val="TableContents"/>
              <w:bidi w:val="0"/>
              <w:spacing w:before="0" w:after="283"/>
              <w:jc w:val="left"/>
              <w:rPr/>
            </w:pPr>
            <w:r>
              <w:rPr/>
              <w:t> </w:t>
            </w:r>
          </w:p>
        </w:tc>
        <w:tc>
          <w:tcPr>
            <w:tcW w:w="103" w:type="dxa"/>
            <w:tcBorders/>
            <w:vAlign w:val="center"/>
          </w:tcPr>
          <w:p>
            <w:pPr>
              <w:pStyle w:val="TableContents"/>
              <w:bidi w:val="0"/>
              <w:spacing w:before="0" w:after="283"/>
              <w:jc w:val="left"/>
              <w:rPr/>
            </w:pPr>
            <w:r>
              <w:rPr/>
              <w:t> </w:t>
            </w:r>
          </w:p>
        </w:tc>
        <w:tc>
          <w:tcPr>
            <w:tcW w:w="196" w:type="dxa"/>
            <w:tcBorders>
              <w:bottom w:val="double" w:sz="6" w:space="0" w:color="000000"/>
            </w:tcBorders>
            <w:tcMar>
              <w:bottom w:w="28" w:type="dxa"/>
            </w:tcMar>
            <w:vAlign w:val="center"/>
          </w:tcPr>
          <w:p>
            <w:pPr>
              <w:pStyle w:val="TableContents"/>
              <w:bidi w:val="0"/>
              <w:spacing w:before="0" w:after="283"/>
              <w:jc w:val="left"/>
              <w:rPr/>
            </w:pPr>
            <w:r>
              <w:rPr/>
              <w:t>$</w:t>
            </w:r>
          </w:p>
        </w:tc>
        <w:tc>
          <w:tcPr>
            <w:tcW w:w="819" w:type="dxa"/>
            <w:tcBorders>
              <w:bottom w:val="double" w:sz="6" w:space="0" w:color="000000"/>
            </w:tcBorders>
            <w:tcMar>
              <w:bottom w:w="28" w:type="dxa"/>
            </w:tcMar>
            <w:vAlign w:val="center"/>
          </w:tcPr>
          <w:p>
            <w:pPr>
              <w:pStyle w:val="TableContents"/>
              <w:bidi w:val="0"/>
              <w:spacing w:before="0" w:after="283"/>
              <w:jc w:val="right"/>
              <w:rPr/>
            </w:pPr>
            <w:r>
              <w:rPr/>
              <w:t>13,812</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432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H –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Morion,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investment in Morion, Inc. (“Morion”), a privately-held Russian company, which manufactures high precision quartz resonators and crystal oscillators. The Company has also previously licensed certain technology to Morion.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investment consists of 4.6% of Morion’s outstanding shares. However, due to the Russia-Ukraine conflict and resulting sanctions, the future status of FEI’s investment in Morion became uncertain and accordingly, such investment was entirely written off in fiscal year 2022. Accordingly, the carrying value of this investment was $0 as of July 31, 2026 and April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July 31, 2026 and 2025, the Company did not acquire any product from Morion. During the three months ended July 31, 2026 and 2025, the Company did not receive dividends from Morion.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purchases of materials from Morion consisted primarily of quartz crystal blanks, which were used in the fabrication of quartz resonators. However, on October 30, 2024, the U.S. Department of Treasury’s Office of Foreign Assets Control designated Morion as a Specially Designated National, resulting in the blocking of all Morion property and property interests. As a result, the Company has terminated all commercial relationships with Morion, including the licensing of technology to Morion and the purchase of any products from Morion. The Company has established alternate sources of supply with respect to items previously acquired from Morion. The Company is also capable of fabricating the crystal blanks in-house.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Temporis Solutio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Temporis Solutio (“Temporis”) is a company that has the sole commercialization license to a patented digital signal processing measurement technique to remove systematic electronics noise from precision timing measurements.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 2026 the Company acquired a 25% minority interest in Temporis for $0.5 million. The Company accounted for this transaction as an equity method investment under ASC 323. The Company may be required to purchase additional interest in Temporis upon capital call notices from the investee. There were no capital call notices received from the investee during the three months ended July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I – RESTRICTED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2026 and April 30, 2026, restricted cash consisted of approximately $1.3 million, in both periods, primarily related to a letter of credit required for contractual restrictions during the period of performance for one of the Company’s contracts. Restricted cash is classified as current or non-current based on the remaining performance period of the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reconciliation of cash and cash equivalents and restricted cash from the condensed consolidated balance sheets to the condensed consolidated statements of cash flows is shown below (in thousands):</w:t>
      </w:r>
    </w:p>
    <w:p>
      <w:pPr>
        <w:pStyle w:val="TextBody"/>
        <w:bidi w:val="0"/>
        <w:spacing w:before="0" w:after="0"/>
        <w:ind w:left="0" w:right="0" w:firstLine="720"/>
        <w:jc w:val="both"/>
        <w:rPr>
          <w:caps w:val="false"/>
          <w:smallCaps w:val="false"/>
        </w:rPr>
      </w:pPr>
      <w:r>
        <w:rPr>
          <w:caps w:val="false"/>
          <w:smallCaps w:val="false"/>
        </w:rPr>
        <w:t> </w:t>
      </w:r>
    </w:p>
    <w:tbl>
      <w:tblPr>
        <w:tblW w:w="7084" w:type="dxa"/>
        <w:jc w:val="left"/>
        <w:tblInd w:w="0" w:type="dxa"/>
        <w:tblLayout w:type="fixed"/>
        <w:tblCellMar>
          <w:top w:w="0" w:type="dxa"/>
          <w:left w:w="0" w:type="dxa"/>
          <w:bottom w:w="0" w:type="dxa"/>
          <w:right w:w="0" w:type="dxa"/>
        </w:tblCellMar>
      </w:tblPr>
      <w:tblGrid>
        <w:gridCol w:w="4850"/>
        <w:gridCol w:w="90"/>
        <w:gridCol w:w="170"/>
        <w:gridCol w:w="710"/>
        <w:gridCol w:w="90"/>
        <w:gridCol w:w="90"/>
        <w:gridCol w:w="212"/>
        <w:gridCol w:w="737"/>
        <w:gridCol w:w="135"/>
      </w:tblGrid>
      <w:tr>
        <w:trPr/>
        <w:tc>
          <w:tcPr>
            <w:tcW w:w="48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July 31,</w:t>
              <w:b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w:t>
              <w:br/>
              <w:t>2026</w:t>
            </w:r>
          </w:p>
        </w:tc>
        <w:tc>
          <w:tcPr>
            <w:tcW w:w="135"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Cash and cash equivalents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61,407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p>
        </w:tc>
        <w:tc>
          <w:tcPr>
            <w:tcW w:w="737" w:type="dxa"/>
            <w:tcBorders/>
            <w:shd w:fill="CCEEFF" w:val="clear"/>
            <w:vAlign w:val="center"/>
          </w:tcPr>
          <w:p>
            <w:pPr>
              <w:pStyle w:val="TableContents"/>
              <w:bidi w:val="0"/>
              <w:spacing w:before="0" w:after="283"/>
              <w:jc w:val="right"/>
              <w:rPr/>
            </w:pPr>
            <w:r>
              <w:rPr/>
              <w:t>1,603</w:t>
            </w:r>
          </w:p>
        </w:tc>
        <w:tc>
          <w:tcPr>
            <w:tcW w:w="135" w:type="dxa"/>
            <w:tcBorders/>
            <w:shd w:fill="CCEEFF" w:val="clear"/>
            <w:vAlign w:val="center"/>
          </w:tcPr>
          <w:p>
            <w:pPr>
              <w:pStyle w:val="TableContents"/>
              <w:bidi w:val="0"/>
              <w:spacing w:before="0" w:after="283"/>
              <w:jc w:val="left"/>
              <w:rPr/>
            </w:pPr>
            <w:r>
              <w:rPr/>
              <w:t> </w:t>
            </w:r>
          </w:p>
        </w:tc>
      </w:tr>
      <w:tr>
        <w:trPr/>
        <w:tc>
          <w:tcPr>
            <w:tcW w:w="4850" w:type="dxa"/>
            <w:tcBorders/>
            <w:vAlign w:val="center"/>
          </w:tcPr>
          <w:p>
            <w:pPr>
              <w:pStyle w:val="TableContents"/>
              <w:bidi w:val="0"/>
              <w:spacing w:before="0" w:after="283"/>
              <w:jc w:val="left"/>
              <w:rPr/>
            </w:pPr>
            <w:r>
              <w:rPr/>
              <w:t>Restricted cash</w:t>
            </w:r>
          </w:p>
        </w:tc>
        <w:tc>
          <w:tcPr>
            <w:tcW w:w="90" w:type="dxa"/>
            <w:tcBorders/>
            <w:vAlign w:val="center"/>
          </w:tcPr>
          <w:p>
            <w:pPr>
              <w:pStyle w:val="TableContents"/>
              <w:bidi w:val="0"/>
              <w:spacing w:before="0" w:after="283"/>
              <w:jc w:val="left"/>
              <w:rPr/>
            </w:pPr>
            <w:r>
              <w:rPr/>
              <w:t> </w:t>
            </w:r>
          </w:p>
        </w:tc>
        <w:tc>
          <w:tcPr>
            <w:tcW w:w="170" w:type="dxa"/>
            <w:tcBorders>
              <w:bottom w:val="single" w:sz="8" w:space="0" w:color="000000"/>
            </w:tcBorders>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right"/>
              <w:rPr/>
            </w:pPr>
            <w:r>
              <w:rPr/>
              <w:t>1,338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2" w:type="dxa"/>
            <w:tcBorders>
              <w:bottom w:val="single" w:sz="8" w:space="0" w:color="000000"/>
            </w:tcBorders>
            <w:tcMar>
              <w:bottom w:w="28" w:type="dxa"/>
            </w:tcMar>
            <w:vAlign w:val="center"/>
          </w:tcPr>
          <w:p>
            <w:pPr>
              <w:pStyle w:val="TableContents"/>
              <w:bidi w:val="0"/>
              <w:spacing w:before="0" w:after="283"/>
              <w:jc w:val="left"/>
              <w:rPr/>
            </w:pPr>
            <w:r>
              <w:rPr/>
              <w:t> </w:t>
            </w:r>
          </w:p>
        </w:tc>
        <w:tc>
          <w:tcPr>
            <w:tcW w:w="737" w:type="dxa"/>
            <w:tcBorders>
              <w:bottom w:val="single" w:sz="8" w:space="0" w:color="000000"/>
            </w:tcBorders>
            <w:tcMar>
              <w:bottom w:w="28" w:type="dxa"/>
            </w:tcMar>
            <w:vAlign w:val="center"/>
          </w:tcPr>
          <w:p>
            <w:pPr>
              <w:pStyle w:val="TableContents"/>
              <w:bidi w:val="0"/>
              <w:spacing w:before="0" w:after="283"/>
              <w:jc w:val="right"/>
              <w:rPr/>
            </w:pPr>
            <w:r>
              <w:rPr/>
              <w:t>1,331</w:t>
            </w:r>
          </w:p>
        </w:tc>
        <w:tc>
          <w:tcPr>
            <w:tcW w:w="135" w:type="dxa"/>
            <w:tcBorders/>
            <w:vAlign w:val="center"/>
          </w:tcPr>
          <w:p>
            <w:pPr>
              <w:pStyle w:val="TableContents"/>
              <w:bidi w:val="0"/>
              <w:spacing w:before="0" w:after="283"/>
              <w:jc w:val="left"/>
              <w:rPr/>
            </w:pPr>
            <w:r>
              <w:rPr/>
              <w:t> </w:t>
            </w:r>
          </w:p>
        </w:tc>
      </w:tr>
      <w:tr>
        <w:trPr/>
        <w:tc>
          <w:tcPr>
            <w:tcW w:w="4850" w:type="dxa"/>
            <w:tcBorders/>
            <w:shd w:fill="CCEEFF" w:val="clear"/>
            <w:vAlign w:val="center"/>
          </w:tcPr>
          <w:p>
            <w:pPr>
              <w:pStyle w:val="TableContents"/>
              <w:bidi w:val="0"/>
              <w:spacing w:before="0" w:after="283"/>
              <w:jc w:val="left"/>
              <w:rPr/>
            </w:pPr>
            <w:r>
              <w:rPr/>
              <w:t>Total cash and cash equivalents and restricted cash</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jc w:val="right"/>
              <w:rPr/>
            </w:pPr>
            <w:r>
              <w:rPr/>
              <w:t>62,745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37" w:type="dxa"/>
            <w:tcBorders>
              <w:bottom w:val="double" w:sz="6" w:space="0" w:color="000000"/>
            </w:tcBorders>
            <w:shd w:fill="CCEEFF" w:val="clear"/>
            <w:tcMar>
              <w:bottom w:w="28" w:type="dxa"/>
            </w:tcMar>
            <w:vAlign w:val="center"/>
          </w:tcPr>
          <w:p>
            <w:pPr>
              <w:pStyle w:val="TableContents"/>
              <w:bidi w:val="0"/>
              <w:spacing w:before="0" w:after="283"/>
              <w:jc w:val="right"/>
              <w:rPr/>
            </w:pPr>
            <w:r>
              <w:rPr/>
              <w:t>2,934</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J – RECENT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Financial Accounting Standards Board (“FASB”) issued Accounting Standard Update (“ASU”) No. 2024-03, Income Statement – Reporting Comprehensive Income – Expense Disaggregation Disclosures (Subtopic 220-40): Disaggregation of Income Statement Expenses. This ASU requires entities to disclose certain expenses, including purchases of inventory, employee compensation, depreciation, and intangible asset amortization, by caption. Additionally, entities must provide a qualitative description of the amounts remaining in relevant expense captions that are not separately disaggregated quantitatively. The amendments are effective for annual reporting periods beginning after December 15, 2026 and interim reporting periods beginning after December 15, 2027, with early adoption permitted. The Company is currently evaluating the impact this standard will have on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FASB issued ASU No. 2025-11, Interim Reporting (Topic 270): Narrow Scope Improvements, an amendment of the FASB Accounting Standards Codification. The amendments in this ASU primarily provide clarification on interim reporting requirements and enhanced disclosure requirements. The amendments also include a disclosure principle to disclose all events since the end of the last annual reporting period that have a material impact on the Company. The ASU is effective for fiscal years beginning after December 15, 2027, and all interim reporting periods within applicable annual periods, with early adoption permitted. The Company is currently evaluating the effect that this standard will have on its consolidated financial statements and related disclosures.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K – DEFERRED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income taxes arise from temporary differences between the tax basis of assets and liabilities and their reported amounts in the financial statements, which will result in taxable or deductible amounts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President Trump signed H.R.1, the One Big Beautiful Bill Act (“OBBBA”) into law. In accordance with U.S. GAAP, the Company accounted for the tax effects of changes in tax law in the period of enactment during the first quarter of fiscal year 2026. The OBBBA made changes to the U.S. tax code, including, but not limited to: (1) allowing taxpayers to fully deduct domestic research expenditures for tax years beginning after December 31, 2024, (2) provides a catch-up relief provision for taxpayers to accelerate deductions for unamortized domestic research expenditures, (3) provides a permanent provision for 100% bonus depreciation deductions for most tangible personal property with a recovery period of 20 years or less, acquired and placed in service after January 19, 2025, and (4) for tax years beginning after December 31, 2024, restores Adjusted Taxable Income by adding back amortization and depreciation to calculate the limitation on interest deductions (effectively returning to EBITDA).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the authoritative guidance on accounting for income taxes, we evaluate the realization of deferred tax assets on a jurisdictional basis at each reporting date. We consider all positive and negative evidence, including the reversal of deferred tax liabilities, projected future taxable income, tax planning strategies, and results of recent operations.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will not be realizable, we establish a valuation allowance. In general, the favorable research and expenditure provisions and permanent bonus depreciation provision will allow the Company to accelerate deductions and reduce cash taxes. The enactment of the OBBBA did not have a material impact on our provision or effective tax rate as of July 31, 2026. We continue to evaluate the OBBBA and its requirements, as well as its application to our business and its impact on cash taxes and our effective tax 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2026, the Company maintains a valuation allowance of $1.3 million primarily against certain deferred tax assets, including state tax credits and capital losses because the realization of these tax attributes requires sufficient taxable income be sourced to the respective state jurisdiction and capital gain income is required to utilize capital losses. If these estimates and assumptions change in the future, the Company may be required to adjust its existing valuation allowance resulting in a change to deferred income tax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L – PRODUCT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generally provides its customers with a one-year warranty regarding the manufactured quality and functionality of its products. The Company establishes warranty reserves based on its product history, current information on repair costs and annual sales levels. As of July 31, 2026 and April 30, 2026, respectively, changes in the carrying amount of accrued product warranty costs, reported in accrued expenses on the consolidated balance sheets, were as follows (in thousands):</w:t>
      </w:r>
    </w:p>
    <w:p>
      <w:pPr>
        <w:pStyle w:val="TextBody"/>
        <w:bidi w:val="0"/>
        <w:spacing w:before="0" w:after="0"/>
        <w:ind w:left="0" w:right="0" w:firstLine="720"/>
        <w:jc w:val="both"/>
        <w:rPr>
          <w:caps w:val="false"/>
          <w:smallCaps w:val="false"/>
        </w:rPr>
      </w:pPr>
      <w:r>
        <w:rPr>
          <w:caps w:val="false"/>
          <w:smallCaps w:val="false"/>
        </w:rPr>
        <w:t> </w:t>
      </w:r>
    </w:p>
    <w:tbl>
      <w:tblPr>
        <w:tblW w:w="7418" w:type="dxa"/>
        <w:jc w:val="left"/>
        <w:tblInd w:w="0" w:type="dxa"/>
        <w:tblLayout w:type="fixed"/>
        <w:tblCellMar>
          <w:top w:w="0" w:type="dxa"/>
          <w:left w:w="0" w:type="dxa"/>
          <w:bottom w:w="0" w:type="dxa"/>
          <w:right w:w="0" w:type="dxa"/>
        </w:tblCellMar>
      </w:tblPr>
      <w:tblGrid>
        <w:gridCol w:w="2975"/>
        <w:gridCol w:w="90"/>
        <w:gridCol w:w="628"/>
        <w:gridCol w:w="1521"/>
        <w:gridCol w:w="125"/>
        <w:gridCol w:w="90"/>
        <w:gridCol w:w="470"/>
        <w:gridCol w:w="1349"/>
        <w:gridCol w:w="170"/>
      </w:tblGrid>
      <w:tr>
        <w:trPr/>
        <w:tc>
          <w:tcPr>
            <w:tcW w:w="29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9" w:type="dxa"/>
            <w:gridSpan w:val="2"/>
            <w:tcBorders/>
            <w:vAlign w:val="center"/>
          </w:tcPr>
          <w:p>
            <w:pPr>
              <w:pStyle w:val="TableContents"/>
              <w:bidi w:val="0"/>
              <w:spacing w:before="0" w:after="283"/>
              <w:jc w:val="center"/>
              <w:rPr>
                <w:b/>
              </w:rPr>
            </w:pPr>
            <w:r>
              <w:rPr>
                <w:b/>
              </w:rPr>
              <w:t>Three months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9" w:type="dxa"/>
            <w:gridSpan w:val="2"/>
            <w:tcBorders/>
            <w:vAlign w:val="center"/>
          </w:tcPr>
          <w:p>
            <w:pPr>
              <w:pStyle w:val="TableContents"/>
              <w:bidi w:val="0"/>
              <w:spacing w:before="0" w:after="283"/>
              <w:jc w:val="center"/>
              <w:rPr>
                <w:b/>
              </w:rPr>
            </w:pPr>
            <w:r>
              <w:rPr>
                <w:b/>
              </w:rPr>
              <w:t>Fiscal year ended</w:t>
            </w:r>
          </w:p>
        </w:tc>
        <w:tc>
          <w:tcPr>
            <w:tcW w:w="17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4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July 31,</w:t>
              <w:b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April 30,</w:t>
              <w:br/>
              <w:t>2026</w:t>
            </w:r>
          </w:p>
        </w:tc>
        <w:tc>
          <w:tcPr>
            <w:tcW w:w="17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pPr>
            <w:r>
              <w:rPr/>
              <w:t>Balance at beginning of period</w:t>
            </w:r>
          </w:p>
        </w:tc>
        <w:tc>
          <w:tcPr>
            <w:tcW w:w="90" w:type="dxa"/>
            <w:tcBorders/>
            <w:shd w:fill="CCEEFF" w:val="clear"/>
            <w:vAlign w:val="center"/>
          </w:tcPr>
          <w:p>
            <w:pPr>
              <w:pStyle w:val="TableContents"/>
              <w:bidi w:val="0"/>
              <w:spacing w:before="0" w:after="283"/>
              <w:jc w:val="left"/>
              <w:rPr/>
            </w:pPr>
            <w:r>
              <w:rPr/>
              <w:t> </w:t>
            </w:r>
          </w:p>
        </w:tc>
        <w:tc>
          <w:tcPr>
            <w:tcW w:w="628" w:type="dxa"/>
            <w:tcBorders/>
            <w:shd w:fill="CCEEFF" w:val="clear"/>
            <w:vAlign w:val="center"/>
          </w:tcPr>
          <w:p>
            <w:pPr>
              <w:pStyle w:val="TableContents"/>
              <w:bidi w:val="0"/>
              <w:spacing w:before="0" w:after="283"/>
              <w:jc w:val="left"/>
              <w:rPr/>
            </w:pPr>
            <w:r>
              <w:rPr/>
              <w:t>$</w:t>
            </w:r>
          </w:p>
        </w:tc>
        <w:tc>
          <w:tcPr>
            <w:tcW w:w="1521" w:type="dxa"/>
            <w:tcBorders/>
            <w:shd w:fill="CCEEFF" w:val="clear"/>
            <w:vAlign w:val="center"/>
          </w:tcPr>
          <w:p>
            <w:pPr>
              <w:pStyle w:val="TableContents"/>
              <w:bidi w:val="0"/>
              <w:spacing w:before="0" w:after="283"/>
              <w:jc w:val="right"/>
              <w:rPr/>
            </w:pPr>
            <w:r>
              <w:rPr/>
              <w:t>517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left"/>
              <w:rPr/>
            </w:pPr>
            <w:r>
              <w:rPr/>
              <w:t>$</w:t>
            </w:r>
          </w:p>
        </w:tc>
        <w:tc>
          <w:tcPr>
            <w:tcW w:w="1349" w:type="dxa"/>
            <w:tcBorders/>
            <w:shd w:fill="CCEEFF" w:val="clear"/>
            <w:vAlign w:val="center"/>
          </w:tcPr>
          <w:p>
            <w:pPr>
              <w:pStyle w:val="TableContents"/>
              <w:bidi w:val="0"/>
              <w:spacing w:before="0" w:after="283"/>
              <w:jc w:val="right"/>
              <w:rPr/>
            </w:pPr>
            <w:r>
              <w:rPr/>
              <w:t>567</w:t>
            </w:r>
          </w:p>
        </w:tc>
        <w:tc>
          <w:tcPr>
            <w:tcW w:w="170"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Warranty costs incurred</w:t>
            </w:r>
          </w:p>
        </w:tc>
        <w:tc>
          <w:tcPr>
            <w:tcW w:w="90" w:type="dxa"/>
            <w:tcBorders/>
            <w:vAlign w:val="center"/>
          </w:tcPr>
          <w:p>
            <w:pPr>
              <w:pStyle w:val="TableContents"/>
              <w:bidi w:val="0"/>
              <w:spacing w:before="0" w:after="283"/>
              <w:jc w:val="left"/>
              <w:rPr/>
            </w:pPr>
            <w:r>
              <w:rPr/>
              <w:t> </w:t>
            </w:r>
          </w:p>
        </w:tc>
        <w:tc>
          <w:tcPr>
            <w:tcW w:w="628" w:type="dxa"/>
            <w:tcBorders/>
            <w:vAlign w:val="center"/>
          </w:tcPr>
          <w:p>
            <w:pPr>
              <w:pStyle w:val="TableContents"/>
              <w:bidi w:val="0"/>
              <w:spacing w:before="0" w:after="283"/>
              <w:jc w:val="left"/>
              <w:rPr/>
            </w:pPr>
            <w:r>
              <w:rPr/>
              <w:t> </w:t>
            </w:r>
          </w:p>
        </w:tc>
        <w:tc>
          <w:tcPr>
            <w:tcW w:w="1521" w:type="dxa"/>
            <w:tcBorders/>
            <w:vAlign w:val="center"/>
          </w:tcPr>
          <w:p>
            <w:pPr>
              <w:pStyle w:val="TableContents"/>
              <w:bidi w:val="0"/>
              <w:spacing w:before="0" w:after="283"/>
              <w:jc w:val="right"/>
              <w:rPr/>
            </w:pPr>
            <w:r>
              <w:rPr/>
              <w:t>21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left"/>
              <w:rPr/>
            </w:pPr>
            <w:r>
              <w:rPr/>
              <w:t> </w:t>
            </w:r>
          </w:p>
        </w:tc>
        <w:tc>
          <w:tcPr>
            <w:tcW w:w="1349" w:type="dxa"/>
            <w:tcBorders/>
            <w:vAlign w:val="center"/>
          </w:tcPr>
          <w:p>
            <w:pPr>
              <w:pStyle w:val="TableContents"/>
              <w:bidi w:val="0"/>
              <w:spacing w:before="0" w:after="283"/>
              <w:jc w:val="right"/>
              <w:rPr/>
            </w:pPr>
            <w:r>
              <w:rPr/>
              <w:t>(438</w:t>
            </w:r>
          </w:p>
        </w:tc>
        <w:tc>
          <w:tcPr>
            <w:tcW w:w="170" w:type="dxa"/>
            <w:tcBorders/>
            <w:vAlign w:val="center"/>
          </w:tcPr>
          <w:p>
            <w:pPr>
              <w:pStyle w:val="TableContents"/>
              <w:bidi w:val="0"/>
              <w:spacing w:before="0" w:after="283"/>
              <w:jc w:val="left"/>
              <w:rPr/>
            </w:pPr>
            <w:r>
              <w:rPr/>
              <w:t>)</w:t>
            </w:r>
          </w:p>
        </w:tc>
      </w:tr>
      <w:tr>
        <w:trPr/>
        <w:tc>
          <w:tcPr>
            <w:tcW w:w="2975" w:type="dxa"/>
            <w:tcBorders/>
            <w:shd w:fill="CCEEFF" w:val="clear"/>
            <w:vAlign w:val="center"/>
          </w:tcPr>
          <w:p>
            <w:pPr>
              <w:pStyle w:val="TableContents"/>
              <w:bidi w:val="0"/>
              <w:spacing w:before="0" w:after="283"/>
              <w:jc w:val="left"/>
              <w:rPr/>
            </w:pPr>
            <w:r>
              <w:rPr/>
              <w:t>Product warranty accrual</w:t>
            </w:r>
          </w:p>
        </w:tc>
        <w:tc>
          <w:tcPr>
            <w:tcW w:w="90" w:type="dxa"/>
            <w:tcBorders/>
            <w:shd w:fill="CCEEFF" w:val="clear"/>
            <w:vAlign w:val="center"/>
          </w:tcPr>
          <w:p>
            <w:pPr>
              <w:pStyle w:val="TableContents"/>
              <w:bidi w:val="0"/>
              <w:spacing w:before="0" w:after="283"/>
              <w:jc w:val="left"/>
              <w:rPr/>
            </w:pPr>
            <w:r>
              <w:rPr/>
              <w:t> </w:t>
            </w:r>
          </w:p>
        </w:tc>
        <w:tc>
          <w:tcPr>
            <w:tcW w:w="6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1" w:type="dxa"/>
            <w:tcBorders>
              <w:bottom w:val="single" w:sz="8" w:space="0" w:color="000000"/>
            </w:tcBorders>
            <w:shd w:fill="CCEEFF" w:val="clear"/>
            <w:tcMar>
              <w:bottom w:w="28" w:type="dxa"/>
            </w:tcMar>
            <w:vAlign w:val="center"/>
          </w:tcPr>
          <w:p>
            <w:pPr>
              <w:pStyle w:val="TableContents"/>
              <w:bidi w:val="0"/>
              <w:spacing w:before="0" w:after="283"/>
              <w:jc w:val="right"/>
              <w:rPr/>
            </w:pPr>
            <w:r>
              <w:rPr/>
              <w:t>(98</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4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49" w:type="dxa"/>
            <w:tcBorders>
              <w:bottom w:val="single" w:sz="8" w:space="0" w:color="000000"/>
            </w:tcBorders>
            <w:shd w:fill="CCEEFF" w:val="clear"/>
            <w:tcMar>
              <w:bottom w:w="28" w:type="dxa"/>
            </w:tcMar>
            <w:vAlign w:val="center"/>
          </w:tcPr>
          <w:p>
            <w:pPr>
              <w:pStyle w:val="TableContents"/>
              <w:bidi w:val="0"/>
              <w:spacing w:before="0" w:after="283"/>
              <w:jc w:val="right"/>
              <w:rPr/>
            </w:pPr>
            <w:r>
              <w:rPr/>
              <w:t>388</w:t>
            </w:r>
          </w:p>
        </w:tc>
        <w:tc>
          <w:tcPr>
            <w:tcW w:w="170" w:type="dxa"/>
            <w:tcBorders/>
            <w:shd w:fill="CCEEFF" w:val="clear"/>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Balance at end of period</w:t>
            </w:r>
          </w:p>
        </w:tc>
        <w:tc>
          <w:tcPr>
            <w:tcW w:w="90" w:type="dxa"/>
            <w:tcBorders/>
            <w:vAlign w:val="center"/>
          </w:tcPr>
          <w:p>
            <w:pPr>
              <w:pStyle w:val="TableContents"/>
              <w:bidi w:val="0"/>
              <w:spacing w:before="0" w:after="283"/>
              <w:jc w:val="left"/>
              <w:rPr/>
            </w:pPr>
            <w:r>
              <w:rPr/>
              <w:t> </w:t>
            </w:r>
          </w:p>
        </w:tc>
        <w:tc>
          <w:tcPr>
            <w:tcW w:w="628" w:type="dxa"/>
            <w:tcBorders>
              <w:bottom w:val="double" w:sz="6" w:space="0" w:color="000000"/>
            </w:tcBorders>
            <w:tcMar>
              <w:bottom w:w="28" w:type="dxa"/>
            </w:tcMar>
            <w:vAlign w:val="center"/>
          </w:tcPr>
          <w:p>
            <w:pPr>
              <w:pStyle w:val="TableContents"/>
              <w:bidi w:val="0"/>
              <w:spacing w:before="0" w:after="283"/>
              <w:jc w:val="left"/>
              <w:rPr/>
            </w:pPr>
            <w:r>
              <w:rPr/>
              <w:t>$</w:t>
            </w:r>
          </w:p>
        </w:tc>
        <w:tc>
          <w:tcPr>
            <w:tcW w:w="1521" w:type="dxa"/>
            <w:tcBorders>
              <w:bottom w:val="double" w:sz="6" w:space="0" w:color="000000"/>
            </w:tcBorders>
            <w:tcMar>
              <w:bottom w:w="28" w:type="dxa"/>
            </w:tcMar>
            <w:vAlign w:val="center"/>
          </w:tcPr>
          <w:p>
            <w:pPr>
              <w:pStyle w:val="TableContents"/>
              <w:bidi w:val="0"/>
              <w:spacing w:before="0" w:after="283"/>
              <w:jc w:val="right"/>
              <w:rPr/>
            </w:pPr>
            <w:r>
              <w:rPr/>
              <w:t>440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470" w:type="dxa"/>
            <w:tcBorders>
              <w:bottom w:val="double" w:sz="6" w:space="0" w:color="000000"/>
            </w:tcBorders>
            <w:tcMar>
              <w:bottom w:w="28" w:type="dxa"/>
            </w:tcMar>
            <w:vAlign w:val="center"/>
          </w:tcPr>
          <w:p>
            <w:pPr>
              <w:pStyle w:val="TableContents"/>
              <w:bidi w:val="0"/>
              <w:spacing w:before="0" w:after="283"/>
              <w:jc w:val="left"/>
              <w:rPr/>
            </w:pPr>
            <w:r>
              <w:rPr/>
              <w:t>$</w:t>
            </w:r>
          </w:p>
        </w:tc>
        <w:tc>
          <w:tcPr>
            <w:tcW w:w="1349" w:type="dxa"/>
            <w:tcBorders>
              <w:bottom w:val="double" w:sz="6" w:space="0" w:color="000000"/>
            </w:tcBorders>
            <w:tcMar>
              <w:bottom w:w="28" w:type="dxa"/>
            </w:tcMar>
            <w:vAlign w:val="center"/>
          </w:tcPr>
          <w:p>
            <w:pPr>
              <w:pStyle w:val="TableContents"/>
              <w:bidi w:val="0"/>
              <w:spacing w:before="0" w:after="283"/>
              <w:jc w:val="right"/>
              <w:rPr/>
            </w:pPr>
            <w:r>
              <w:rPr/>
              <w:t>517</w:t>
            </w:r>
          </w:p>
        </w:tc>
        <w:tc>
          <w:tcPr>
            <w:tcW w:w="170"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M – DEBT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July 31, 2026, the Company had available credit with JPMorgan Chase Bank, N.A under which no borrowings had been made.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2026, the Company entered into a senior, secured revolving credit facility with JPMorgan Chase Bank, N.A., as the lender (the “Credit Agreement”). The Credit Agreement provides for a three-year revolving credit facility of $10.0 million, of which up to $5.0 million is available for the issuance of letters of credit. The Credit Agreement provides that the Company may, at its option increase the aggregate amount of the revolving credit facility in an amount up to $10.0 million, subject to certain customary conditions and on the terms set forth in the Credit Agreement. There can be no assurance that additional funding will become available. Commitments under the revolving credit facility are subject to a commitment fee of 0.35% per annum on the daily amount of the undrawn portion of the revolving credit facility. The Company’s obligations under the Credit Agreement are guaranteed by FEI-Zyfer, Inc., a wholly-owned subsidiary of the Company. The revolving credit facility matures on June 12, 2029. For more information regarding the Credit Agreement, see Note 7 to the Consolidated Financial Statements in the Form 10-K.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contains customary affirmative and negative covenants, including requirements that the Company maintain a total Leverage Ratio greater than 2.25 to 1.00 and a Fixed Charge Coverage Ratio greater than 1.25 to 1.00. As of July 31, 2026, the Company was in compliance with all covenants.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N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2026, the underwriters to the Offering exercised their option in full to purchase the Option Shares and on August 5, 2026, the underwriters purchased the Option Shares. The gross proceeds to the Company from the sale of the Option Shares were approximately $15 million. Net of underwriting discounts and commissions of approximately $0.9 million, the total proceeds received were approximately $14.1 million in the second quarter of fiscal year 2027. See Note B above for additional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9" w:name="a_007"/>
      <w:bookmarkEnd w:id="9"/>
      <w:r>
        <w:rPr>
          <w:rFonts w:ascii="Times New Roman;Times;Serif" w:hAnsi="Times New Roman;Times;Serif"/>
          <w:b/>
          <w:i w:val="false"/>
          <w:caps w:val="false"/>
          <w:smallCaps w:val="false"/>
          <w:sz w:val="20"/>
        </w:rPr>
        <w:t>Item 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Management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u w:val="single"/>
        </w:rPr>
        <w: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Safe Harbor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Statement under the Private Securities Litigation Reform Act of 1995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in this Quarterly Report on Form 10-Q (“Form 10-Q”)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the risks associated with reliance on key customers, including the U.S. Government, the Company’s use of estimates when accounting for contracts, actions by significant customers or competitors, competitive factors, new products and technological changes, continued acceptance of the Company’s products in the marketplace, dependence upon third-party vendors, product prices and raw material costs, the Company’s ability to attract and retain key employees, general domestic and international economic conditions, health epidemics and pandemics, external disruptions to the Company’s facilities or supply chain, the Company’s operations in a highly regulated industry, the outcome of any litigation and arbitration proceedings, cybersecurity attacks, noncompliance with any of the covenants in the Company’s senior, secured revolving credit facility with JPMorgan Chase Bank, N.A., as the lender, volatility in the Company’s stock price, including due to the relatively low trading volume of its common stock, and failure to maintain an effective system of internal controls over financial reporting. The factors listed above are not exhaustive. Other sections of this Form 10-Q and in Part I, Item 1A (Risk Factors) of the Company’s Annual Report on Form 10-K for the fiscal year ended April 30, 2026 (the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10-Q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its most critical accounting policies to be the recognition of revenue and costs on production contracts and the valuation of inventory. Both of these areas require the Company to make use of reasonable estimates including estimating the cost to complete a contract, the realizable value of its inventory and the market value of its products. Changes in estimates can have a material impact on the Company’s financial position and results of operations. The Company’s significant accounting policies did not change during the three months ended July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most contracts are reported in operating results over time using the cost-to-cost method. Under this method, revenue is recorded based upon the ratio that incurred costs bear to total estimated contract costs with related cost of revenues recorded as the costs 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incurred. Each month management reviews estimated contract costs through a process of aggregating actual costs incurred and estimating additional costs to completion based upon the current available information regarding labor, outside services, materials, overhead costs and status of the contract. The effect of any change in the estimated gross margin rate for a contract is reflected in revenues in the period in which the change is known. Provisions for the full amount of anticipated losses on contracts are made in the period in which they become determinable.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 is used in evaluating the financial information for certain contracts to determine an appropriate budget and estimated cost. The Company evaluates this information continuously and bases its judgments on historical experience, design specifications, and expected costs for material and labor.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income taxes in the U.S., and significant judgment is required in determining our provision for income taxes, our deferred tax assets and liabilities and any valuation allowance recorded against our net deferred tax assets that are not more likely than not to be realized. We monitor the realizability of our deferred tax assets taking into account all relevant factors at each reporting period. In completing our assessment of realizability of our deferred tax assets, we consider our history of income (loss) measured at pre-tax income (loss) adjusted for permanent book-tax differences on a jurisdictional basis, volatility in actual earnings, excess tax benefits related to stock-based compensation in recent prior years and impacts of the timing of reversal of existing temporary differences. We also rely on our assessment of the Company’s projected future results of business operations, including uncertainty in future operating results relative to historical results, volatility in the market price of our common stock and its performance over time, variable macroeconomic conditions impacting our ability to forecast future taxable income, and changes in business that may affect the existence and magnitude of future taxable income. Our valuation allowance assessment is based on our best estimate of future results considering all available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provision for or benefit from income taxes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for the three months ended July 31, 2026 and 2025, respectively, the percentage of consolidated revenues represented by certain items in the Company’s condensed consolidated statements of operations or notes to the condensed consolidated financial statements:</w:t>
      </w:r>
    </w:p>
    <w:p>
      <w:pPr>
        <w:pStyle w:val="TextBody"/>
        <w:bidi w:val="0"/>
        <w:spacing w:before="0" w:after="0"/>
        <w:ind w:left="0" w:right="0" w:firstLine="720"/>
        <w:jc w:val="both"/>
        <w:rPr>
          <w:caps w:val="false"/>
          <w:smallCaps w:val="false"/>
        </w:rPr>
      </w:pPr>
      <w:r>
        <w:rPr>
          <w:caps w:val="false"/>
          <w:smallCaps w:val="false"/>
        </w:rPr>
        <w:t> </w:t>
      </w:r>
    </w:p>
    <w:tbl>
      <w:tblPr>
        <w:tblW w:w="7648" w:type="dxa"/>
        <w:jc w:val="left"/>
        <w:tblInd w:w="0" w:type="dxa"/>
        <w:tblLayout w:type="fixed"/>
        <w:tblCellMar>
          <w:top w:w="0" w:type="dxa"/>
          <w:left w:w="0" w:type="dxa"/>
          <w:bottom w:w="0" w:type="dxa"/>
          <w:right w:w="0" w:type="dxa"/>
        </w:tblCellMar>
      </w:tblPr>
      <w:tblGrid>
        <w:gridCol w:w="4235"/>
        <w:gridCol w:w="90"/>
        <w:gridCol w:w="161"/>
        <w:gridCol w:w="1056"/>
        <w:gridCol w:w="438"/>
        <w:gridCol w:w="161"/>
        <w:gridCol w:w="161"/>
        <w:gridCol w:w="1056"/>
        <w:gridCol w:w="290"/>
      </w:tblGrid>
      <w:tr>
        <w:trPr/>
        <w:tc>
          <w:tcPr>
            <w:tcW w:w="42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03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July 31,</w:t>
            </w:r>
          </w:p>
        </w:tc>
        <w:tc>
          <w:tcPr>
            <w:tcW w:w="290"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4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21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Revenues</w:t>
            </w:r>
          </w:p>
        </w:tc>
        <w:tc>
          <w:tcPr>
            <w:tcW w:w="90"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bidi w:val="0"/>
              <w:spacing w:before="0" w:after="283"/>
              <w:jc w:val="left"/>
              <w:rPr/>
            </w:pPr>
            <w:r>
              <w:rPr/>
              <w:t> </w:t>
            </w:r>
          </w:p>
        </w:tc>
        <w:tc>
          <w:tcPr>
            <w:tcW w:w="4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217" w:type="dxa"/>
            <w:gridSpan w:val="2"/>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FEI-NY</w:t>
            </w:r>
          </w:p>
        </w:tc>
        <w:tc>
          <w:tcPr>
            <w:tcW w:w="9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75.0</w:t>
            </w:r>
          </w:p>
        </w:tc>
        <w:tc>
          <w:tcPr>
            <w:tcW w:w="438" w:type="dxa"/>
            <w:tcBorders/>
            <w:shd w:fill="CCEEFF" w:val="clear"/>
            <w:vAlign w:val="center"/>
          </w:tcPr>
          <w:p>
            <w:pPr>
              <w:pStyle w:val="TableContents"/>
              <w:bidi w:val="0"/>
              <w:spacing w:before="0" w:after="283"/>
              <w:jc w:val="left"/>
              <w:rPr/>
            </w:pPr>
            <w:r>
              <w:rPr/>
              <w:t>%</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75.0</w:t>
            </w:r>
          </w:p>
        </w:tc>
        <w:tc>
          <w:tcPr>
            <w:tcW w:w="290" w:type="dxa"/>
            <w:tcBorders/>
            <w:shd w:fill="CCEEFF" w:val="clear"/>
            <w:vAlign w:val="center"/>
          </w:tcPr>
          <w:p>
            <w:pPr>
              <w:pStyle w:val="TableContents"/>
              <w:bidi w:val="0"/>
              <w:spacing w:before="0" w:after="283"/>
              <w:jc w:val="left"/>
              <w:rPr/>
            </w:pPr>
            <w:r>
              <w:rPr/>
              <w:t>%</w:t>
            </w:r>
          </w:p>
        </w:tc>
      </w:tr>
      <w:tr>
        <w:trPr/>
        <w:tc>
          <w:tcPr>
            <w:tcW w:w="4235" w:type="dxa"/>
            <w:tcBorders/>
            <w:vAlign w:val="center"/>
          </w:tcPr>
          <w:p>
            <w:pPr>
              <w:pStyle w:val="TableContents"/>
              <w:bidi w:val="0"/>
              <w:spacing w:before="0" w:after="283"/>
              <w:jc w:val="left"/>
              <w:rPr/>
            </w:pPr>
            <w:r>
              <w:rPr/>
              <w:t>FEI-Zyfer</w:t>
            </w:r>
          </w:p>
        </w:tc>
        <w:tc>
          <w:tcPr>
            <w:tcW w:w="9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29.7</w:t>
            </w:r>
          </w:p>
        </w:tc>
        <w:tc>
          <w:tcPr>
            <w:tcW w:w="4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26.9</w:t>
            </w:r>
          </w:p>
        </w:tc>
        <w:tc>
          <w:tcPr>
            <w:tcW w:w="29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Less intersegment revenues</w:t>
            </w:r>
          </w:p>
        </w:tc>
        <w:tc>
          <w:tcPr>
            <w:tcW w:w="9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(4.7</w:t>
            </w:r>
          </w:p>
        </w:tc>
        <w:tc>
          <w:tcPr>
            <w:tcW w:w="438" w:type="dxa"/>
            <w:tcBorders/>
            <w:shd w:fill="CCEEFF" w:val="clear"/>
            <w:vAlign w:val="center"/>
          </w:tcPr>
          <w:p>
            <w:pPr>
              <w:pStyle w:val="TableContents"/>
              <w:bidi w:val="0"/>
              <w:spacing w:before="0" w:after="283"/>
              <w:jc w:val="left"/>
              <w:rPr/>
            </w:pPr>
            <w:r>
              <w:rPr/>
              <w:t>)</w:t>
            </w:r>
          </w:p>
        </w:tc>
        <w:tc>
          <w:tcPr>
            <w:tcW w:w="161"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(1.9</w:t>
            </w:r>
          </w:p>
        </w:tc>
        <w:tc>
          <w:tcPr>
            <w:tcW w:w="290" w:type="dxa"/>
            <w:tcBorders/>
            <w:shd w:fill="CCEEFF" w:val="clear"/>
            <w:vAlign w:val="center"/>
          </w:tcPr>
          <w:p>
            <w:pPr>
              <w:pStyle w:val="TableContents"/>
              <w:bidi w:val="0"/>
              <w:spacing w:before="0" w:after="283"/>
              <w:jc w:val="left"/>
              <w:rPr/>
            </w:pPr>
            <w:r>
              <w:rPr/>
              <w:t>)</w:t>
            </w:r>
          </w:p>
        </w:tc>
      </w:tr>
      <w:tr>
        <w:trPr/>
        <w:tc>
          <w:tcPr>
            <w:tcW w:w="423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100.0</w:t>
            </w:r>
          </w:p>
        </w:tc>
        <w:tc>
          <w:tcPr>
            <w:tcW w:w="4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100.0</w:t>
            </w:r>
          </w:p>
        </w:tc>
        <w:tc>
          <w:tcPr>
            <w:tcW w:w="29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Cost of revenues</w:t>
            </w:r>
          </w:p>
        </w:tc>
        <w:tc>
          <w:tcPr>
            <w:tcW w:w="9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54.2</w:t>
            </w:r>
          </w:p>
        </w:tc>
        <w:tc>
          <w:tcPr>
            <w:tcW w:w="4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63.2</w:t>
            </w:r>
          </w:p>
        </w:tc>
        <w:tc>
          <w:tcPr>
            <w:tcW w:w="29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Gross margin</w:t>
            </w:r>
          </w:p>
        </w:tc>
        <w:tc>
          <w:tcPr>
            <w:tcW w:w="9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45.8</w:t>
            </w:r>
          </w:p>
        </w:tc>
        <w:tc>
          <w:tcPr>
            <w:tcW w:w="4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36.8</w:t>
            </w:r>
          </w:p>
        </w:tc>
        <w:tc>
          <w:tcPr>
            <w:tcW w:w="29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Selling, general and administrative expenses</w:t>
            </w:r>
          </w:p>
        </w:tc>
        <w:tc>
          <w:tcPr>
            <w:tcW w:w="9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17.5</w:t>
            </w:r>
          </w:p>
        </w:tc>
        <w:tc>
          <w:tcPr>
            <w:tcW w:w="4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26.0</w:t>
            </w:r>
          </w:p>
        </w:tc>
        <w:tc>
          <w:tcPr>
            <w:tcW w:w="29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Research and development expenses</w:t>
            </w:r>
          </w:p>
        </w:tc>
        <w:tc>
          <w:tcPr>
            <w:tcW w:w="90" w:type="dxa"/>
            <w:tcBorders/>
            <w:vAlign w:val="center"/>
          </w:tcPr>
          <w:p>
            <w:pPr>
              <w:pStyle w:val="TableContents"/>
              <w:bidi w:val="0"/>
              <w:spacing w:before="0" w:after="283"/>
              <w:jc w:val="left"/>
              <w:rPr/>
            </w:pPr>
            <w:r>
              <w:rPr/>
              <w:t> </w:t>
            </w:r>
          </w:p>
        </w:tc>
        <w:tc>
          <w:tcPr>
            <w:tcW w:w="161" w:type="dxa"/>
            <w:tcBorders>
              <w:bottom w:val="single" w:sz="8" w:space="0" w:color="000000"/>
            </w:tcBorders>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tcMar>
              <w:bottom w:w="28" w:type="dxa"/>
            </w:tcMar>
            <w:vAlign w:val="center"/>
          </w:tcPr>
          <w:p>
            <w:pPr>
              <w:pStyle w:val="TableContents"/>
              <w:bidi w:val="0"/>
              <w:spacing w:before="0" w:after="283"/>
              <w:jc w:val="right"/>
              <w:rPr/>
            </w:pPr>
            <w:r>
              <w:rPr/>
              <w:t>6.1</w:t>
            </w:r>
          </w:p>
        </w:tc>
        <w:tc>
          <w:tcPr>
            <w:tcW w:w="4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61" w:type="dxa"/>
            <w:tcBorders>
              <w:bottom w:val="single" w:sz="8" w:space="0" w:color="000000"/>
            </w:tcBorders>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tcMar>
              <w:bottom w:w="28" w:type="dxa"/>
            </w:tcMar>
            <w:vAlign w:val="center"/>
          </w:tcPr>
          <w:p>
            <w:pPr>
              <w:pStyle w:val="TableContents"/>
              <w:bidi w:val="0"/>
              <w:spacing w:before="0" w:after="283"/>
              <w:jc w:val="right"/>
              <w:rPr/>
            </w:pPr>
            <w:r>
              <w:rPr/>
              <w:t>8.2</w:t>
            </w:r>
          </w:p>
        </w:tc>
        <w:tc>
          <w:tcPr>
            <w:tcW w:w="29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Operating income</w:t>
            </w:r>
          </w:p>
        </w:tc>
        <w:tc>
          <w:tcPr>
            <w:tcW w:w="9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22.2</w:t>
            </w:r>
          </w:p>
        </w:tc>
        <w:tc>
          <w:tcPr>
            <w:tcW w:w="4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2.6</w:t>
            </w:r>
          </w:p>
        </w:tc>
        <w:tc>
          <w:tcPr>
            <w:tcW w:w="290" w:type="dxa"/>
            <w:tcBorders/>
            <w:shd w:fill="CCEEFF" w:val="clear"/>
            <w:vAlign w:val="center"/>
          </w:tcPr>
          <w:p>
            <w:pPr>
              <w:pStyle w:val="TableContents"/>
              <w:bidi w:val="0"/>
              <w:spacing w:before="0" w:after="283"/>
              <w:jc w:val="left"/>
              <w:rPr/>
            </w:pPr>
            <w:r>
              <w:rPr/>
              <w:t> </w:t>
            </w:r>
          </w:p>
        </w:tc>
      </w:tr>
      <w:tr>
        <w:trPr/>
        <w:tc>
          <w:tcPr>
            <w:tcW w:w="4235" w:type="dxa"/>
            <w:tcBorders/>
            <w:vAlign w:val="center"/>
          </w:tcPr>
          <w:p>
            <w:pPr>
              <w:pStyle w:val="TableContents"/>
              <w:bidi w:val="0"/>
              <w:spacing w:before="0" w:after="283"/>
              <w:jc w:val="left"/>
              <w:rPr/>
            </w:pPr>
            <w:r>
              <w:rPr/>
              <w:t>Other income, net</w:t>
            </w:r>
          </w:p>
        </w:tc>
        <w:tc>
          <w:tcPr>
            <w:tcW w:w="9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0.2</w:t>
            </w:r>
          </w:p>
        </w:tc>
        <w:tc>
          <w:tcPr>
            <w:tcW w:w="438"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283"/>
              <w:jc w:val="left"/>
              <w:rPr/>
            </w:pPr>
            <w:r>
              <w:rPr/>
              <w:t> </w:t>
            </w:r>
          </w:p>
        </w:tc>
        <w:tc>
          <w:tcPr>
            <w:tcW w:w="1056" w:type="dxa"/>
            <w:tcBorders/>
            <w:vAlign w:val="center"/>
          </w:tcPr>
          <w:p>
            <w:pPr>
              <w:pStyle w:val="TableContents"/>
              <w:bidi w:val="0"/>
              <w:spacing w:before="0" w:after="283"/>
              <w:jc w:val="right"/>
              <w:rPr/>
            </w:pPr>
            <w:r>
              <w:rPr/>
              <w:t>1.4</w:t>
            </w:r>
          </w:p>
        </w:tc>
        <w:tc>
          <w:tcPr>
            <w:tcW w:w="290" w:type="dxa"/>
            <w:tcBorders/>
            <w:vAlign w:val="center"/>
          </w:tcPr>
          <w:p>
            <w:pPr>
              <w:pStyle w:val="TableContents"/>
              <w:bidi w:val="0"/>
              <w:spacing w:before="0" w:after="283"/>
              <w:jc w:val="left"/>
              <w:rPr/>
            </w:pPr>
            <w:r>
              <w:rPr/>
              <w:t> </w:t>
            </w:r>
          </w:p>
        </w:tc>
      </w:tr>
      <w:tr>
        <w:trPr/>
        <w:tc>
          <w:tcPr>
            <w:tcW w:w="4235" w:type="dxa"/>
            <w:tcBorders/>
            <w:shd w:fill="CCEEFF" w:val="clear"/>
            <w:vAlign w:val="center"/>
          </w:tcPr>
          <w:p>
            <w:pPr>
              <w:pStyle w:val="TableContents"/>
              <w:bidi w:val="0"/>
              <w:spacing w:before="0" w:after="283"/>
              <w:jc w:val="left"/>
              <w:rPr/>
            </w:pPr>
            <w:r>
              <w:rPr/>
              <w:t>Provision (benefit) for income taxes</w:t>
            </w:r>
          </w:p>
        </w:tc>
        <w:tc>
          <w:tcPr>
            <w:tcW w:w="9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4.4</w:t>
            </w:r>
          </w:p>
        </w:tc>
        <w:tc>
          <w:tcPr>
            <w:tcW w:w="438"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(0.6</w:t>
            </w:r>
          </w:p>
        </w:tc>
        <w:tc>
          <w:tcPr>
            <w:tcW w:w="290" w:type="dxa"/>
            <w:tcBorders/>
            <w:shd w:fill="CCEEFF" w:val="clear"/>
            <w:vAlign w:val="center"/>
          </w:tcPr>
          <w:p>
            <w:pPr>
              <w:pStyle w:val="TableContents"/>
              <w:bidi w:val="0"/>
              <w:spacing w:before="0" w:after="283"/>
              <w:jc w:val="left"/>
              <w:rPr/>
            </w:pPr>
            <w:r>
              <w:rPr/>
              <w:t>)</w:t>
            </w:r>
          </w:p>
        </w:tc>
      </w:tr>
      <w:tr>
        <w:trPr/>
        <w:tc>
          <w:tcPr>
            <w:tcW w:w="4235" w:type="dxa"/>
            <w:tcBorders/>
            <w:vAlign w:val="center"/>
          </w:tcPr>
          <w:p>
            <w:pPr>
              <w:pStyle w:val="TableContents"/>
              <w:bidi w:val="0"/>
              <w:spacing w:before="0" w:after="283"/>
              <w:jc w:val="left"/>
              <w:rPr/>
            </w:pPr>
            <w:r>
              <w:rPr/>
              <w:t>Net income</w:t>
            </w:r>
          </w:p>
        </w:tc>
        <w:tc>
          <w:tcPr>
            <w:tcW w:w="90" w:type="dxa"/>
            <w:tcBorders/>
            <w:vAlign w:val="center"/>
          </w:tcPr>
          <w:p>
            <w:pPr>
              <w:pStyle w:val="TableContents"/>
              <w:bidi w:val="0"/>
              <w:spacing w:before="0" w:after="283"/>
              <w:jc w:val="left"/>
              <w:rPr/>
            </w:pPr>
            <w:r>
              <w:rPr/>
              <w:t> </w:t>
            </w:r>
          </w:p>
        </w:tc>
        <w:tc>
          <w:tcPr>
            <w:tcW w:w="161" w:type="dxa"/>
            <w:tcBorders>
              <w:bottom w:val="double" w:sz="6" w:space="0" w:color="000000"/>
            </w:tcBorders>
            <w:tcMar>
              <w:bottom w:w="28" w:type="dxa"/>
            </w:tcMar>
            <w:vAlign w:val="center"/>
          </w:tcPr>
          <w:p>
            <w:pPr>
              <w:pStyle w:val="TableContents"/>
              <w:bidi w:val="0"/>
              <w:spacing w:before="0" w:after="283"/>
              <w:jc w:val="left"/>
              <w:rPr/>
            </w:pPr>
            <w:r>
              <w:rPr/>
              <w:t> </w:t>
            </w:r>
          </w:p>
        </w:tc>
        <w:tc>
          <w:tcPr>
            <w:tcW w:w="1056" w:type="dxa"/>
            <w:tcBorders>
              <w:bottom w:val="double" w:sz="6" w:space="0" w:color="000000"/>
            </w:tcBorders>
            <w:tcMar>
              <w:bottom w:w="28" w:type="dxa"/>
            </w:tcMar>
            <w:vAlign w:val="center"/>
          </w:tcPr>
          <w:p>
            <w:pPr>
              <w:pStyle w:val="TableContents"/>
              <w:bidi w:val="0"/>
              <w:spacing w:before="0" w:after="283"/>
              <w:jc w:val="right"/>
              <w:rPr/>
            </w:pPr>
            <w:r>
              <w:rPr/>
              <w:t>18.0</w:t>
            </w:r>
          </w:p>
        </w:tc>
        <w:tc>
          <w:tcPr>
            <w:tcW w:w="438" w:type="dxa"/>
            <w:tcBorders/>
            <w:vAlign w:val="center"/>
          </w:tcPr>
          <w:p>
            <w:pPr>
              <w:pStyle w:val="TableContents"/>
              <w:bidi w:val="0"/>
              <w:spacing w:before="0" w:after="283"/>
              <w:jc w:val="left"/>
              <w:rPr/>
            </w:pPr>
            <w:r>
              <w:rPr/>
              <w:t>%</w:t>
            </w:r>
          </w:p>
        </w:tc>
        <w:tc>
          <w:tcPr>
            <w:tcW w:w="161" w:type="dxa"/>
            <w:tcBorders/>
            <w:vAlign w:val="center"/>
          </w:tcPr>
          <w:p>
            <w:pPr>
              <w:pStyle w:val="TableContents"/>
              <w:bidi w:val="0"/>
              <w:spacing w:before="0" w:after="283"/>
              <w:jc w:val="left"/>
              <w:rPr/>
            </w:pPr>
            <w:r>
              <w:rPr/>
              <w:t> </w:t>
            </w:r>
          </w:p>
        </w:tc>
        <w:tc>
          <w:tcPr>
            <w:tcW w:w="161" w:type="dxa"/>
            <w:tcBorders>
              <w:bottom w:val="double" w:sz="6" w:space="0" w:color="000000"/>
            </w:tcBorders>
            <w:tcMar>
              <w:bottom w:w="28" w:type="dxa"/>
            </w:tcMar>
            <w:vAlign w:val="center"/>
          </w:tcPr>
          <w:p>
            <w:pPr>
              <w:pStyle w:val="TableContents"/>
              <w:bidi w:val="0"/>
              <w:spacing w:before="0" w:after="283"/>
              <w:jc w:val="left"/>
              <w:rPr/>
            </w:pPr>
            <w:r>
              <w:rPr/>
              <w:t> </w:t>
            </w:r>
          </w:p>
        </w:tc>
        <w:tc>
          <w:tcPr>
            <w:tcW w:w="1056" w:type="dxa"/>
            <w:tcBorders>
              <w:bottom w:val="double" w:sz="6" w:space="0" w:color="000000"/>
            </w:tcBorders>
            <w:tcMar>
              <w:bottom w:w="28" w:type="dxa"/>
            </w:tcMar>
            <w:vAlign w:val="center"/>
          </w:tcPr>
          <w:p>
            <w:pPr>
              <w:pStyle w:val="TableContents"/>
              <w:bidi w:val="0"/>
              <w:spacing w:before="0" w:after="283"/>
              <w:jc w:val="right"/>
              <w:rPr/>
            </w:pPr>
            <w:r>
              <w:rPr/>
              <w:t>4.6</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Revenues</w:t>
      </w:r>
    </w:p>
    <w:p>
      <w:pPr>
        <w:pStyle w:val="TextBody"/>
        <w:bidi w:val="0"/>
        <w:spacing w:before="0" w:after="0"/>
        <w:ind w:left="0" w:right="0" w:hanging="0"/>
        <w:jc w:val="left"/>
        <w:rPr>
          <w:caps w:val="false"/>
          <w:smallCaps w:val="false"/>
        </w:rPr>
      </w:pPr>
      <w:r>
        <w:rPr>
          <w:caps w:val="false"/>
          <w:smallCaps w:val="false"/>
        </w:rPr>
        <w:t> </w:t>
      </w:r>
    </w:p>
    <w:tbl>
      <w:tblPr>
        <w:tblW w:w="6405" w:type="dxa"/>
        <w:jc w:val="left"/>
        <w:tblInd w:w="0" w:type="dxa"/>
        <w:tblLayout w:type="fixed"/>
        <w:tblCellMar>
          <w:top w:w="0" w:type="dxa"/>
          <w:left w:w="0" w:type="dxa"/>
          <w:bottom w:w="0" w:type="dxa"/>
          <w:right w:w="0" w:type="dxa"/>
        </w:tblCellMar>
      </w:tblPr>
      <w:tblGrid>
        <w:gridCol w:w="2180"/>
        <w:gridCol w:w="90"/>
        <w:gridCol w:w="170"/>
        <w:gridCol w:w="710"/>
        <w:gridCol w:w="125"/>
        <w:gridCol w:w="90"/>
        <w:gridCol w:w="170"/>
        <w:gridCol w:w="710"/>
        <w:gridCol w:w="125"/>
        <w:gridCol w:w="90"/>
        <w:gridCol w:w="170"/>
        <w:gridCol w:w="590"/>
        <w:gridCol w:w="125"/>
        <w:gridCol w:w="90"/>
        <w:gridCol w:w="90"/>
        <w:gridCol w:w="590"/>
        <w:gridCol w:w="290"/>
      </w:tblGrid>
      <w:tr>
        <w:trPr/>
        <w:tc>
          <w:tcPr>
            <w:tcW w:w="2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45" w:type="dxa"/>
            <w:gridSpan w:val="14"/>
            <w:tcBorders/>
            <w:vAlign w:val="center"/>
          </w:tcPr>
          <w:p>
            <w:pPr>
              <w:pStyle w:val="TableContents"/>
              <w:bidi w:val="0"/>
              <w:spacing w:before="0" w:after="283"/>
              <w:jc w:val="center"/>
              <w:rPr>
                <w:b/>
              </w:rPr>
            </w:pPr>
            <w:r>
              <w:rPr>
                <w:b/>
              </w:rPr>
              <w:t>Three months ended July 31,</w:t>
            </w:r>
          </w:p>
        </w:tc>
        <w:tc>
          <w:tcPr>
            <w:tcW w:w="290"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4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290" w:type="dxa"/>
            <w:tcBorders/>
            <w:vAlign w:val="center"/>
          </w:tcPr>
          <w:p>
            <w:pPr>
              <w:pStyle w:val="TableContents"/>
              <w:bidi w:val="0"/>
              <w:spacing w:before="0" w:after="283"/>
              <w:jc w:val="left"/>
              <w:rPr/>
            </w:pPr>
            <w:r>
              <w:rPr/>
              <w:t> </w:t>
            </w:r>
          </w:p>
        </w:tc>
      </w:tr>
      <w:tr>
        <w:trPr/>
        <w:tc>
          <w:tcPr>
            <w:tcW w:w="2180" w:type="dxa"/>
            <w:tcBorders>
              <w:bottom w:val="single" w:sz="8" w:space="0" w:color="000000"/>
            </w:tcBorders>
            <w:tcMar>
              <w:bottom w:w="28" w:type="dxa"/>
            </w:tcMar>
            <w:vAlign w:val="center"/>
          </w:tcPr>
          <w:p>
            <w:pPr>
              <w:pStyle w:val="TableContents"/>
              <w:bidi w:val="0"/>
              <w:spacing w:before="0" w:after="283"/>
              <w:jc w:val="left"/>
              <w:rPr>
                <w:b/>
              </w:rPr>
            </w:pPr>
            <w:r>
              <w:rPr>
                <w:b/>
              </w:rPr>
              <w:t>Segment</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5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left"/>
              <w:rPr/>
            </w:pPr>
            <w:r>
              <w:rPr/>
              <w:t>FEI-NY</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17,594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10,354</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7,240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69.9</w:t>
            </w:r>
          </w:p>
        </w:tc>
        <w:tc>
          <w:tcPr>
            <w:tcW w:w="290" w:type="dxa"/>
            <w:tcBorders/>
            <w:shd w:fill="CCEEFF" w:val="clear"/>
            <w:vAlign w:val="center"/>
          </w:tcPr>
          <w:p>
            <w:pPr>
              <w:pStyle w:val="TableContents"/>
              <w:bidi w:val="0"/>
              <w:spacing w:before="0" w:after="283"/>
              <w:jc w:val="left"/>
              <w:rPr/>
            </w:pPr>
            <w:r>
              <w:rPr/>
              <w:t>%</w:t>
            </w:r>
          </w:p>
        </w:tc>
      </w:tr>
      <w:tr>
        <w:trPr/>
        <w:tc>
          <w:tcPr>
            <w:tcW w:w="2180" w:type="dxa"/>
            <w:tcBorders/>
            <w:vAlign w:val="center"/>
          </w:tcPr>
          <w:p>
            <w:pPr>
              <w:pStyle w:val="TableContents"/>
              <w:bidi w:val="0"/>
              <w:spacing w:before="0" w:after="283"/>
              <w:jc w:val="left"/>
              <w:rPr/>
            </w:pPr>
            <w:r>
              <w:rPr/>
              <w:t>FEI-Zyfer</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6,957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3,718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3,239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87.1</w:t>
            </w:r>
          </w:p>
        </w:tc>
        <w:tc>
          <w:tcPr>
            <w:tcW w:w="290" w:type="dxa"/>
            <w:tcBorders/>
            <w:vAlign w:val="center"/>
          </w:tcPr>
          <w:p>
            <w:pPr>
              <w:pStyle w:val="TableContents"/>
              <w:bidi w:val="0"/>
              <w:spacing w:before="0" w:after="283"/>
              <w:jc w:val="left"/>
              <w:rPr/>
            </w:pPr>
            <w:r>
              <w:rPr/>
              <w:t> </w:t>
            </w:r>
          </w:p>
        </w:tc>
      </w:tr>
      <w:tr>
        <w:trPr/>
        <w:tc>
          <w:tcPr>
            <w:tcW w:w="2180" w:type="dxa"/>
            <w:tcBorders/>
            <w:shd w:fill="CCEEFF" w:val="clear"/>
            <w:vAlign w:val="center"/>
          </w:tcPr>
          <w:p>
            <w:pPr>
              <w:pStyle w:val="TableContents"/>
              <w:bidi w:val="0"/>
              <w:spacing w:before="0" w:after="283"/>
              <w:jc w:val="left"/>
              <w:rPr/>
            </w:pPr>
            <w:r>
              <w:rPr/>
              <w:t>Intersegment revenues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(1,100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0" w:type="dxa"/>
            <w:tcBorders>
              <w:bottom w:val="single" w:sz="8" w:space="0" w:color="000000"/>
            </w:tcBorders>
            <w:shd w:fill="CCEEFF" w:val="clear"/>
            <w:tcMar>
              <w:bottom w:w="28" w:type="dxa"/>
            </w:tcMar>
            <w:vAlign w:val="center"/>
          </w:tcPr>
          <w:p>
            <w:pPr>
              <w:pStyle w:val="TableContents"/>
              <w:bidi w:val="0"/>
              <w:spacing w:before="0" w:after="283"/>
              <w:jc w:val="right"/>
              <w:rPr/>
            </w:pPr>
            <w:r>
              <w:rPr/>
              <w:t>(260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(840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pPr>
            <w:r>
              <w:rPr/>
              <w:t>323.1</w:t>
            </w:r>
          </w:p>
        </w:tc>
        <w:tc>
          <w:tcPr>
            <w:tcW w:w="290" w:type="dxa"/>
            <w:tcBorders/>
            <w:shd w:fill="CCEEFF" w:val="clear"/>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23,451</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710" w:type="dxa"/>
            <w:tcBorders>
              <w:bottom w:val="double" w:sz="6" w:space="0" w:color="000000"/>
            </w:tcBorders>
            <w:tcMar>
              <w:bottom w:w="28" w:type="dxa"/>
            </w:tcMar>
            <w:vAlign w:val="center"/>
          </w:tcPr>
          <w:p>
            <w:pPr>
              <w:pStyle w:val="TableContents"/>
              <w:bidi w:val="0"/>
              <w:spacing w:before="0" w:after="283"/>
              <w:jc w:val="right"/>
              <w:rPr/>
            </w:pPr>
            <w:r>
              <w:rPr/>
              <w:t>13,812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590" w:type="dxa"/>
            <w:tcBorders>
              <w:bottom w:val="double" w:sz="6" w:space="0" w:color="000000"/>
            </w:tcBorders>
            <w:tcMar>
              <w:bottom w:w="28" w:type="dxa"/>
            </w:tcMar>
            <w:vAlign w:val="center"/>
          </w:tcPr>
          <w:p>
            <w:pPr>
              <w:pStyle w:val="TableContents"/>
              <w:bidi w:val="0"/>
              <w:spacing w:before="0" w:after="283"/>
              <w:jc w:val="right"/>
              <w:rPr/>
            </w:pPr>
            <w:r>
              <w:rPr/>
              <w:t>9,639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tcMar>
              <w:bottom w:w="28" w:type="dxa"/>
            </w:tcMar>
            <w:vAlign w:val="center"/>
          </w:tcPr>
          <w:p>
            <w:pPr>
              <w:pStyle w:val="TableContents"/>
              <w:bidi w:val="0"/>
              <w:spacing w:before="0" w:after="283"/>
              <w:jc w:val="right"/>
              <w:rPr/>
            </w:pPr>
            <w:r>
              <w:rPr/>
              <w:t>69.8</w:t>
            </w:r>
          </w:p>
        </w:tc>
        <w:tc>
          <w:tcPr>
            <w:tcW w:w="290"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July 31, 2026, revenues from commercial and U.S. Government communication satellite programs accounted for approximately 50% of consolidated revenues compared to approximately 47% of consolidated revenues during this same period in the prior fiscal year. Revenues are recognized primarily over time under the Percentage of Completion method. Revenues from the satellite market are recorded in the FEI-NY segment. Revenues from non-space U.S. Government/Department of War (“DOW”) customers, which are recorded in both the FEI-NY and FEI-Zyfer segments, accounted for approximately 47% of consolidated revenues for the three months ended July 31, 2026 compared to approximately 50% of consolidated revenue during the same period in the prior fiscal year. Other commercial and industrial revenues for the three months ended July 31, 2026 and 2025, accounted for approximately 3% of consolidated revenue in both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three months ended July 31, 2026, increased by over 69%, or $9.6 million, as compared to the same quarter of the prior fiscal year. This increase was due to significantly higher revenue in both segments. Revenue from commercial and U.S. Government communication satellite programs increased over 80%, or 5.2 million, and revenues from non-space U.S. Government/DOW customers increased over 61%, or $4.2 million, over the same period in the prior fiscal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Gross Margin</w:t>
      </w:r>
    </w:p>
    <w:p>
      <w:pPr>
        <w:pStyle w:val="TextBody"/>
        <w:bidi w:val="0"/>
        <w:spacing w:before="0" w:after="0"/>
        <w:ind w:left="0" w:right="0" w:hanging="0"/>
        <w:jc w:val="left"/>
        <w:rPr>
          <w:caps w:val="false"/>
          <w:smallCaps w:val="false"/>
        </w:rPr>
      </w:pPr>
      <w:r>
        <w:rPr>
          <w:caps w:val="false"/>
          <w:smallCaps w:val="false"/>
        </w:rPr>
        <w:t> </w:t>
      </w:r>
    </w:p>
    <w:tbl>
      <w:tblPr>
        <w:tblW w:w="5260" w:type="dxa"/>
        <w:jc w:val="left"/>
        <w:tblInd w:w="0" w:type="dxa"/>
        <w:tblLayout w:type="fixed"/>
        <w:tblCellMar>
          <w:top w:w="0" w:type="dxa"/>
          <w:left w:w="0" w:type="dxa"/>
          <w:bottom w:w="0" w:type="dxa"/>
          <w:right w:w="0" w:type="dxa"/>
        </w:tblCellMar>
      </w:tblPr>
      <w:tblGrid>
        <w:gridCol w:w="950"/>
        <w:gridCol w:w="90"/>
        <w:gridCol w:w="170"/>
        <w:gridCol w:w="710"/>
        <w:gridCol w:w="245"/>
        <w:gridCol w:w="90"/>
        <w:gridCol w:w="170"/>
        <w:gridCol w:w="590"/>
        <w:gridCol w:w="245"/>
        <w:gridCol w:w="90"/>
        <w:gridCol w:w="170"/>
        <w:gridCol w:w="590"/>
        <w:gridCol w:w="90"/>
        <w:gridCol w:w="90"/>
        <w:gridCol w:w="90"/>
        <w:gridCol w:w="590"/>
        <w:gridCol w:w="290"/>
      </w:tblGrid>
      <w:tr>
        <w:trPr/>
        <w:tc>
          <w:tcPr>
            <w:tcW w:w="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30" w:type="dxa"/>
            <w:gridSpan w:val="14"/>
            <w:tcBorders/>
            <w:vAlign w:val="center"/>
          </w:tcPr>
          <w:p>
            <w:pPr>
              <w:pStyle w:val="TableContents"/>
              <w:bidi w:val="0"/>
              <w:spacing w:before="0" w:after="283"/>
              <w:jc w:val="center"/>
              <w:rPr>
                <w:b/>
              </w:rPr>
            </w:pPr>
            <w:r>
              <w:rPr>
                <w:b/>
              </w:rPr>
              <w:t>Three Months ended July 31,</w:t>
            </w:r>
          </w:p>
        </w:tc>
        <w:tc>
          <w:tcPr>
            <w:tcW w:w="290"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93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290" w:type="dxa"/>
            <w:tcBorders/>
            <w:vAlign w:val="center"/>
          </w:tcPr>
          <w:p>
            <w:pPr>
              <w:pStyle w:val="TableContents"/>
              <w:bidi w:val="0"/>
              <w:spacing w:before="0" w:after="283"/>
              <w:jc w:val="left"/>
              <w:rPr/>
            </w:pPr>
            <w:r>
              <w:rPr/>
              <w:t> </w:t>
            </w:r>
          </w:p>
        </w:tc>
      </w:tr>
      <w:tr>
        <w:trPr/>
        <w:tc>
          <w:tcPr>
            <w:tcW w:w="95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710" w:type="dxa"/>
            <w:tcBorders/>
            <w:shd w:fill="CCEEFF" w:val="clear"/>
            <w:vAlign w:val="center"/>
          </w:tcPr>
          <w:p>
            <w:pPr>
              <w:pStyle w:val="TableContents"/>
              <w:bidi w:val="0"/>
              <w:spacing w:before="0" w:after="283"/>
              <w:jc w:val="right"/>
              <w:rPr/>
            </w:pPr>
            <w:r>
              <w:rPr/>
              <w:t>10,750</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5,082</w:t>
            </w:r>
          </w:p>
        </w:tc>
        <w:tc>
          <w:tcPr>
            <w:tcW w:w="24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5,668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111.5</w:t>
            </w:r>
          </w:p>
        </w:tc>
        <w:tc>
          <w:tcPr>
            <w:tcW w:w="290" w:type="dxa"/>
            <w:tcBorders/>
            <w:shd w:fill="CCEEFF" w:val="clear"/>
            <w:vAlign w:val="center"/>
          </w:tcPr>
          <w:p>
            <w:pPr>
              <w:pStyle w:val="TableContents"/>
              <w:bidi w:val="0"/>
              <w:spacing w:before="0" w:after="283"/>
              <w:jc w:val="left"/>
              <w:rPr/>
            </w:pPr>
            <w:r>
              <w:rPr/>
              <w:t>%</w:t>
            </w:r>
          </w:p>
        </w:tc>
      </w:tr>
      <w:tr>
        <w:trPr/>
        <w:tc>
          <w:tcPr>
            <w:tcW w:w="950" w:type="dxa"/>
            <w:tcBorders/>
            <w:vAlign w:val="center"/>
          </w:tcPr>
          <w:p>
            <w:pPr>
              <w:pStyle w:val="TableContents"/>
              <w:bidi w:val="0"/>
              <w:spacing w:before="0" w:after="283"/>
              <w:jc w:val="left"/>
              <w:rPr/>
            </w:pPr>
            <w:r>
              <w:rPr/>
              <w:t>GM Rate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right"/>
              <w:rPr/>
            </w:pPr>
            <w:r>
              <w:rPr/>
              <w:t>45.8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36.8</w:t>
            </w:r>
          </w:p>
        </w:tc>
        <w:tc>
          <w:tcPr>
            <w:tcW w:w="24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July 31, 2026, both gross margin (“GM”) and GM Rate increased compared to the same period in the prior fiscal year. The increase in GM was attributable to the $9.6 million increase in revenue compared to the same period in the prior fiscal year. The 9% improvement in GM Rate was attributable in part to product mix with the majority of programs running at targeted margins, and partially due to efficiencies recognized as programs mature.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Selling, General, and Administrative Expenses</w:t>
      </w:r>
    </w:p>
    <w:p>
      <w:pPr>
        <w:pStyle w:val="TextBody"/>
        <w:bidi w:val="0"/>
        <w:spacing w:before="0" w:after="0"/>
        <w:ind w:left="0" w:right="0" w:hanging="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185"/>
        <w:gridCol w:w="590"/>
        <w:gridCol w:w="90"/>
        <w:gridCol w:w="90"/>
        <w:gridCol w:w="170"/>
        <w:gridCol w:w="590"/>
        <w:gridCol w:w="90"/>
        <w:gridCol w:w="90"/>
        <w:gridCol w:w="170"/>
        <w:gridCol w:w="410"/>
        <w:gridCol w:w="90"/>
        <w:gridCol w:w="90"/>
        <w:gridCol w:w="90"/>
        <w:gridCol w:w="470"/>
        <w:gridCol w:w="290"/>
      </w:tblGrid>
      <w:tr>
        <w:trPr/>
        <w:tc>
          <w:tcPr>
            <w:tcW w:w="3215" w:type="dxa"/>
            <w:gridSpan w:val="14"/>
            <w:tcBorders/>
            <w:vAlign w:val="center"/>
          </w:tcPr>
          <w:p>
            <w:pPr>
              <w:pStyle w:val="TableContents"/>
              <w:bidi w:val="0"/>
              <w:spacing w:before="0" w:after="283"/>
              <w:jc w:val="center"/>
              <w:rPr>
                <w:b/>
              </w:rPr>
            </w:pPr>
            <w:r>
              <w:rPr>
                <w:b/>
              </w:rPr>
              <w:t>Three Months ended July 31,</w:t>
            </w:r>
          </w:p>
        </w:tc>
        <w:tc>
          <w:tcPr>
            <w:tcW w:w="290" w:type="dxa"/>
            <w:tcBorders/>
            <w:vAlign w:val="center"/>
          </w:tcPr>
          <w:p>
            <w:pPr>
              <w:pStyle w:val="TableContents"/>
              <w:bidi w:val="0"/>
              <w:spacing w:before="0" w:after="283"/>
              <w:jc w:val="left"/>
              <w:rPr/>
            </w:pPr>
            <w:r>
              <w:rPr/>
              <w:t> </w:t>
            </w:r>
          </w:p>
        </w:tc>
      </w:tr>
      <w:tr>
        <w:trPr/>
        <w:tc>
          <w:tcPr>
            <w:tcW w:w="321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290" w:type="dxa"/>
            <w:tcBorders/>
            <w:vAlign w:val="center"/>
          </w:tcPr>
          <w:p>
            <w:pPr>
              <w:pStyle w:val="TableContents"/>
              <w:bidi w:val="0"/>
              <w:spacing w:before="0" w:after="283"/>
              <w:jc w:val="left"/>
              <w:rPr/>
            </w:pPr>
            <w:r>
              <w:rPr/>
              <w:t> </w:t>
            </w:r>
          </w:p>
        </w:tc>
      </w:tr>
      <w:tr>
        <w:trPr/>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vAlign w:val="center"/>
          </w:tcPr>
          <w:p>
            <w:pPr>
              <w:pStyle w:val="TableContents"/>
              <w:bidi w:val="0"/>
              <w:spacing w:before="0" w:after="283"/>
              <w:jc w:val="left"/>
              <w:rPr/>
            </w:pPr>
            <w:r>
              <w:rPr/>
              <w:t> </w:t>
            </w:r>
          </w:p>
        </w:tc>
      </w:tr>
      <w:tr>
        <w:trPr/>
        <w:tc>
          <w:tcPr>
            <w:tcW w:w="185"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4,105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3,585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520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14.5</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July 31, 2026 and 2025, selling, general, and administrative (“SG&amp;A”) expenses were approximately 18% and 26%, respectively, of consolidated revenues. While SG&amp;A expenses as a percentage of consolidated revenues decreased approximately 8% versus the prior year period, the actual expenditures increased by $0.5 million. The increase in SG&amp;A expenses during the three months ended July 31, 2026 related mostly to compensation expenses. See Note B to the Condensed Consolidated Financial Statements in this Form 10-Q. SG&amp;A as a percentage of revenue decreased 8% versus the same period of the prior year demonstrating positive operating leverage as a result of strategic headcount additions and process optimizations implemented over the prior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Research and Development Expenses</w:t>
      </w:r>
    </w:p>
    <w:p>
      <w:pPr>
        <w:pStyle w:val="TextBody"/>
        <w:bidi w:val="0"/>
        <w:spacing w:before="0" w:after="0"/>
        <w:ind w:left="0" w:right="0" w:hanging="0"/>
        <w:jc w:val="both"/>
        <w:rPr>
          <w:caps w:val="false"/>
          <w:smallCaps w:val="false"/>
        </w:rPr>
      </w:pPr>
      <w:r>
        <w:rPr>
          <w:caps w:val="false"/>
          <w:smallCaps w:val="false"/>
        </w:rPr>
        <w:t> </w:t>
      </w:r>
    </w:p>
    <w:tbl>
      <w:tblPr>
        <w:tblW w:w="3505" w:type="dxa"/>
        <w:jc w:val="left"/>
        <w:tblInd w:w="0" w:type="dxa"/>
        <w:tblLayout w:type="fixed"/>
        <w:tblCellMar>
          <w:top w:w="0" w:type="dxa"/>
          <w:left w:w="0" w:type="dxa"/>
          <w:bottom w:w="0" w:type="dxa"/>
          <w:right w:w="0" w:type="dxa"/>
        </w:tblCellMar>
      </w:tblPr>
      <w:tblGrid>
        <w:gridCol w:w="185"/>
        <w:gridCol w:w="590"/>
        <w:gridCol w:w="90"/>
        <w:gridCol w:w="90"/>
        <w:gridCol w:w="170"/>
        <w:gridCol w:w="590"/>
        <w:gridCol w:w="90"/>
        <w:gridCol w:w="90"/>
        <w:gridCol w:w="170"/>
        <w:gridCol w:w="410"/>
        <w:gridCol w:w="90"/>
        <w:gridCol w:w="90"/>
        <w:gridCol w:w="90"/>
        <w:gridCol w:w="470"/>
        <w:gridCol w:w="290"/>
      </w:tblGrid>
      <w:tr>
        <w:trPr/>
        <w:tc>
          <w:tcPr>
            <w:tcW w:w="3215" w:type="dxa"/>
            <w:gridSpan w:val="14"/>
            <w:tcBorders/>
            <w:vAlign w:val="center"/>
          </w:tcPr>
          <w:p>
            <w:pPr>
              <w:pStyle w:val="TableContents"/>
              <w:bidi w:val="0"/>
              <w:spacing w:before="0" w:after="283"/>
              <w:jc w:val="center"/>
              <w:rPr>
                <w:b/>
              </w:rPr>
            </w:pPr>
            <w:r>
              <w:rPr>
                <w:b/>
              </w:rPr>
              <w:t>Three Months ended July 31,</w:t>
            </w:r>
          </w:p>
        </w:tc>
        <w:tc>
          <w:tcPr>
            <w:tcW w:w="290" w:type="dxa"/>
            <w:tcBorders/>
            <w:vAlign w:val="center"/>
          </w:tcPr>
          <w:p>
            <w:pPr>
              <w:pStyle w:val="TableContents"/>
              <w:bidi w:val="0"/>
              <w:spacing w:before="0" w:after="283"/>
              <w:jc w:val="left"/>
              <w:rPr/>
            </w:pPr>
            <w:r>
              <w:rPr/>
              <w:t> </w:t>
            </w:r>
          </w:p>
        </w:tc>
      </w:tr>
      <w:tr>
        <w:trPr/>
        <w:tc>
          <w:tcPr>
            <w:tcW w:w="321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290" w:type="dxa"/>
            <w:tcBorders/>
            <w:vAlign w:val="center"/>
          </w:tcPr>
          <w:p>
            <w:pPr>
              <w:pStyle w:val="TableContents"/>
              <w:bidi w:val="0"/>
              <w:spacing w:before="0" w:after="283"/>
              <w:jc w:val="left"/>
              <w:rPr/>
            </w:pPr>
            <w:r>
              <w:rPr/>
              <w:t> </w:t>
            </w:r>
          </w:p>
        </w:tc>
      </w:tr>
      <w:tr>
        <w:trPr/>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vAlign w:val="center"/>
          </w:tcPr>
          <w:p>
            <w:pPr>
              <w:pStyle w:val="TableContents"/>
              <w:bidi w:val="0"/>
              <w:spacing w:before="0" w:after="283"/>
              <w:jc w:val="left"/>
              <w:rPr/>
            </w:pPr>
            <w:r>
              <w:rPr/>
              <w:t> </w:t>
            </w:r>
          </w:p>
        </w:tc>
      </w:tr>
      <w:tr>
        <w:trPr/>
        <w:tc>
          <w:tcPr>
            <w:tcW w:w="185"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1,445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1,133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312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470" w:type="dxa"/>
            <w:tcBorders/>
            <w:shd w:fill="CCEEFF" w:val="clear"/>
            <w:vAlign w:val="center"/>
          </w:tcPr>
          <w:p>
            <w:pPr>
              <w:pStyle w:val="TableContents"/>
              <w:bidi w:val="0"/>
              <w:spacing w:before="0" w:after="283"/>
              <w:jc w:val="right"/>
              <w:rPr/>
            </w:pPr>
            <w:r>
              <w:rPr/>
              <w:t>27.5</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(“R&amp;D”) expenditures represent investments intended to keep the Company’s products at the leading edge of time and frequency technology and to enhance future competitiveness. Fluctuations in R&amp;D expenditures will occur in some periods due to operational needs supporting ongoing programs. The Company plans to continue to invest in R&amp;D in the future to keep its products at the state of the 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Operating Income </w:t>
      </w:r>
    </w:p>
    <w:p>
      <w:pPr>
        <w:pStyle w:val="TextBody"/>
        <w:bidi w:val="0"/>
        <w:spacing w:before="0" w:after="0"/>
        <w:ind w:left="0" w:right="0" w:hanging="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185"/>
        <w:gridCol w:w="590"/>
        <w:gridCol w:w="90"/>
        <w:gridCol w:w="90"/>
        <w:gridCol w:w="170"/>
        <w:gridCol w:w="410"/>
        <w:gridCol w:w="90"/>
        <w:gridCol w:w="90"/>
        <w:gridCol w:w="170"/>
        <w:gridCol w:w="590"/>
        <w:gridCol w:w="90"/>
        <w:gridCol w:w="90"/>
        <w:gridCol w:w="90"/>
        <w:gridCol w:w="770"/>
        <w:gridCol w:w="290"/>
      </w:tblGrid>
      <w:tr>
        <w:trPr/>
        <w:tc>
          <w:tcPr>
            <w:tcW w:w="3515" w:type="dxa"/>
            <w:gridSpan w:val="14"/>
            <w:tcBorders/>
            <w:vAlign w:val="center"/>
          </w:tcPr>
          <w:p>
            <w:pPr>
              <w:pStyle w:val="TableContents"/>
              <w:bidi w:val="0"/>
              <w:spacing w:before="0" w:after="283"/>
              <w:jc w:val="center"/>
              <w:rPr>
                <w:b/>
              </w:rPr>
            </w:pPr>
            <w:r>
              <w:rPr>
                <w:b/>
              </w:rPr>
              <w:t>Three Months ended July 31,</w:t>
            </w:r>
          </w:p>
        </w:tc>
        <w:tc>
          <w:tcPr>
            <w:tcW w:w="290" w:type="dxa"/>
            <w:tcBorders/>
            <w:vAlign w:val="center"/>
          </w:tcPr>
          <w:p>
            <w:pPr>
              <w:pStyle w:val="TableContents"/>
              <w:bidi w:val="0"/>
              <w:spacing w:before="0" w:after="283"/>
              <w:jc w:val="left"/>
              <w:rPr/>
            </w:pPr>
            <w:r>
              <w:rPr/>
              <w:t> </w:t>
            </w:r>
          </w:p>
        </w:tc>
      </w:tr>
      <w:tr>
        <w:trPr/>
        <w:tc>
          <w:tcPr>
            <w:tcW w:w="351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290" w:type="dxa"/>
            <w:tcBorders/>
            <w:vAlign w:val="center"/>
          </w:tcPr>
          <w:p>
            <w:pPr>
              <w:pStyle w:val="TableContents"/>
              <w:bidi w:val="0"/>
              <w:spacing w:before="0" w:after="283"/>
              <w:jc w:val="left"/>
              <w:rPr/>
            </w:pPr>
            <w:r>
              <w:rPr/>
              <w:t> </w:t>
            </w:r>
          </w:p>
        </w:tc>
      </w:tr>
      <w:tr>
        <w:trPr/>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90" w:type="dxa"/>
            <w:tcBorders/>
            <w:vAlign w:val="center"/>
          </w:tcPr>
          <w:p>
            <w:pPr>
              <w:pStyle w:val="TableContents"/>
              <w:bidi w:val="0"/>
              <w:spacing w:before="0" w:after="283"/>
              <w:jc w:val="left"/>
              <w:rPr/>
            </w:pPr>
            <w:r>
              <w:rPr/>
              <w:t> </w:t>
            </w:r>
          </w:p>
        </w:tc>
      </w:tr>
      <w:tr>
        <w:trPr/>
        <w:tc>
          <w:tcPr>
            <w:tcW w:w="185"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5,200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364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4,836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1,328.6</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July 31, 2026, operating income increased significantly compared to the prior fiscal year period due to higher revenue, gross margin and operational efficiencies as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Other Income (Expense), net</w:t>
      </w:r>
    </w:p>
    <w:p>
      <w:pPr>
        <w:pStyle w:val="TextBody"/>
        <w:bidi w:val="0"/>
        <w:spacing w:before="0" w:after="0"/>
        <w:ind w:left="0" w:right="0" w:hanging="0"/>
        <w:jc w:val="both"/>
        <w:rPr>
          <w:caps w:val="false"/>
          <w:smallCaps w:val="false"/>
        </w:rPr>
      </w:pPr>
      <w:r>
        <w:rPr>
          <w:caps w:val="false"/>
          <w:smallCaps w:val="false"/>
        </w:rPr>
        <w:t> </w:t>
      </w:r>
    </w:p>
    <w:tbl>
      <w:tblPr>
        <w:tblW w:w="5880" w:type="dxa"/>
        <w:jc w:val="left"/>
        <w:tblInd w:w="0" w:type="dxa"/>
        <w:tblLayout w:type="fixed"/>
        <w:tblCellMar>
          <w:top w:w="0" w:type="dxa"/>
          <w:left w:w="0" w:type="dxa"/>
          <w:bottom w:w="0" w:type="dxa"/>
          <w:right w:w="0" w:type="dxa"/>
        </w:tblCellMar>
      </w:tblPr>
      <w:tblGrid>
        <w:gridCol w:w="2255"/>
        <w:gridCol w:w="90"/>
        <w:gridCol w:w="170"/>
        <w:gridCol w:w="365"/>
        <w:gridCol w:w="125"/>
        <w:gridCol w:w="90"/>
        <w:gridCol w:w="170"/>
        <w:gridCol w:w="410"/>
        <w:gridCol w:w="125"/>
        <w:gridCol w:w="90"/>
        <w:gridCol w:w="170"/>
        <w:gridCol w:w="485"/>
        <w:gridCol w:w="125"/>
        <w:gridCol w:w="90"/>
        <w:gridCol w:w="90"/>
        <w:gridCol w:w="665"/>
        <w:gridCol w:w="365"/>
      </w:tblGrid>
      <w:tr>
        <w:trPr/>
        <w:tc>
          <w:tcPr>
            <w:tcW w:w="22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70" w:type="dxa"/>
            <w:gridSpan w:val="14"/>
            <w:tcBorders/>
            <w:vAlign w:val="center"/>
          </w:tcPr>
          <w:p>
            <w:pPr>
              <w:pStyle w:val="TableContents"/>
              <w:bidi w:val="0"/>
              <w:spacing w:before="0" w:after="283"/>
              <w:jc w:val="center"/>
              <w:rPr>
                <w:b/>
              </w:rPr>
            </w:pPr>
            <w:r>
              <w:rPr>
                <w:b/>
              </w:rPr>
              <w:t>Three Months ended July 31,</w:t>
            </w:r>
          </w:p>
        </w:tc>
        <w:tc>
          <w:tcPr>
            <w:tcW w:w="36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17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365" w:type="dxa"/>
            <w:tcBorders/>
            <w:vAlign w:val="center"/>
          </w:tcPr>
          <w:p>
            <w:pPr>
              <w:pStyle w:val="TableContents"/>
              <w:bidi w:val="0"/>
              <w:spacing w:before="0" w:after="283"/>
              <w:jc w:val="left"/>
              <w:rPr/>
            </w:pPr>
            <w:r>
              <w:rPr/>
              <w:t> </w:t>
            </w:r>
          </w:p>
        </w:tc>
      </w:tr>
      <w:tr>
        <w:trPr/>
        <w:tc>
          <w:tcPr>
            <w:tcW w:w="22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65" w:type="dxa"/>
            <w:tcBorders/>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283"/>
              <w:jc w:val="left"/>
              <w:rPr/>
            </w:pPr>
            <w:r>
              <w:rPr/>
              <w:t>Investment income,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jc w:val="right"/>
              <w:rPr/>
            </w:pPr>
            <w:r>
              <w:rPr/>
              <w:t>61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218</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485" w:type="dxa"/>
            <w:tcBorders/>
            <w:shd w:fill="CCEEFF" w:val="clear"/>
            <w:vAlign w:val="center"/>
          </w:tcPr>
          <w:p>
            <w:pPr>
              <w:pStyle w:val="TableContents"/>
              <w:bidi w:val="0"/>
              <w:spacing w:before="0" w:after="283"/>
              <w:jc w:val="right"/>
              <w:rPr/>
            </w:pPr>
            <w:r>
              <w:rPr/>
              <w:t>(157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(72.0</w:t>
            </w:r>
          </w:p>
        </w:tc>
        <w:tc>
          <w:tcPr>
            <w:tcW w:w="365" w:type="dxa"/>
            <w:tcBorders/>
            <w:shd w:fill="CCEEFF" w:val="clear"/>
            <w:vAlign w:val="center"/>
          </w:tcPr>
          <w:p>
            <w:pPr>
              <w:pStyle w:val="TableContents"/>
              <w:bidi w:val="0"/>
              <w:spacing w:before="0" w:after="283"/>
              <w:jc w:val="left"/>
              <w:rPr/>
            </w:pPr>
            <w:r>
              <w:rPr/>
              <w:t>)%</w:t>
            </w:r>
          </w:p>
        </w:tc>
      </w:tr>
      <w:tr>
        <w:trPr/>
        <w:tc>
          <w:tcPr>
            <w:tcW w:w="2255" w:type="dxa"/>
            <w:tcBorders/>
            <w:vAlign w:val="center"/>
          </w:tcPr>
          <w:p>
            <w:pPr>
              <w:pStyle w:val="TableContents"/>
              <w:bidi w:val="0"/>
              <w:spacing w:before="0" w:after="283"/>
              <w:jc w:val="left"/>
              <w:rPr/>
            </w:pPr>
            <w:r>
              <w:rPr/>
              <w:t>Interest expense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right"/>
              <w:rPr/>
            </w:pPr>
            <w:r>
              <w:rPr/>
              <w:t>(19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right"/>
              <w:rPr/>
            </w:pPr>
            <w:r>
              <w:rPr/>
              <w:t>(23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right"/>
              <w:rPr/>
            </w:pPr>
            <w:r>
              <w:rPr/>
              <w:t>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right"/>
              <w:rPr/>
            </w:pPr>
            <w:r>
              <w:rPr/>
              <w:t>(17.4</w:t>
            </w:r>
          </w:p>
        </w:tc>
        <w:tc>
          <w:tcPr>
            <w:tcW w:w="365" w:type="dxa"/>
            <w:tcBorders/>
            <w:vAlign w:val="center"/>
          </w:tcPr>
          <w:p>
            <w:pPr>
              <w:pStyle w:val="TableContents"/>
              <w:bidi w:val="0"/>
              <w:spacing w:before="0" w:after="283"/>
              <w:jc w:val="left"/>
              <w:rPr/>
            </w:pPr>
            <w:r>
              <w:rPr/>
              <w:t>)%</w:t>
            </w:r>
          </w:p>
        </w:tc>
      </w:tr>
      <w:tr>
        <w:trPr/>
        <w:tc>
          <w:tcPr>
            <w:tcW w:w="2255" w:type="dxa"/>
            <w:tcBorders/>
            <w:shd w:fill="CCEEFF" w:val="clear"/>
            <w:vAlign w:val="center"/>
          </w:tcPr>
          <w:p>
            <w:pPr>
              <w:pStyle w:val="TableContents"/>
              <w:bidi w:val="0"/>
              <w:spacing w:before="0" w:after="283"/>
              <w:jc w:val="left"/>
              <w:rPr/>
            </w:pPr>
            <w:r>
              <w:rPr/>
              <w:t>Other expense,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6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10"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pPr>
            <w:r>
              <w:rPr/>
              <w:t>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5"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365" w:type="dxa"/>
            <w:tcBorders/>
            <w:shd w:fill="CCEEFF" w:val="clear"/>
            <w:vAlign w:val="center"/>
          </w:tcPr>
          <w:p>
            <w:pPr>
              <w:pStyle w:val="TableContents"/>
              <w:bidi w:val="0"/>
              <w:spacing w:before="0" w:after="283"/>
              <w:jc w:val="left"/>
              <w:rPr/>
            </w:pPr>
            <w:r>
              <w:rPr/>
              <w:t>)%</w:t>
            </w:r>
          </w:p>
        </w:tc>
      </w:tr>
      <w:tr>
        <w:trPr/>
        <w:tc>
          <w:tcPr>
            <w:tcW w:w="225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365" w:type="dxa"/>
            <w:tcBorders>
              <w:bottom w:val="double" w:sz="6" w:space="0" w:color="000000"/>
            </w:tcBorders>
            <w:tcMar>
              <w:bottom w:w="28" w:type="dxa"/>
            </w:tcMar>
            <w:vAlign w:val="center"/>
          </w:tcPr>
          <w:p>
            <w:pPr>
              <w:pStyle w:val="TableContents"/>
              <w:bidi w:val="0"/>
              <w:spacing w:before="0" w:after="283"/>
              <w:jc w:val="right"/>
              <w:rPr/>
            </w:pPr>
            <w:r>
              <w:rPr/>
              <w:t>42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410" w:type="dxa"/>
            <w:tcBorders>
              <w:bottom w:val="double" w:sz="6" w:space="0" w:color="000000"/>
            </w:tcBorders>
            <w:tcMar>
              <w:bottom w:w="28" w:type="dxa"/>
            </w:tcMar>
            <w:vAlign w:val="center"/>
          </w:tcPr>
          <w:p>
            <w:pPr>
              <w:pStyle w:val="TableContents"/>
              <w:bidi w:val="0"/>
              <w:spacing w:before="0" w:after="283"/>
              <w:jc w:val="right"/>
              <w:rPr/>
            </w:pPr>
            <w:r>
              <w:rPr/>
              <w:t>193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6" w:space="0" w:color="000000"/>
            </w:tcBorders>
            <w:tcMar>
              <w:bottom w:w="28" w:type="dxa"/>
            </w:tcMar>
            <w:vAlign w:val="center"/>
          </w:tcPr>
          <w:p>
            <w:pPr>
              <w:pStyle w:val="TableContents"/>
              <w:bidi w:val="0"/>
              <w:spacing w:before="0" w:after="283"/>
              <w:jc w:val="left"/>
              <w:rPr/>
            </w:pPr>
            <w:r>
              <w:rPr/>
              <w:t>$</w:t>
            </w:r>
          </w:p>
        </w:tc>
        <w:tc>
          <w:tcPr>
            <w:tcW w:w="485" w:type="dxa"/>
            <w:tcBorders>
              <w:bottom w:val="double" w:sz="6" w:space="0" w:color="000000"/>
            </w:tcBorders>
            <w:tcMar>
              <w:bottom w:w="28" w:type="dxa"/>
            </w:tcMar>
            <w:vAlign w:val="center"/>
          </w:tcPr>
          <w:p>
            <w:pPr>
              <w:pStyle w:val="TableContents"/>
              <w:bidi w:val="0"/>
              <w:spacing w:before="0" w:after="283"/>
              <w:jc w:val="right"/>
              <w:rPr/>
            </w:pPr>
            <w:r>
              <w:rPr/>
              <w:t>(151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90" w:type="dxa"/>
            <w:tcBorders>
              <w:bottom w:val="double" w:sz="6" w:space="0" w:color="000000"/>
            </w:tcBorders>
            <w:tcMar>
              <w:bottom w:w="28" w:type="dxa"/>
            </w:tcMar>
            <w:vAlign w:val="center"/>
          </w:tcPr>
          <w:p>
            <w:pPr>
              <w:pStyle w:val="TableContents"/>
              <w:bidi w:val="0"/>
              <w:spacing w:before="0" w:after="283"/>
              <w:jc w:val="left"/>
              <w:rPr/>
            </w:pPr>
            <w:r>
              <w:rPr/>
              <w:t> </w:t>
            </w:r>
          </w:p>
        </w:tc>
        <w:tc>
          <w:tcPr>
            <w:tcW w:w="665" w:type="dxa"/>
            <w:tcBorders>
              <w:bottom w:val="double" w:sz="6" w:space="0" w:color="000000"/>
            </w:tcBorders>
            <w:tcMar>
              <w:bottom w:w="28" w:type="dxa"/>
            </w:tcMar>
            <w:vAlign w:val="center"/>
          </w:tcPr>
          <w:p>
            <w:pPr>
              <w:pStyle w:val="TableContents"/>
              <w:bidi w:val="0"/>
              <w:spacing w:before="0" w:after="283"/>
              <w:jc w:val="right"/>
              <w:rPr/>
            </w:pPr>
            <w:r>
              <w:rPr/>
              <w:t>(78.2</w:t>
            </w:r>
          </w:p>
        </w:tc>
        <w:tc>
          <w:tcPr>
            <w:tcW w:w="365" w:type="dxa"/>
            <w:tcBorders/>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is derived from various sources. The other income (expense), net can come from reclaiming of metal, refunds, interest on deferred trust assets, or the sale of a fixed asset. Interest expense is related to the deferred compensation payments made to retired employees. The majority of the approximately $0.1 million of investment income for the three months ended July 31, 2026, was from interest income and unrealized gains on assets held in the Frequency Electronics, Inc. Deferred Compensation Trust.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Provision (benefit) for Income Tax</w:t>
      </w:r>
    </w:p>
    <w:p>
      <w:pPr>
        <w:pStyle w:val="TextBody"/>
        <w:bidi w:val="0"/>
        <w:spacing w:before="0" w:after="0"/>
        <w:ind w:left="0" w:right="0" w:hanging="0"/>
        <w:jc w:val="both"/>
        <w:rPr>
          <w:caps w:val="false"/>
          <w:smallCaps w:val="false"/>
        </w:rPr>
      </w:pPr>
      <w:r>
        <w:rPr>
          <w:caps w:val="false"/>
          <w:smallCaps w:val="false"/>
        </w:rPr>
        <w:t> </w:t>
      </w:r>
    </w:p>
    <w:tbl>
      <w:tblPr>
        <w:tblW w:w="3945" w:type="dxa"/>
        <w:jc w:val="left"/>
        <w:tblInd w:w="0" w:type="dxa"/>
        <w:tblLayout w:type="fixed"/>
        <w:tblCellMar>
          <w:top w:w="0" w:type="dxa"/>
          <w:left w:w="0" w:type="dxa"/>
          <w:bottom w:w="0" w:type="dxa"/>
          <w:right w:w="0" w:type="dxa"/>
        </w:tblCellMar>
      </w:tblPr>
      <w:tblGrid>
        <w:gridCol w:w="185"/>
        <w:gridCol w:w="590"/>
        <w:gridCol w:w="90"/>
        <w:gridCol w:w="90"/>
        <w:gridCol w:w="170"/>
        <w:gridCol w:w="365"/>
        <w:gridCol w:w="125"/>
        <w:gridCol w:w="90"/>
        <w:gridCol w:w="170"/>
        <w:gridCol w:w="590"/>
        <w:gridCol w:w="90"/>
        <w:gridCol w:w="90"/>
        <w:gridCol w:w="90"/>
        <w:gridCol w:w="845"/>
        <w:gridCol w:w="365"/>
      </w:tblGrid>
      <w:tr>
        <w:trPr/>
        <w:tc>
          <w:tcPr>
            <w:tcW w:w="3580" w:type="dxa"/>
            <w:gridSpan w:val="14"/>
            <w:tcBorders/>
            <w:vAlign w:val="center"/>
          </w:tcPr>
          <w:p>
            <w:pPr>
              <w:pStyle w:val="TableContents"/>
              <w:bidi w:val="0"/>
              <w:spacing w:before="0" w:after="283"/>
              <w:jc w:val="center"/>
              <w:rPr>
                <w:b/>
              </w:rPr>
            </w:pPr>
            <w:r>
              <w:rPr>
                <w:b/>
              </w:rPr>
              <w:t>Three Months ended July 31,</w:t>
            </w:r>
          </w:p>
        </w:tc>
        <w:tc>
          <w:tcPr>
            <w:tcW w:w="365" w:type="dxa"/>
            <w:tcBorders/>
            <w:vAlign w:val="center"/>
          </w:tcPr>
          <w:p>
            <w:pPr>
              <w:pStyle w:val="TableContents"/>
              <w:bidi w:val="0"/>
              <w:spacing w:before="0" w:after="283"/>
              <w:jc w:val="left"/>
              <w:rPr/>
            </w:pPr>
            <w:r>
              <w:rPr/>
              <w:t> </w:t>
            </w:r>
          </w:p>
        </w:tc>
      </w:tr>
      <w:tr>
        <w:trPr/>
        <w:tc>
          <w:tcPr>
            <w:tcW w:w="358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(in thousands)</w:t>
            </w:r>
          </w:p>
        </w:tc>
        <w:tc>
          <w:tcPr>
            <w:tcW w:w="365" w:type="dxa"/>
            <w:tcBorders/>
            <w:vAlign w:val="center"/>
          </w:tcPr>
          <w:p>
            <w:pPr>
              <w:pStyle w:val="TableContents"/>
              <w:bidi w:val="0"/>
              <w:spacing w:before="0" w:after="283"/>
              <w:jc w:val="left"/>
              <w:rPr/>
            </w:pPr>
            <w:r>
              <w:rPr/>
              <w:t> </w:t>
            </w:r>
          </w:p>
        </w:tc>
      </w:tr>
      <w:tr>
        <w:trPr/>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5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87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365" w:type="dxa"/>
            <w:tcBorders/>
            <w:vAlign w:val="center"/>
          </w:tcPr>
          <w:p>
            <w:pPr>
              <w:pStyle w:val="TableContents"/>
              <w:bidi w:val="0"/>
              <w:spacing w:before="0" w:after="283"/>
              <w:jc w:val="left"/>
              <w:rPr/>
            </w:pPr>
            <w:r>
              <w:rPr/>
              <w:t> </w:t>
            </w:r>
          </w:p>
        </w:tc>
      </w:tr>
      <w:tr>
        <w:trPr/>
        <w:tc>
          <w:tcPr>
            <w:tcW w:w="185"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1,026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365" w:type="dxa"/>
            <w:tcBorders/>
            <w:shd w:fill="CCEEFF" w:val="clear"/>
            <w:vAlign w:val="center"/>
          </w:tcPr>
          <w:p>
            <w:pPr>
              <w:pStyle w:val="TableContents"/>
              <w:bidi w:val="0"/>
              <w:spacing w:before="0" w:after="283"/>
              <w:jc w:val="right"/>
              <w:rPr/>
            </w:pPr>
            <w:r>
              <w:rPr/>
              <w:t>(77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590" w:type="dxa"/>
            <w:tcBorders/>
            <w:shd w:fill="CCEEFF" w:val="clear"/>
            <w:vAlign w:val="center"/>
          </w:tcPr>
          <w:p>
            <w:pPr>
              <w:pStyle w:val="TableContents"/>
              <w:bidi w:val="0"/>
              <w:spacing w:before="0" w:after="283"/>
              <w:jc w:val="right"/>
              <w:rPr/>
            </w:pPr>
            <w:r>
              <w:rPr/>
              <w:t>1,103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(1,432.5</w:t>
            </w:r>
          </w:p>
        </w:tc>
        <w:tc>
          <w:tcPr>
            <w:tcW w:w="365" w:type="dxa"/>
            <w:tcBorders/>
            <w:shd w:fill="CCEEFF" w:val="clear"/>
            <w:vAlign w:val="center"/>
          </w:tcPr>
          <w:p>
            <w:pPr>
              <w:pStyle w:val="TableContents"/>
              <w:bidi w:val="0"/>
              <w:spacing w:before="0" w:after="283"/>
              <w:jc w:val="left"/>
              <w:rPr/>
            </w:pPr>
            <w:r>
              <w:rPr/>
              <w:t>)%</w:t>
            </w:r>
          </w:p>
        </w:tc>
      </w:tr>
    </w:tbl>
    <w:p>
      <w:pPr>
        <w:pStyle w:val="TextBody"/>
        <w:bidi w:val="0"/>
        <w:jc w:val="left"/>
        <w:rPr>
          <w:caps w:val="false"/>
          <w:smallCaps w:val="false"/>
        </w:rPr>
      </w:pPr>
      <w:r>
        <w:rPr>
          <w:caps w:val="false"/>
          <w:smallCaps w:val="false"/>
        </w:rPr>
        <w:t> </w:t>
      </w:r>
    </w:p>
    <w:tbl>
      <w:tblPr>
        <w:tblW w:w="6598" w:type="dxa"/>
        <w:jc w:val="left"/>
        <w:tblInd w:w="0" w:type="dxa"/>
        <w:tblLayout w:type="fixed"/>
        <w:tblCellMar>
          <w:top w:w="0" w:type="dxa"/>
          <w:left w:w="0" w:type="dxa"/>
          <w:bottom w:w="0" w:type="dxa"/>
          <w:right w:w="0" w:type="dxa"/>
        </w:tblCellMar>
      </w:tblPr>
      <w:tblGrid>
        <w:gridCol w:w="4040"/>
        <w:gridCol w:w="90"/>
        <w:gridCol w:w="128"/>
        <w:gridCol w:w="669"/>
        <w:gridCol w:w="349"/>
        <w:gridCol w:w="128"/>
        <w:gridCol w:w="128"/>
        <w:gridCol w:w="776"/>
        <w:gridCol w:w="290"/>
      </w:tblGrid>
      <w:tr>
        <w:trPr/>
        <w:tc>
          <w:tcPr>
            <w:tcW w:w="404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7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July 31,</w:t>
            </w:r>
          </w:p>
        </w:tc>
        <w:tc>
          <w:tcPr>
            <w:tcW w:w="290" w:type="dxa"/>
            <w:tcBorders/>
            <w:vAlign w:val="center"/>
          </w:tcPr>
          <w:p>
            <w:pPr>
              <w:pStyle w:val="TableContents"/>
              <w:bidi w:val="0"/>
              <w:spacing w:before="0" w:after="283"/>
              <w:jc w:val="left"/>
              <w:rPr/>
            </w:pPr>
            <w:r>
              <w:rPr/>
              <w:t> </w:t>
            </w:r>
          </w:p>
        </w:tc>
      </w:tr>
      <w:tr>
        <w:trPr/>
        <w:tc>
          <w:tcPr>
            <w:tcW w:w="4040" w:type="dxa"/>
            <w:tcBorders/>
            <w:vAlign w:val="center"/>
          </w:tcPr>
          <w:p>
            <w:pPr>
              <w:pStyle w:val="TableContents"/>
              <w:bidi w:val="0"/>
              <w:spacing w:before="0" w:after="283"/>
              <w:jc w:val="left"/>
              <w:rPr/>
            </w:pPr>
            <w:r>
              <w:rPr/>
              <w:t>Effective tax rate on pre-tax book income:</w:t>
            </w:r>
          </w:p>
        </w:tc>
        <w:tc>
          <w:tcPr>
            <w:tcW w:w="90" w:type="dxa"/>
            <w:tcBorders/>
            <w:vAlign w:val="center"/>
          </w:tcPr>
          <w:p>
            <w:pPr>
              <w:pStyle w:val="TableContents"/>
              <w:bidi w:val="0"/>
              <w:spacing w:before="0" w:after="283"/>
              <w:jc w:val="left"/>
              <w:rPr/>
            </w:pPr>
            <w:r>
              <w:rPr/>
              <w:t> </w:t>
            </w:r>
          </w:p>
        </w:tc>
        <w:tc>
          <w:tcPr>
            <w:tcW w:w="79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349" w:type="dxa"/>
            <w:tcBorders/>
            <w:vAlign w:val="center"/>
          </w:tcPr>
          <w:p>
            <w:pPr>
              <w:pStyle w:val="TableContents"/>
              <w:bidi w:val="0"/>
              <w:spacing w:before="0" w:after="283"/>
              <w:jc w:val="left"/>
              <w:rPr/>
            </w:pPr>
            <w:r>
              <w:rPr/>
              <w:t> </w:t>
            </w:r>
          </w:p>
        </w:tc>
        <w:tc>
          <w:tcPr>
            <w:tcW w:w="128" w:type="dxa"/>
            <w:tcBorders/>
            <w:vAlign w:val="center"/>
          </w:tcPr>
          <w:p>
            <w:pPr>
              <w:pStyle w:val="TableContents"/>
              <w:bidi w:val="0"/>
              <w:spacing w:before="0" w:after="283"/>
              <w:jc w:val="left"/>
              <w:rPr/>
            </w:pPr>
            <w:r>
              <w:rPr/>
              <w:t> </w:t>
            </w:r>
          </w:p>
        </w:tc>
        <w:tc>
          <w:tcPr>
            <w:tcW w:w="9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90" w:type="dxa"/>
            <w:tcBorders/>
            <w:vAlign w:val="center"/>
          </w:tcPr>
          <w:p>
            <w:pPr>
              <w:pStyle w:val="TableContents"/>
              <w:bidi w:val="0"/>
              <w:spacing w:before="0" w:after="283"/>
              <w:jc w:val="left"/>
              <w:rPr/>
            </w:pPr>
            <w:r>
              <w:rPr/>
              <w:t> </w:t>
            </w:r>
          </w:p>
        </w:tc>
      </w:tr>
      <w:tr>
        <w:trPr/>
        <w:tc>
          <w:tcPr>
            <w:tcW w:w="404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669" w:type="dxa"/>
            <w:tcBorders/>
            <w:shd w:fill="CCEEFF" w:val="clear"/>
            <w:vAlign w:val="center"/>
          </w:tcPr>
          <w:p>
            <w:pPr>
              <w:pStyle w:val="TableContents"/>
              <w:bidi w:val="0"/>
              <w:spacing w:before="0" w:after="283"/>
              <w:jc w:val="right"/>
              <w:rPr/>
            </w:pPr>
            <w:r>
              <w:rPr/>
              <w:t>19.6</w:t>
            </w:r>
          </w:p>
        </w:tc>
        <w:tc>
          <w:tcPr>
            <w:tcW w:w="349" w:type="dxa"/>
            <w:tcBorders/>
            <w:shd w:fill="CCEEFF" w:val="clear"/>
            <w:vAlign w:val="center"/>
          </w:tcPr>
          <w:p>
            <w:pPr>
              <w:pStyle w:val="TableContents"/>
              <w:bidi w:val="0"/>
              <w:spacing w:before="0" w:after="283"/>
              <w:jc w:val="left"/>
              <w:rPr/>
            </w:pPr>
            <w:r>
              <w:rPr/>
              <w:t>%</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76" w:type="dxa"/>
            <w:tcBorders/>
            <w:shd w:fill="CCEEFF" w:val="clear"/>
            <w:vAlign w:val="center"/>
          </w:tcPr>
          <w:p>
            <w:pPr>
              <w:pStyle w:val="TableContents"/>
              <w:bidi w:val="0"/>
              <w:spacing w:before="0" w:after="283"/>
              <w:jc w:val="right"/>
              <w:rPr/>
            </w:pPr>
            <w:r>
              <w:rPr/>
              <w:t>-13.9</w:t>
            </w:r>
          </w:p>
        </w:tc>
        <w:tc>
          <w:tcPr>
            <w:tcW w:w="29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President Trump signed the OBBBA into law. In accordance with U.S. GAAP, the Company accounted for the tax effects of changes in tax law in the period of enactment – the first quarter of fiscal year 2026. The OBBBA made changes to the U.S. tax code, including, but not limited to: (1) allowing taxpayers to fully deduct domestic research expenditures for tax years beginning after December 31, 2024, (2) provides a catch-up relief provision for taxpayers to accelerate deductions for unamortized domestic research expenditures, (3) includes a permanent provision for 100% bonus depreciation deductions for most tangible personal property with a recovery period of 20 years or less, acquired and placed in service after January 19, 2025, and (4) for tax years beginning after December 31, 2024, restores Adjusted Taxable Income by adding back amortization and depreciation to calculate the limitation on interest deductions (effectively returning to EBITDA).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estimated annual effective tax rate for the fiscal year ending April 30, 2027 is 24.90%. This calculation reflects an estimated income tax expense based on our current fiscal year annual pretax income forecast which includes non-deductible expenses, estimated R&amp;D credits, and state income taxes. The estimate of the annual effective tax rate is based on evaluations of possible future events and may be subject to revision in future reporting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ending July 31, 2026, the Company recorded an income tax provision of $1 million which includes a discrete income tax benefit of $0.3 million. The discrete income tax benefit was primarily due to stock compensation windfall deductions. The calculation of the overall income tax provision consists of current U.S. federal and state income taxes offset by a discrete tax benefit. For the three months ended July 31, 2025, the Company recorded an income tax benefit of $0.8 million which included a discrete income tax benefit of $0.2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tax rate for the three months ended July 31, 2026 was an income tax provision of 19.58% on pretax income of $5.2 million compared to an income tax benefit of 13.89% on pretax income of $0.6 million in the comparable prior fiscal year period. The effective tax rate for the three months ended July 31, 2026 differs from the U.S. federal statutory rate of 21% primarily due to non-deductible expenses, state income taxes, R&amp;D credits and discrete items.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consolidated balance sheets continue to reflect a strong working capital position of approximately $90.2 million at July 31, 2026 and approximately $27.0 million at April 30, 2026.  Included in working capital at July 31, 2026 and April 30, 2026 was $61.4 million and $1.6 million, respectively, of cash and cash equivalents. The Company’s current ratio was 5.3 to 1 at July 31, 2026 compared to 2.3 to 1 as of April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for the three months ended July 31, 2026 and 2025 was approximately $2.6 million and $1.2 million, respectively. The increase in net cash provided by operating activities in the first three months of fiscal 2027 as compared to the prior fiscal year period was primarily due to timing of billings and cash collections and an increase in net income. For the three months ended July 31, 2026 and 2025, the Company incurred approximately $2.5 million and $1.8 million, respectively, of non-cash charges to earnings including amortization of ROU assets, depreciation and amortization, inventory net realizable value adjustments, deferred compensation, and accruals for employee benefit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for the three months ended July 31, 2026 and 2025 was approximately $0.9 million and $0.8 million, respectively, relating to purchases of capital expenditures and the purchase of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three months ended July 31, 2026 was $58.1 million, all related to the Company’s public offering of its common stock in July 2026. On July 30, 2026, the Company completed a public offering (the “Offering”) of 1,739,131 shares of its common stock. The Company offered and sold 1,086,957 shares of common stock, and certain selling stockholders offered and sold a total of 652,174 shares of common stock. The shares were sold to investors at $57.50 per share. The gross proceeds to the Company from the Offering, before deducting the underwriting discounts and commissions and offering expenses, were approximately $62.5 million. Net of underwriting discounts and commissions of approximately $3.8 million and offering expenses of approximately $0.6 million, the total proceeds received were approximately $58.1 million. The Company did not receive any proceeds from the sale of the shares by the selling stockholders. The Company intends to use the proceeds for general corporate purposes and investments in the Company’s future growth. Net cash used in financing activities for the three months ended July 31, 2025 was $0.6 million, all related to purchase of treasury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granted the underwriters to the Offering an option, exercisable for 30 days, to purchase up to 260,869 shares of common stock from the Company on the same terms (the “Option Shares”). On August 3, 2026, the underwriters exercised their option in full and on August 5, 2026, purchased the Option Shares from the Company. The gross proceeds to the Company from the sale of the Option Shares, before deducting the underwriting discounts and commissions and offering expenses, were approximately $15 million.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2025, the Company’s Board of Directors approved a new share repurchase authorization in the amount of $20.0 million. Under this share repurchase authorization, shares of the Company’s common stock may be purchased on a discretionary basis from time to time, subject to general business and market conditions, other investment opportunities and compliance with the covenants under the Credit Agreement (as defined below), through open market purchases, privately negotiated transactions or other means. This repurchase program may be suspended or discontinued at any time without notice. The share repurchase authorization replaced the Company’s prior $5.0 million share repurchase authorization, which was initially authorized in March 2005, under which approximately $0.6 million remained. The current share repurchase authorization does not have an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July 31, 2026, the Company did not acquire any shares of the Company’s common stock. As of July 31, 2026, the Company had repurchased approximately $1.0 million of its common stock out of the $20.0 million authorized under the current share repurchase authorization. During the three months ended July 31, 2025, the Company repurchased 21,910 shares of the Company’s outstanding common stock at a weighted average share price of $26.60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continue to expend resources for R&amp;D to develop, improve and acquire products for space applications, guidance and targeting systems, and communication systems that management believes will result in future growth and profitability. The Company anticipates securing additional customer funding for a portion of its R&amp;D activities and will allocate internal funds depending on market conditions and identification of new opportunities.  The Company expects internally generated cash will be adequate to fund these R&amp;D efforts.  The Company may also pursue acquisitions to expand its range of products and may use internally generated cash and external funding in connection with such acquisitions.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As of July 31, 2026, the Company’s consolidated funded backlog was approximately $129 million compared to approximately $111 million at April 30, 2026.  Approximately 67% of the backlog, as of July 31, 2026, is expected to be realized in the next twelve months. The Company excludes from backlog any contracts or awards for which it has not received authorization to proceed. On fixed price contracts, the Company excludes any unfunded portion. Over time, as partially funded contracts become fully funded, the Company will add the additional funding to its backlog. The backlog is subject to change for various reasons, including possible cancellation of orders, change orders, terms of the contracts and other factors beyond the Company’s control. Accordingly, the backlog is not necessarily indicative of future revenues or profits (losses) which may be realized when the results of such contracts are reported.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12, 2026, the Company entered into a senior, secured revolving credit facility with JPMorgan Chase Bank, N.A., as the lender (the “Credit Agreement”). The Credit Agreement provides for a three-year revolving credit facility of $10.0 million, of which up to $5.0 million is available for the issuance of letters of credit. The Credit Agreement provides that the Company may, at its option increase the aggregate amount of the revolving credit facility in an amount up to $10.0 million, subject to certain customary conditions and on the terms set forth in the Credit Agreement. There can be no assurance that additional funding will become available. Commitments under the revolving credit facility are subject to a commitment fee of 0.35% per annum on the daily amount of the undrawn portion of the revolving credit facility. The Company’s obligations under the Credit Agreement are guaranteed by FEI-Zyfer, Inc., a wholly-owned subsidiary of the Company. The revolving credit facility matures on June 12, 2029. For more information regarding the Credit Agreement, see Note 7 to the Consolidated Financial Statements in the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its liquidity is adequate to meet its short-term operating and investment needs through at least September 14, 2027 and its long-term operation and investment needs for the foreseeable future thereafter.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0" w:name="a_008"/>
      <w:bookmarkEnd w:id="10"/>
      <w:r>
        <w:rPr>
          <w:rFonts w:ascii="Times New Roman;Times;Serif" w:hAnsi="Times New Roman;Times;Serif"/>
          <w:b/>
          <w:i w:val="false"/>
          <w:caps w:val="false"/>
          <w:smallCaps w:val="false"/>
          <w:sz w:val="20"/>
        </w:rPr>
        <w:t>Item 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to smaller reporting companies.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11" w:name="a_009"/>
      <w:bookmarkEnd w:id="11"/>
      <w:r>
        <w:rPr>
          <w:rFonts w:ascii="Times New Roman;Times;Serif" w:hAnsi="Times New Roman;Times;Serif"/>
          <w:b/>
          <w:i w:val="false"/>
          <w:caps w:val="false"/>
          <w:smallCaps w:val="false"/>
          <w:sz w:val="20"/>
        </w:rPr>
        <w:t>Item 4.</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Evaluation of Disclosure Controls and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their evaluation, the Company’s Chief Executive Officer and Chief Financial Officer have concluded that as of July 31, 2026, the Company’s disclosure controls and procedures were effective at a reasonable assurance level.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Changes in Internal Control Over Financial Reporting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the Company’s internal control over financial reporting (as such term is defined in Rules 13a-15(f) and 15d-15(f) under the Exchange Act) during the fiscal quarter ended July 31, 2026 that have materially affected, or are reasonably likely to materially affect, the Company’s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0"/>
      <w:bookmarkEnd w:id="12"/>
      <w:r>
        <w:rPr>
          <w:rFonts w:ascii="Times New Roman;Times;Serif" w:hAnsi="Times New Roman;Times;Serif"/>
          <w:b/>
          <w:i w:val="false"/>
          <w:caps w:val="false"/>
          <w:smallCaps w:val="false"/>
          <w:sz w:val="20"/>
        </w:rPr>
        <w:t xml:space="preserve">Item 1A. </w:t>
      </w:r>
      <w:r>
        <w:rPr>
          <w:rFonts w:ascii="Times New Roman;Times;Serif" w:hAnsi="Times New Roman;Times;Serif"/>
          <w:b/>
          <w:i w:val="false"/>
          <w:caps w:val="false"/>
          <w:smallCaps w:val="false"/>
          <w:sz w:val="20"/>
          <w:u w:val="single"/>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in “Item 1A. Risk Factors” in the Form 10-K, there are a number of risks and uncertainties that could have a material adverse effect on the Company’s business, financial position, results of operations and/or cash flows. There are no material updates or changes to the Company’s risk factors since the filing of the Form 10-K.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3" w:name="a_011"/>
      <w:bookmarkEnd w:id="13"/>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Share Repurchases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share repurchase activity for the quarter ended July 31, 2026:</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31"/>
        <w:gridCol w:w="90"/>
        <w:gridCol w:w="316"/>
        <w:gridCol w:w="1287"/>
        <w:gridCol w:w="90"/>
        <w:gridCol w:w="90"/>
        <w:gridCol w:w="417"/>
        <w:gridCol w:w="899"/>
        <w:gridCol w:w="90"/>
        <w:gridCol w:w="90"/>
        <w:gridCol w:w="414"/>
        <w:gridCol w:w="2247"/>
        <w:gridCol w:w="90"/>
        <w:gridCol w:w="90"/>
        <w:gridCol w:w="382"/>
        <w:gridCol w:w="2543"/>
        <w:gridCol w:w="139"/>
      </w:tblGrid>
      <w:tr>
        <w:trPr/>
        <w:tc>
          <w:tcPr>
            <w:tcW w:w="931" w:type="dxa"/>
            <w:tcBorders>
              <w:bottom w:val="single" w:sz="8" w:space="0" w:color="000000"/>
            </w:tcBorders>
            <w:vAlign w:val="center"/>
          </w:tcPr>
          <w:p>
            <w:pPr>
              <w:pStyle w:val="TableContents"/>
              <w:bidi w:val="0"/>
              <w:spacing w:before="0" w:after="283"/>
              <w:jc w:val="left"/>
              <w:rPr>
                <w:b/>
              </w:rPr>
            </w:pPr>
            <w:r>
              <w:rPr>
                <w:b/>
              </w:rPr>
              <w:t>Period</w:t>
            </w:r>
          </w:p>
        </w:tc>
        <w:tc>
          <w:tcPr>
            <w:tcW w:w="90" w:type="dxa"/>
            <w:tcBorders/>
            <w:tcMar>
              <w:bottom w:w="0" w:type="dxa"/>
            </w:tcMar>
            <w:vAlign w:val="center"/>
          </w:tcPr>
          <w:p>
            <w:pPr>
              <w:pStyle w:val="TableContents"/>
              <w:bidi w:val="0"/>
              <w:spacing w:before="0" w:after="283"/>
              <w:jc w:val="left"/>
              <w:rPr/>
            </w:pPr>
            <w:r>
              <w:rPr/>
              <w:t> </w:t>
            </w:r>
          </w:p>
        </w:tc>
        <w:tc>
          <w:tcPr>
            <w:tcW w:w="1603" w:type="dxa"/>
            <w:gridSpan w:val="2"/>
            <w:tcBorders>
              <w:bottom w:val="single" w:sz="8" w:space="0" w:color="000000"/>
            </w:tcBorders>
            <w:vAlign w:val="center"/>
          </w:tcPr>
          <w:p>
            <w:pPr>
              <w:pStyle w:val="TableContents"/>
              <w:bidi w:val="0"/>
              <w:spacing w:before="0" w:after="283"/>
              <w:jc w:val="center"/>
              <w:rPr>
                <w:b/>
              </w:rPr>
            </w:pPr>
            <w:r>
              <w:rPr>
                <w:b/>
              </w:rPr>
              <w:t xml:space="preserve">Total number of shares purchased </w:t>
              <w:br/>
              <w:t>(1) (2)</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316" w:type="dxa"/>
            <w:gridSpan w:val="2"/>
            <w:tcBorders>
              <w:bottom w:val="single" w:sz="8" w:space="0" w:color="000000"/>
            </w:tcBorders>
            <w:vAlign w:val="center"/>
          </w:tcPr>
          <w:p>
            <w:pPr>
              <w:pStyle w:val="TableContents"/>
              <w:bidi w:val="0"/>
              <w:spacing w:before="0" w:after="283"/>
              <w:jc w:val="center"/>
              <w:rPr>
                <w:b/>
              </w:rPr>
            </w:pPr>
            <w:r>
              <w:rPr>
                <w:b/>
              </w:rPr>
              <w:t>Average price paid per share</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661" w:type="dxa"/>
            <w:gridSpan w:val="2"/>
            <w:tcBorders>
              <w:bottom w:val="single" w:sz="8" w:space="0" w:color="000000"/>
            </w:tcBorders>
            <w:vAlign w:val="center"/>
          </w:tcPr>
          <w:p>
            <w:pPr>
              <w:pStyle w:val="TableContents"/>
              <w:bidi w:val="0"/>
              <w:spacing w:before="0" w:after="283"/>
              <w:jc w:val="center"/>
              <w:rPr>
                <w:b/>
              </w:rPr>
            </w:pPr>
            <w:r>
              <w:rPr>
                <w:b/>
              </w:rPr>
              <w:t>Total number of shares purchased as part of the publicly announced plan or program</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2925" w:type="dxa"/>
            <w:gridSpan w:val="2"/>
            <w:tcBorders>
              <w:bottom w:val="single" w:sz="8" w:space="0" w:color="000000"/>
            </w:tcBorders>
            <w:vAlign w:val="center"/>
          </w:tcPr>
          <w:p>
            <w:pPr>
              <w:pStyle w:val="TableContents"/>
              <w:bidi w:val="0"/>
              <w:spacing w:before="0" w:after="283"/>
              <w:jc w:val="center"/>
              <w:rPr>
                <w:b/>
              </w:rPr>
            </w:pPr>
            <w:r>
              <w:rPr>
                <w:b/>
              </w:rPr>
              <w:t>Approximate dollar value of shares that may yet be purchased under the plan or program</w:t>
            </w:r>
          </w:p>
        </w:tc>
        <w:tc>
          <w:tcPr>
            <w:tcW w:w="139" w:type="dxa"/>
            <w:tcBorders/>
            <w:tcMar>
              <w:bottom w:w="0" w:type="dxa"/>
            </w:tcMar>
            <w:vAlign w:val="center"/>
          </w:tcPr>
          <w:p>
            <w:pPr>
              <w:pStyle w:val="TableContents"/>
              <w:bidi w:val="0"/>
              <w:spacing w:before="0" w:after="283"/>
              <w:jc w:val="left"/>
              <w:rPr/>
            </w:pPr>
            <w:r>
              <w:rPr/>
              <w:t> </w:t>
            </w:r>
          </w:p>
        </w:tc>
      </w:tr>
      <w:tr>
        <w:trPr/>
        <w:tc>
          <w:tcPr>
            <w:tcW w:w="931" w:type="dxa"/>
            <w:tcBorders/>
            <w:shd w:fill="CCEEFF" w:val="clear"/>
            <w:tcMar>
              <w:bottom w:w="0" w:type="dxa"/>
            </w:tcMar>
            <w:vAlign w:val="center"/>
          </w:tcPr>
          <w:p>
            <w:pPr>
              <w:pStyle w:val="TableContents"/>
              <w:bidi w:val="0"/>
              <w:spacing w:before="0" w:after="283"/>
              <w:jc w:val="left"/>
              <w:rPr/>
            </w:pPr>
            <w:r>
              <w:rPr/>
              <w:t>May 1 - 31, 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6" w:type="dxa"/>
            <w:tcBorders/>
            <w:shd w:fill="CCEEFF" w:val="clear"/>
            <w:tcMar>
              <w:bottom w:w="0" w:type="dxa"/>
            </w:tcMar>
            <w:vAlign w:val="center"/>
          </w:tcPr>
          <w:p>
            <w:pPr>
              <w:pStyle w:val="TableContents"/>
              <w:bidi w:val="0"/>
              <w:spacing w:before="0" w:after="283"/>
              <w:jc w:val="left"/>
              <w:rPr/>
            </w:pPr>
            <w:r>
              <w:rPr/>
              <w:t> </w:t>
            </w:r>
          </w:p>
        </w:tc>
        <w:tc>
          <w:tcPr>
            <w:tcW w:w="1287" w:type="dxa"/>
            <w:tcBorders/>
            <w:shd w:fill="CCEEFF" w:val="clear"/>
            <w:tcMar>
              <w:bottom w:w="0" w:type="dxa"/>
            </w:tcMar>
            <w:vAlign w:val="center"/>
          </w:tcPr>
          <w:p>
            <w:pPr>
              <w:pStyle w:val="TableContents"/>
              <w:bidi w:val="0"/>
              <w:spacing w:before="0" w:after="283"/>
              <w:jc w:val="righ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7" w:type="dxa"/>
            <w:tcBorders/>
            <w:shd w:fill="CCEEFF" w:val="clear"/>
            <w:tcMar>
              <w:bottom w:w="0" w:type="dxa"/>
            </w:tcMar>
            <w:vAlign w:val="center"/>
          </w:tcPr>
          <w:p>
            <w:pPr>
              <w:pStyle w:val="TableContents"/>
              <w:bidi w:val="0"/>
              <w:spacing w:before="0" w:after="283"/>
              <w:jc w:val="left"/>
              <w:rPr/>
            </w:pPr>
            <w:r>
              <w:rPr/>
              <w:t>$</w:t>
            </w:r>
          </w:p>
        </w:tc>
        <w:tc>
          <w:tcPr>
            <w:tcW w:w="899" w:type="dxa"/>
            <w:tcBorders/>
            <w:shd w:fill="CCEEFF" w:val="clear"/>
            <w:tcMar>
              <w:bottom w:w="0" w:type="dxa"/>
            </w:tcMar>
            <w:vAlign w:val="center"/>
          </w:tcPr>
          <w:p>
            <w:pPr>
              <w:pStyle w:val="TableContents"/>
              <w:bidi w:val="0"/>
              <w:spacing w:before="0" w:after="283"/>
              <w:jc w:val="righ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4" w:type="dxa"/>
            <w:tcBorders/>
            <w:shd w:fill="CCEEFF" w:val="clear"/>
            <w:tcMar>
              <w:bottom w:w="0" w:type="dxa"/>
            </w:tcMar>
            <w:vAlign w:val="center"/>
          </w:tcPr>
          <w:p>
            <w:pPr>
              <w:pStyle w:val="TableContents"/>
              <w:bidi w:val="0"/>
              <w:spacing w:before="0" w:after="283"/>
              <w:jc w:val="left"/>
              <w:rPr/>
            </w:pPr>
            <w:r>
              <w:rPr/>
              <w:t> </w:t>
            </w:r>
          </w:p>
        </w:tc>
        <w:tc>
          <w:tcPr>
            <w:tcW w:w="2247" w:type="dxa"/>
            <w:tcBorders/>
            <w:shd w:fill="CCEEFF" w:val="clear"/>
            <w:tcMar>
              <w:bottom w:w="0" w:type="dxa"/>
            </w:tcMar>
            <w:vAlign w:val="center"/>
          </w:tcPr>
          <w:p>
            <w:pPr>
              <w:pStyle w:val="TableContents"/>
              <w:bidi w:val="0"/>
              <w:spacing w:before="0" w:after="283"/>
              <w:jc w:val="right"/>
              <w:rPr/>
            </w:pPr>
            <w:r>
              <w:rPr/>
              <w:t>      </w:t>
            </w: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2" w:type="dxa"/>
            <w:tcBorders/>
            <w:shd w:fill="CCEEFF" w:val="clear"/>
            <w:tcMar>
              <w:bottom w:w="0" w:type="dxa"/>
            </w:tcMar>
            <w:vAlign w:val="center"/>
          </w:tcPr>
          <w:p>
            <w:pPr>
              <w:pStyle w:val="TableContents"/>
              <w:bidi w:val="0"/>
              <w:spacing w:before="0" w:after="283"/>
              <w:jc w:val="left"/>
              <w:rPr/>
            </w:pPr>
            <w:r>
              <w:rPr/>
              <w:t>$</w:t>
            </w:r>
          </w:p>
        </w:tc>
        <w:tc>
          <w:tcPr>
            <w:tcW w:w="2543" w:type="dxa"/>
            <w:tcBorders/>
            <w:shd w:fill="CCEEFF" w:val="clear"/>
            <w:tcMar>
              <w:bottom w:w="0" w:type="dxa"/>
            </w:tcMar>
            <w:vAlign w:val="center"/>
          </w:tcPr>
          <w:p>
            <w:pPr>
              <w:pStyle w:val="TableContents"/>
              <w:bidi w:val="0"/>
              <w:spacing w:before="0" w:after="283"/>
              <w:jc w:val="right"/>
              <w:rPr/>
            </w:pPr>
            <w:r>
              <w:rPr/>
              <w:t>19,009,026</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931" w:type="dxa"/>
            <w:tcBorders/>
            <w:tcMar>
              <w:bottom w:w="0" w:type="dxa"/>
            </w:tcMar>
            <w:vAlign w:val="center"/>
          </w:tcPr>
          <w:p>
            <w:pPr>
              <w:pStyle w:val="TableContents"/>
              <w:bidi w:val="0"/>
              <w:spacing w:before="0" w:after="283"/>
              <w:jc w:val="left"/>
              <w:rPr/>
            </w:pPr>
            <w:r>
              <w:rPr/>
              <w:t>June 1 - 30, 2026</w:t>
            </w:r>
          </w:p>
        </w:tc>
        <w:tc>
          <w:tcPr>
            <w:tcW w:w="90" w:type="dxa"/>
            <w:tcBorders/>
            <w:tcMar>
              <w:bottom w:w="0" w:type="dxa"/>
            </w:tcMar>
            <w:vAlign w:val="center"/>
          </w:tcPr>
          <w:p>
            <w:pPr>
              <w:pStyle w:val="TableContents"/>
              <w:bidi w:val="0"/>
              <w:spacing w:before="0" w:after="283"/>
              <w:jc w:val="left"/>
              <w:rPr/>
            </w:pPr>
            <w:r>
              <w:rPr/>
              <w:t> </w:t>
            </w:r>
          </w:p>
        </w:tc>
        <w:tc>
          <w:tcPr>
            <w:tcW w:w="316" w:type="dxa"/>
            <w:tcBorders/>
            <w:tcMar>
              <w:bottom w:w="0" w:type="dxa"/>
            </w:tcMar>
            <w:vAlign w:val="center"/>
          </w:tcPr>
          <w:p>
            <w:pPr>
              <w:pStyle w:val="TableContents"/>
              <w:bidi w:val="0"/>
              <w:spacing w:before="0" w:after="283"/>
              <w:jc w:val="left"/>
              <w:rPr/>
            </w:pPr>
            <w:r>
              <w:rPr/>
              <w:t> </w:t>
            </w:r>
          </w:p>
        </w:tc>
        <w:tc>
          <w:tcPr>
            <w:tcW w:w="1287"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17" w:type="dxa"/>
            <w:tcBorders/>
            <w:tcMar>
              <w:bottom w:w="0" w:type="dxa"/>
            </w:tcMar>
            <w:vAlign w:val="center"/>
          </w:tcPr>
          <w:p>
            <w:pPr>
              <w:pStyle w:val="TableContents"/>
              <w:bidi w:val="0"/>
              <w:spacing w:before="0" w:after="283"/>
              <w:jc w:val="left"/>
              <w:rPr/>
            </w:pPr>
            <w:r>
              <w:rPr/>
              <w:t> </w:t>
            </w:r>
          </w:p>
        </w:tc>
        <w:tc>
          <w:tcPr>
            <w:tcW w:w="899"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14"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82" w:type="dxa"/>
            <w:tcBorders/>
            <w:tcMar>
              <w:bottom w:w="0" w:type="dxa"/>
            </w:tcMar>
            <w:vAlign w:val="center"/>
          </w:tcPr>
          <w:p>
            <w:pPr>
              <w:pStyle w:val="TableContents"/>
              <w:bidi w:val="0"/>
              <w:spacing w:before="0" w:after="283"/>
              <w:jc w:val="left"/>
              <w:rPr/>
            </w:pPr>
            <w:r>
              <w:rPr/>
              <w:t>$</w:t>
            </w:r>
          </w:p>
        </w:tc>
        <w:tc>
          <w:tcPr>
            <w:tcW w:w="2543" w:type="dxa"/>
            <w:tcBorders/>
            <w:tcMar>
              <w:bottom w:w="0" w:type="dxa"/>
            </w:tcMar>
            <w:vAlign w:val="center"/>
          </w:tcPr>
          <w:p>
            <w:pPr>
              <w:pStyle w:val="TableContents"/>
              <w:bidi w:val="0"/>
              <w:spacing w:before="0" w:after="283"/>
              <w:jc w:val="right"/>
              <w:rPr/>
            </w:pPr>
            <w:r>
              <w:rPr/>
              <w:t>19,009,026</w:t>
            </w:r>
          </w:p>
        </w:tc>
        <w:tc>
          <w:tcPr>
            <w:tcW w:w="139" w:type="dxa"/>
            <w:tcBorders/>
            <w:tcMar>
              <w:bottom w:w="0" w:type="dxa"/>
            </w:tcMar>
            <w:vAlign w:val="center"/>
          </w:tcPr>
          <w:p>
            <w:pPr>
              <w:pStyle w:val="TableContents"/>
              <w:bidi w:val="0"/>
              <w:spacing w:before="0" w:after="283"/>
              <w:jc w:val="left"/>
              <w:rPr/>
            </w:pPr>
            <w:r>
              <w:rPr/>
              <w:t> </w:t>
            </w:r>
          </w:p>
        </w:tc>
      </w:tr>
      <w:tr>
        <w:trPr/>
        <w:tc>
          <w:tcPr>
            <w:tcW w:w="931" w:type="dxa"/>
            <w:tcBorders/>
            <w:shd w:fill="CCEEFF" w:val="clear"/>
            <w:tcMar>
              <w:bottom w:w="0" w:type="dxa"/>
            </w:tcMar>
            <w:vAlign w:val="center"/>
          </w:tcPr>
          <w:p>
            <w:pPr>
              <w:pStyle w:val="TableContents"/>
              <w:bidi w:val="0"/>
              <w:spacing w:before="0" w:after="283"/>
              <w:jc w:val="left"/>
              <w:rPr/>
            </w:pPr>
            <w:r>
              <w:rPr/>
              <w:t>July 1 - 31, 2026</w:t>
            </w:r>
          </w:p>
        </w:tc>
        <w:tc>
          <w:tcPr>
            <w:tcW w:w="90" w:type="dxa"/>
            <w:tcBorders/>
            <w:shd w:fill="CCEEFF" w:val="clear"/>
            <w:tcMar>
              <w:bottom w:w="0" w:type="dxa"/>
            </w:tcMar>
            <w:vAlign w:val="center"/>
          </w:tcPr>
          <w:p>
            <w:pPr>
              <w:pStyle w:val="TableContents"/>
              <w:bidi w:val="0"/>
              <w:spacing w:before="0" w:after="283"/>
              <w:jc w:val="left"/>
              <w:rPr/>
            </w:pPr>
            <w:r>
              <w:rPr/>
              <w:t> </w:t>
            </w:r>
          </w:p>
        </w:tc>
        <w:tc>
          <w:tcPr>
            <w:tcW w:w="316" w:type="dxa"/>
            <w:tcBorders>
              <w:bottom w:val="single" w:sz="8" w:space="0" w:color="000000"/>
            </w:tcBorders>
            <w:shd w:fill="CCEEFF" w:val="clear"/>
            <w:vAlign w:val="center"/>
          </w:tcPr>
          <w:p>
            <w:pPr>
              <w:pStyle w:val="TableContents"/>
              <w:bidi w:val="0"/>
              <w:spacing w:before="0" w:after="283"/>
              <w:jc w:val="left"/>
              <w:rPr/>
            </w:pPr>
            <w:r>
              <w:rPr/>
              <w:t> </w:t>
            </w:r>
          </w:p>
        </w:tc>
        <w:tc>
          <w:tcPr>
            <w:tcW w:w="1287" w:type="dxa"/>
            <w:tcBorders>
              <w:bottom w:val="single" w:sz="8"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7" w:type="dxa"/>
            <w:tcBorders>
              <w:bottom w:val="single" w:sz="8" w:space="0" w:color="000000"/>
            </w:tcBorders>
            <w:shd w:fill="CCEEFF" w:val="clear"/>
            <w:vAlign w:val="center"/>
          </w:tcPr>
          <w:p>
            <w:pPr>
              <w:pStyle w:val="TableContents"/>
              <w:bidi w:val="0"/>
              <w:spacing w:before="0" w:after="283"/>
              <w:jc w:val="left"/>
              <w:rPr/>
            </w:pPr>
            <w:r>
              <w:rPr/>
              <w:t>$</w:t>
            </w:r>
          </w:p>
        </w:tc>
        <w:tc>
          <w:tcPr>
            <w:tcW w:w="899" w:type="dxa"/>
            <w:tcBorders>
              <w:bottom w:val="single" w:sz="8"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414" w:type="dxa"/>
            <w:tcBorders>
              <w:bottom w:val="single" w:sz="8" w:space="0" w:color="000000"/>
            </w:tcBorders>
            <w:shd w:fill="CCEEFF" w:val="clear"/>
            <w:vAlign w:val="center"/>
          </w:tcPr>
          <w:p>
            <w:pPr>
              <w:pStyle w:val="TableContents"/>
              <w:bidi w:val="0"/>
              <w:spacing w:before="0" w:after="283"/>
              <w:jc w:val="left"/>
              <w:rPr/>
            </w:pPr>
            <w:r>
              <w:rPr/>
              <w:t> </w:t>
            </w:r>
          </w:p>
        </w:tc>
        <w:tc>
          <w:tcPr>
            <w:tcW w:w="2247" w:type="dxa"/>
            <w:tcBorders>
              <w:bottom w:val="single" w:sz="8" w:space="0" w:color="000000"/>
            </w:tcBorders>
            <w:shd w:fill="CCEEFF" w:val="clear"/>
            <w:vAlign w:val="center"/>
          </w:tcPr>
          <w:p>
            <w:pPr>
              <w:pStyle w:val="TableContents"/>
              <w:bidi w:val="0"/>
              <w:spacing w:before="0" w:after="283"/>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382" w:type="dxa"/>
            <w:tcBorders>
              <w:bottom w:val="single" w:sz="8" w:space="0" w:color="000000"/>
            </w:tcBorders>
            <w:shd w:fill="CCEEFF" w:val="clear"/>
            <w:vAlign w:val="center"/>
          </w:tcPr>
          <w:p>
            <w:pPr>
              <w:pStyle w:val="TableContents"/>
              <w:bidi w:val="0"/>
              <w:spacing w:before="0" w:after="283"/>
              <w:jc w:val="left"/>
              <w:rPr/>
            </w:pPr>
            <w:r>
              <w:rPr/>
              <w:t>$</w:t>
            </w:r>
          </w:p>
        </w:tc>
        <w:tc>
          <w:tcPr>
            <w:tcW w:w="2543" w:type="dxa"/>
            <w:tcBorders>
              <w:bottom w:val="single" w:sz="8" w:space="0" w:color="000000"/>
            </w:tcBorders>
            <w:shd w:fill="CCEEFF" w:val="clear"/>
            <w:vAlign w:val="center"/>
          </w:tcPr>
          <w:p>
            <w:pPr>
              <w:pStyle w:val="TableContents"/>
              <w:bidi w:val="0"/>
              <w:spacing w:before="0" w:after="283"/>
              <w:jc w:val="right"/>
              <w:rPr/>
            </w:pPr>
            <w:r>
              <w:rPr/>
              <w:t>19,009,026</w:t>
            </w:r>
          </w:p>
        </w:tc>
        <w:tc>
          <w:tcPr>
            <w:tcW w:w="139" w:type="dxa"/>
            <w:tcBorders/>
            <w:shd w:fill="CCEEFF" w:val="clear"/>
            <w:tcMar>
              <w:bottom w:w="0" w:type="dxa"/>
            </w:tcMar>
            <w:vAlign w:val="center"/>
          </w:tcPr>
          <w:p>
            <w:pPr>
              <w:pStyle w:val="TableContents"/>
              <w:bidi w:val="0"/>
              <w:spacing w:before="0" w:after="283"/>
              <w:jc w:val="left"/>
              <w:rPr/>
            </w:pPr>
            <w:r>
              <w:rPr/>
              <w:t> </w:t>
            </w:r>
          </w:p>
        </w:tc>
      </w:tr>
      <w:tr>
        <w:trPr/>
        <w:tc>
          <w:tcPr>
            <w:tcW w:w="931" w:type="dxa"/>
            <w:tcBorders/>
            <w:tcMar>
              <w:bottom w:w="0" w:type="dxa"/>
            </w:tcMar>
            <w:vAlign w:val="center"/>
          </w:tcPr>
          <w:p>
            <w:pPr>
              <w:pStyle w:val="TableContents"/>
              <w:bidi w:val="0"/>
              <w:spacing w:before="0" w:after="283"/>
              <w:jc w:val="left"/>
              <w:rPr/>
            </w:pPr>
            <w:r>
              <w:rPr/>
              <w:t>Total</w:t>
            </w:r>
          </w:p>
        </w:tc>
        <w:tc>
          <w:tcPr>
            <w:tcW w:w="90" w:type="dxa"/>
            <w:tcBorders/>
            <w:tcMar>
              <w:bottom w:w="0" w:type="dxa"/>
            </w:tcMar>
            <w:vAlign w:val="center"/>
          </w:tcPr>
          <w:p>
            <w:pPr>
              <w:pStyle w:val="TableContents"/>
              <w:bidi w:val="0"/>
              <w:spacing w:before="0" w:after="283"/>
              <w:jc w:val="left"/>
              <w:rPr/>
            </w:pPr>
            <w:r>
              <w:rPr/>
              <w:t> </w:t>
            </w:r>
          </w:p>
        </w:tc>
        <w:tc>
          <w:tcPr>
            <w:tcW w:w="316" w:type="dxa"/>
            <w:tcBorders>
              <w:bottom w:val="double" w:sz="6" w:space="0" w:color="000000"/>
            </w:tcBorders>
            <w:vAlign w:val="center"/>
          </w:tcPr>
          <w:p>
            <w:pPr>
              <w:pStyle w:val="TableContents"/>
              <w:bidi w:val="0"/>
              <w:spacing w:before="0" w:after="283"/>
              <w:jc w:val="left"/>
              <w:rPr/>
            </w:pPr>
            <w:r>
              <w:rPr/>
              <w:t> </w:t>
            </w:r>
          </w:p>
        </w:tc>
        <w:tc>
          <w:tcPr>
            <w:tcW w:w="1287" w:type="dxa"/>
            <w:tcBorders>
              <w:bottom w:val="double" w:sz="6"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17" w:type="dxa"/>
            <w:tcBorders>
              <w:bottom w:val="double" w:sz="6" w:space="0" w:color="000000"/>
            </w:tcBorders>
            <w:vAlign w:val="center"/>
          </w:tcPr>
          <w:p>
            <w:pPr>
              <w:pStyle w:val="TableContents"/>
              <w:bidi w:val="0"/>
              <w:spacing w:before="0" w:after="283"/>
              <w:jc w:val="left"/>
              <w:rPr/>
            </w:pPr>
            <w:r>
              <w:rPr/>
              <w:t> </w:t>
            </w:r>
          </w:p>
        </w:tc>
        <w:tc>
          <w:tcPr>
            <w:tcW w:w="899" w:type="dxa"/>
            <w:tcBorders>
              <w:bottom w:val="double" w:sz="6" w:space="0" w:color="000000"/>
            </w:tcBorders>
            <w:vAlign w:val="center"/>
          </w:tcPr>
          <w:p>
            <w:pPr>
              <w:pStyle w:val="TableContents"/>
              <w:bidi w:val="0"/>
              <w:spacing w:before="0" w:after="283"/>
              <w:jc w:val="righ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414" w:type="dxa"/>
            <w:tcBorders>
              <w:bottom w:val="double" w:sz="6" w:space="0" w:color="000000"/>
            </w:tcBorders>
            <w:vAlign w:val="center"/>
          </w:tcPr>
          <w:p>
            <w:pPr>
              <w:pStyle w:val="TableContents"/>
              <w:bidi w:val="0"/>
              <w:spacing w:before="0" w:after="283"/>
              <w:jc w:val="left"/>
              <w:rPr/>
            </w:pPr>
            <w:r>
              <w:rPr/>
              <w:t> </w:t>
            </w:r>
          </w:p>
        </w:tc>
        <w:tc>
          <w:tcPr>
            <w:tcW w:w="2247" w:type="dxa"/>
            <w:tcBorders>
              <w:bottom w:val="double" w:sz="6" w:space="0" w:color="000000"/>
            </w:tcBorders>
            <w:vAlign w:val="center"/>
          </w:tcPr>
          <w:p>
            <w:pPr>
              <w:pStyle w:val="TableContents"/>
              <w:bidi w:val="0"/>
              <w:spacing w:before="0" w:after="283"/>
              <w:jc w:val="right"/>
              <w:rPr/>
            </w:pPr>
            <w:r>
              <w:rPr/>
              <w:t>-</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382" w:type="dxa"/>
            <w:tcBorders>
              <w:bottom w:val="double" w:sz="6" w:space="0" w:color="000000"/>
            </w:tcBorders>
            <w:vAlign w:val="center"/>
          </w:tcPr>
          <w:p>
            <w:pPr>
              <w:pStyle w:val="TableContents"/>
              <w:bidi w:val="0"/>
              <w:spacing w:before="0" w:after="283"/>
              <w:jc w:val="left"/>
              <w:rPr/>
            </w:pPr>
            <w:r>
              <w:rPr/>
              <w:t>$</w:t>
            </w:r>
          </w:p>
        </w:tc>
        <w:tc>
          <w:tcPr>
            <w:tcW w:w="2543" w:type="dxa"/>
            <w:tcBorders>
              <w:bottom w:val="double" w:sz="6" w:space="0" w:color="000000"/>
            </w:tcBorders>
            <w:vAlign w:val="center"/>
          </w:tcPr>
          <w:p>
            <w:pPr>
              <w:pStyle w:val="TableContents"/>
              <w:bidi w:val="0"/>
              <w:spacing w:before="0" w:after="283"/>
              <w:jc w:val="right"/>
              <w:rPr/>
            </w:pPr>
            <w:r>
              <w:rPr/>
              <w:t>19,009,026</w:t>
            </w:r>
          </w:p>
        </w:tc>
        <w:tc>
          <w:tcPr>
            <w:tcW w:w="139" w:type="dxa"/>
            <w:tcBorders/>
            <w:tcMar>
              <w:bottom w:w="0"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(1)</w:t>
            </w:r>
          </w:p>
        </w:tc>
        <w:tc>
          <w:tcPr>
            <w:tcW w:w="9885" w:type="dxa"/>
            <w:tcBorders/>
            <w:vAlign w:val="center"/>
          </w:tcPr>
          <w:p>
            <w:pPr>
              <w:pStyle w:val="TableContents"/>
              <w:bidi w:val="0"/>
              <w:spacing w:before="0" w:after="283"/>
              <w:jc w:val="both"/>
              <w:rPr/>
            </w:pPr>
            <w:r>
              <w:rPr/>
              <w:t>On September 9, 2025, the Company’s Board of Directors approved a share repurchase authorization in the amount of $20.0 million. Under this share repurchase authorization, the Company’s shares of common stock may be purchased on a discretionary basis from time to time, subject to general business and market conditions, other investment opportunities, and compliance with the covenants under the Credit Agreement, through open market purchases, privately negotiated transactions or other means. This repurchase program may be suspended or discontinued at any time without notice. The share repurchase authorization replaced the Company’s prior $5.0 million share repurchase authorization, which was initially authorized in March 2005, under which approximately $0.6 million remained. The current share repurchase authorization does not have an expiration date.</w:t>
            </w:r>
          </w:p>
        </w:tc>
      </w:tr>
    </w:tbl>
    <w:p>
      <w:pPr>
        <w:pStyle w:val="TextBody"/>
        <w:bidi w:val="0"/>
        <w:spacing w:before="0" w:after="0"/>
        <w:jc w:val="left"/>
        <w:rPr>
          <w:caps w:val="false"/>
          <w:smallCaps w:val="false"/>
        </w:rPr>
      </w:pPr>
      <w:r>
        <w:rPr>
          <w:caps w:val="false"/>
          <w:smallCaps w:val="false"/>
        </w:rPr>
        <w:t> </w:t>
      </w:r>
    </w:p>
    <w:tbl>
      <w:tblPr>
        <w:tblW w:w="9603" w:type="dxa"/>
        <w:jc w:val="left"/>
        <w:tblInd w:w="0" w:type="dxa"/>
        <w:tblLayout w:type="fixed"/>
        <w:tblCellMar>
          <w:top w:w="0" w:type="dxa"/>
          <w:left w:w="0" w:type="dxa"/>
          <w:bottom w:w="0" w:type="dxa"/>
          <w:right w:w="0" w:type="dxa"/>
        </w:tblCellMar>
      </w:tblPr>
      <w:tblGrid>
        <w:gridCol w:w="68"/>
        <w:gridCol w:w="320"/>
        <w:gridCol w:w="9215"/>
      </w:tblGrid>
      <w:tr>
        <w:trPr/>
        <w:tc>
          <w:tcPr>
            <w:tcW w:w="6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w:t>
            </w:r>
          </w:p>
        </w:tc>
        <w:tc>
          <w:tcPr>
            <w:tcW w:w="9215" w:type="dxa"/>
            <w:tcBorders/>
            <w:vAlign w:val="center"/>
          </w:tcPr>
          <w:p>
            <w:pPr>
              <w:pStyle w:val="TableContents"/>
              <w:bidi w:val="0"/>
              <w:spacing w:before="0" w:after="283"/>
              <w:jc w:val="both"/>
              <w:rPr/>
            </w:pPr>
            <w:r>
              <w:rPr/>
              <w:t>There were no shares withheld or otherwise repurchased during the quarter ended July 31,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4" w:name="a_012"/>
      <w:bookmarkEnd w:id="14"/>
      <w:r>
        <w:rPr>
          <w:rFonts w:ascii="Times New Roman;Times;Serif" w:hAnsi="Times New Roman;Times;Serif"/>
          <w:b/>
          <w:i w:val="false"/>
          <w:caps w:val="false"/>
          <w:smallCaps w:val="false"/>
          <w:sz w:val="20"/>
        </w:rPr>
        <w:t xml:space="preserve">Item 5. </w:t>
      </w:r>
      <w:r>
        <w:rPr>
          <w:rFonts w:ascii="Times New Roman;Times;Serif" w:hAnsi="Times New Roman;Times;Serif"/>
          <w:b/>
          <w:i w:val="false"/>
          <w:caps w:val="false"/>
          <w:smallCaps w:val="false"/>
          <w:sz w:val="20"/>
          <w:u w:val="single"/>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July 31, 2026,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15" w:name="a_013"/>
      <w:bookmarkEnd w:id="15"/>
      <w:r>
        <w:rPr>
          <w:rFonts w:ascii="Times New Roman;Times;Serif" w:hAnsi="Times New Roman;Times;Serif"/>
          <w:b/>
          <w:i w:val="false"/>
          <w:caps w:val="false"/>
          <w:smallCaps w:val="false"/>
          <w:sz w:val="20"/>
        </w:rPr>
        <w:t>Item 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8"/>
        <w:gridCol w:w="90"/>
        <w:gridCol w:w="9607"/>
      </w:tblGrid>
      <w:tr>
        <w:trPr/>
        <w:tc>
          <w:tcPr>
            <w:tcW w:w="508" w:type="dxa"/>
            <w:tcBorders/>
            <w:vAlign w:val="center"/>
          </w:tcPr>
          <w:p>
            <w:pPr>
              <w:pStyle w:val="TableContents"/>
              <w:bidi w:val="0"/>
              <w:spacing w:before="0" w:after="283"/>
              <w:jc w:val="left"/>
              <w:rPr>
                <w:sz w:val="20"/>
              </w:rPr>
            </w:pPr>
            <w:r>
              <w:rPr>
                <w:sz w:val="20"/>
              </w:rPr>
              <w:t>10.1 -</w:t>
            </w:r>
          </w:p>
        </w:tc>
        <w:tc>
          <w:tcPr>
            <w:tcW w:w="90" w:type="dxa"/>
            <w:tcBorders/>
            <w:vAlign w:val="center"/>
          </w:tcPr>
          <w:p>
            <w:pPr>
              <w:pStyle w:val="TableContents"/>
              <w:bidi w:val="0"/>
              <w:spacing w:before="0" w:after="283"/>
              <w:jc w:val="left"/>
              <w:rPr/>
            </w:pPr>
            <w:r>
              <w:rPr/>
              <w:t> </w:t>
            </w:r>
          </w:p>
        </w:tc>
        <w:tc>
          <w:tcPr>
            <w:tcW w:w="9607" w:type="dxa"/>
            <w:tcBorders/>
            <w:vAlign w:val="center"/>
          </w:tcPr>
          <w:p>
            <w:pPr>
              <w:pStyle w:val="TableContents"/>
              <w:bidi w:val="0"/>
              <w:spacing w:before="0" w:after="283"/>
              <w:jc w:val="both"/>
              <w:rPr/>
            </w:pPr>
            <w:hyperlink r:id="rId2">
              <w:r>
                <w:rPr>
                  <w:rStyle w:val="InternetLink"/>
                </w:rPr>
                <w:t>Credit Agreement dated June 12, 2026, by and among the Company, as borrower, FEI-Zyfer, Inc., as subsidiary guarantor, and JPMorgan Chase Bank, N.A., as the Lender (Filed with the SEC as Exhibit 10.1 to a current report of the Registrant on Form 8-K, File No. 1-8061, on June 12, 2026, which exhibit is incorporated herein by reference).</w:t>
              </w:r>
            </w:hyperlink>
          </w:p>
        </w:tc>
      </w:tr>
      <w:tr>
        <w:trPr/>
        <w:tc>
          <w:tcPr>
            <w:tcW w:w="5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07" w:type="dxa"/>
            <w:tcBorders/>
            <w:vAlign w:val="center"/>
          </w:tcPr>
          <w:p>
            <w:pPr>
              <w:pStyle w:val="TableContents"/>
              <w:bidi w:val="0"/>
              <w:spacing w:before="0" w:after="283"/>
              <w:jc w:val="both"/>
              <w:rPr/>
            </w:pPr>
            <w:r>
              <w:rPr/>
              <w:t> </w:t>
            </w:r>
          </w:p>
        </w:tc>
      </w:tr>
      <w:tr>
        <w:trPr/>
        <w:tc>
          <w:tcPr>
            <w:tcW w:w="508" w:type="dxa"/>
            <w:tcBorders/>
            <w:vAlign w:val="center"/>
          </w:tcPr>
          <w:p>
            <w:pPr>
              <w:pStyle w:val="TableContents"/>
              <w:bidi w:val="0"/>
              <w:spacing w:before="0" w:after="283"/>
              <w:jc w:val="left"/>
              <w:rPr>
                <w:sz w:val="20"/>
              </w:rPr>
            </w:pPr>
            <w:r>
              <w:rPr>
                <w:sz w:val="20"/>
              </w:rPr>
              <w:t>10.2 -</w:t>
            </w:r>
          </w:p>
        </w:tc>
        <w:tc>
          <w:tcPr>
            <w:tcW w:w="90" w:type="dxa"/>
            <w:tcBorders/>
            <w:vAlign w:val="center"/>
          </w:tcPr>
          <w:p>
            <w:pPr>
              <w:pStyle w:val="TableContents"/>
              <w:bidi w:val="0"/>
              <w:spacing w:before="0" w:after="283"/>
              <w:jc w:val="left"/>
              <w:rPr/>
            </w:pPr>
            <w:r>
              <w:rPr/>
              <w:t> </w:t>
            </w:r>
          </w:p>
        </w:tc>
        <w:tc>
          <w:tcPr>
            <w:tcW w:w="9607" w:type="dxa"/>
            <w:tcBorders/>
            <w:vAlign w:val="center"/>
          </w:tcPr>
          <w:p>
            <w:pPr>
              <w:pStyle w:val="TableContents"/>
              <w:bidi w:val="0"/>
              <w:spacing w:before="0" w:after="283"/>
              <w:jc w:val="both"/>
              <w:rPr/>
            </w:pPr>
            <w:hyperlink r:id="rId3">
              <w:r>
                <w:rPr>
                  <w:rStyle w:val="InternetLink"/>
                </w:rPr>
                <w:t>Pledge and Security Agreement dated June 12, 2026, by and among the Company, as borrower, FEI-Zyfer, Inc., as subsidiary guarantor, and JPMorgan Chase Bank, N.A., as the Lender (Filed with the SEC as Exhibit 10.2 to a current report of the Registrant on Form 8-K, File No. 1-8061, on June 12, 2026, which exhibit is incorporated herein by reference).  </w:t>
              </w:r>
            </w:hyperlink>
          </w:p>
        </w:tc>
      </w:tr>
      <w:tr>
        <w:trPr/>
        <w:tc>
          <w:tcPr>
            <w:tcW w:w="5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07" w:type="dxa"/>
            <w:tcBorders/>
            <w:vAlign w:val="center"/>
          </w:tcPr>
          <w:p>
            <w:pPr>
              <w:pStyle w:val="TableContents"/>
              <w:bidi w:val="0"/>
              <w:spacing w:before="0" w:after="283"/>
              <w:jc w:val="both"/>
              <w:rPr/>
            </w:pPr>
            <w:r>
              <w:rPr/>
              <w:t> </w:t>
            </w:r>
          </w:p>
        </w:tc>
      </w:tr>
      <w:tr>
        <w:trPr/>
        <w:tc>
          <w:tcPr>
            <w:tcW w:w="508" w:type="dxa"/>
            <w:tcBorders/>
            <w:vAlign w:val="center"/>
          </w:tcPr>
          <w:p>
            <w:pPr>
              <w:pStyle w:val="TableContents"/>
              <w:bidi w:val="0"/>
              <w:spacing w:before="0" w:after="283"/>
              <w:jc w:val="left"/>
              <w:rPr>
                <w:sz w:val="20"/>
              </w:rPr>
            </w:pPr>
            <w:r>
              <w:rPr>
                <w:sz w:val="20"/>
              </w:rPr>
              <w:t xml:space="preserve">[10.3 - </w:t>
            </w:r>
          </w:p>
        </w:tc>
        <w:tc>
          <w:tcPr>
            <w:tcW w:w="90" w:type="dxa"/>
            <w:tcBorders/>
            <w:vAlign w:val="center"/>
          </w:tcPr>
          <w:p>
            <w:pPr>
              <w:pStyle w:val="TableContents"/>
              <w:bidi w:val="0"/>
              <w:spacing w:before="0" w:after="283"/>
              <w:jc w:val="left"/>
              <w:rPr/>
            </w:pPr>
            <w:r>
              <w:rPr/>
              <w:t> </w:t>
            </w:r>
          </w:p>
        </w:tc>
        <w:tc>
          <w:tcPr>
            <w:tcW w:w="9607" w:type="dxa"/>
            <w:tcBorders/>
            <w:vAlign w:val="center"/>
          </w:tcPr>
          <w:p>
            <w:pPr>
              <w:pStyle w:val="TableContents"/>
              <w:bidi w:val="0"/>
              <w:spacing w:before="0" w:after="283"/>
              <w:jc w:val="both"/>
              <w:rPr>
                <w:sz w:val="20"/>
              </w:rPr>
            </w:pPr>
            <w:r>
              <w:rPr>
                <w:sz w:val="20"/>
              </w:rPr>
              <w:t>Form of Restricted Stock Unit Award Agreement]</w:t>
            </w:r>
          </w:p>
        </w:tc>
      </w:tr>
      <w:tr>
        <w:trPr/>
        <w:tc>
          <w:tcPr>
            <w:tcW w:w="5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07" w:type="dxa"/>
            <w:tcBorders/>
            <w:vAlign w:val="center"/>
          </w:tcPr>
          <w:p>
            <w:pPr>
              <w:pStyle w:val="TableContents"/>
              <w:bidi w:val="0"/>
              <w:spacing w:before="0" w:after="283"/>
              <w:jc w:val="both"/>
              <w:rPr/>
            </w:pPr>
            <w:r>
              <w:rPr/>
              <w:t> </w:t>
            </w:r>
          </w:p>
        </w:tc>
      </w:tr>
      <w:tr>
        <w:trPr/>
        <w:tc>
          <w:tcPr>
            <w:tcW w:w="508" w:type="dxa"/>
            <w:tcBorders/>
            <w:vAlign w:val="center"/>
          </w:tcPr>
          <w:p>
            <w:pPr>
              <w:pStyle w:val="TableContents"/>
              <w:bidi w:val="0"/>
              <w:spacing w:before="0" w:after="283"/>
              <w:jc w:val="left"/>
              <w:rPr>
                <w:sz w:val="20"/>
              </w:rPr>
            </w:pPr>
            <w:r>
              <w:rPr>
                <w:sz w:val="20"/>
              </w:rPr>
              <w:t xml:space="preserve">[10.4 - </w:t>
            </w:r>
          </w:p>
        </w:tc>
        <w:tc>
          <w:tcPr>
            <w:tcW w:w="90" w:type="dxa"/>
            <w:tcBorders/>
            <w:vAlign w:val="center"/>
          </w:tcPr>
          <w:p>
            <w:pPr>
              <w:pStyle w:val="TableContents"/>
              <w:bidi w:val="0"/>
              <w:spacing w:before="0" w:after="283"/>
              <w:jc w:val="left"/>
              <w:rPr/>
            </w:pPr>
            <w:r>
              <w:rPr/>
              <w:t> </w:t>
            </w:r>
          </w:p>
        </w:tc>
        <w:tc>
          <w:tcPr>
            <w:tcW w:w="9607" w:type="dxa"/>
            <w:tcBorders/>
            <w:vAlign w:val="center"/>
          </w:tcPr>
          <w:p>
            <w:pPr>
              <w:pStyle w:val="TableContents"/>
              <w:bidi w:val="0"/>
              <w:spacing w:before="0" w:after="283"/>
              <w:jc w:val="both"/>
              <w:rPr>
                <w:sz w:val="20"/>
              </w:rPr>
            </w:pPr>
            <w:r>
              <w:rPr>
                <w:sz w:val="20"/>
              </w:rPr>
              <w:t>Form of Performance Stock Unit Award Agreement]</w:t>
            </w:r>
          </w:p>
        </w:tc>
      </w:tr>
      <w:tr>
        <w:trPr/>
        <w:tc>
          <w:tcPr>
            <w:tcW w:w="5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07" w:type="dxa"/>
            <w:tcBorders/>
            <w:vAlign w:val="center"/>
          </w:tcPr>
          <w:p>
            <w:pPr>
              <w:pStyle w:val="TableContents"/>
              <w:bidi w:val="0"/>
              <w:spacing w:before="0" w:after="283"/>
              <w:jc w:val="both"/>
              <w:rPr/>
            </w:pPr>
            <w:r>
              <w:rPr/>
              <w:t> </w:t>
            </w:r>
          </w:p>
        </w:tc>
      </w:tr>
      <w:tr>
        <w:trPr/>
        <w:tc>
          <w:tcPr>
            <w:tcW w:w="508" w:type="dxa"/>
            <w:tcBorders/>
            <w:vAlign w:val="center"/>
          </w:tcPr>
          <w:p>
            <w:pPr>
              <w:pStyle w:val="TableContents"/>
              <w:bidi w:val="0"/>
              <w:spacing w:before="0" w:after="283"/>
              <w:jc w:val="left"/>
              <w:rPr>
                <w:sz w:val="20"/>
              </w:rPr>
            </w:pPr>
            <w:r>
              <w:rPr>
                <w:sz w:val="20"/>
              </w:rPr>
              <w:t>31.2 -</w:t>
            </w:r>
          </w:p>
        </w:tc>
        <w:tc>
          <w:tcPr>
            <w:tcW w:w="90" w:type="dxa"/>
            <w:tcBorders/>
            <w:vAlign w:val="center"/>
          </w:tcPr>
          <w:p>
            <w:pPr>
              <w:pStyle w:val="TableContents"/>
              <w:bidi w:val="0"/>
              <w:spacing w:before="0" w:after="283"/>
              <w:jc w:val="left"/>
              <w:rPr/>
            </w:pPr>
            <w:r>
              <w:rPr/>
              <w:t> </w:t>
            </w:r>
          </w:p>
        </w:tc>
        <w:tc>
          <w:tcPr>
            <w:tcW w:w="9607" w:type="dxa"/>
            <w:tcBorders/>
            <w:vAlign w:val="center"/>
          </w:tcPr>
          <w:p>
            <w:pPr>
              <w:pStyle w:val="TableContents"/>
              <w:bidi w:val="0"/>
              <w:spacing w:before="0" w:after="283"/>
              <w:jc w:val="both"/>
              <w:rPr/>
            </w:pPr>
            <w:hyperlink w:anchor="feimex31-2.htm">
              <w:r>
                <w:rPr>
                  <w:rStyle w:val="InternetLink"/>
                  <w:sz w:val="20"/>
                </w:rPr>
                <w:t>Certification by the Chief Financial Officer pursuant to Rule 13a-14(a) or 15d-14(a) under the Securities Exchange Act of 1934, as adopted pursuant to Section 302 of the Sarbanes-Oxley Act of 2002.</w:t>
              </w:r>
            </w:hyperlink>
          </w:p>
        </w:tc>
      </w:tr>
      <w:tr>
        <w:trPr/>
        <w:tc>
          <w:tcPr>
            <w:tcW w:w="5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07" w:type="dxa"/>
            <w:tcBorders/>
            <w:vAlign w:val="center"/>
          </w:tcPr>
          <w:p>
            <w:pPr>
              <w:pStyle w:val="TableContents"/>
              <w:bidi w:val="0"/>
              <w:spacing w:before="0" w:after="283"/>
              <w:jc w:val="both"/>
              <w:rPr/>
            </w:pPr>
            <w:r>
              <w:rPr/>
              <w:t> </w:t>
            </w:r>
          </w:p>
        </w:tc>
      </w:tr>
      <w:tr>
        <w:trPr/>
        <w:tc>
          <w:tcPr>
            <w:tcW w:w="508" w:type="dxa"/>
            <w:tcBorders/>
            <w:vAlign w:val="center"/>
          </w:tcPr>
          <w:p>
            <w:pPr>
              <w:pStyle w:val="TableContents"/>
              <w:bidi w:val="0"/>
              <w:spacing w:before="0" w:after="283"/>
              <w:jc w:val="left"/>
              <w:rPr>
                <w:sz w:val="20"/>
              </w:rPr>
            </w:pPr>
            <w:r>
              <w:rPr>
                <w:sz w:val="20"/>
              </w:rPr>
              <w:t>32 -</w:t>
            </w:r>
          </w:p>
        </w:tc>
        <w:tc>
          <w:tcPr>
            <w:tcW w:w="90" w:type="dxa"/>
            <w:tcBorders/>
            <w:vAlign w:val="center"/>
          </w:tcPr>
          <w:p>
            <w:pPr>
              <w:pStyle w:val="TableContents"/>
              <w:bidi w:val="0"/>
              <w:spacing w:before="0" w:after="283"/>
              <w:jc w:val="left"/>
              <w:rPr/>
            </w:pPr>
            <w:r>
              <w:rPr/>
              <w:t> </w:t>
            </w:r>
          </w:p>
        </w:tc>
        <w:tc>
          <w:tcPr>
            <w:tcW w:w="9607" w:type="dxa"/>
            <w:tcBorders/>
            <w:vAlign w:val="center"/>
          </w:tcPr>
          <w:p>
            <w:pPr>
              <w:pStyle w:val="TableContents"/>
              <w:bidi w:val="0"/>
              <w:spacing w:before="0" w:after="283"/>
              <w:jc w:val="both"/>
              <w:rPr/>
            </w:pPr>
            <w:hyperlink w:anchor="feimex32.htm">
              <w:r>
                <w:rPr>
                  <w:rStyle w:val="InternetLink"/>
                  <w:sz w:val="20"/>
                </w:rPr>
                <w:t>Certifications by the Chief Executive Officer and Chief Financial Officer pursuant to 18 U.S.C. Section 1350, as adopted pursuant to Section 906 of the Sarbanes-Oxley Act of 2002.</w:t>
              </w:r>
            </w:hyperlink>
          </w:p>
        </w:tc>
      </w:tr>
      <w:tr>
        <w:trPr/>
        <w:tc>
          <w:tcPr>
            <w:tcW w:w="5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07" w:type="dxa"/>
            <w:tcBorders/>
            <w:vAlign w:val="center"/>
          </w:tcPr>
          <w:p>
            <w:pPr>
              <w:pStyle w:val="TableContents"/>
              <w:bidi w:val="0"/>
              <w:spacing w:before="0" w:after="283"/>
              <w:jc w:val="both"/>
              <w:rPr/>
            </w:pPr>
            <w:r>
              <w:rPr/>
              <w:t> </w:t>
            </w:r>
          </w:p>
        </w:tc>
      </w:tr>
      <w:tr>
        <w:trPr/>
        <w:tc>
          <w:tcPr>
            <w:tcW w:w="508" w:type="dxa"/>
            <w:tcBorders/>
            <w:vAlign w:val="center"/>
          </w:tcPr>
          <w:p>
            <w:pPr>
              <w:pStyle w:val="TableContents"/>
              <w:bidi w:val="0"/>
              <w:spacing w:before="0" w:after="283"/>
              <w:jc w:val="left"/>
              <w:rPr>
                <w:sz w:val="20"/>
              </w:rPr>
            </w:pPr>
            <w:r>
              <w:rPr>
                <w:sz w:val="20"/>
              </w:rPr>
              <w:t>101-</w:t>
            </w:r>
          </w:p>
        </w:tc>
        <w:tc>
          <w:tcPr>
            <w:tcW w:w="90" w:type="dxa"/>
            <w:tcBorders/>
            <w:vAlign w:val="center"/>
          </w:tcPr>
          <w:p>
            <w:pPr>
              <w:pStyle w:val="TableContents"/>
              <w:bidi w:val="0"/>
              <w:spacing w:before="0" w:after="283"/>
              <w:jc w:val="left"/>
              <w:rPr/>
            </w:pPr>
            <w:r>
              <w:rPr/>
              <w:t> </w:t>
            </w:r>
          </w:p>
        </w:tc>
        <w:tc>
          <w:tcPr>
            <w:tcW w:w="9607" w:type="dxa"/>
            <w:tcBorders/>
            <w:vAlign w:val="center"/>
          </w:tcPr>
          <w:p>
            <w:pPr>
              <w:pStyle w:val="TableContents"/>
              <w:bidi w:val="0"/>
              <w:spacing w:before="0" w:after="283"/>
              <w:jc w:val="both"/>
              <w:rPr>
                <w:sz w:val="20"/>
              </w:rPr>
            </w:pPr>
            <w:r>
              <w:rPr>
                <w:sz w:val="20"/>
              </w:rPr>
              <w:t>The following materials from the Frequency Electronics, Inc. Quarterly Report on Form 10-Q for the quarter ended July 31, 2026 formatted in eXtensible Business Reporting Language (XBRL): (i) Cover Page, (ii) Condensed Consolidated Balance Sheets, (iii) Condensed Consolidated Statements of Operations, (iv) Condensed Consolidated Statements of Cash Flows, (v) Condensed Consolidated Statements of Changes in Stockholders’ Equity and (vi) Notes to Condensed Consolidated Financial Statements. The instance document does not appear in the Interactive Data File because its XBRL tags are embedded within Inline XBRL document.</w:t>
            </w:r>
          </w:p>
        </w:tc>
      </w:tr>
      <w:tr>
        <w:trPr/>
        <w:tc>
          <w:tcPr>
            <w:tcW w:w="508"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607" w:type="dxa"/>
            <w:tcBorders/>
            <w:vAlign w:val="center"/>
          </w:tcPr>
          <w:p>
            <w:pPr>
              <w:pStyle w:val="TableContents"/>
              <w:bidi w:val="0"/>
              <w:spacing w:before="0" w:after="283"/>
              <w:jc w:val="both"/>
              <w:rPr/>
            </w:pPr>
            <w:r>
              <w:rPr/>
              <w:t> </w:t>
            </w:r>
          </w:p>
        </w:tc>
      </w:tr>
      <w:tr>
        <w:trPr/>
        <w:tc>
          <w:tcPr>
            <w:tcW w:w="508" w:type="dxa"/>
            <w:tcBorders/>
            <w:vAlign w:val="center"/>
          </w:tcPr>
          <w:p>
            <w:pPr>
              <w:pStyle w:val="TableContents"/>
              <w:bidi w:val="0"/>
              <w:spacing w:before="0" w:after="283"/>
              <w:jc w:val="left"/>
              <w:rPr>
                <w:sz w:val="20"/>
              </w:rPr>
            </w:pPr>
            <w:r>
              <w:rPr>
                <w:sz w:val="20"/>
              </w:rPr>
              <w:t>104-</w:t>
            </w:r>
          </w:p>
        </w:tc>
        <w:tc>
          <w:tcPr>
            <w:tcW w:w="90" w:type="dxa"/>
            <w:tcBorders/>
            <w:vAlign w:val="center"/>
          </w:tcPr>
          <w:p>
            <w:pPr>
              <w:pStyle w:val="TableContents"/>
              <w:bidi w:val="0"/>
              <w:spacing w:before="0" w:after="283"/>
              <w:jc w:val="left"/>
              <w:rPr/>
            </w:pPr>
            <w:r>
              <w:rPr/>
              <w:t> </w:t>
            </w:r>
          </w:p>
        </w:tc>
        <w:tc>
          <w:tcPr>
            <w:tcW w:w="9607" w:type="dxa"/>
            <w:tcBorders/>
            <w:vAlign w:val="center"/>
          </w:tcPr>
          <w:p>
            <w:pPr>
              <w:pStyle w:val="TableContents"/>
              <w:bidi w:val="0"/>
              <w:spacing w:before="0" w:after="283"/>
              <w:jc w:val="both"/>
              <w:rPr>
                <w:sz w:val="20"/>
              </w:rPr>
            </w:pPr>
            <w:r>
              <w:rPr>
                <w:sz w:val="20"/>
              </w:rPr>
              <w:t>Cover Page Interactive Data File (formatted as inline XBRL and contained in Exhibit 101).</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14"/>
      <w:bookmarkEnd w:id="16"/>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7710" w:type="dxa"/>
        <w:jc w:val="left"/>
        <w:tblInd w:w="0" w:type="dxa"/>
        <w:tblLayout w:type="fixed"/>
        <w:tblCellMar>
          <w:top w:w="0" w:type="dxa"/>
          <w:left w:w="0" w:type="dxa"/>
          <w:bottom w:w="0" w:type="dxa"/>
          <w:right w:w="0" w:type="dxa"/>
        </w:tblCellMar>
      </w:tblPr>
      <w:tblGrid>
        <w:gridCol w:w="2660"/>
        <w:gridCol w:w="395"/>
        <w:gridCol w:w="4655"/>
      </w:tblGrid>
      <w:tr>
        <w:trPr/>
        <w:tc>
          <w:tcPr>
            <w:tcW w:w="2660" w:type="dxa"/>
            <w:tcBorders/>
            <w:vAlign w:val="center"/>
          </w:tcPr>
          <w:p>
            <w:pPr>
              <w:pStyle w:val="TableContents"/>
              <w:bidi w:val="0"/>
              <w:spacing w:before="0" w:after="283"/>
              <w:jc w:val="left"/>
              <w:rPr/>
            </w:pPr>
            <w:r>
              <w:rPr/>
              <w:t> </w:t>
            </w:r>
          </w:p>
        </w:tc>
        <w:tc>
          <w:tcPr>
            <w:tcW w:w="5050" w:type="dxa"/>
            <w:gridSpan w:val="2"/>
            <w:tcBorders/>
            <w:vAlign w:val="center"/>
          </w:tcPr>
          <w:p>
            <w:pPr>
              <w:pStyle w:val="TableContents"/>
              <w:bidi w:val="0"/>
              <w:spacing w:before="0" w:after="283"/>
              <w:jc w:val="left"/>
              <w:rPr>
                <w:b/>
              </w:rPr>
            </w:pPr>
            <w:r>
              <w:rPr>
                <w:b/>
              </w:rPr>
              <w:t>FREQUENCY ELECTRONICS, INC.</w:t>
            </w:r>
          </w:p>
        </w:tc>
      </w:tr>
      <w:tr>
        <w:trPr/>
        <w:tc>
          <w:tcPr>
            <w:tcW w:w="2660" w:type="dxa"/>
            <w:tcBorders/>
            <w:vAlign w:val="center"/>
          </w:tcPr>
          <w:p>
            <w:pPr>
              <w:pStyle w:val="TableContents"/>
              <w:bidi w:val="0"/>
              <w:spacing w:before="0" w:after="283"/>
              <w:jc w:val="left"/>
              <w:rPr/>
            </w:pPr>
            <w:r>
              <w:rPr/>
              <w:t>Dated: September 14, 2026</w:t>
            </w:r>
          </w:p>
        </w:tc>
        <w:tc>
          <w:tcPr>
            <w:tcW w:w="39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By:</w:t>
            </w:r>
          </w:p>
        </w:tc>
        <w:tc>
          <w:tcPr>
            <w:tcW w:w="4655" w:type="dxa"/>
            <w:tcBorders>
              <w:bottom w:val="single" w:sz="8" w:space="0" w:color="000000"/>
            </w:tcBorders>
            <w:tcMar>
              <w:bottom w:w="28" w:type="dxa"/>
            </w:tcMar>
            <w:vAlign w:val="center"/>
          </w:tcPr>
          <w:p>
            <w:pPr>
              <w:pStyle w:val="TableContents"/>
              <w:bidi w:val="0"/>
              <w:spacing w:before="0" w:after="283"/>
              <w:jc w:val="left"/>
              <w:rPr/>
            </w:pPr>
            <w:r>
              <w:rPr/>
              <w:t>/s/ Thomas McClelland</w:t>
            </w:r>
          </w:p>
        </w:tc>
      </w:tr>
      <w:tr>
        <w:trPr/>
        <w:tc>
          <w:tcPr>
            <w:tcW w:w="26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Thomas McClelland</w:t>
            </w:r>
          </w:p>
        </w:tc>
      </w:tr>
      <w:tr>
        <w:trPr/>
        <w:tc>
          <w:tcPr>
            <w:tcW w:w="26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President and Chief Executive Officer</w:t>
            </w:r>
          </w:p>
        </w:tc>
      </w:tr>
      <w:tr>
        <w:trPr/>
        <w:tc>
          <w:tcPr>
            <w:tcW w:w="26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(Principal Executive Officer)</w:t>
            </w:r>
          </w:p>
        </w:tc>
      </w:tr>
      <w:tr>
        <w:trPr/>
        <w:tc>
          <w:tcPr>
            <w:tcW w:w="26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 </w:t>
            </w:r>
          </w:p>
        </w:tc>
      </w:tr>
      <w:tr>
        <w:trPr/>
        <w:tc>
          <w:tcPr>
            <w:tcW w:w="26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By:</w:t>
            </w:r>
          </w:p>
        </w:tc>
        <w:tc>
          <w:tcPr>
            <w:tcW w:w="4655" w:type="dxa"/>
            <w:tcBorders>
              <w:bottom w:val="single" w:sz="8" w:space="0" w:color="000000"/>
            </w:tcBorders>
            <w:tcMar>
              <w:bottom w:w="28" w:type="dxa"/>
            </w:tcMar>
            <w:vAlign w:val="center"/>
          </w:tcPr>
          <w:p>
            <w:pPr>
              <w:pStyle w:val="TableContents"/>
              <w:bidi w:val="0"/>
              <w:spacing w:before="0" w:after="283"/>
              <w:jc w:val="left"/>
              <w:rPr/>
            </w:pPr>
            <w:r>
              <w:rPr/>
              <w:t>/s/ Steven L. Bernstein</w:t>
            </w:r>
          </w:p>
        </w:tc>
      </w:tr>
      <w:tr>
        <w:trPr/>
        <w:tc>
          <w:tcPr>
            <w:tcW w:w="26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Steven L. Bernstein</w:t>
            </w:r>
          </w:p>
        </w:tc>
      </w:tr>
      <w:tr>
        <w:trPr/>
        <w:tc>
          <w:tcPr>
            <w:tcW w:w="26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Chief Financial Officer, Secretary and Treasurer</w:t>
            </w:r>
          </w:p>
        </w:tc>
      </w:tr>
      <w:tr>
        <w:trPr/>
        <w:tc>
          <w:tcPr>
            <w:tcW w:w="26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4655" w:type="dxa"/>
            <w:tcBorders/>
            <w:vAlign w:val="center"/>
          </w:tcPr>
          <w:p>
            <w:pPr>
              <w:pStyle w:val="TableContents"/>
              <w:bidi w:val="0"/>
              <w:spacing w:before="0" w:after="283"/>
              <w:jc w:val="left"/>
              <w:rPr/>
            </w:pPr>
            <w:r>
              <w:rPr/>
              <w:t>(Principal Financial and Accounting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p>
      <w:pPr>
        <w:pStyle w:val="TextBody"/>
        <w:bidi w:val="0"/>
        <w:jc w:val="left"/>
        <w:rPr>
          <w:caps w:val="false"/>
          <w:smallCaps w:val="false"/>
          <w:bdr w:val="single" w:sz="12" w:space="1" w:color="000000"/>
        </w:rPr>
      </w:pPr>
      <w:r>
        <w:rPr>
          <w:caps w:val="false"/>
          <w:smallCaps w:val="false"/>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7" w:name="feimex31-1.htm"/>
      <w:bookmarkStart w:id="18" w:name="ksfeimex311"/>
      <w:bookmarkEnd w:id="17"/>
      <w:bookmarkEnd w:id="18"/>
      <w:r>
        <w:rPr>
          <w:rFonts w:ascii="Times New Roman;Times;Serif" w:hAnsi="Times New Roman;Times;Serif"/>
          <w:b/>
          <w:i w:val="false"/>
          <w:caps w:val="false"/>
          <w:smallCaps w:val="false"/>
          <w:sz w:val="20"/>
        </w:rPr>
        <w:t>Exhibit 31.1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Thomas McClelland, certify that:</w:t>
      </w:r>
    </w:p>
    <w:p>
      <w:pPr>
        <w:pStyle w:val="TextBody"/>
        <w:bidi w:val="0"/>
        <w:spacing w:before="0" w:after="0"/>
        <w:ind w:left="0" w:right="0" w:hanging="0"/>
        <w:jc w:val="both"/>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38"/>
        <w:gridCol w:w="20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850" w:type="dxa"/>
            <w:tcBorders/>
            <w:vAlign w:val="center"/>
          </w:tcPr>
          <w:p>
            <w:pPr>
              <w:pStyle w:val="TableContents"/>
              <w:bidi w:val="0"/>
              <w:spacing w:before="0" w:after="283"/>
              <w:jc w:val="both"/>
              <w:rPr/>
            </w:pPr>
            <w:r>
              <w:rPr/>
              <w:t>I have reviewed this quarterly report on Form 10-Q of Frequency Electronics,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5635" w:type="dxa"/>
        <w:jc w:val="left"/>
        <w:tblInd w:w="0" w:type="dxa"/>
        <w:tblLayout w:type="fixed"/>
        <w:tblCellMar>
          <w:top w:w="0" w:type="dxa"/>
          <w:left w:w="0" w:type="dxa"/>
          <w:bottom w:w="28" w:type="dxa"/>
          <w:right w:w="0" w:type="dxa"/>
        </w:tblCellMar>
      </w:tblPr>
      <w:tblGrid>
        <w:gridCol w:w="3635"/>
        <w:gridCol w:w="60"/>
        <w:gridCol w:w="1940"/>
      </w:tblGrid>
      <w:tr>
        <w:trPr/>
        <w:tc>
          <w:tcPr>
            <w:tcW w:w="3635" w:type="dxa"/>
            <w:tcBorders>
              <w:bottom w:val="single" w:sz="8" w:space="0" w:color="000000"/>
            </w:tcBorders>
            <w:vAlign w:val="center"/>
          </w:tcPr>
          <w:p>
            <w:pPr>
              <w:pStyle w:val="TableContents"/>
              <w:bidi w:val="0"/>
              <w:spacing w:before="0" w:after="283"/>
              <w:jc w:val="left"/>
              <w:rPr/>
            </w:pPr>
            <w:r>
              <w:rPr/>
              <w:t>/s/ Thomas McClelland</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pPr>
            <w:r>
              <w:rPr/>
              <w:t>September 14, 2026</w:t>
            </w:r>
          </w:p>
        </w:tc>
      </w:tr>
      <w:tr>
        <w:trPr/>
        <w:tc>
          <w:tcPr>
            <w:tcW w:w="3635" w:type="dxa"/>
            <w:tcBorders/>
            <w:tcMar>
              <w:bottom w:w="0" w:type="dxa"/>
            </w:tcMar>
            <w:vAlign w:val="center"/>
          </w:tcPr>
          <w:p>
            <w:pPr>
              <w:pStyle w:val="TableContents"/>
              <w:bidi w:val="0"/>
              <w:spacing w:before="0" w:after="283"/>
              <w:jc w:val="left"/>
              <w:rPr/>
            </w:pPr>
            <w:r>
              <w:rPr/>
              <w:t>Thomas McClelland</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pPr>
            <w:r>
              <w:rPr/>
              <w:t> </w:t>
            </w:r>
          </w:p>
        </w:tc>
      </w:tr>
      <w:tr>
        <w:trPr/>
        <w:tc>
          <w:tcPr>
            <w:tcW w:w="3635" w:type="dxa"/>
            <w:tcBorders/>
            <w:tcMar>
              <w:bottom w:w="0" w:type="dxa"/>
            </w:tcMar>
            <w:vAlign w:val="center"/>
          </w:tcPr>
          <w:p>
            <w:pPr>
              <w:pStyle w:val="TableContents"/>
              <w:bidi w:val="0"/>
              <w:spacing w:before="0" w:after="283"/>
              <w:jc w:val="left"/>
              <w:rPr/>
            </w:pPr>
            <w:r>
              <w:rPr/>
              <w:t>President and Chief Executive Officer</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pPr>
            <w:r>
              <w:rPr/>
              <w:t> </w:t>
            </w:r>
          </w:p>
        </w:tc>
      </w:tr>
      <w:tr>
        <w:trPr/>
        <w:tc>
          <w:tcPr>
            <w:tcW w:w="3635" w:type="dxa"/>
            <w:tcBorders/>
            <w:tcMar>
              <w:bottom w:w="0" w:type="dxa"/>
            </w:tcMar>
            <w:vAlign w:val="center"/>
          </w:tcPr>
          <w:p>
            <w:pPr>
              <w:pStyle w:val="TableContents"/>
              <w:bidi w:val="0"/>
              <w:spacing w:before="0" w:after="283"/>
              <w:jc w:val="left"/>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9" w:name="feimex31-2.htm"/>
      <w:bookmarkStart w:id="20" w:name="ksfeimex312"/>
      <w:bookmarkEnd w:id="19"/>
      <w:bookmarkEnd w:id="20"/>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Steven L. Bernstein, certify that:</w:t>
      </w:r>
    </w:p>
    <w:p>
      <w:pPr>
        <w:pStyle w:val="TextBody"/>
        <w:bidi w:val="0"/>
        <w:spacing w:before="0" w:after="0"/>
        <w:ind w:left="0" w:right="0" w:hanging="0"/>
        <w:jc w:val="both"/>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38"/>
        <w:gridCol w:w="200"/>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7850" w:type="dxa"/>
            <w:tcBorders/>
            <w:vAlign w:val="center"/>
          </w:tcPr>
          <w:p>
            <w:pPr>
              <w:pStyle w:val="TableContents"/>
              <w:bidi w:val="0"/>
              <w:spacing w:before="0" w:after="283"/>
              <w:jc w:val="both"/>
              <w:rPr/>
            </w:pPr>
            <w:r>
              <w:rPr/>
              <w:t>I have reviewed this quarterly report on Form 10-Q of Frequency Electronics,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2.</w:t>
            </w:r>
          </w:p>
        </w:tc>
        <w:tc>
          <w:tcPr>
            <w:tcW w:w="10008" w:type="dxa"/>
            <w:tcBorders/>
            <w:vAlign w:val="center"/>
          </w:tcPr>
          <w:p>
            <w:pPr>
              <w:pStyle w:val="TableContents"/>
              <w:bidi w:val="0"/>
              <w:spacing w:before="0" w:after="283"/>
              <w:jc w:val="both"/>
              <w:rPr/>
            </w:pPr>
            <w:r>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pPr>
            <w:r>
              <w:rPr/>
              <w:t>3.</w:t>
            </w:r>
          </w:p>
        </w:tc>
        <w:tc>
          <w:tcPr>
            <w:tcW w:w="10005" w:type="dxa"/>
            <w:tcBorders/>
            <w:vAlign w:val="center"/>
          </w:tcPr>
          <w:p>
            <w:pPr>
              <w:pStyle w:val="TableContents"/>
              <w:bidi w:val="0"/>
              <w:spacing w:before="0" w:after="283"/>
              <w:jc w:val="both"/>
              <w:rPr/>
            </w:pPr>
            <w:r>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4.</w:t>
            </w:r>
          </w:p>
        </w:tc>
        <w:tc>
          <w:tcPr>
            <w:tcW w:w="10009" w:type="dxa"/>
            <w:tcBorders/>
            <w:vAlign w:val="center"/>
          </w:tcPr>
          <w:p>
            <w:pPr>
              <w:pStyle w:val="TableContents"/>
              <w:bidi w:val="0"/>
              <w:spacing w:before="0" w:after="283"/>
              <w:jc w:val="both"/>
              <w:rPr/>
            </w:pPr>
            <w:r>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pPr>
            <w:r>
              <w:rPr/>
              <w:t>(a)</w:t>
            </w:r>
          </w:p>
        </w:tc>
        <w:tc>
          <w:tcPr>
            <w:tcW w:w="9947" w:type="dxa"/>
            <w:tcBorders/>
            <w:vAlign w:val="center"/>
          </w:tcPr>
          <w:p>
            <w:pPr>
              <w:pStyle w:val="TableContents"/>
              <w:bidi w:val="0"/>
              <w:spacing w:before="0" w:after="283"/>
              <w:jc w:val="both"/>
              <w:rPr/>
            </w:pPr>
            <w:r>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283"/>
              <w:jc w:val="both"/>
              <w:rPr/>
            </w:pPr>
            <w:r>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(c)</w:t>
            </w:r>
          </w:p>
        </w:tc>
        <w:tc>
          <w:tcPr>
            <w:tcW w:w="9941" w:type="dxa"/>
            <w:tcBorders/>
            <w:vAlign w:val="center"/>
          </w:tcPr>
          <w:p>
            <w:pPr>
              <w:pStyle w:val="TableContents"/>
              <w:bidi w:val="0"/>
              <w:spacing w:before="0" w:after="283"/>
              <w:jc w:val="both"/>
              <w:rPr/>
            </w:pPr>
            <w:r>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(d)</w:t>
            </w:r>
          </w:p>
        </w:tc>
        <w:tc>
          <w:tcPr>
            <w:tcW w:w="9932" w:type="dxa"/>
            <w:tcBorders/>
            <w:vAlign w:val="center"/>
          </w:tcPr>
          <w:p>
            <w:pPr>
              <w:pStyle w:val="TableContents"/>
              <w:bidi w:val="0"/>
              <w:spacing w:before="0" w:after="283"/>
              <w:jc w:val="both"/>
              <w:rPr/>
            </w:pPr>
            <w:r>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1"/>
        <w:gridCol w:w="10006"/>
      </w:tblGrid>
      <w:tr>
        <w:trPr/>
        <w:tc>
          <w:tcPr>
            <w:tcW w:w="3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5.</w:t>
            </w:r>
          </w:p>
        </w:tc>
        <w:tc>
          <w:tcPr>
            <w:tcW w:w="10006" w:type="dxa"/>
            <w:tcBorders/>
            <w:vAlign w:val="center"/>
          </w:tcPr>
          <w:p>
            <w:pPr>
              <w:pStyle w:val="TableContents"/>
              <w:bidi w:val="0"/>
              <w:spacing w:before="0" w:after="283"/>
              <w:jc w:val="both"/>
              <w:rPr/>
            </w:pPr>
            <w:r>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(a)</w:t>
            </w:r>
          </w:p>
        </w:tc>
        <w:tc>
          <w:tcPr>
            <w:tcW w:w="9939" w:type="dxa"/>
            <w:tcBorders/>
            <w:vAlign w:val="center"/>
          </w:tcPr>
          <w:p>
            <w:pPr>
              <w:pStyle w:val="TableContents"/>
              <w:bidi w:val="0"/>
              <w:spacing w:before="0" w:after="283"/>
              <w:jc w:val="both"/>
              <w:rPr/>
            </w:pPr>
            <w:r>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9"/>
        <w:gridCol w:w="9908"/>
      </w:tblGrid>
      <w:tr>
        <w:trPr/>
        <w:tc>
          <w:tcPr>
            <w:tcW w:w="3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283"/>
              <w:jc w:val="both"/>
              <w:rPr/>
            </w:pPr>
            <w:r>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6595" w:type="dxa"/>
        <w:jc w:val="left"/>
        <w:tblInd w:w="0" w:type="dxa"/>
        <w:tblLayout w:type="fixed"/>
        <w:tblCellMar>
          <w:top w:w="0" w:type="dxa"/>
          <w:left w:w="0" w:type="dxa"/>
          <w:bottom w:w="28" w:type="dxa"/>
          <w:right w:w="0" w:type="dxa"/>
        </w:tblCellMar>
      </w:tblPr>
      <w:tblGrid>
        <w:gridCol w:w="4595"/>
        <w:gridCol w:w="60"/>
        <w:gridCol w:w="1940"/>
      </w:tblGrid>
      <w:tr>
        <w:trPr/>
        <w:tc>
          <w:tcPr>
            <w:tcW w:w="4595" w:type="dxa"/>
            <w:tcBorders>
              <w:bottom w:val="single" w:sz="8" w:space="0" w:color="000000"/>
            </w:tcBorders>
            <w:vAlign w:val="center"/>
          </w:tcPr>
          <w:p>
            <w:pPr>
              <w:pStyle w:val="TableContents"/>
              <w:bidi w:val="0"/>
              <w:spacing w:before="0" w:after="283"/>
              <w:jc w:val="left"/>
              <w:rPr/>
            </w:pPr>
            <w:r>
              <w:rPr/>
              <w:t>/s/ Steven L. Bernstein</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pPr>
            <w:r>
              <w:rPr/>
              <w:t>September 14, 2026</w:t>
            </w:r>
          </w:p>
        </w:tc>
      </w:tr>
      <w:tr>
        <w:trPr/>
        <w:tc>
          <w:tcPr>
            <w:tcW w:w="4595" w:type="dxa"/>
            <w:tcBorders/>
            <w:tcMar>
              <w:bottom w:w="0" w:type="dxa"/>
            </w:tcMar>
            <w:vAlign w:val="center"/>
          </w:tcPr>
          <w:p>
            <w:pPr>
              <w:pStyle w:val="TableContents"/>
              <w:bidi w:val="0"/>
              <w:spacing w:before="0" w:after="283"/>
              <w:jc w:val="left"/>
              <w:rPr/>
            </w:pPr>
            <w:r>
              <w:rPr/>
              <w:t>Steven L. Bernstein</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pPr>
            <w:r>
              <w:rPr/>
              <w:t> </w:t>
            </w:r>
          </w:p>
        </w:tc>
      </w:tr>
      <w:tr>
        <w:trPr/>
        <w:tc>
          <w:tcPr>
            <w:tcW w:w="4595" w:type="dxa"/>
            <w:tcBorders/>
            <w:tcMar>
              <w:bottom w:w="0" w:type="dxa"/>
            </w:tcMar>
            <w:vAlign w:val="center"/>
          </w:tcPr>
          <w:p>
            <w:pPr>
              <w:pStyle w:val="TableContents"/>
              <w:bidi w:val="0"/>
              <w:spacing w:before="0" w:after="283"/>
              <w:jc w:val="left"/>
              <w:rPr/>
            </w:pPr>
            <w:r>
              <w:rPr/>
              <w:t>Chief Financial Officer, Secretary and Treasurer</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pPr>
            <w:r>
              <w:rPr/>
              <w:t> </w:t>
            </w:r>
          </w:p>
        </w:tc>
      </w:tr>
      <w:tr>
        <w:trPr/>
        <w:tc>
          <w:tcPr>
            <w:tcW w:w="4595" w:type="dxa"/>
            <w:tcBorders/>
            <w:tcMar>
              <w:bottom w:w="0" w:type="dxa"/>
            </w:tcMar>
            <w:vAlign w:val="center"/>
          </w:tcPr>
          <w:p>
            <w:pPr>
              <w:pStyle w:val="TableContents"/>
              <w:bidi w:val="0"/>
              <w:spacing w:before="0" w:after="283"/>
              <w:jc w:val="left"/>
              <w:rPr/>
            </w:pPr>
            <w:r>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feimex32.htm"/>
      <w:bookmarkStart w:id="22" w:name="ksfeimex32"/>
      <w:bookmarkEnd w:id="21"/>
      <w:bookmarkEnd w:id="22"/>
      <w:r>
        <w:rPr>
          <w:rFonts w:ascii="Times New Roman;Times;Serif" w:hAnsi="Times New Roman;Times;Serif"/>
          <w:b/>
          <w:i w:val="false"/>
          <w:caps w:val="false"/>
          <w:smallCaps w:val="false"/>
          <w:sz w:val="20"/>
        </w:rPr>
        <w:t>Exhibit 32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Certification of CEO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Frequency Electronics, Inc. (the “Company”) on Form 10-Q for the period ended July 31, 2026 as filed with the Securities and Exchange Commission on the date hereof (the “Report”), I, Thomas McClelland, President and Chief Executive Officer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(1)</w:t>
            </w:r>
          </w:p>
        </w:tc>
        <w:tc>
          <w:tcPr>
            <w:tcW w:w="9895" w:type="dxa"/>
            <w:tcBorders/>
            <w:vAlign w:val="center"/>
          </w:tcPr>
          <w:p>
            <w:pPr>
              <w:pStyle w:val="TableContents"/>
              <w:bidi w:val="0"/>
              <w:spacing w:before="0" w:after="283"/>
              <w:jc w:val="both"/>
              <w:rPr/>
            </w:pPr>
            <w:r>
              <w:rPr/>
              <w:t>The Report fully complies with the requirements of Section 13(a) or 15(d) of the Securities Exchange Act of 1934, as amended;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firstLine="720"/>
        <w:jc w:val="both"/>
        <w:rPr>
          <w:caps w:val="false"/>
          <w:smallCaps w:val="false"/>
        </w:rPr>
      </w:pPr>
      <w:r>
        <w:rPr>
          <w:caps w:val="false"/>
          <w:smallCaps w:val="false"/>
        </w:rPr>
        <w:t> </w:t>
      </w:r>
    </w:p>
    <w:tbl>
      <w:tblPr>
        <w:tblW w:w="5635" w:type="dxa"/>
        <w:jc w:val="left"/>
        <w:tblInd w:w="0" w:type="dxa"/>
        <w:tblLayout w:type="fixed"/>
        <w:tblCellMar>
          <w:top w:w="0" w:type="dxa"/>
          <w:left w:w="0" w:type="dxa"/>
          <w:bottom w:w="28" w:type="dxa"/>
          <w:right w:w="0" w:type="dxa"/>
        </w:tblCellMar>
      </w:tblPr>
      <w:tblGrid>
        <w:gridCol w:w="3635"/>
        <w:gridCol w:w="60"/>
        <w:gridCol w:w="1940"/>
      </w:tblGrid>
      <w:tr>
        <w:trPr/>
        <w:tc>
          <w:tcPr>
            <w:tcW w:w="3635" w:type="dxa"/>
            <w:tcBorders>
              <w:bottom w:val="single" w:sz="8" w:space="0" w:color="000000"/>
            </w:tcBorders>
            <w:vAlign w:val="center"/>
          </w:tcPr>
          <w:p>
            <w:pPr>
              <w:pStyle w:val="TableContents"/>
              <w:bidi w:val="0"/>
              <w:spacing w:before="0" w:after="283"/>
              <w:jc w:val="left"/>
              <w:rPr/>
            </w:pPr>
            <w:r>
              <w:rPr/>
              <w:t>/s/ Thomas McClelland</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pPr>
            <w:r>
              <w:rPr/>
              <w:t>September 14, 2026</w:t>
            </w:r>
          </w:p>
        </w:tc>
      </w:tr>
      <w:tr>
        <w:trPr/>
        <w:tc>
          <w:tcPr>
            <w:tcW w:w="3635" w:type="dxa"/>
            <w:tcBorders/>
            <w:tcMar>
              <w:bottom w:w="0" w:type="dxa"/>
            </w:tcMar>
            <w:vAlign w:val="center"/>
          </w:tcPr>
          <w:p>
            <w:pPr>
              <w:pStyle w:val="TableContents"/>
              <w:bidi w:val="0"/>
              <w:spacing w:before="0" w:after="283"/>
              <w:jc w:val="left"/>
              <w:rPr/>
            </w:pPr>
            <w:r>
              <w:rPr/>
              <w:t>Thomas McClelland</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pPr>
            <w:r>
              <w:rPr/>
              <w:t> </w:t>
            </w:r>
          </w:p>
        </w:tc>
      </w:tr>
      <w:tr>
        <w:trPr/>
        <w:tc>
          <w:tcPr>
            <w:tcW w:w="3635" w:type="dxa"/>
            <w:tcBorders/>
            <w:tcMar>
              <w:bottom w:w="0" w:type="dxa"/>
            </w:tcMar>
            <w:vAlign w:val="center"/>
          </w:tcPr>
          <w:p>
            <w:pPr>
              <w:pStyle w:val="TableContents"/>
              <w:bidi w:val="0"/>
              <w:spacing w:before="0" w:after="283"/>
              <w:jc w:val="left"/>
              <w:rPr/>
            </w:pPr>
            <w:r>
              <w:rPr/>
              <w:t>President and Chief Executive Officer</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Certification of CFO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Frequency Electronics, Inc. (the “Company”) on Form 10-Q for the period ended July 31, 2026 as filed with the Securities and Exchange Commission on the date hereof (the “Report”), I, Steven L. Bernstein, Chief Financial Officer, Secretary and Treasurer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2"/>
        <w:gridCol w:w="9895"/>
      </w:tblGrid>
      <w:tr>
        <w:trPr/>
        <w:tc>
          <w:tcPr>
            <w:tcW w:w="3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pPr>
            <w:r>
              <w:rPr/>
              <w:t>(1)</w:t>
            </w:r>
          </w:p>
        </w:tc>
        <w:tc>
          <w:tcPr>
            <w:tcW w:w="9895" w:type="dxa"/>
            <w:tcBorders/>
            <w:vAlign w:val="center"/>
          </w:tcPr>
          <w:p>
            <w:pPr>
              <w:pStyle w:val="TableContents"/>
              <w:bidi w:val="0"/>
              <w:spacing w:before="0" w:after="283"/>
              <w:jc w:val="both"/>
              <w:rPr/>
            </w:pPr>
            <w:r>
              <w:rPr/>
              <w:t>The Report fully complies with the requirements of Section 13(a) or 15(d) of the Securities Exchange Act of 1934, as amended; and</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pPr>
            <w:r>
              <w:rPr/>
              <w:t>(2)</w:t>
            </w:r>
          </w:p>
        </w:tc>
        <w:tc>
          <w:tcPr>
            <w:tcW w:w="9900" w:type="dxa"/>
            <w:tcBorders/>
            <w:vAlign w:val="center"/>
          </w:tcPr>
          <w:p>
            <w:pPr>
              <w:pStyle w:val="TableContents"/>
              <w:bidi w:val="0"/>
              <w:spacing w:before="0" w:after="283"/>
              <w:jc w:val="both"/>
              <w:rPr/>
            </w:pPr>
            <w:r>
              <w:rPr/>
              <w:t>The information contained in the Report fairly presents, in all material respects, the financial condition and results of operations of the Company.</w:t>
            </w:r>
          </w:p>
        </w:tc>
      </w:tr>
    </w:tbl>
    <w:p>
      <w:pPr>
        <w:pStyle w:val="TextBody"/>
        <w:bidi w:val="0"/>
        <w:spacing w:before="0" w:after="0"/>
        <w:ind w:left="0" w:right="0" w:firstLine="720"/>
        <w:jc w:val="both"/>
        <w:rPr>
          <w:caps w:val="false"/>
          <w:smallCaps w:val="false"/>
        </w:rPr>
      </w:pPr>
      <w:r>
        <w:rPr>
          <w:caps w:val="false"/>
          <w:smallCaps w:val="false"/>
        </w:rPr>
        <w:t> </w:t>
      </w:r>
    </w:p>
    <w:tbl>
      <w:tblPr>
        <w:tblW w:w="6595" w:type="dxa"/>
        <w:jc w:val="left"/>
        <w:tblInd w:w="0" w:type="dxa"/>
        <w:tblLayout w:type="fixed"/>
        <w:tblCellMar>
          <w:top w:w="0" w:type="dxa"/>
          <w:left w:w="0" w:type="dxa"/>
          <w:bottom w:w="28" w:type="dxa"/>
          <w:right w:w="0" w:type="dxa"/>
        </w:tblCellMar>
      </w:tblPr>
      <w:tblGrid>
        <w:gridCol w:w="4595"/>
        <w:gridCol w:w="60"/>
        <w:gridCol w:w="1940"/>
      </w:tblGrid>
      <w:tr>
        <w:trPr/>
        <w:tc>
          <w:tcPr>
            <w:tcW w:w="4595" w:type="dxa"/>
            <w:tcBorders>
              <w:bottom w:val="single" w:sz="8" w:space="0" w:color="000000"/>
            </w:tcBorders>
            <w:vAlign w:val="center"/>
          </w:tcPr>
          <w:p>
            <w:pPr>
              <w:pStyle w:val="TableContents"/>
              <w:bidi w:val="0"/>
              <w:spacing w:before="0" w:after="283"/>
              <w:jc w:val="left"/>
              <w:rPr/>
            </w:pPr>
            <w:r>
              <w:rPr/>
              <w:t>/s/ Steven L. Bernstein</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pPr>
            <w:r>
              <w:rPr/>
              <w:t>September 14, 2026</w:t>
            </w:r>
          </w:p>
        </w:tc>
      </w:tr>
      <w:tr>
        <w:trPr/>
        <w:tc>
          <w:tcPr>
            <w:tcW w:w="4595" w:type="dxa"/>
            <w:tcBorders/>
            <w:tcMar>
              <w:bottom w:w="0" w:type="dxa"/>
            </w:tcMar>
            <w:vAlign w:val="center"/>
          </w:tcPr>
          <w:p>
            <w:pPr>
              <w:pStyle w:val="TableContents"/>
              <w:bidi w:val="0"/>
              <w:spacing w:before="0" w:after="283"/>
              <w:jc w:val="left"/>
              <w:rPr/>
            </w:pPr>
            <w:r>
              <w:rPr/>
              <w:t>Steven L. Bernstein</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pPr>
            <w:r>
              <w:rPr/>
              <w:t> </w:t>
            </w:r>
          </w:p>
        </w:tc>
      </w:tr>
      <w:tr>
        <w:trPr/>
        <w:tc>
          <w:tcPr>
            <w:tcW w:w="4595" w:type="dxa"/>
            <w:tcBorders/>
            <w:tcMar>
              <w:bottom w:w="0" w:type="dxa"/>
            </w:tcMar>
            <w:vAlign w:val="center"/>
          </w:tcPr>
          <w:p>
            <w:pPr>
              <w:pStyle w:val="TableContents"/>
              <w:bidi w:val="0"/>
              <w:spacing w:before="0" w:after="283"/>
              <w:jc w:val="left"/>
              <w:rPr/>
            </w:pPr>
            <w:r>
              <w:rPr/>
              <w:t>Chief Financial Officer, Secretary and Treasurer</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certification accompanies this Report on Form 10-Q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39020/000118518526002498/feimex10-1.htm" TargetMode="External"/><Relationship Id="rId3" Type="http://schemas.openxmlformats.org/officeDocument/2006/relationships/hyperlink" Target="http://www.sec.gov/Archives/edgar/data/39020/000118518526002498/feimex10-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11840</Words>
  <Characters>65205</Characters>
  <CharactersWithSpaces>78008</CharactersWithSpaces>
  <Paragraphs>3691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